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A39FD" w:rsidRPr="00BE53BD" w:rsidTr="00E34A5C">
        <w:trPr>
          <w:trHeight w:hRule="exact" w:val="1418"/>
        </w:trPr>
        <w:tc>
          <w:tcPr>
            <w:tcW w:w="6804" w:type="dxa"/>
            <w:shd w:val="clear" w:color="auto" w:fill="auto"/>
            <w:vAlign w:val="center"/>
          </w:tcPr>
          <w:p w:rsidR="00BA3E40" w:rsidRPr="00BE53BD" w:rsidRDefault="00C21BA3" w:rsidP="00E34A5C">
            <w:pPr>
              <w:pStyle w:val="EPName"/>
            </w:pPr>
            <w:r w:rsidRPr="00BE53BD">
              <w:t>Европейски парламент</w:t>
            </w:r>
          </w:p>
          <w:p w:rsidR="00BA3E40" w:rsidRPr="00BE53BD" w:rsidRDefault="00C21BA3" w:rsidP="009B6583">
            <w:pPr>
              <w:pStyle w:val="EPTerm"/>
            </w:pPr>
            <w:r w:rsidRPr="00BE53BD">
              <w:t>2019-2024</w:t>
            </w:r>
          </w:p>
        </w:tc>
        <w:tc>
          <w:tcPr>
            <w:tcW w:w="2268" w:type="dxa"/>
            <w:shd w:val="clear" w:color="auto" w:fill="auto"/>
          </w:tcPr>
          <w:p w:rsidR="00BA3E40" w:rsidRPr="00BE53BD" w:rsidRDefault="00C21BA3" w:rsidP="00E34A5C">
            <w:pPr>
              <w:pStyle w:val="EPLogo"/>
            </w:pPr>
            <w:r w:rsidRPr="00BE53B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E53BD" w:rsidRDefault="00F24D40" w:rsidP="00F24D40">
      <w:pPr>
        <w:pStyle w:val="LineTop"/>
      </w:pPr>
    </w:p>
    <w:p w:rsidR="00F24D40" w:rsidRPr="00BE53BD" w:rsidRDefault="00C21BA3" w:rsidP="00F24D40">
      <w:pPr>
        <w:pStyle w:val="EPBody"/>
      </w:pPr>
      <w:r w:rsidRPr="00BE53BD">
        <w:rPr>
          <w:rStyle w:val="HideTWBExt"/>
        </w:rPr>
        <w:t>&lt;</w:t>
      </w:r>
      <w:r w:rsidRPr="00BE53BD">
        <w:rPr>
          <w:rStyle w:val="HideTWBExt"/>
          <w:i w:val="0"/>
        </w:rPr>
        <w:t>Commission</w:t>
      </w:r>
      <w:r w:rsidRPr="00BE53BD">
        <w:rPr>
          <w:rStyle w:val="HideTWBExt"/>
        </w:rPr>
        <w:t>&gt;</w:t>
      </w:r>
      <w:r w:rsidRPr="00BE53BD">
        <w:rPr>
          <w:rStyle w:val="HideTWBInt"/>
          <w:color w:val="auto"/>
        </w:rPr>
        <w:t>{EMPL}</w:t>
      </w:r>
      <w:r w:rsidRPr="00BE53BD">
        <w:t>Комисия по заетост и социални въпроси</w:t>
      </w:r>
      <w:r w:rsidRPr="00BE53BD">
        <w:rPr>
          <w:rStyle w:val="HideTWBExt"/>
        </w:rPr>
        <w:t>&lt;/</w:t>
      </w:r>
      <w:r w:rsidRPr="00BE53BD">
        <w:rPr>
          <w:rStyle w:val="HideTWBExt"/>
          <w:i w:val="0"/>
        </w:rPr>
        <w:t>Commission</w:t>
      </w:r>
      <w:r w:rsidRPr="00BE53BD">
        <w:rPr>
          <w:rStyle w:val="HideTWBExt"/>
        </w:rPr>
        <w:t>&gt;</w:t>
      </w:r>
    </w:p>
    <w:p w:rsidR="00F24D40" w:rsidRPr="00BE53BD" w:rsidRDefault="00F24D40" w:rsidP="00F24D40">
      <w:pPr>
        <w:pStyle w:val="LineBottom"/>
      </w:pPr>
    </w:p>
    <w:p w:rsidR="00AF0131" w:rsidRPr="00BE53BD" w:rsidRDefault="00C21BA3" w:rsidP="00AF0131">
      <w:pPr>
        <w:pStyle w:val="CoverReference"/>
      </w:pPr>
      <w:r w:rsidRPr="00BE53BD">
        <w:rPr>
          <w:rStyle w:val="HideTWBExt"/>
          <w:b w:val="0"/>
        </w:rPr>
        <w:t>&lt;RefProc&gt;</w:t>
      </w:r>
      <w:r w:rsidRPr="00BE53BD">
        <w:t>2023/0138</w:t>
      </w:r>
      <w:r w:rsidRPr="00BE53BD">
        <w:rPr>
          <w:rStyle w:val="HideTWBExt"/>
          <w:b w:val="0"/>
        </w:rPr>
        <w:t>&lt;/RefProc&gt;&lt;RefTypeProc&gt;</w:t>
      </w:r>
      <w:r w:rsidRPr="00BE53BD">
        <w:t>(COD)</w:t>
      </w:r>
      <w:r w:rsidRPr="00BE53BD">
        <w:rPr>
          <w:rStyle w:val="HideTWBExt"/>
          <w:b w:val="0"/>
        </w:rPr>
        <w:t>&lt;/RefTypeProc&gt;</w:t>
      </w:r>
    </w:p>
    <w:p w:rsidR="00AF0131" w:rsidRPr="00BE53BD" w:rsidRDefault="00C21BA3" w:rsidP="00AF0131">
      <w:pPr>
        <w:pStyle w:val="CoverDate"/>
      </w:pPr>
      <w:r w:rsidRPr="00BE53BD">
        <w:rPr>
          <w:rStyle w:val="HideTWBExt"/>
        </w:rPr>
        <w:t>&lt;Date&gt;</w:t>
      </w:r>
      <w:r w:rsidRPr="00BE53BD">
        <w:rPr>
          <w:rStyle w:val="HideTWBInt"/>
          <w:color w:val="auto"/>
        </w:rPr>
        <w:t>{30/10/2023}</w:t>
      </w:r>
      <w:r w:rsidRPr="00BE53BD">
        <w:t>30.10.2023</w:t>
      </w:r>
      <w:r w:rsidRPr="00BE53BD">
        <w:rPr>
          <w:rStyle w:val="HideTWBExt"/>
        </w:rPr>
        <w:t>&lt;/Date&gt;</w:t>
      </w:r>
    </w:p>
    <w:p w:rsidR="00AF0131" w:rsidRPr="00BE53BD" w:rsidRDefault="00C21BA3" w:rsidP="00AF0131">
      <w:pPr>
        <w:pStyle w:val="CoverDocType24a"/>
      </w:pPr>
      <w:r w:rsidRPr="00BE53BD">
        <w:rPr>
          <w:rStyle w:val="HideTWBExt"/>
          <w:b w:val="0"/>
        </w:rPr>
        <w:t>&lt;TitreType&gt;</w:t>
      </w:r>
      <w:r w:rsidRPr="00BE53BD">
        <w:t>СТАНОВИЩЕ</w:t>
      </w:r>
      <w:r w:rsidRPr="00BE53BD">
        <w:rPr>
          <w:rStyle w:val="HideTWBExt"/>
          <w:b w:val="0"/>
        </w:rPr>
        <w:t>&lt;/TitreType&gt;</w:t>
      </w:r>
    </w:p>
    <w:p w:rsidR="00AF0131" w:rsidRPr="00BE53BD" w:rsidRDefault="00C21BA3" w:rsidP="00AF0131">
      <w:pPr>
        <w:pStyle w:val="CoverNormal24a"/>
      </w:pPr>
      <w:r w:rsidRPr="00BE53BD">
        <w:rPr>
          <w:rStyle w:val="HideTWBExt"/>
        </w:rPr>
        <w:t>&lt;CommissionResp&gt;</w:t>
      </w:r>
      <w:r w:rsidRPr="00BE53BD">
        <w:t xml:space="preserve">на </w:t>
      </w:r>
      <w:r w:rsidRPr="00BE53BD">
        <w:t>комисията по заетост и социални въпроси</w:t>
      </w:r>
      <w:r w:rsidRPr="00BE53BD">
        <w:rPr>
          <w:rStyle w:val="HideTWBExt"/>
        </w:rPr>
        <w:t>&lt;/CommissionResp&gt;</w:t>
      </w:r>
    </w:p>
    <w:p w:rsidR="00AF0131" w:rsidRPr="00BE53BD" w:rsidRDefault="00C21BA3" w:rsidP="00AF0131">
      <w:pPr>
        <w:pStyle w:val="CoverNormal24a"/>
      </w:pPr>
      <w:r w:rsidRPr="00BE53BD">
        <w:rPr>
          <w:rStyle w:val="HideTWBExt"/>
        </w:rPr>
        <w:t>&lt;CommissionInt&gt;</w:t>
      </w:r>
      <w:r w:rsidRPr="00BE53BD">
        <w:t>на вниманието на комисията по икономически и парични въпроси</w:t>
      </w:r>
      <w:r w:rsidRPr="00BE53BD">
        <w:rPr>
          <w:rStyle w:val="HideTWBExt"/>
        </w:rPr>
        <w:t>&lt;/CommissionInt&gt;</w:t>
      </w:r>
    </w:p>
    <w:p w:rsidR="00AF0131" w:rsidRPr="00BE53BD" w:rsidRDefault="00C21BA3" w:rsidP="00AF0131">
      <w:pPr>
        <w:pStyle w:val="CoverNormal"/>
      </w:pPr>
      <w:r w:rsidRPr="00BE53BD">
        <w:rPr>
          <w:rStyle w:val="HideTWBExt"/>
        </w:rPr>
        <w:t>&lt;Titre&gt;</w:t>
      </w:r>
      <w:r w:rsidRPr="00BE53BD">
        <w:t>относно предложението за регламент на Европейския парламент и на Съвета относно ефективната координа</w:t>
      </w:r>
      <w:r w:rsidRPr="00BE53BD">
        <w:t>ция на икономическите политики и многостранния бюджетен надзор и за отмяна на Регламент (ЕО) № 1466/97 на Съвета</w:t>
      </w:r>
      <w:r w:rsidRPr="00BE53BD">
        <w:rPr>
          <w:rStyle w:val="HideTWBExt"/>
        </w:rPr>
        <w:t>&lt;/Titre&gt;</w:t>
      </w:r>
    </w:p>
    <w:p w:rsidR="00AF0131" w:rsidRPr="00BE53BD" w:rsidRDefault="00C21BA3" w:rsidP="00AF0131">
      <w:pPr>
        <w:pStyle w:val="CoverNormal24a"/>
      </w:pPr>
      <w:r w:rsidRPr="00BE53BD">
        <w:rPr>
          <w:rStyle w:val="HideTWBExt"/>
        </w:rPr>
        <w:t>&lt;DocRef&gt;</w:t>
      </w:r>
      <w:r w:rsidRPr="00BE53BD">
        <w:t>(COM(2023)0240 – C9</w:t>
      </w:r>
      <w:r w:rsidRPr="00BE53BD">
        <w:noBreakHyphen/>
        <w:t>0150/2023 – 2023/0138(COD))</w:t>
      </w:r>
      <w:r w:rsidRPr="00BE53BD">
        <w:rPr>
          <w:rStyle w:val="HideTWBExt"/>
        </w:rPr>
        <w:t>&lt;/DocRef&gt;</w:t>
      </w:r>
    </w:p>
    <w:p w:rsidR="00AF0131" w:rsidRPr="00BE53BD" w:rsidRDefault="00C21BA3" w:rsidP="00AF0131">
      <w:pPr>
        <w:pStyle w:val="CoverNormal24a"/>
      </w:pPr>
      <w:r w:rsidRPr="00BE53BD">
        <w:t xml:space="preserve">Докладчик по становище </w:t>
      </w:r>
      <w:r w:rsidRPr="00BE53BD">
        <w:rPr>
          <w:snapToGrid w:val="0"/>
        </w:rPr>
        <w:t>(*)</w:t>
      </w:r>
      <w:r w:rsidRPr="00BE53BD">
        <w:t xml:space="preserve">: </w:t>
      </w:r>
      <w:r w:rsidRPr="00BE53BD">
        <w:rPr>
          <w:rStyle w:val="HideTWBExt"/>
        </w:rPr>
        <w:t>&lt;Depute&gt;</w:t>
      </w:r>
      <w:r w:rsidRPr="00BE53BD">
        <w:t>Габриеле Бишоф</w:t>
      </w:r>
      <w:r w:rsidRPr="00BE53BD">
        <w:rPr>
          <w:rStyle w:val="HideTWBExt"/>
        </w:rPr>
        <w:t>&lt;/Depute&gt;</w:t>
      </w:r>
    </w:p>
    <w:p w:rsidR="00AF0131" w:rsidRPr="00BE53BD" w:rsidRDefault="00C21BA3" w:rsidP="00AF0131">
      <w:pPr>
        <w:pStyle w:val="CoverNormal"/>
        <w:rPr>
          <w:snapToGrid w:val="0"/>
          <w:szCs w:val="24"/>
        </w:rPr>
      </w:pPr>
      <w:r w:rsidRPr="00BE53BD">
        <w:rPr>
          <w:snapToGrid w:val="0"/>
        </w:rPr>
        <w:t xml:space="preserve">(*) </w:t>
      </w:r>
      <w:r w:rsidRPr="00BE53BD">
        <w:rPr>
          <w:snapToGrid w:val="0"/>
        </w:rPr>
        <w:t>Процедура с асоциирана комисия – член 57 от Правилника за дейността</w:t>
      </w:r>
    </w:p>
    <w:p w:rsidR="00AF0131" w:rsidRPr="00BE53BD" w:rsidRDefault="00AF0131" w:rsidP="00AF0131">
      <w:pPr>
        <w:pStyle w:val="CoverNormal"/>
        <w:rPr>
          <w:snapToGrid w:val="0"/>
          <w:szCs w:val="24"/>
        </w:rPr>
      </w:pPr>
    </w:p>
    <w:p w:rsidR="00AF0131" w:rsidRPr="00BE53BD" w:rsidRDefault="00AF0131" w:rsidP="00AF0131">
      <w:pPr>
        <w:pStyle w:val="CoverNormal"/>
        <w:rPr>
          <w:snapToGrid w:val="0"/>
          <w:szCs w:val="24"/>
        </w:rPr>
      </w:pPr>
    </w:p>
    <w:p w:rsidR="00AF0131" w:rsidRPr="00BE53BD" w:rsidRDefault="00AF0131" w:rsidP="00AF0131">
      <w:pPr>
        <w:pStyle w:val="CoverNormal"/>
        <w:rPr>
          <w:snapToGrid w:val="0"/>
          <w:szCs w:val="24"/>
        </w:rPr>
      </w:pPr>
    </w:p>
    <w:p w:rsidR="00AF0131" w:rsidRPr="00BE53BD" w:rsidRDefault="00AF0131" w:rsidP="00AF0131">
      <w:pPr>
        <w:pStyle w:val="CoverNormal"/>
        <w:rPr>
          <w:snapToGrid w:val="0"/>
          <w:szCs w:val="24"/>
        </w:rPr>
      </w:pPr>
    </w:p>
    <w:p w:rsidR="00AF0131" w:rsidRPr="00BE53BD" w:rsidRDefault="00C21BA3" w:rsidP="00AF0131">
      <w:pPr>
        <w:tabs>
          <w:tab w:val="center" w:pos="4677"/>
        </w:tabs>
      </w:pPr>
      <w:r w:rsidRPr="00BE53BD">
        <w:br w:type="page"/>
      </w:r>
      <w:r w:rsidRPr="00BE53BD">
        <w:lastRenderedPageBreak/>
        <w:t>PA_Legam</w:t>
      </w:r>
    </w:p>
    <w:p w:rsidR="00AF0131" w:rsidRPr="00BE53BD" w:rsidRDefault="00C21BA3" w:rsidP="00C56375">
      <w:pPr>
        <w:pStyle w:val="PageHeadingNotTOC"/>
      </w:pPr>
      <w:r w:rsidRPr="00BE53BD">
        <w:br w:type="page"/>
      </w:r>
      <w:r w:rsidRPr="00BE53BD">
        <w:lastRenderedPageBreak/>
        <w:t>ИЗМЕНЕНИЯ</w:t>
      </w:r>
    </w:p>
    <w:p w:rsidR="00AF0131" w:rsidRPr="00BE53BD" w:rsidRDefault="00C21BA3" w:rsidP="00AF0131">
      <w:pPr>
        <w:pStyle w:val="Normal12a"/>
      </w:pPr>
      <w:bookmarkStart w:id="0" w:name="IntroA"/>
      <w:r w:rsidRPr="00BE53BD">
        <w:t>Комисията по заетост и социални въпроси приканва водещата комисия по икономически и парични въпроси да вземе предвид следното:</w:t>
      </w:r>
    </w:p>
    <w:bookmarkEnd w:id="0"/>
    <w:p w:rsidR="00C21BA3" w:rsidRPr="00BE53BD" w:rsidRDefault="00C21BA3" w:rsidP="00C21BA3">
      <w:pPr>
        <w:pStyle w:val="AmNumberTabs"/>
      </w:pPr>
      <w:r w:rsidRPr="00BE53BD">
        <w:rPr>
          <w:rStyle w:val="HideTWBExt"/>
        </w:rPr>
        <w:t>&lt;</w:t>
      </w:r>
      <w:bookmarkStart w:id="1" w:name="_GoBack"/>
      <w:bookmarkEnd w:id="1"/>
      <w:r w:rsidRPr="00BE53BD">
        <w:rPr>
          <w:rStyle w:val="HideTWBExt"/>
        </w:rPr>
        <w:t>RepeatBlock-Amend</w:t>
      </w:r>
      <w:r w:rsidRPr="00BE53BD">
        <w:rPr>
          <w:rStyle w:val="HideTWBExt"/>
          <w:b w:val="0"/>
        </w:rPr>
        <w:t>&gt;&lt;Amend&gt;</w:t>
      </w:r>
      <w:r w:rsidRPr="00BE53BD">
        <w:t>Изменение</w:t>
      </w:r>
      <w:r w:rsidRPr="00BE53BD">
        <w:tab/>
      </w:r>
      <w:r w:rsidRPr="00BE53BD">
        <w:tab/>
      </w:r>
      <w:r w:rsidRPr="00BE53BD">
        <w:rPr>
          <w:rStyle w:val="HideTWBExt"/>
          <w:b w:val="0"/>
        </w:rPr>
        <w:t>&lt;NumAm&gt;</w:t>
      </w:r>
      <w:r>
        <w:t>1</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2</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(2)</w:t>
            </w:r>
            <w:r w:rsidRPr="00BE53BD">
              <w:tab/>
              <w:t>Пактът за стабилност и растеж (ПСР), който първоначално се състоеше от Регламент (ЕО) № 1466/97 на Съвета</w:t>
            </w:r>
            <w:r w:rsidRPr="00BE53BD">
              <w:rPr>
                <w:vertAlign w:val="superscript"/>
              </w:rPr>
              <w:t>19</w:t>
            </w:r>
            <w:r w:rsidRPr="00BE53BD">
              <w:t xml:space="preserve">, </w:t>
            </w:r>
            <w:r w:rsidRPr="00BE53BD">
              <w:t>Регламент (ЕО) № 1467/97 на Съвета от 7 юли 1997 г.</w:t>
            </w:r>
            <w:r w:rsidRPr="00BE53BD">
              <w:rPr>
                <w:vertAlign w:val="superscript"/>
              </w:rPr>
              <w:t>20</w:t>
            </w:r>
            <w:r w:rsidRPr="00BE53BD">
              <w:t xml:space="preserve"> и Резолюцията на Европейския съвет от 17 юни 1997 г. относно Пакта за стабилност и растеж</w:t>
            </w:r>
            <w:r w:rsidRPr="00BE53BD">
              <w:rPr>
                <w:vertAlign w:val="superscript"/>
              </w:rPr>
              <w:t>21</w:t>
            </w:r>
            <w:r w:rsidRPr="00BE53BD">
              <w:t>, се основава на целта за стабилни и устойчиви държавни финанси като средство за укрепване на условията за цено</w:t>
            </w:r>
            <w:r w:rsidRPr="00BE53BD">
              <w:t xml:space="preserve">ва стабилност и за силен, устойчив растеж, подкрепен от финансова стабилност, като по този начин се подпомага постигането на целите на Съюза за устойчив и приобщаващ растеж </w:t>
            </w:r>
            <w:r w:rsidRPr="00BE53BD">
              <w:rPr>
                <w:b/>
                <w:i/>
              </w:rPr>
              <w:t>и</w:t>
            </w:r>
            <w:r w:rsidRPr="00BE53BD">
              <w:t xml:space="preserve"> заетост.</w:t>
            </w:r>
          </w:p>
        </w:tc>
        <w:tc>
          <w:tcPr>
            <w:tcW w:w="4876" w:type="dxa"/>
            <w:hideMark/>
          </w:tcPr>
          <w:p w:rsidR="00AF0131" w:rsidRPr="00BE53BD" w:rsidRDefault="00C21BA3" w:rsidP="00C33FBD">
            <w:pPr>
              <w:pStyle w:val="Normal6"/>
              <w:rPr>
                <w:szCs w:val="24"/>
              </w:rPr>
            </w:pPr>
            <w:r w:rsidRPr="00BE53BD">
              <w:t>(2)</w:t>
            </w:r>
            <w:r w:rsidRPr="00BE53BD">
              <w:tab/>
              <w:t xml:space="preserve">Пактът за стабилност и растеж (ПСР), който първоначално се състоеше </w:t>
            </w:r>
            <w:r w:rsidRPr="00BE53BD">
              <w:t>от Регламент (ЕО) № 1466/97 на Съвета</w:t>
            </w:r>
            <w:r w:rsidRPr="00BE53BD">
              <w:rPr>
                <w:vertAlign w:val="superscript"/>
              </w:rPr>
              <w:t>19</w:t>
            </w:r>
            <w:r w:rsidRPr="00BE53BD">
              <w:t>, Регламент (ЕО) № 1467/97 на Съвета от 7 юли 1997 г.</w:t>
            </w:r>
            <w:r w:rsidRPr="00BE53BD">
              <w:rPr>
                <w:vertAlign w:val="superscript"/>
              </w:rPr>
              <w:t>20</w:t>
            </w:r>
            <w:r w:rsidRPr="00BE53BD">
              <w:t xml:space="preserve"> и Резолюцията на Европейския съвет от 17 юни 1997 г. относно Пакта за стабилност и растеж</w:t>
            </w:r>
            <w:r w:rsidRPr="00BE53BD">
              <w:rPr>
                <w:vertAlign w:val="superscript"/>
              </w:rPr>
              <w:t>21</w:t>
            </w:r>
            <w:r w:rsidRPr="00BE53BD">
              <w:t>, се основава на целта за стабилни и устойчиви държавни финанси като с</w:t>
            </w:r>
            <w:r w:rsidRPr="00BE53BD">
              <w:t xml:space="preserve">редство за укрепване на условията за ценова стабилност и за силен, устойчив растеж, </w:t>
            </w:r>
            <w:r w:rsidRPr="00BE53BD">
              <w:rPr>
                <w:b/>
                <w:i/>
              </w:rPr>
              <w:t>който води до създаване на заетост и е</w:t>
            </w:r>
            <w:r w:rsidRPr="00BE53BD">
              <w:t xml:space="preserve"> подкрепен от финансова стабилност, като по този начин се подпомага постигането на целите на Съюза за устойчив и приобщаващ растеж</w:t>
            </w:r>
            <w:r w:rsidRPr="00BE53BD">
              <w:rPr>
                <w:b/>
                <w:i/>
              </w:rPr>
              <w:t>, на</w:t>
            </w:r>
            <w:r w:rsidRPr="00BE53BD">
              <w:rPr>
                <w:b/>
                <w:i/>
              </w:rPr>
              <w:t>сочен към пълна</w:t>
            </w:r>
            <w:r w:rsidRPr="00BE53BD">
              <w:t xml:space="preserve"> заетост </w:t>
            </w:r>
            <w:r w:rsidRPr="00BE53BD">
              <w:rPr>
                <w:b/>
                <w:i/>
              </w:rPr>
              <w:t>и социален напредък</w:t>
            </w:r>
            <w:r w:rsidRPr="00BE53BD">
              <w:t>.</w:t>
            </w:r>
          </w:p>
        </w:tc>
      </w:tr>
      <w:tr w:rsidR="004A39FD" w:rsidRPr="00BE53BD" w:rsidTr="00C33FBD">
        <w:trPr>
          <w:jc w:val="center"/>
        </w:trPr>
        <w:tc>
          <w:tcPr>
            <w:tcW w:w="4876" w:type="dxa"/>
            <w:hideMark/>
          </w:tcPr>
          <w:p w:rsidR="00AF0131" w:rsidRPr="00BE53BD" w:rsidRDefault="00C21BA3" w:rsidP="00C33FBD">
            <w:pPr>
              <w:pStyle w:val="Normal6"/>
            </w:pPr>
            <w:r w:rsidRPr="00BE53BD">
              <w:t>__________________</w:t>
            </w:r>
          </w:p>
        </w:tc>
        <w:tc>
          <w:tcPr>
            <w:tcW w:w="4876" w:type="dxa"/>
            <w:hideMark/>
          </w:tcPr>
          <w:p w:rsidR="00AF0131" w:rsidRPr="00BE53BD" w:rsidRDefault="00C21BA3" w:rsidP="00C33FBD">
            <w:pPr>
              <w:pStyle w:val="Normal6"/>
              <w:rPr>
                <w:szCs w:val="24"/>
              </w:rPr>
            </w:pPr>
            <w:r w:rsidRPr="00BE53BD">
              <w:t>__________________</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19</w:t>
            </w:r>
            <w:r w:rsidRPr="00BE53BD">
              <w:t xml:space="preserve"> Регламент (ЕО) № 1466/97 на Съвета от 7 юли 1997 г. за засилване на надзора върху състоянието на бюджета и на надзора и координацията на икономическите политики (ОВ L 2</w:t>
            </w:r>
            <w:r w:rsidRPr="00BE53BD">
              <w:t>09, 2.8.1997 г., стр. 1).</w:t>
            </w:r>
          </w:p>
        </w:tc>
        <w:tc>
          <w:tcPr>
            <w:tcW w:w="4876" w:type="dxa"/>
            <w:hideMark/>
          </w:tcPr>
          <w:p w:rsidR="00AF0131" w:rsidRPr="00BE53BD" w:rsidRDefault="00C21BA3" w:rsidP="00C33FBD">
            <w:pPr>
              <w:pStyle w:val="Normal6"/>
              <w:rPr>
                <w:szCs w:val="24"/>
              </w:rPr>
            </w:pPr>
            <w:r w:rsidRPr="00BE53BD">
              <w:rPr>
                <w:vertAlign w:val="superscript"/>
              </w:rPr>
              <w:t>19</w:t>
            </w:r>
            <w:r w:rsidRPr="00BE53BD">
              <w:t xml:space="preserve"> Регламент (ЕО) № 1466/97 на Съвета от 7 юли 1997 г. за засилване на надзора върху състоянието на бюджета и на надзора и координацията на икономическите политики (ОВ L 209, 2.8.1997 г., стр. 1).</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20</w:t>
            </w:r>
            <w:r w:rsidRPr="00BE53BD">
              <w:t xml:space="preserve"> Регламент (ЕО) № 1467/97 на С</w:t>
            </w:r>
            <w:r w:rsidRPr="00BE53BD">
              <w:t>ъвета от 7 юли 1997 г. за определяне и изясняване на прилагането на процедурата при прекомерен дефицит (ОВ L 209, 2.8.1997 г., стp. 6).</w:t>
            </w:r>
          </w:p>
        </w:tc>
        <w:tc>
          <w:tcPr>
            <w:tcW w:w="4876" w:type="dxa"/>
            <w:hideMark/>
          </w:tcPr>
          <w:p w:rsidR="00AF0131" w:rsidRPr="00BE53BD" w:rsidRDefault="00C21BA3" w:rsidP="00C33FBD">
            <w:pPr>
              <w:pStyle w:val="Normal6"/>
              <w:rPr>
                <w:szCs w:val="24"/>
              </w:rPr>
            </w:pPr>
            <w:r w:rsidRPr="00BE53BD">
              <w:rPr>
                <w:vertAlign w:val="superscript"/>
              </w:rPr>
              <w:t>20</w:t>
            </w:r>
            <w:r w:rsidRPr="00BE53BD">
              <w:t xml:space="preserve"> Регламент (ЕО) № 1467/97 на Съвета от 7 юли 1997 г. за определяне и изясняване на прилагането на процедурата при прек</w:t>
            </w:r>
            <w:r w:rsidRPr="00BE53BD">
              <w:t>омерен дефицит (ОВ L 209, 2.8.1997 г., стp. 6).</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21</w:t>
            </w:r>
            <w:r w:rsidRPr="00BE53BD">
              <w:t xml:space="preserve"> Резолюция на Европейския съвет относно Пакта за стабилност и растеж, Амстердам, 17 юни 1997 г. (ОВ C 236, 2.8.1997 г., стр. 1).</w:t>
            </w:r>
          </w:p>
        </w:tc>
        <w:tc>
          <w:tcPr>
            <w:tcW w:w="4876" w:type="dxa"/>
            <w:hideMark/>
          </w:tcPr>
          <w:p w:rsidR="00AF0131" w:rsidRPr="00BE53BD" w:rsidRDefault="00C21BA3" w:rsidP="00C33FBD">
            <w:pPr>
              <w:pStyle w:val="Normal6"/>
              <w:rPr>
                <w:szCs w:val="24"/>
              </w:rPr>
            </w:pPr>
            <w:r w:rsidRPr="00BE53BD">
              <w:rPr>
                <w:vertAlign w:val="superscript"/>
              </w:rPr>
              <w:t>21</w:t>
            </w:r>
            <w:r w:rsidRPr="00BE53BD">
              <w:t xml:space="preserve"> Резолюция на Европейския съвет относно Пакта за стабилност и растеж, Амст</w:t>
            </w:r>
            <w:r w:rsidRPr="00BE53BD">
              <w:t>ердам, 17 юни 1997 г. (ОВ C 236, 2.8.1997 г., стр. 1).</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5</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(5)</w:t>
            </w:r>
            <w:r w:rsidRPr="00BE53BD">
              <w:tab/>
              <w:t xml:space="preserve">Рамката за икономическо </w:t>
            </w:r>
            <w:r w:rsidRPr="00BE53BD">
              <w:t>управление на Съюза следва да бъде адаптирана, за да отчита в по-голяма степен нарастващата разнородност на фискалните позиции, предизвикателствата пред публичния дълг и други уязвимости в държавите членки. Силният политически отговор на пандемията от COVI</w:t>
            </w:r>
            <w:r w:rsidRPr="00BE53BD">
              <w:t>D-19 се оказа силно ефективен за смекчаване на икономическите и социалните щети от кризата, но кризата доведе до значително увеличаване на съотношенията на дълга към БВП на публичния и частния сектор, като подчерта значението на намаляването на съотношения</w:t>
            </w:r>
            <w:r w:rsidRPr="00BE53BD">
              <w:t xml:space="preserve">та на дълга до разумни равнища по постепенен, устойчив </w:t>
            </w:r>
            <w:r w:rsidRPr="00BE53BD">
              <w:rPr>
                <w:b/>
                <w:i/>
              </w:rPr>
              <w:t>и</w:t>
            </w:r>
            <w:r w:rsidRPr="00BE53BD">
              <w:t xml:space="preserve"> благоприятстващ растежа начин и </w:t>
            </w:r>
            <w:r w:rsidRPr="00BE53BD">
              <w:rPr>
                <w:b/>
                <w:i/>
              </w:rPr>
              <w:t>преодоляване</w:t>
            </w:r>
            <w:r w:rsidRPr="00BE53BD">
              <w:t xml:space="preserve"> на макроикономическите дисбаланси, като </w:t>
            </w:r>
            <w:r w:rsidRPr="00BE53BD">
              <w:rPr>
                <w:b/>
                <w:bCs/>
                <w:i/>
                <w:iCs/>
              </w:rPr>
              <w:t>същевременно</w:t>
            </w:r>
            <w:r w:rsidRPr="00BE53BD">
              <w:t xml:space="preserve"> се обръща дължимото внимание на целите в областта на </w:t>
            </w:r>
            <w:r w:rsidRPr="00BE53BD">
              <w:rPr>
                <w:b/>
                <w:i/>
              </w:rPr>
              <w:t>заетостта</w:t>
            </w:r>
            <w:r w:rsidRPr="00BE53BD">
              <w:t xml:space="preserve"> и социалните цели. Същевременно рамкат</w:t>
            </w:r>
            <w:r w:rsidRPr="00BE53BD">
              <w:t>а за икономическо управление на Съюза следва да бъде адаптирана, за да спомогне за справяне със средносрочните и дългосрочните предизвикателства, пред които е изправен Съюзът, включително постигането на справедлив цифров и екологичен преход, в това число Е</w:t>
            </w:r>
            <w:r w:rsidRPr="00BE53BD">
              <w:t>вропейския закон за климата</w:t>
            </w:r>
            <w:r w:rsidRPr="00BE53BD">
              <w:rPr>
                <w:vertAlign w:val="superscript"/>
              </w:rPr>
              <w:t>22</w:t>
            </w:r>
            <w:r w:rsidRPr="00BE53BD">
              <w:t>, гарантирането на енергийна сигурност, отворена стратегическа автономност, справяне с демографските промени, засилване на социалната и икономическата устойчивост, и изпълнението на Стратегическия компас за сигурност и отбрана,</w:t>
            </w:r>
            <w:r w:rsidRPr="00BE53BD">
              <w:t xml:space="preserve"> като за всички тях са необходими реформи и устойчиви високи равнища на инвестиции през следващите години.</w:t>
            </w:r>
          </w:p>
        </w:tc>
        <w:tc>
          <w:tcPr>
            <w:tcW w:w="4876" w:type="dxa"/>
            <w:hideMark/>
          </w:tcPr>
          <w:p w:rsidR="00AF0131" w:rsidRPr="00BE53BD" w:rsidRDefault="00C21BA3" w:rsidP="00C33FBD">
            <w:pPr>
              <w:pStyle w:val="Normal6"/>
              <w:rPr>
                <w:szCs w:val="24"/>
              </w:rPr>
            </w:pPr>
            <w:r w:rsidRPr="00BE53BD">
              <w:t>(5)</w:t>
            </w:r>
            <w:r w:rsidRPr="00BE53BD">
              <w:tab/>
              <w:t>Рамката за икономическо управление на Съюза следва да бъде адаптирана, за да отчита в по-голяма степен нарастващата разнородност на фискалните по</w:t>
            </w:r>
            <w:r w:rsidRPr="00BE53BD">
              <w:t>зиции, предизвикателствата пред публичния дълг и други уязвимости в държавите членки. Силният политически отговор на пандемията от COVID-19 се оказа много ефективен за смекчаване на икономическите и социалните щети от кризата, но кризата доведе до значител</w:t>
            </w:r>
            <w:r w:rsidRPr="00BE53BD">
              <w:t>но увеличаване на съотношенията на дълга към БВП на публичния и частния сектор, като подчерта значението на намаляването на съотношенията на дълга до разумни равнища по постепенен, устойчив</w:t>
            </w:r>
            <w:r w:rsidRPr="00BE53BD">
              <w:rPr>
                <w:b/>
                <w:i/>
              </w:rPr>
              <w:t>,</w:t>
            </w:r>
            <w:r w:rsidRPr="00BE53BD">
              <w:t xml:space="preserve"> благоприятстващ растежа </w:t>
            </w:r>
            <w:r w:rsidRPr="00BE53BD">
              <w:rPr>
                <w:b/>
                <w:i/>
              </w:rPr>
              <w:t>и приобщаващ</w:t>
            </w:r>
            <w:r w:rsidRPr="00BE53BD">
              <w:t xml:space="preserve"> начин и </w:t>
            </w:r>
            <w:r w:rsidRPr="00BE53BD">
              <w:rPr>
                <w:b/>
                <w:i/>
              </w:rPr>
              <w:t>преодоляването</w:t>
            </w:r>
            <w:r w:rsidRPr="00BE53BD">
              <w:t xml:space="preserve"> на ма</w:t>
            </w:r>
            <w:r w:rsidRPr="00BE53BD">
              <w:t>кроикономическите дисбаланси</w:t>
            </w:r>
            <w:r w:rsidRPr="00BE53BD">
              <w:rPr>
                <w:b/>
                <w:i/>
              </w:rPr>
              <w:t>, както</w:t>
            </w:r>
            <w:r w:rsidRPr="00BE53BD">
              <w:t xml:space="preserve"> </w:t>
            </w:r>
            <w:r w:rsidRPr="00BE53BD">
              <w:rPr>
                <w:b/>
                <w:i/>
              </w:rPr>
              <w:t>и предоставянето на подкрепа за възходяща социална конвергенция</w:t>
            </w:r>
            <w:r w:rsidRPr="00BE53BD">
              <w:t xml:space="preserve">, като се обръща дължимото внимание на целите в областта на </w:t>
            </w:r>
            <w:r w:rsidRPr="00BE53BD">
              <w:rPr>
                <w:b/>
                <w:i/>
              </w:rPr>
              <w:t>качествената заетост</w:t>
            </w:r>
            <w:r w:rsidRPr="00BE53BD">
              <w:t xml:space="preserve"> и социалните цели. Същевременно рамката за икономическо управление на Съюза </w:t>
            </w:r>
            <w:r w:rsidRPr="00BE53BD">
              <w:t>следва да бъде адаптирана, за да спомогне за справяне със средносрочните и дългосрочните предизвикателства, пред които е изправен Съюзът, включително постигането на справедлив цифров и екологичен преход, в това число Европейския закон за климата</w:t>
            </w:r>
            <w:r w:rsidRPr="00BE53BD">
              <w:rPr>
                <w:vertAlign w:val="superscript"/>
              </w:rPr>
              <w:t>22</w:t>
            </w:r>
            <w:r w:rsidRPr="00BE53BD">
              <w:t xml:space="preserve"> </w:t>
            </w:r>
            <w:r w:rsidRPr="00BE53BD">
              <w:rPr>
                <w:b/>
                <w:i/>
              </w:rPr>
              <w:t>и прилаг</w:t>
            </w:r>
            <w:r w:rsidRPr="00BE53BD">
              <w:rPr>
                <w:b/>
                <w:i/>
              </w:rPr>
              <w:t>ането на Европейския стълб на социалните права</w:t>
            </w:r>
            <w:r w:rsidRPr="00BE53BD">
              <w:t xml:space="preserve">, гарантирането на енергийна сигурност, отворена стратегическа автономност, справяне с демографските промени, засилване на социалната и икономическата устойчивост, </w:t>
            </w:r>
            <w:r w:rsidRPr="00BE53BD">
              <w:rPr>
                <w:b/>
                <w:i/>
              </w:rPr>
              <w:t>включително посредством засилване на социалнит</w:t>
            </w:r>
            <w:r w:rsidRPr="00BE53BD">
              <w:rPr>
                <w:b/>
                <w:i/>
              </w:rPr>
              <w:t>е инвестиции,</w:t>
            </w:r>
            <w:r w:rsidRPr="00BE53BD">
              <w:t xml:space="preserve"> и изпълнението на Стратегическия компас за сигурност и отбрана, като за всички тях са необходими реформи и устойчиви високи равнища на инвестиции през следващите години.</w:t>
            </w:r>
          </w:p>
        </w:tc>
      </w:tr>
      <w:tr w:rsidR="004A39FD" w:rsidRPr="00BE53BD" w:rsidTr="00C33FBD">
        <w:trPr>
          <w:jc w:val="center"/>
        </w:trPr>
        <w:tc>
          <w:tcPr>
            <w:tcW w:w="4876" w:type="dxa"/>
            <w:hideMark/>
          </w:tcPr>
          <w:p w:rsidR="00AF0131" w:rsidRPr="00BE53BD" w:rsidRDefault="00C21BA3" w:rsidP="00C33FBD">
            <w:pPr>
              <w:pStyle w:val="Normal6"/>
            </w:pPr>
            <w:r w:rsidRPr="00BE53BD">
              <w:t>__________________</w:t>
            </w:r>
          </w:p>
        </w:tc>
        <w:tc>
          <w:tcPr>
            <w:tcW w:w="4876" w:type="dxa"/>
            <w:hideMark/>
          </w:tcPr>
          <w:p w:rsidR="00AF0131" w:rsidRPr="00BE53BD" w:rsidRDefault="00C21BA3" w:rsidP="00C33FBD">
            <w:pPr>
              <w:pStyle w:val="Normal6"/>
              <w:rPr>
                <w:szCs w:val="24"/>
              </w:rPr>
            </w:pPr>
            <w:r w:rsidRPr="00BE53BD">
              <w:t>__________________</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22</w:t>
            </w:r>
            <w:r w:rsidRPr="00BE53BD">
              <w:t xml:space="preserve"> Европейският закон за климата определя цел за неутралност по отношение на климата в целия Съюз до 2050 г. и налага на институциите на Съюза и на държавите членки да постигнат напредък в повишаването на капацитета за адаптиране, което изисква значителни пу</w:t>
            </w:r>
            <w:r w:rsidRPr="00BE53BD">
              <w:t>блични инвестиции за намаляване на отрицателните социално-икономически последици от изменението на климата за ЕС и неговите държави членки, включително отрицателните въздействия върху растежа и фискалната устойчивост.</w:t>
            </w:r>
          </w:p>
        </w:tc>
        <w:tc>
          <w:tcPr>
            <w:tcW w:w="4876" w:type="dxa"/>
            <w:hideMark/>
          </w:tcPr>
          <w:p w:rsidR="00AF0131" w:rsidRPr="00BE53BD" w:rsidRDefault="00C21BA3" w:rsidP="00C33FBD">
            <w:pPr>
              <w:pStyle w:val="Normal6"/>
              <w:rPr>
                <w:szCs w:val="24"/>
              </w:rPr>
            </w:pPr>
            <w:r w:rsidRPr="00BE53BD">
              <w:rPr>
                <w:vertAlign w:val="superscript"/>
              </w:rPr>
              <w:t>22</w:t>
            </w:r>
            <w:r w:rsidRPr="00BE53BD">
              <w:t xml:space="preserve"> Европейският закон за климата опред</w:t>
            </w:r>
            <w:r w:rsidRPr="00BE53BD">
              <w:t>еля цел за неутралност по отношение на климата в целия Съюз до 2050 г. и налага на институциите на Съюза и на държавите членки да постигнат напредък в повишаването на капацитета за адаптиране, което изисква значителни публични инвестиции за намаляване на о</w:t>
            </w:r>
            <w:r w:rsidRPr="00BE53BD">
              <w:t>трицателните социално-икономически последици от изменението на климата за ЕС и неговите държави членки, включително отрицателните въздействия върху растежа и фискалната устойчивост.</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 xml:space="preserve">Предложение за </w:t>
      </w:r>
      <w:r w:rsidRPr="00BE53BD">
        <w:t>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7</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(7)</w:t>
            </w:r>
            <w:r w:rsidRPr="00BE53BD">
              <w:tab/>
              <w:t xml:space="preserve">С процедурата за многостранен надзор, установена в член 121, параграфи 2, 3 и 4 и член 148, параграф 4 от ДФЕС, следва да се следи в съответствие с </w:t>
            </w:r>
            <w:r w:rsidRPr="00BE53BD">
              <w:t>по-подробни правила целият спектър от икономически промени и промени в сферата на заетостта във всяка от държавите членки и в Съюза. Това включва откриване на макроикономически дисбаланси и предотвратяване и коригиране на прекомерните дисбаланси, както е п</w:t>
            </w:r>
            <w:r w:rsidRPr="00BE53BD">
              <w:t>осочено в регламенти (ЕС) № 1174/2011</w:t>
            </w:r>
            <w:r w:rsidRPr="00BE53BD">
              <w:rPr>
                <w:vertAlign w:val="superscript"/>
              </w:rPr>
              <w:t>23</w:t>
            </w:r>
            <w:r w:rsidRPr="00BE53BD">
              <w:t xml:space="preserve"> и (ЕС) № 1176/2011</w:t>
            </w:r>
            <w:r w:rsidRPr="00BE53BD">
              <w:rPr>
                <w:vertAlign w:val="superscript"/>
              </w:rPr>
              <w:t>24</w:t>
            </w:r>
            <w:r w:rsidRPr="00BE53BD">
              <w:t xml:space="preserve"> на Европейския парламент и на Съвета. За целите на наблюдението на тези икономически промени и промени в сферата на заетостта държавите членки следва да представят информация под формата на средн</w:t>
            </w:r>
            <w:r w:rsidRPr="00BE53BD">
              <w:t>осрочни структурни планове във фискалната област.</w:t>
            </w:r>
          </w:p>
        </w:tc>
        <w:tc>
          <w:tcPr>
            <w:tcW w:w="4876" w:type="dxa"/>
            <w:hideMark/>
          </w:tcPr>
          <w:p w:rsidR="00AF0131" w:rsidRPr="00BE53BD" w:rsidRDefault="00C21BA3" w:rsidP="00C33FBD">
            <w:pPr>
              <w:pStyle w:val="Normal6"/>
              <w:rPr>
                <w:szCs w:val="24"/>
              </w:rPr>
            </w:pPr>
            <w:r w:rsidRPr="00BE53BD">
              <w:t>(7)</w:t>
            </w:r>
            <w:r w:rsidRPr="00BE53BD">
              <w:tab/>
              <w:t xml:space="preserve">С процедурата за многостранен надзор, установена в член 121, параграфи 2, 3 и 4 и член 148, параграф 4 от ДФЕС, следва да се следи в съответствие с по-подробни правила целият спектър от икономически </w:t>
            </w:r>
            <w:r w:rsidRPr="00BE53BD">
              <w:rPr>
                <w:b/>
                <w:i/>
              </w:rPr>
              <w:t>и с</w:t>
            </w:r>
            <w:r w:rsidRPr="00BE53BD">
              <w:rPr>
                <w:b/>
                <w:i/>
              </w:rPr>
              <w:t>ъответни социални</w:t>
            </w:r>
            <w:r w:rsidRPr="00BE53BD">
              <w:t xml:space="preserve"> промени и промени в сферата на заетостта във всяка от държавите членки и в Съюза</w:t>
            </w:r>
            <w:r w:rsidRPr="00BE53BD">
              <w:rPr>
                <w:b/>
                <w:i/>
              </w:rPr>
              <w:t>, свързани с водещите цели, включително напредък по отношение на постигането на националните цели, и техните основни и вторични показатели от Европейския стъл</w:t>
            </w:r>
            <w:r w:rsidRPr="00BE53BD">
              <w:rPr>
                <w:b/>
                <w:i/>
              </w:rPr>
              <w:t>б на социалните права</w:t>
            </w:r>
            <w:r w:rsidRPr="00BE53BD">
              <w:t>. Това включва откриване на макроикономически дисбаланси и предотвратяване и коригиране на прекомерните дисбаланси, както е посочено в регламенти (ЕС) № 1174/2011</w:t>
            </w:r>
            <w:r w:rsidRPr="00BE53BD">
              <w:rPr>
                <w:vertAlign w:val="superscript"/>
              </w:rPr>
              <w:t>23</w:t>
            </w:r>
            <w:r w:rsidRPr="00BE53BD">
              <w:t xml:space="preserve"> и (ЕС) № 1176/2011</w:t>
            </w:r>
            <w:r w:rsidRPr="00BE53BD">
              <w:rPr>
                <w:vertAlign w:val="superscript"/>
              </w:rPr>
              <w:t>24</w:t>
            </w:r>
            <w:r w:rsidRPr="00BE53BD">
              <w:t xml:space="preserve"> на Европейския парламент и на Съвета. За целите н</w:t>
            </w:r>
            <w:r w:rsidRPr="00BE53BD">
              <w:t xml:space="preserve">а наблюдението на тези икономически промени и промени в сферата на заетостта </w:t>
            </w:r>
            <w:r w:rsidRPr="00BE53BD">
              <w:rPr>
                <w:b/>
                <w:i/>
              </w:rPr>
              <w:t>и на социалната конвергенция</w:t>
            </w:r>
            <w:r w:rsidRPr="00BE53BD">
              <w:t xml:space="preserve"> държавите членки следва да представят информация под формата на средносрочни структурни планове във фискалната област.</w:t>
            </w:r>
          </w:p>
        </w:tc>
      </w:tr>
      <w:tr w:rsidR="004A39FD" w:rsidRPr="00BE53BD" w:rsidTr="00C33FBD">
        <w:trPr>
          <w:jc w:val="center"/>
        </w:trPr>
        <w:tc>
          <w:tcPr>
            <w:tcW w:w="4876" w:type="dxa"/>
            <w:hideMark/>
          </w:tcPr>
          <w:p w:rsidR="00AF0131" w:rsidRPr="00BE53BD" w:rsidRDefault="00C21BA3" w:rsidP="00C33FBD">
            <w:pPr>
              <w:pStyle w:val="Normal6"/>
            </w:pPr>
            <w:r w:rsidRPr="00BE53BD">
              <w:t>__________________</w:t>
            </w:r>
          </w:p>
        </w:tc>
        <w:tc>
          <w:tcPr>
            <w:tcW w:w="4876" w:type="dxa"/>
            <w:hideMark/>
          </w:tcPr>
          <w:p w:rsidR="00AF0131" w:rsidRPr="00BE53BD" w:rsidRDefault="00C21BA3" w:rsidP="00C33FBD">
            <w:pPr>
              <w:pStyle w:val="Normal6"/>
              <w:rPr>
                <w:szCs w:val="24"/>
              </w:rPr>
            </w:pPr>
            <w:r w:rsidRPr="00BE53BD">
              <w:t>___________</w:t>
            </w:r>
            <w:r w:rsidRPr="00BE53BD">
              <w:t>_______</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23</w:t>
            </w:r>
            <w:r w:rsidRPr="00BE53BD">
              <w:t xml:space="preserve"> Регламент (ЕС) № 1174/2011 на Европейския парламент и на Съвета от 16 ноември 2011 г. относно принудителните мерки за коригиране на прекомерните макроикономически дисбаланси в еврозоната (ОВ L 306, 23.11.2011 г., стр. 8).</w:t>
            </w:r>
          </w:p>
        </w:tc>
        <w:tc>
          <w:tcPr>
            <w:tcW w:w="4876" w:type="dxa"/>
            <w:hideMark/>
          </w:tcPr>
          <w:p w:rsidR="00AF0131" w:rsidRPr="00BE53BD" w:rsidRDefault="00C21BA3" w:rsidP="00C33FBD">
            <w:pPr>
              <w:pStyle w:val="Normal6"/>
              <w:rPr>
                <w:szCs w:val="24"/>
              </w:rPr>
            </w:pPr>
            <w:r w:rsidRPr="00BE53BD">
              <w:rPr>
                <w:vertAlign w:val="superscript"/>
              </w:rPr>
              <w:t>23</w:t>
            </w:r>
            <w:r w:rsidRPr="00BE53BD">
              <w:t xml:space="preserve"> Регламент (ЕС) № 11</w:t>
            </w:r>
            <w:r w:rsidRPr="00BE53BD">
              <w:t>74/2011 на Европейския парламент и на Съвета от 16 ноември 2011 г. относно принудителните мерки за коригиране на прекомерните макроикономически дисбаланси в еврозоната (ОВ L 306, 23.11.2011 г., стр. 8).</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24</w:t>
            </w:r>
            <w:r w:rsidRPr="00BE53BD">
              <w:t xml:space="preserve"> Регламент (ЕС) № 1176/2011 на Европейския парламе</w:t>
            </w:r>
            <w:r w:rsidRPr="00BE53BD">
              <w:t>нт и на Съвета от 16 ноември 2011 г. относно предотвратяването и коригирането на макроикономическите дисбаланси (ОВ L 306, 23.11.2011 г., стp. 25).</w:t>
            </w:r>
          </w:p>
        </w:tc>
        <w:tc>
          <w:tcPr>
            <w:tcW w:w="4876" w:type="dxa"/>
            <w:hideMark/>
          </w:tcPr>
          <w:p w:rsidR="00AF0131" w:rsidRPr="00BE53BD" w:rsidRDefault="00C21BA3" w:rsidP="00C33FBD">
            <w:pPr>
              <w:pStyle w:val="Normal6"/>
              <w:rPr>
                <w:szCs w:val="24"/>
              </w:rPr>
            </w:pPr>
            <w:r w:rsidRPr="00BE53BD">
              <w:rPr>
                <w:vertAlign w:val="superscript"/>
              </w:rPr>
              <w:t>24</w:t>
            </w:r>
            <w:r w:rsidRPr="00BE53BD">
              <w:t xml:space="preserve"> Регламент (ЕС) № 1176/2011 на Европейския парламент и на Съвета от 16 ноември 2011 г. относно предотвратя</w:t>
            </w:r>
            <w:r w:rsidRPr="00BE53BD">
              <w:t>ването и коригирането на макроикономическите дисбаланси (ОВ L 306, 23.11.2011 г., стp. 25).</w:t>
            </w:r>
          </w:p>
        </w:tc>
      </w:tr>
    </w:tbl>
    <w:p w:rsidR="00AF0131" w:rsidRPr="00BE53BD" w:rsidRDefault="00C21BA3" w:rsidP="00C56375">
      <w:pPr>
        <w:rPr>
          <w:rStyle w:val="HideTWBExt"/>
          <w:rFonts w:eastAsiaTheme="majorEastAsia"/>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7a (ново)</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(7a)</w:t>
            </w:r>
            <w:r w:rsidRPr="00BE53BD">
              <w:rPr>
                <w:b/>
                <w:i/>
              </w:rPr>
              <w:tab/>
              <w:t>За да се насърчава възходяща социална конвергенция, процедурата за многостранен надзор, установена в член 148, параграф 4 от ДФЕС, се допълва със система за ранно предупреждение в рамките на европейския семестър (рамка за социална конверг</w:t>
            </w:r>
            <w:r w:rsidRPr="00BE53BD">
              <w:rPr>
                <w:b/>
                <w:i/>
              </w:rPr>
              <w:t>енция). В рамката за социална конвергенция Комисията – в съответствие с член 148 от ДФЕС – първо установява рисковете за възходящата конвергенция на държавите членки в съвместния доклад за заетостта въз основа на набора от водещи социални показатели. На вт</w:t>
            </w:r>
            <w:r w:rsidRPr="00BE53BD">
              <w:rPr>
                <w:b/>
                <w:i/>
              </w:rPr>
              <w:t>ория етап Комисията установява държавите членки, за които се изисква допълнително разглеждане, и публикува докладите за социална конвергенция за тези държави членки, за които са установени рискове за възходящата социална конвергенция. Специфичните за всяка</w:t>
            </w:r>
            <w:r w:rsidRPr="00BE53BD">
              <w:rPr>
                <w:b/>
                <w:i/>
              </w:rPr>
              <w:t xml:space="preserve"> държава заключения от действията за многостранен надзор съгласно новата рамка следва да предоставят информация за обсъжданията в Комисията относно предложенията за специфичните за всяка държава препоръки.</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5</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8</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(8)</w:t>
            </w:r>
            <w:r w:rsidRPr="00BE53BD">
              <w:tab/>
            </w:r>
            <w:r w:rsidRPr="00BE53BD">
              <w:t xml:space="preserve">Поради това следва да се определят подробни правила относно съдържанието, представянето, оценката и наблюдението на националните средносрочни структурни планове във фискалната област, за да се насърчат устойчивостта на обслужването на дълга </w:t>
            </w:r>
            <w:r w:rsidRPr="00BE53BD">
              <w:rPr>
                <w:b/>
                <w:i/>
              </w:rPr>
              <w:t>и</w:t>
            </w:r>
            <w:r w:rsidRPr="00BE53BD">
              <w:t xml:space="preserve"> устойчивият и</w:t>
            </w:r>
            <w:r w:rsidRPr="00BE53BD">
              <w:t xml:space="preserve"> приобщаващ растеж в държавите членки и да се предотврати възникването на прекомерен бюджетен дефицит посредством средносрочно планиране.</w:t>
            </w:r>
          </w:p>
        </w:tc>
        <w:tc>
          <w:tcPr>
            <w:tcW w:w="4876" w:type="dxa"/>
            <w:hideMark/>
          </w:tcPr>
          <w:p w:rsidR="00AF0131" w:rsidRPr="00BE53BD" w:rsidRDefault="00C21BA3" w:rsidP="00C33FBD">
            <w:pPr>
              <w:pStyle w:val="Normal6"/>
              <w:rPr>
                <w:szCs w:val="24"/>
              </w:rPr>
            </w:pPr>
            <w:r w:rsidRPr="00BE53BD">
              <w:t>(8)</w:t>
            </w:r>
            <w:r w:rsidRPr="00BE53BD">
              <w:tab/>
              <w:t>Поради това следва да се определят подробни правила относно съдържанието, представянето, оценката и наблюдението н</w:t>
            </w:r>
            <w:r w:rsidRPr="00BE53BD">
              <w:t>а националните средносрочни структурни планове във фискалната област, за да се насърчат устойчивостта на обслужването на дълга</w:t>
            </w:r>
            <w:r w:rsidRPr="00BE53BD">
              <w:rPr>
                <w:b/>
                <w:i/>
              </w:rPr>
              <w:t>,</w:t>
            </w:r>
            <w:r w:rsidRPr="00BE53BD">
              <w:t xml:space="preserve"> устойчивият и приобщаващ растеж </w:t>
            </w:r>
            <w:r w:rsidRPr="00BE53BD">
              <w:rPr>
                <w:b/>
                <w:i/>
              </w:rPr>
              <w:t>и възходящата социална конвергенция</w:t>
            </w:r>
            <w:r w:rsidRPr="00BE53BD">
              <w:t xml:space="preserve"> в държавите членки и да се предотврати възникването на преко</w:t>
            </w:r>
            <w:r w:rsidRPr="00BE53BD">
              <w:t>мерен бюджетен дефицит посредством средносрочно планиране.</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6</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9</w:t>
      </w:r>
      <w:r w:rsidRPr="00BE53B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(9)</w:t>
            </w:r>
            <w:r w:rsidRPr="00BE53BD">
              <w:tab/>
              <w:t>Националните средносрочни</w:t>
            </w:r>
            <w:r w:rsidRPr="00BE53BD">
              <w:t xml:space="preserve"> структурни планове във фискалната област следва да обединят фискалните ангажименти и ангажиментите за структурни реформи и инвестиции на всяка държава членка и следва да бъдат крайъгълният камък на рамката за икономическо управление на Съюза. Всяка държав</w:t>
            </w:r>
            <w:r w:rsidRPr="00BE53BD">
              <w:t>а членка следва да представи средносрочен план, в който са определени нейната фискална траектория, както и нейните ангажименти за приоритетни публични инвестиции и реформи, които заедно осигуряват устойчиво и постепенно намаляване на дълга и устойчив и при</w:t>
            </w:r>
            <w:r w:rsidRPr="00BE53BD">
              <w:t>общаващ растеж, като се избягва проциклична фискална политика, както и по-общи ангажименти за реформи и инвестиции, включително във връзка с екологичния и цифровия преход, социалната и икономическата устойчивост и прилагането на Европейския стълб на социал</w:t>
            </w:r>
            <w:r w:rsidRPr="00BE53BD">
              <w:t>ните права. През жизнения цикъл на Механизма за възстановяване и устойчивост</w:t>
            </w:r>
            <w:r w:rsidRPr="00BE53BD">
              <w:rPr>
                <w:vertAlign w:val="superscript"/>
              </w:rPr>
              <w:t>25</w:t>
            </w:r>
            <w:r w:rsidRPr="00BE53BD">
              <w:t xml:space="preserve"> следва да бъдат надлежно взети предвид ангажиментите, поети в националните планове за възстановяване и устойчивост.</w:t>
            </w:r>
          </w:p>
        </w:tc>
        <w:tc>
          <w:tcPr>
            <w:tcW w:w="4876" w:type="dxa"/>
            <w:hideMark/>
          </w:tcPr>
          <w:p w:rsidR="00AF0131" w:rsidRPr="00BE53BD" w:rsidRDefault="00C21BA3" w:rsidP="00C33FBD">
            <w:pPr>
              <w:pStyle w:val="Normal6"/>
              <w:rPr>
                <w:szCs w:val="24"/>
              </w:rPr>
            </w:pPr>
            <w:r w:rsidRPr="00BE53BD">
              <w:t>(9)</w:t>
            </w:r>
            <w:r w:rsidRPr="00BE53BD">
              <w:tab/>
              <w:t>Националните средносрочни структурни планове във фискална</w:t>
            </w:r>
            <w:r w:rsidRPr="00BE53BD">
              <w:t xml:space="preserve">та област следва да обединят фискалните ангажименти и ангажиментите за структурни реформи и инвестиции на всяка държава членка и следва да бъдат крайъгълният камък на рамката за икономическо </w:t>
            </w:r>
            <w:r w:rsidRPr="00BE53BD">
              <w:rPr>
                <w:b/>
                <w:i/>
              </w:rPr>
              <w:t>и социално</w:t>
            </w:r>
            <w:r w:rsidRPr="00BE53BD">
              <w:t xml:space="preserve"> управление на Съюза. Всяка държава членка следва да пр</w:t>
            </w:r>
            <w:r w:rsidRPr="00BE53BD">
              <w:t xml:space="preserve">едстави средносрочен план, в който са определени нейната фискална траектория, както и нейните ангажименти за приоритетни публични инвестиции и реформи, които заедно осигуряват устойчиво и постепенно намаляване на дълга и устойчив и приобщаващ растеж, като </w:t>
            </w:r>
            <w:r w:rsidRPr="00BE53BD">
              <w:t>се избягва проциклична фискална политика, както и по-общи ангажименти за реформи и инвестиции, включително във връзка с екологичния и цифровия преход, социалната и икономическата устойчивост и прилагането на Европейския стълб на социалните права</w:t>
            </w:r>
            <w:r w:rsidRPr="00BE53BD">
              <w:rPr>
                <w:b/>
                <w:i/>
              </w:rPr>
              <w:t>, включител</w:t>
            </w:r>
            <w:r w:rsidRPr="00BE53BD">
              <w:rPr>
                <w:b/>
                <w:i/>
              </w:rPr>
              <w:t>но свързаните цели в областта на заетостта, уменията и намаляването на бедността до 2030 г.</w:t>
            </w:r>
            <w:r w:rsidRPr="00BE53BD">
              <w:rPr>
                <w:b/>
                <w:i/>
                <w:vertAlign w:val="superscript"/>
              </w:rPr>
              <w:t>1а</w:t>
            </w:r>
            <w:r w:rsidRPr="00BE53BD">
              <w:t xml:space="preserve"> През жизнения цикъл на Механизма за възстановяване и устойчивост</w:t>
            </w:r>
            <w:r w:rsidRPr="00BE53BD">
              <w:rPr>
                <w:vertAlign w:val="superscript"/>
              </w:rPr>
              <w:t>25</w:t>
            </w:r>
            <w:r w:rsidRPr="00BE53BD">
              <w:t xml:space="preserve"> следва да бъдат надлежно взети предвид ангажиментите, поети в националните планове за възстанов</w:t>
            </w:r>
            <w:r w:rsidRPr="00BE53BD">
              <w:t>яване и устойчивост.</w:t>
            </w:r>
          </w:p>
        </w:tc>
      </w:tr>
      <w:tr w:rsidR="004A39FD" w:rsidRPr="00BE53BD" w:rsidTr="00C33FBD">
        <w:trPr>
          <w:jc w:val="center"/>
        </w:trPr>
        <w:tc>
          <w:tcPr>
            <w:tcW w:w="4876" w:type="dxa"/>
            <w:hideMark/>
          </w:tcPr>
          <w:p w:rsidR="00AF0131" w:rsidRPr="00BE53BD" w:rsidRDefault="00C21BA3" w:rsidP="00C33FBD">
            <w:pPr>
              <w:pStyle w:val="Normal6"/>
            </w:pPr>
            <w:r w:rsidRPr="00BE53BD">
              <w:t>__________________</w:t>
            </w:r>
          </w:p>
        </w:tc>
        <w:tc>
          <w:tcPr>
            <w:tcW w:w="4876" w:type="dxa"/>
            <w:hideMark/>
          </w:tcPr>
          <w:p w:rsidR="00AF0131" w:rsidRPr="00BE53BD" w:rsidRDefault="00C21BA3" w:rsidP="00C33FBD">
            <w:pPr>
              <w:pStyle w:val="Normal6"/>
              <w:rPr>
                <w:szCs w:val="24"/>
              </w:rPr>
            </w:pPr>
            <w:r w:rsidRPr="00BE53BD">
              <w:t>__________________</w:t>
            </w:r>
          </w:p>
        </w:tc>
      </w:tr>
      <w:tr w:rsidR="004A39FD" w:rsidRPr="00BE53BD" w:rsidTr="00C33FBD">
        <w:trPr>
          <w:jc w:val="center"/>
        </w:trPr>
        <w:tc>
          <w:tcPr>
            <w:tcW w:w="4876" w:type="dxa"/>
          </w:tcPr>
          <w:p w:rsidR="00AF0131" w:rsidRPr="00BE53BD" w:rsidRDefault="00AF0131" w:rsidP="00C33FBD">
            <w:pPr>
              <w:pStyle w:val="Normal6"/>
              <w:rPr>
                <w:vertAlign w:val="superscript"/>
              </w:rPr>
            </w:pPr>
          </w:p>
        </w:tc>
        <w:tc>
          <w:tcPr>
            <w:tcW w:w="4876" w:type="dxa"/>
          </w:tcPr>
          <w:p w:rsidR="00AF0131" w:rsidRPr="00BE53BD" w:rsidRDefault="00C21BA3" w:rsidP="00C33FBD">
            <w:pPr>
              <w:pStyle w:val="Normal6"/>
              <w:rPr>
                <w:vertAlign w:val="superscript"/>
              </w:rPr>
            </w:pPr>
            <w:r w:rsidRPr="00BE53BD">
              <w:rPr>
                <w:vertAlign w:val="superscript"/>
              </w:rPr>
              <w:t>25а</w:t>
            </w:r>
            <w:r w:rsidRPr="00BE53BD">
              <w:t xml:space="preserve"> </w:t>
            </w:r>
            <w:r w:rsidRPr="00BE53BD">
              <w:rPr>
                <w:b/>
                <w:i/>
              </w:rPr>
              <w:t>Съобщение на Комисията до Европейския парламент, Съвета, Европейския икономически и социален комитет и Комитета на регионите „План за действие на Европейския стълб на социалните права“ от 4 </w:t>
            </w:r>
            <w:r w:rsidRPr="00BE53BD">
              <w:rPr>
                <w:b/>
                <w:i/>
              </w:rPr>
              <w:t>март 2021 г. (COM(2021)0102).</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25</w:t>
            </w:r>
            <w:r w:rsidRPr="00BE53BD">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w:t>
            </w:r>
          </w:p>
        </w:tc>
        <w:tc>
          <w:tcPr>
            <w:tcW w:w="4876" w:type="dxa"/>
            <w:hideMark/>
          </w:tcPr>
          <w:p w:rsidR="00AF0131" w:rsidRPr="00BE53BD" w:rsidRDefault="00C21BA3" w:rsidP="00C33FBD">
            <w:pPr>
              <w:pStyle w:val="Normal6"/>
              <w:rPr>
                <w:szCs w:val="24"/>
              </w:rPr>
            </w:pPr>
            <w:r w:rsidRPr="00BE53BD">
              <w:rPr>
                <w:vertAlign w:val="superscript"/>
              </w:rPr>
              <w:t>25</w:t>
            </w:r>
            <w:r w:rsidRPr="00BE53BD">
              <w:t xml:space="preserve"> Регламент (ЕС) 2021/241 на Европейския парл</w:t>
            </w:r>
            <w:r w:rsidRPr="00BE53BD">
              <w:t>амент и на Съвета от 12 февруари 2021 г. за създаване на Механизъм за възстановяване и устойчивост (ОВ L 57, 18.2.2021 г., стр. 17).</w:t>
            </w:r>
          </w:p>
        </w:tc>
      </w:tr>
    </w:tbl>
    <w:p w:rsidR="002D23D0" w:rsidRPr="00BE53BD" w:rsidRDefault="00C21BA3" w:rsidP="00C56375">
      <w:pPr>
        <w:rPr>
          <w:rFonts w:eastAsiaTheme="majorEastAsia"/>
        </w:rPr>
      </w:pPr>
      <w:r w:rsidRPr="00BE53BD">
        <w:rPr>
          <w:rStyle w:val="HideTWBExt"/>
        </w:rPr>
        <w:t>&lt;/Amend&gt;</w:t>
      </w:r>
    </w:p>
    <w:p w:rsidR="00AF0131" w:rsidRPr="00BE53BD" w:rsidRDefault="00C21BA3" w:rsidP="002D23D0">
      <w:pPr>
        <w:pStyle w:val="AmNumberTabs"/>
      </w:pPr>
      <w:r w:rsidRPr="00BE53BD">
        <w:rPr>
          <w:rStyle w:val="HideTWBExt"/>
        </w:rPr>
        <w:t>&lt;Amend&gt;</w:t>
      </w:r>
      <w:r w:rsidRPr="00BE53BD">
        <w:t>Изменение</w:t>
      </w:r>
      <w:r w:rsidRPr="00BE53BD">
        <w:tab/>
      </w:r>
      <w:r w:rsidRPr="00BE53BD">
        <w:tab/>
      </w:r>
      <w:r w:rsidRPr="00BE53BD">
        <w:rPr>
          <w:rStyle w:val="HideTWBExt"/>
          <w:b w:val="0"/>
        </w:rPr>
        <w:t>&lt;NumAm&gt;</w:t>
      </w:r>
      <w:r w:rsidRPr="00BE53BD">
        <w:t>7</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10</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(10)</w:t>
            </w:r>
            <w:r w:rsidRPr="00BE53BD">
              <w:tab/>
              <w:t xml:space="preserve">Средствата по политиката на сближаване също са синхронизирани с процеса на европейския семестър. Тъй като политиката на сближаване е дългосрочната инвестиционна политика на бюджета на ЕС, </w:t>
            </w:r>
            <w:r w:rsidRPr="00BE53BD">
              <w:t>инвестициите и реформите по нея също следва да бъдат надлежно взети предвид при изготвянето на националните средносрочни структурни планове във фискалната област. Всяка държава членка следва също така да обясни как нейният национален средносрочен структуре</w:t>
            </w:r>
            <w:r w:rsidRPr="00BE53BD">
              <w:t>н план във фискалната област ще осигури съгласуваност с разходите по програми на ЕС, които изцяло се покриват от приходи от фондове на ЕС и съответното национално съфинансиране.</w:t>
            </w:r>
          </w:p>
        </w:tc>
        <w:tc>
          <w:tcPr>
            <w:tcW w:w="4876" w:type="dxa"/>
            <w:hideMark/>
          </w:tcPr>
          <w:p w:rsidR="00AF0131" w:rsidRPr="00BE53BD" w:rsidRDefault="00C21BA3" w:rsidP="00C33FBD">
            <w:pPr>
              <w:pStyle w:val="Normal6"/>
              <w:rPr>
                <w:szCs w:val="24"/>
              </w:rPr>
            </w:pPr>
            <w:r w:rsidRPr="00BE53BD">
              <w:t>(10)</w:t>
            </w:r>
            <w:r w:rsidRPr="00BE53BD">
              <w:tab/>
              <w:t>Средствата по политиката на сближаване също са синхронизирани с процеса н</w:t>
            </w:r>
            <w:r w:rsidRPr="00BE53BD">
              <w:t xml:space="preserve">а европейския семестър. Тъй като политиката на сближаване е дългосрочната инвестиционна политика на бюджета на ЕС, </w:t>
            </w:r>
            <w:r w:rsidRPr="00BE53BD">
              <w:rPr>
                <w:b/>
                <w:i/>
              </w:rPr>
              <w:t>с която се укрепва икономическото, социалното и териториалното сближаване,</w:t>
            </w:r>
            <w:r w:rsidRPr="00BE53BD">
              <w:t xml:space="preserve"> инвестициите и реформите по нея също следва да бъдат надлежно взет</w:t>
            </w:r>
            <w:r w:rsidRPr="00BE53BD">
              <w:t xml:space="preserve">и предвид при изготвянето на националните средносрочни структурни планове във фискалната област. Всяка държава членка следва също така да обясни как нейният национален средносрочен структурен план във фискалната област ще осигури съгласуваност с разходите </w:t>
            </w:r>
            <w:r w:rsidRPr="00BE53BD">
              <w:t>по програми на ЕС, които изцяло се покриват от приходи от фондове на ЕС и съответното национално съфинансиране.</w:t>
            </w:r>
          </w:p>
        </w:tc>
      </w:tr>
    </w:tbl>
    <w:p w:rsidR="00AF0131" w:rsidRPr="00BE53BD" w:rsidRDefault="00C21BA3" w:rsidP="00C56375">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8</w:t>
      </w:r>
      <w:r w:rsidRPr="00BE53BD">
        <w:rPr>
          <w:rStyle w:val="HideTWBExt"/>
          <w:b w:val="0"/>
        </w:rPr>
        <w:t>&lt;/NumAm&gt;</w:t>
      </w:r>
    </w:p>
    <w:p w:rsidR="00AF0131" w:rsidRPr="00BE53BD" w:rsidRDefault="00AF0131" w:rsidP="00AF0131">
      <w:pPr>
        <w:rPr>
          <w:b/>
        </w:rPr>
      </w:pPr>
    </w:p>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13</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w:t>
            </w:r>
            <w:r w:rsidRPr="00BE53BD">
              <w:t xml:space="preserve">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(13)</w:t>
            </w:r>
            <w:r w:rsidRPr="00BE53BD">
              <w:tab/>
              <w:t>За да даде насоки на държавите членки при изготвянето на техния средносрочен структурен план във фискалната област, Комисията следва да предложи техническа траектория, основана на минималната фискална корекция, която води до п</w:t>
            </w:r>
            <w:r w:rsidRPr="00BE53BD">
              <w:t>равдоподобно низходяща тенденция на траекторията на дълга на държавата членка или до запазване на дълга на разумно равнище. Тя следва също така да гарантира, че съотношението на консолидирания държавен дълг към БВП в края на периода на планиране ще падне п</w:t>
            </w:r>
            <w:r w:rsidRPr="00BE53BD">
              <w:t xml:space="preserve">од равнището му от годината преди началото на техническата траектория. </w:t>
            </w:r>
            <w:r w:rsidRPr="00BE53BD">
              <w:rPr>
                <w:b/>
                <w:i/>
              </w:rPr>
              <w:t>Устойчивостта на това намаление на дълга следва да е в резултат от подходящи фискални политики.</w:t>
            </w:r>
          </w:p>
        </w:tc>
        <w:tc>
          <w:tcPr>
            <w:tcW w:w="4876" w:type="dxa"/>
            <w:hideMark/>
          </w:tcPr>
          <w:p w:rsidR="00AF0131" w:rsidRPr="00BE53BD" w:rsidRDefault="00C21BA3" w:rsidP="00C33FBD">
            <w:pPr>
              <w:pStyle w:val="Normal6"/>
              <w:rPr>
                <w:szCs w:val="24"/>
              </w:rPr>
            </w:pPr>
            <w:r w:rsidRPr="00BE53BD">
              <w:t>(13)</w:t>
            </w:r>
            <w:r w:rsidRPr="00BE53BD">
              <w:tab/>
              <w:t xml:space="preserve">За да даде насоки на държавите членки при изготвянето на техния средносрочен </w:t>
            </w:r>
            <w:r w:rsidRPr="00BE53BD">
              <w:t xml:space="preserve">структурен план във фискалната област, Комисията следва да предложи техническа траектория, основана на минималната фискална корекция, която води до правдоподобно низходяща тенденция на траекторията на дълга на държавата членка или до запазване на дълга на </w:t>
            </w:r>
            <w:r w:rsidRPr="00BE53BD">
              <w:t>разумно равнище</w:t>
            </w:r>
            <w:r w:rsidRPr="00BE53BD">
              <w:rPr>
                <w:b/>
                <w:i/>
              </w:rPr>
              <w:t>, като същевременно се отчитат нужните целеви инвестиции за постигането на общите приоритети на Съюза</w:t>
            </w:r>
            <w:r w:rsidRPr="00BE53BD">
              <w:t>. Тя следва също така да гарантира, че съотношението на консолидирания държавен дълг към БВП в края на периода на планиране ще падне под рав</w:t>
            </w:r>
            <w:r w:rsidRPr="00BE53BD">
              <w:t>нището му от годината преди началото на техническата траектория.</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C56375">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9</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Съображение 22</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(22)</w:t>
            </w:r>
            <w:r w:rsidRPr="00BE53BD">
              <w:tab/>
              <w:t xml:space="preserve">За да се осигури </w:t>
            </w:r>
            <w:r w:rsidRPr="00BE53BD">
              <w:t>по-постепенно намаляване на дълга, периодът на корекция може да бъде удължен с най-много 3 години, ако държавата членка подкрепи своя средносрочен структурен план във фискалната област с набор от подлежащи на проверка и обвързани със срокове реформи и инве</w:t>
            </w:r>
            <w:r w:rsidRPr="00BE53BD">
              <w:t xml:space="preserve">стиции, които, взети заедно: насърчават </w:t>
            </w:r>
            <w:r w:rsidRPr="00BE53BD">
              <w:rPr>
                <w:b/>
                <w:i/>
              </w:rPr>
              <w:t>растежа</w:t>
            </w:r>
            <w:r w:rsidRPr="00BE53BD">
              <w:t>, подкрепят фискалната устойчивост, насочени са към постигане на общите приоритети на Съюза, съобразени са със съответните специфични за страната препоръки, отправени към държавата членка в рамките на европейс</w:t>
            </w:r>
            <w:r w:rsidRPr="00BE53BD">
              <w:t>кия семестър, и са насочени към постигане на специфичните за държавата инвестиционни приоритети, без това да доведе до орязвания на други финансирани на национално равнище публични инвестиции през периода на корекция, за да се гарантира въздействие на инве</w:t>
            </w:r>
            <w:r w:rsidRPr="00BE53BD">
              <w:t>стициите на макроикономическо равнище и да се избегне изместване на други инвестиционни приоритети.</w:t>
            </w:r>
          </w:p>
        </w:tc>
        <w:tc>
          <w:tcPr>
            <w:tcW w:w="4876" w:type="dxa"/>
            <w:hideMark/>
          </w:tcPr>
          <w:p w:rsidR="00AF0131" w:rsidRPr="00BE53BD" w:rsidRDefault="00C21BA3" w:rsidP="00C33FBD">
            <w:pPr>
              <w:pStyle w:val="Normal6"/>
              <w:rPr>
                <w:szCs w:val="24"/>
              </w:rPr>
            </w:pPr>
            <w:r w:rsidRPr="00BE53BD">
              <w:t>(22)</w:t>
            </w:r>
            <w:r w:rsidRPr="00BE53BD">
              <w:tab/>
              <w:t xml:space="preserve">За да се осигури по-постепенно намаляване на дълга, периодът на корекция може да бъде удължен с най-много 3 години, ако държавата членка подкрепи своя </w:t>
            </w:r>
            <w:r w:rsidRPr="00BE53BD">
              <w:t xml:space="preserve">средносрочен структурен план във фискалната област с набор от подлежащи на проверка и обвързани със срокове реформи и инвестиции, които, взети заедно: </w:t>
            </w:r>
            <w:r w:rsidRPr="00BE53BD">
              <w:rPr>
                <w:b/>
                <w:i/>
              </w:rPr>
              <w:t xml:space="preserve">укрепват устойчивия и приобщаващ растеж, </w:t>
            </w:r>
            <w:r w:rsidRPr="00BE53BD">
              <w:t xml:space="preserve">насърчават </w:t>
            </w:r>
            <w:r w:rsidRPr="00BE53BD">
              <w:rPr>
                <w:b/>
                <w:i/>
              </w:rPr>
              <w:t>възходяща социална конвергенция</w:t>
            </w:r>
            <w:r w:rsidRPr="00BE53BD">
              <w:t>, подкрепят фискалната устойчивост, насочени са към постигане на общите приоритети на Съюза, съобразени са със съответните специфични за страната препоръки, отправени към държавата членка в рамките на европейския семестър, и са насочени към постигане на сп</w:t>
            </w:r>
            <w:r w:rsidRPr="00BE53BD">
              <w:t xml:space="preserve">ецифичните за държавата инвестиционни приоритети, без това да доведе до орязвания на други финансирани на национално равнище публични инвестиции, </w:t>
            </w:r>
            <w:r w:rsidRPr="00BE53BD">
              <w:rPr>
                <w:b/>
                <w:i/>
              </w:rPr>
              <w:t>включително социални инвестиции,</w:t>
            </w:r>
            <w:r w:rsidRPr="00BE53BD">
              <w:t xml:space="preserve"> през периода на корекция, за да се гарантира въздействие на инвестициите на м</w:t>
            </w:r>
            <w:r w:rsidRPr="00BE53BD">
              <w:t>акроикономическо равнище и да се избегне изместване на други инвестиционни приоритети.</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rPr>
          <w:rStyle w:val="HideTWBExt"/>
          <w:b w:val="0"/>
        </w:rPr>
        <w:t>&lt;NumAm&gt;</w:t>
      </w:r>
      <w:r w:rsidRPr="00BE53BD">
        <w:t>10</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В настоящия регламент се определят правила за осигуряване на ефективна координация на икономическите политики на държавите членки, като по този начин се подпомага постигането на целите на Съюза за растеж и заетост.</w:t>
            </w:r>
          </w:p>
        </w:tc>
        <w:tc>
          <w:tcPr>
            <w:tcW w:w="4876" w:type="dxa"/>
            <w:hideMark/>
          </w:tcPr>
          <w:p w:rsidR="00AF0131" w:rsidRPr="00BE53BD" w:rsidRDefault="00C21BA3" w:rsidP="00C33FBD">
            <w:pPr>
              <w:pStyle w:val="Normal6"/>
              <w:rPr>
                <w:szCs w:val="24"/>
              </w:rPr>
            </w:pPr>
            <w:r w:rsidRPr="00BE53BD">
              <w:t>В настоящия регламент се опред</w:t>
            </w:r>
            <w:r w:rsidRPr="00BE53BD">
              <w:t xml:space="preserve">елят правила за осигуряване на ефективна координация на икономическите политики на държавите членки, като по този начин се подпомага постигането на целите на Съюза за </w:t>
            </w:r>
            <w:r w:rsidRPr="00BE53BD">
              <w:rPr>
                <w:b/>
                <w:i/>
              </w:rPr>
              <w:t>устойчив и приобщаващ</w:t>
            </w:r>
            <w:r w:rsidRPr="00BE53BD">
              <w:t xml:space="preserve"> растеж и </w:t>
            </w:r>
            <w:r w:rsidRPr="00BE53BD">
              <w:rPr>
                <w:b/>
                <w:i/>
              </w:rPr>
              <w:t>качествена</w:t>
            </w:r>
            <w:r w:rsidRPr="00BE53BD">
              <w:t xml:space="preserve"> заетост.</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11</w:t>
      </w:r>
      <w:r w:rsidRPr="00BE53BD">
        <w:rPr>
          <w:rStyle w:val="HideTWBExt"/>
          <w:b w:val="0"/>
        </w:rPr>
        <w:t>&lt;</w:t>
      </w:r>
      <w:r w:rsidRPr="00BE53BD">
        <w:rPr>
          <w:rStyle w:val="HideTWBExt"/>
          <w:b w:val="0"/>
        </w:rPr>
        <w: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 – параграф 2</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В него се определят подробни правила относно съдържанието, представянето, оценката и наблюдението на националните средносрочни структурни планове във фискалната област като част от многостранния бюджетен надзор, осъществяван от Съвета и Комисията, с цел на</w:t>
            </w:r>
            <w:r w:rsidRPr="00BE53BD">
              <w:t xml:space="preserve">сърчаване на устойчивостта на обслужването на дълга </w:t>
            </w:r>
            <w:r w:rsidRPr="00BE53BD">
              <w:rPr>
                <w:b/>
                <w:i/>
              </w:rPr>
              <w:t>и</w:t>
            </w:r>
            <w:r w:rsidRPr="00BE53BD">
              <w:t xml:space="preserve"> устойчивия и приобщаващ растеж в държавите членки и предотвратяване на възникването на прекомерен бюджетен дефицит посредством средносрочно планиране.</w:t>
            </w:r>
          </w:p>
        </w:tc>
        <w:tc>
          <w:tcPr>
            <w:tcW w:w="4876" w:type="dxa"/>
            <w:hideMark/>
          </w:tcPr>
          <w:p w:rsidR="00AF0131" w:rsidRPr="00BE53BD" w:rsidRDefault="00C21BA3" w:rsidP="00C33FBD">
            <w:pPr>
              <w:pStyle w:val="Normal6"/>
              <w:rPr>
                <w:szCs w:val="24"/>
              </w:rPr>
            </w:pPr>
            <w:r w:rsidRPr="00BE53BD">
              <w:t>В него се определят подробни правила относно съдърж</w:t>
            </w:r>
            <w:r w:rsidRPr="00BE53BD">
              <w:t>анието, представянето, оценката и наблюдението на националните средносрочни структурни планове във фискалната област като част от многостранния бюджетен надзор, осъществяван от Съвета и Комисията, с цел насърчаване на устойчивостта на обслужването на дълга</w:t>
            </w:r>
            <w:r w:rsidRPr="00BE53BD">
              <w:rPr>
                <w:b/>
                <w:i/>
              </w:rPr>
              <w:t>,</w:t>
            </w:r>
            <w:r w:rsidRPr="00BE53BD">
              <w:t xml:space="preserve"> устойчивия и приобщаващ растеж </w:t>
            </w:r>
            <w:r w:rsidRPr="00BE53BD">
              <w:rPr>
                <w:b/>
                <w:i/>
              </w:rPr>
              <w:t>и възходящата социална конвергенция</w:t>
            </w:r>
            <w:r w:rsidRPr="00BE53BD">
              <w:t xml:space="preserve"> в държавите членки и предотвратяване на възникването на прекомерен бюджетен дефицит посредством средносрочно планиране</w:t>
            </w:r>
            <w:r w:rsidRPr="00BE53BD">
              <w:rPr>
                <w:b/>
                <w:i/>
              </w:rPr>
              <w:t>, като същевременно се осигуряват целевите икономически и социални ин</w:t>
            </w:r>
            <w:r w:rsidRPr="00BE53BD">
              <w:rPr>
                <w:b/>
                <w:i/>
              </w:rPr>
              <w:t>вестиции в съответствие с общите приоритети на Съюза</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C56375">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12</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3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 xml:space="preserve">С цел да се осигури по-тясна координация на икономическите политики и </w:t>
            </w:r>
            <w:r w:rsidRPr="00BE53BD">
              <w:rPr>
                <w:b/>
                <w:i/>
              </w:rPr>
              <w:t>устойчива</w:t>
            </w:r>
            <w:r w:rsidRPr="00BE53BD">
              <w:t xml:space="preserve"> конвергенция на икономическите и социалните показатели на държавите членки, Съветът и Комисията осъществяват многостранен надзор в рамките на европейския семестър в съответстви</w:t>
            </w:r>
            <w:r w:rsidRPr="00BE53BD">
              <w:t>е с целите и изискванията, определени в ДФЕС. Многостранният надзор се основава на висококачествени и независими статистически данни, изготвени в съответствие с принципите, заложени в Регламент (ЕО) № 223/2009 на Европейския парламент и на Съвета,</w:t>
            </w:r>
          </w:p>
        </w:tc>
        <w:tc>
          <w:tcPr>
            <w:tcW w:w="4876" w:type="dxa"/>
            <w:hideMark/>
          </w:tcPr>
          <w:p w:rsidR="00AF0131" w:rsidRPr="00BE53BD" w:rsidRDefault="00C21BA3" w:rsidP="00C33FBD">
            <w:pPr>
              <w:pStyle w:val="Normal6"/>
              <w:rPr>
                <w:szCs w:val="24"/>
              </w:rPr>
            </w:pPr>
            <w:r w:rsidRPr="00BE53BD">
              <w:t>С цел да</w:t>
            </w:r>
            <w:r w:rsidRPr="00BE53BD">
              <w:t xml:space="preserve"> се осигури по-тясна координация на икономическите политики </w:t>
            </w:r>
            <w:r w:rsidRPr="00BE53BD">
              <w:rPr>
                <w:b/>
                <w:i/>
              </w:rPr>
              <w:t>и на политиките в областта на заетостта</w:t>
            </w:r>
            <w:r w:rsidRPr="00BE53BD">
              <w:t xml:space="preserve"> и </w:t>
            </w:r>
            <w:r w:rsidRPr="00BE53BD">
              <w:rPr>
                <w:b/>
                <w:i/>
              </w:rPr>
              <w:t>възходящата</w:t>
            </w:r>
            <w:r w:rsidRPr="00BE53BD">
              <w:t xml:space="preserve"> конвергенция на икономическите и социалните показатели на държавите членки </w:t>
            </w:r>
            <w:r w:rsidRPr="00BE53BD">
              <w:rPr>
                <w:b/>
                <w:i/>
              </w:rPr>
              <w:t>в съответствие с общите приоритети на Съюза</w:t>
            </w:r>
            <w:r w:rsidRPr="00BE53BD">
              <w:t>, Съветът и Комисията ос</w:t>
            </w:r>
            <w:r w:rsidRPr="00BE53BD">
              <w:t>ъществяват многостранен надзор в рамките на европейския семестър в съответствие с целите и изискванията, определени в ДФЕС. Многостранният надзор се основава на висококачествени и независими статистически данни, изготвени в съответствие с принципите, залож</w:t>
            </w:r>
            <w:r w:rsidRPr="00BE53BD">
              <w:t>ени в Регламент (ЕО) № 223/2009 на Европейския парламент и на Съвета,</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13</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3 – параграф 2 – буква б</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б)</w:t>
            </w:r>
            <w:r w:rsidRPr="00BE53BD">
              <w:tab/>
              <w:t xml:space="preserve">формулиране и наблюдение на изпълнението на насоките за заетостта, които трябва да се вземат предвид от държавите членки в съответствие с член 148, параграф 2 от ДФЕС, </w:t>
            </w:r>
            <w:r w:rsidRPr="00BE53BD">
              <w:rPr>
                <w:b/>
                <w:i/>
              </w:rPr>
              <w:t>включително</w:t>
            </w:r>
            <w:r w:rsidRPr="00BE53BD">
              <w:t xml:space="preserve"> Европейския стълб на социалните права, както и на свързаните с тях специф</w:t>
            </w:r>
            <w:r w:rsidRPr="00BE53BD">
              <w:t>ични за всяка държава препоръки</w:t>
            </w:r>
            <w:r w:rsidRPr="00BE53BD">
              <w:rPr>
                <w:b/>
                <w:i/>
              </w:rPr>
              <w:t>;</w:t>
            </w:r>
          </w:p>
        </w:tc>
        <w:tc>
          <w:tcPr>
            <w:tcW w:w="4876" w:type="dxa"/>
            <w:hideMark/>
          </w:tcPr>
          <w:p w:rsidR="00AF0131" w:rsidRPr="00BE53BD" w:rsidRDefault="00C21BA3" w:rsidP="00C33FBD">
            <w:pPr>
              <w:pStyle w:val="Normal6"/>
              <w:rPr>
                <w:szCs w:val="24"/>
              </w:rPr>
            </w:pPr>
            <w:r w:rsidRPr="00BE53BD">
              <w:t>б)</w:t>
            </w:r>
            <w:r w:rsidRPr="00BE53BD">
              <w:tab/>
              <w:t xml:space="preserve">формулиране и наблюдение на изпълнението на насоките за заетостта, които трябва да се вземат предвид от държавите членки в съответствие с член 148, параграф 2 от ДФЕС, </w:t>
            </w:r>
            <w:r w:rsidRPr="00BE53BD">
              <w:rPr>
                <w:b/>
                <w:i/>
              </w:rPr>
              <w:t>на</w:t>
            </w:r>
            <w:r w:rsidRPr="00BE53BD">
              <w:t xml:space="preserve"> Европейския стълб на социалните права </w:t>
            </w:r>
            <w:r w:rsidRPr="00BE53BD">
              <w:rPr>
                <w:b/>
                <w:i/>
              </w:rPr>
              <w:t xml:space="preserve">и неговите </w:t>
            </w:r>
            <w:r w:rsidRPr="00BE53BD">
              <w:rPr>
                <w:b/>
                <w:i/>
              </w:rPr>
              <w:t>водещи цели</w:t>
            </w:r>
            <w:r w:rsidRPr="00BE53BD">
              <w:t>, както и на свързаните с тях специфични за всяка държава препоръки</w:t>
            </w:r>
            <w:r w:rsidRPr="00BE53BD">
              <w:rPr>
                <w:b/>
                <w:i/>
              </w:rPr>
              <w:t>, на набора от социални показатели и неговите водещи и вторични показатели и на рамката за социална конвергенция с цел предотвратяване и установяване на рисковете за социалната к</w:t>
            </w:r>
            <w:r w:rsidRPr="00BE53BD">
              <w:rPr>
                <w:b/>
                <w:i/>
              </w:rPr>
              <w:t>онвергенция.</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14</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4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1.</w:t>
            </w:r>
            <w:r w:rsidRPr="00BE53BD">
              <w:tab/>
            </w:r>
            <w:r w:rsidRPr="00BE53BD">
              <w:t>Когато е необходимо, след оценката по настоящия регламент на средносрочните структурни планове във фискалната област, на годишните доклади за напредъка и на социално-икономическото положение на съответните държави членки, Съветът, въз основа на препоръки н</w:t>
            </w:r>
            <w:r w:rsidRPr="00BE53BD">
              <w:t xml:space="preserve">а Комисията, отправя препоръки към тези държави членки, като използва в пълна степен правните инструменти, предвидени в членове 121 и 148 от ДФЕС, </w:t>
            </w:r>
            <w:r w:rsidRPr="00BE53BD">
              <w:rPr>
                <w:b/>
                <w:i/>
              </w:rPr>
              <w:t>и</w:t>
            </w:r>
            <w:r w:rsidRPr="00BE53BD">
              <w:t xml:space="preserve"> свързаното с тях вторично законодателство.</w:t>
            </w:r>
          </w:p>
        </w:tc>
        <w:tc>
          <w:tcPr>
            <w:tcW w:w="4876" w:type="dxa"/>
            <w:hideMark/>
          </w:tcPr>
          <w:p w:rsidR="00AF0131" w:rsidRPr="00BE53BD" w:rsidRDefault="00C21BA3" w:rsidP="00C33FBD">
            <w:pPr>
              <w:pStyle w:val="Normal6"/>
              <w:rPr>
                <w:szCs w:val="24"/>
              </w:rPr>
            </w:pPr>
            <w:r w:rsidRPr="00BE53BD">
              <w:t>1.</w:t>
            </w:r>
            <w:r w:rsidRPr="00BE53BD">
              <w:tab/>
              <w:t xml:space="preserve">Когато е необходимо, след оценката по настоящия регламент на </w:t>
            </w:r>
            <w:r w:rsidRPr="00BE53BD">
              <w:t xml:space="preserve">средносрочните структурни планове във фискалната област, на годишните доклади за напредъка и на социално-икономическото положение на съответните държави членки, Съветът, въз основа на препоръки на Комисията, отправя препоръки към тези държави членки, като </w:t>
            </w:r>
            <w:r w:rsidRPr="00BE53BD">
              <w:t xml:space="preserve">използва в пълна степен </w:t>
            </w:r>
            <w:r w:rsidRPr="00BE53BD">
              <w:rPr>
                <w:b/>
                <w:i/>
              </w:rPr>
              <w:t>Европейския стълб на социалните права и</w:t>
            </w:r>
            <w:r w:rsidRPr="00BE53BD">
              <w:t xml:space="preserve"> правните инструменти, предвидени в членове 121 и 148 от ДФЕС, свързаното с тях вторично законодателство.</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15</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4 – параграф 3 – буква бa (нова)</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ба)</w:t>
            </w:r>
            <w:r w:rsidRPr="00BE53BD">
              <w:rPr>
                <w:b/>
                <w:i/>
              </w:rPr>
              <w:tab/>
              <w:t>препоръка на Съвета въз основа на предложение на Комисията съгласно член 148, параграф 4 от ДФЕС или отразяваща резултатите от рамката за с</w:t>
            </w:r>
            <w:r w:rsidRPr="00BE53BD">
              <w:rPr>
                <w:b/>
                <w:i/>
              </w:rPr>
              <w:t>оциална конвергенция;</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rPr>
          <w:rStyle w:val="HideTWBExt"/>
          <w:b w:val="0"/>
        </w:rPr>
        <w:t>&lt;NumAm&gt;</w:t>
      </w:r>
      <w:r w:rsidRPr="00BE53BD">
        <w:t>16</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7 – параграф 1 – буква б</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б)</w:t>
            </w:r>
            <w:r w:rsidRPr="00BE53BD">
              <w:tab/>
              <w:t>своите макроикономически прогнози и допускания;</w:t>
            </w:r>
          </w:p>
        </w:tc>
        <w:tc>
          <w:tcPr>
            <w:tcW w:w="4876" w:type="dxa"/>
            <w:hideMark/>
          </w:tcPr>
          <w:p w:rsidR="00AF0131" w:rsidRPr="00BE53BD" w:rsidRDefault="00C21BA3" w:rsidP="00C33FBD">
            <w:pPr>
              <w:pStyle w:val="Normal6"/>
              <w:rPr>
                <w:szCs w:val="24"/>
              </w:rPr>
            </w:pPr>
            <w:r w:rsidRPr="00BE53BD">
              <w:t>б)</w:t>
            </w:r>
            <w:r w:rsidRPr="00BE53BD">
              <w:tab/>
              <w:t xml:space="preserve">своите макроикономически прогнози и допускания; </w:t>
            </w:r>
            <w:r w:rsidRPr="00BE53BD">
              <w:rPr>
                <w:b/>
                <w:i/>
              </w:rPr>
              <w:t>своите прогнози и допускания за социалните рискове;</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17</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11 – параграф 1 – алинея 2</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w:t>
            </w:r>
            <w:r w:rsidRPr="00BE53BD">
              <w:t xml:space="preserve">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 xml:space="preserve">В националния средносрочен структурен план във фискалната област се описват и действията на съответната държава членка в отговор на специфичните за държавата препоръки, включително тези, които са от значение за </w:t>
            </w:r>
            <w:r w:rsidRPr="00BE53BD">
              <w:t>процедурата при макроикономически дисбаланси, както и на предупрежденията на Комисията, когато е приложимо, или на препоръките на Съвета, когато е приложимо, отправени съгласно член 121, параграф 4 от ДФЕС.</w:t>
            </w:r>
          </w:p>
        </w:tc>
        <w:tc>
          <w:tcPr>
            <w:tcW w:w="4876" w:type="dxa"/>
            <w:hideMark/>
          </w:tcPr>
          <w:p w:rsidR="00AF0131" w:rsidRPr="00BE53BD" w:rsidRDefault="00C21BA3" w:rsidP="00C33FBD">
            <w:pPr>
              <w:pStyle w:val="Normal6"/>
              <w:rPr>
                <w:szCs w:val="24"/>
              </w:rPr>
            </w:pPr>
            <w:r w:rsidRPr="00BE53BD">
              <w:t>В националния средносрочен структурен план във фи</w:t>
            </w:r>
            <w:r w:rsidRPr="00BE53BD">
              <w:t xml:space="preserve">скалната област се описват и действията на съответната държава членка в отговор на специфичните за държавата препоръки, включително тези, които са от значение за процедурата при макроикономически дисбаланси, </w:t>
            </w:r>
            <w:r w:rsidRPr="00BE53BD">
              <w:rPr>
                <w:b/>
                <w:i/>
              </w:rPr>
              <w:t>и в отговор на предизвикателствата, установени в</w:t>
            </w:r>
            <w:r w:rsidRPr="00BE53BD">
              <w:rPr>
                <w:b/>
                <w:i/>
              </w:rPr>
              <w:t xml:space="preserve"> докладите за социална конвергенция съгласно рамката за социална конвергенция,</w:t>
            </w:r>
            <w:r w:rsidRPr="00BE53BD">
              <w:t xml:space="preserve"> както и </w:t>
            </w:r>
            <w:r w:rsidRPr="00BE53BD">
              <w:rPr>
                <w:b/>
                <w:i/>
              </w:rPr>
              <w:t>в отговор</w:t>
            </w:r>
            <w:r w:rsidRPr="00BE53BD">
              <w:t xml:space="preserve"> на предупрежденията на Комисията, когато е приложимо, или на препоръките на Съвета, когато е приложимо, отправени съгласно член 121, параграф 4 от ДФЕС </w:t>
            </w:r>
            <w:r w:rsidRPr="00BE53BD">
              <w:rPr>
                <w:b/>
                <w:i/>
              </w:rPr>
              <w:t>и член </w:t>
            </w:r>
            <w:r w:rsidRPr="00BE53BD">
              <w:rPr>
                <w:b/>
                <w:i/>
              </w:rPr>
              <w:t>148, параграф 4 от ДФЕС</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18</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12 – параграф 1 – буква б</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б)</w:t>
            </w:r>
            <w:r w:rsidRPr="00BE53BD">
              <w:tab/>
              <w:t xml:space="preserve">съдържа обяснение как с плана ще се </w:t>
            </w:r>
            <w:r w:rsidRPr="00BE53BD">
              <w:t xml:space="preserve">гарантира осъществяването на инвестициите и реформите в отговор на основните предизвикателства, набелязани в специфичните за всяка държава препоръки в рамките на европейския семестър, как ще се коригират установените макроикономически дисбаланси в рамките </w:t>
            </w:r>
            <w:r w:rsidRPr="00BE53BD">
              <w:t>на процедурата при макроикономически дисбаланси, ако е приложимо, и как ще бъдат изпълнени общите приоритети на Съюза, посочени в приложение VI към настоящия регламент, включително Европейския зелен пакт, Европейския стълб на социалните права и цифровото д</w:t>
            </w:r>
            <w:r w:rsidRPr="00BE53BD">
              <w:t>есетилетие, като същевременно той бъде съобразен с актуализираните национални планове в областта на енергетиката и климата и националните пътни карти за цифровото десетилетие;</w:t>
            </w:r>
          </w:p>
        </w:tc>
        <w:tc>
          <w:tcPr>
            <w:tcW w:w="4876" w:type="dxa"/>
            <w:hideMark/>
          </w:tcPr>
          <w:p w:rsidR="00AF0131" w:rsidRPr="00BE53BD" w:rsidRDefault="00C21BA3" w:rsidP="00C33FBD">
            <w:pPr>
              <w:pStyle w:val="Normal6"/>
              <w:rPr>
                <w:szCs w:val="24"/>
              </w:rPr>
            </w:pPr>
            <w:r w:rsidRPr="00BE53BD">
              <w:t>б)</w:t>
            </w:r>
            <w:r w:rsidRPr="00BE53BD">
              <w:tab/>
            </w:r>
            <w:r w:rsidRPr="00BE53BD">
              <w:rPr>
                <w:b/>
                <w:i/>
              </w:rPr>
              <w:t>съдържа оценка на недостига на публични инвестиции за постигане на общите при</w:t>
            </w:r>
            <w:r w:rsidRPr="00BE53BD">
              <w:rPr>
                <w:b/>
                <w:i/>
              </w:rPr>
              <w:t>оритети; въз основа на това предвижда планираната фискална корекция да позволява необходимите социални инвестиции за прилагане на принципите на Европейския стълб на социалните права. Освен това той</w:t>
            </w:r>
            <w:r w:rsidRPr="00BE53BD">
              <w:t xml:space="preserve"> съдържа обяснение как с плана ще се гарантира осъществяван</w:t>
            </w:r>
            <w:r w:rsidRPr="00BE53BD">
              <w:t>ето на инвестициите и реформите в отговор на основните предизвикателства, набелязани в специфичните за всяка държава препоръки в рамките на европейския семестър, как ще се коригират установените макроикономически дисбаланси в рамките на процедурата при мак</w:t>
            </w:r>
            <w:r w:rsidRPr="00BE53BD">
              <w:t xml:space="preserve">роикономически дисбаланси, ако е приложимо, </w:t>
            </w:r>
            <w:r w:rsidRPr="00BE53BD">
              <w:rPr>
                <w:b/>
                <w:i/>
              </w:rPr>
              <w:t>как ще се коригират установените рискове за социалната конвергенция съгласно рамката за социална конвергенция, ако е приложимо,</w:t>
            </w:r>
            <w:r w:rsidRPr="00BE53BD">
              <w:t xml:space="preserve"> и как ще бъдат изпълнени общите приоритети на Съюза, посочени в приложение VI към на</w:t>
            </w:r>
            <w:r w:rsidRPr="00BE53BD">
              <w:t>стоящия регламент, включително Европейския зелен пакт, Европейския стълб на социалните права</w:t>
            </w:r>
            <w:r w:rsidRPr="00BE53BD">
              <w:rPr>
                <w:b/>
                <w:i/>
              </w:rPr>
              <w:t>, включително свързаните цели в областта на заетостта, обучението и намаляването на бедността до 2030 г.,</w:t>
            </w:r>
            <w:r w:rsidRPr="00BE53BD">
              <w:t xml:space="preserve"> и цифровото десетилетие, като същевременно той бъде съобра</w:t>
            </w:r>
            <w:r w:rsidRPr="00BE53BD">
              <w:t>зен с актуализираните национални планове в областта на енергетиката и климата и националните пътни карти за цифровото десетилетие</w:t>
            </w:r>
            <w:r w:rsidRPr="00BE53BD">
              <w:rPr>
                <w:b/>
                <w:i/>
              </w:rPr>
              <w:t>. Освен това той съдържа обяснение как планът ще допринася за прилагането на общите насоки за икономическите политики на държав</w:t>
            </w:r>
            <w:r w:rsidRPr="00BE53BD">
              <w:rPr>
                <w:b/>
                <w:i/>
              </w:rPr>
              <w:t>ите членки и на насоките за заетостта в съответствие с член 121, параграф 2 и член 148, параграф 2 от ДФЕС</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19</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12 – параграф 1 – буква га (нова)</w:t>
      </w:r>
      <w:r w:rsidRPr="00BE53BD">
        <w:rPr>
          <w:rStyle w:val="HideTWBExt"/>
          <w:b w:val="0"/>
        </w:rPr>
        <w:t>&lt;/Articl</w:t>
      </w:r>
      <w:r w:rsidRPr="00BE53BD">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га)</w:t>
            </w:r>
            <w:r w:rsidRPr="00BE53BD">
              <w:rPr>
                <w:b/>
                <w:i/>
              </w:rPr>
              <w:tab/>
              <w:t xml:space="preserve">съдържа обяснение относно процеса на консултации, проведени в съответствие с националната правна рамка, с местните и регионалните органи, социалните партньори, организациите на гражданското общество и </w:t>
            </w:r>
            <w:r w:rsidRPr="00BE53BD">
              <w:rPr>
                <w:b/>
                <w:i/>
              </w:rPr>
              <w:t>други заинтересовани страни, както и за това как приносът на заинтересованите страни е отразен в плана и в процеса на изпълнение; както и</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20</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 xml:space="preserve">Член 13 – </w:t>
      </w:r>
      <w:r w:rsidRPr="00BE53BD">
        <w:t>параграф 2 – алинея 2 – подточка iv</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iv)</w:t>
            </w:r>
            <w:r w:rsidRPr="00BE53BD">
              <w:tab/>
              <w:t>да отчита съответните специфични за държавата членка препоръки, отправени към нея, включително, когато е приложимо, препоръките, дадени в рамките на процедурата пр</w:t>
            </w:r>
            <w:r w:rsidRPr="00BE53BD">
              <w:t>и макроикономически дисбаланси;</w:t>
            </w:r>
          </w:p>
        </w:tc>
        <w:tc>
          <w:tcPr>
            <w:tcW w:w="4876" w:type="dxa"/>
            <w:hideMark/>
          </w:tcPr>
          <w:p w:rsidR="00AF0131" w:rsidRPr="00BE53BD" w:rsidRDefault="00C21BA3" w:rsidP="00C33FBD">
            <w:pPr>
              <w:pStyle w:val="Normal6"/>
              <w:rPr>
                <w:szCs w:val="24"/>
              </w:rPr>
            </w:pPr>
            <w:r w:rsidRPr="00BE53BD">
              <w:t>iv)</w:t>
            </w:r>
            <w:r w:rsidRPr="00BE53BD">
              <w:tab/>
              <w:t xml:space="preserve">да отчита съответните специфични за държавата членка препоръки, отправени към нея </w:t>
            </w:r>
            <w:r w:rsidRPr="00BE53BD">
              <w:rPr>
                <w:b/>
                <w:i/>
              </w:rPr>
              <w:t>съгласно член 121, параграф 4 и член 148, параграф 4 от ДФЕС</w:t>
            </w:r>
            <w:r w:rsidRPr="00BE53BD">
              <w:t>, включително, когато е приложимо, препоръките, дадени в рамките на процедурат</w:t>
            </w:r>
            <w:r w:rsidRPr="00BE53BD">
              <w:t>а при макроикономически дисбаланси</w:t>
            </w:r>
            <w:r w:rsidRPr="00BE53BD">
              <w:rPr>
                <w:b/>
                <w:i/>
              </w:rPr>
              <w:t>, както и съгласно рамката за социална конвергенция</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21</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16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По препоръка на Комисията Съветът по правило приема препоръка за определяне на плана на нетните разходи на съответната държава членка и, ако е приложимо, за одобряване на набора от ангажименти за реформи и инвестиции, които са в основата на евен</w:t>
            </w:r>
            <w:r w:rsidRPr="00BE53BD">
              <w:t xml:space="preserve">туалното удължаване на периода на корекция и които са включени в нейния национален средносрочен структурен план във фискалната област, в срок от </w:t>
            </w:r>
            <w:r w:rsidRPr="00BE53BD">
              <w:rPr>
                <w:b/>
                <w:i/>
              </w:rPr>
              <w:t>четири</w:t>
            </w:r>
            <w:r w:rsidRPr="00BE53BD">
              <w:t xml:space="preserve"> седмици </w:t>
            </w:r>
            <w:r w:rsidRPr="00BE53BD">
              <w:rPr>
                <w:b/>
                <w:i/>
              </w:rPr>
              <w:t>след</w:t>
            </w:r>
            <w:r w:rsidRPr="00BE53BD">
              <w:t xml:space="preserve"> приемането на препоръката на Комисията.</w:t>
            </w:r>
          </w:p>
        </w:tc>
        <w:tc>
          <w:tcPr>
            <w:tcW w:w="4876" w:type="dxa"/>
            <w:hideMark/>
          </w:tcPr>
          <w:p w:rsidR="00AF0131" w:rsidRPr="00BE53BD" w:rsidRDefault="00C21BA3" w:rsidP="00C33FBD">
            <w:pPr>
              <w:pStyle w:val="Normal6"/>
              <w:rPr>
                <w:szCs w:val="24"/>
              </w:rPr>
            </w:pPr>
            <w:r w:rsidRPr="00BE53BD">
              <w:t xml:space="preserve">По препоръка на Комисията </w:t>
            </w:r>
            <w:r w:rsidRPr="00BE53BD">
              <w:rPr>
                <w:b/>
                <w:i/>
              </w:rPr>
              <w:t xml:space="preserve">и след провеждането на </w:t>
            </w:r>
            <w:r w:rsidRPr="00BE53BD">
              <w:rPr>
                <w:b/>
                <w:i/>
              </w:rPr>
              <w:t>консултации със съответните консултативни комитети, посочени в член 26,</w:t>
            </w:r>
            <w:r w:rsidRPr="00BE53BD">
              <w:t xml:space="preserve"> Съветът по правило приема препоръка за определяне на плана на нетните разходи на съответната държава членка и, ако е приложимо, за одобряване на набора от ангажименти за реформи и инве</w:t>
            </w:r>
            <w:r w:rsidRPr="00BE53BD">
              <w:t xml:space="preserve">стиции, които са в основата на евентуалното удължаване на периода на корекция и които са включени в нейния национален средносрочен структурен план във фискалната област, в срок от </w:t>
            </w:r>
            <w:r w:rsidRPr="00BE53BD">
              <w:rPr>
                <w:b/>
                <w:i/>
              </w:rPr>
              <w:t>шест до десет</w:t>
            </w:r>
            <w:r w:rsidRPr="00BE53BD">
              <w:t xml:space="preserve"> седмици </w:t>
            </w:r>
            <w:r w:rsidRPr="00BE53BD">
              <w:rPr>
                <w:b/>
                <w:i/>
              </w:rPr>
              <w:t>от</w:t>
            </w:r>
            <w:r w:rsidRPr="00BE53BD">
              <w:t xml:space="preserve"> приемането на препоръката на Комисията.</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w:t>
      </w:r>
      <w:r w:rsidRPr="00BE53BD">
        <w:rPr>
          <w:rStyle w:val="HideTWBExt"/>
          <w:b w:val="0"/>
        </w:rPr>
        <w:t>Amend&gt;</w:t>
      </w:r>
      <w:r w:rsidRPr="00BE53BD">
        <w:t>Изменение</w:t>
      </w:r>
      <w:r w:rsidRPr="00BE53BD">
        <w:tab/>
      </w:r>
      <w:r w:rsidRPr="00BE53BD">
        <w:tab/>
      </w:r>
      <w:r w:rsidRPr="00BE53BD">
        <w:rPr>
          <w:rStyle w:val="HideTWBExt"/>
          <w:b w:val="0"/>
        </w:rPr>
        <w:t>&lt;NumAm&gt;</w:t>
      </w:r>
      <w:r w:rsidRPr="00BE53BD">
        <w:t>22</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17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 xml:space="preserve">Когато счита, че планът не отговаря на изискванията, посочени в член 15, параграф 2 и параграф 3, </w:t>
            </w:r>
            <w:r w:rsidRPr="00BE53BD">
              <w:rPr>
                <w:b/>
                <w:bCs/>
                <w:i/>
                <w:iCs/>
              </w:rPr>
              <w:t>буква</w:t>
            </w:r>
            <w:r w:rsidRPr="00BE53BD">
              <w:t> а), по препоръка на Комисията Съветът препоръчва на съответната държава членка да представи преработен национален средносрочен структурен план във фиска</w:t>
            </w:r>
            <w:r w:rsidRPr="00BE53BD">
              <w:t>лната област.</w:t>
            </w:r>
          </w:p>
        </w:tc>
        <w:tc>
          <w:tcPr>
            <w:tcW w:w="4876" w:type="dxa"/>
            <w:hideMark/>
          </w:tcPr>
          <w:p w:rsidR="00AF0131" w:rsidRPr="00BE53BD" w:rsidRDefault="00C21BA3" w:rsidP="00C33FBD">
            <w:pPr>
              <w:pStyle w:val="Normal6"/>
              <w:rPr>
                <w:szCs w:val="24"/>
              </w:rPr>
            </w:pPr>
            <w:r w:rsidRPr="00BE53BD">
              <w:t xml:space="preserve">Когато счита, че планът не отговаря на изискванията, посочени в член 15, параграф 2 и параграф 3, </w:t>
            </w:r>
            <w:r w:rsidRPr="00BE53BD">
              <w:rPr>
                <w:b/>
                <w:i/>
              </w:rPr>
              <w:t>букви</w:t>
            </w:r>
            <w:r w:rsidRPr="00BE53BD">
              <w:t xml:space="preserve"> а) </w:t>
            </w:r>
            <w:r w:rsidRPr="00BE53BD">
              <w:rPr>
                <w:b/>
                <w:i/>
              </w:rPr>
              <w:t>и б)</w:t>
            </w:r>
            <w:r w:rsidRPr="00BE53BD">
              <w:t xml:space="preserve">, по препоръка на Комисията </w:t>
            </w:r>
            <w:r w:rsidRPr="00BE53BD">
              <w:rPr>
                <w:b/>
                <w:i/>
              </w:rPr>
              <w:t>и след провеждането на консултации със съответните консултативни комитети, посочени в член 26,</w:t>
            </w:r>
            <w:r w:rsidRPr="00BE53BD">
              <w:t xml:space="preserve"> Съветът </w:t>
            </w:r>
            <w:r w:rsidRPr="00BE53BD">
              <w:t>препоръчва на съответната държава членка да представи преработен национален средносрочен структурен план във фискалната област.</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23</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20 – параграф 2</w:t>
      </w:r>
      <w:r w:rsidRPr="00BE53BD">
        <w:rPr>
          <w:rStyle w:val="HideTWBExt"/>
          <w:b w:val="0"/>
        </w:rPr>
        <w:t>&lt;/Arti</w:t>
      </w:r>
      <w:r w:rsidRPr="00BE53BD">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2.</w:t>
            </w:r>
            <w:r w:rsidRPr="00BE53BD">
              <w:tab/>
              <w:t>Годишният доклад за напредъка, посочен в параграф 1, съдържа по-специално информация за напредъка в изпълнението на плана на нетните разходи, изпълнението на по-общите ангажименти за реформи и инвестиции в</w:t>
            </w:r>
            <w:r w:rsidRPr="00BE53BD">
              <w:t xml:space="preserve"> контекста на европейския семестър и, ако е приложимо, в изпълнението на набора от ангажименти за реформи и инвестиции, които са в основата на евентуалното удължаване на периода на корекция.</w:t>
            </w:r>
          </w:p>
        </w:tc>
        <w:tc>
          <w:tcPr>
            <w:tcW w:w="4876" w:type="dxa"/>
            <w:hideMark/>
          </w:tcPr>
          <w:p w:rsidR="00AF0131" w:rsidRPr="00BE53BD" w:rsidRDefault="00C21BA3" w:rsidP="00C33FBD">
            <w:pPr>
              <w:pStyle w:val="Normal6"/>
              <w:rPr>
                <w:szCs w:val="24"/>
              </w:rPr>
            </w:pPr>
            <w:r w:rsidRPr="00BE53BD">
              <w:t>2.</w:t>
            </w:r>
            <w:r w:rsidRPr="00BE53BD">
              <w:tab/>
              <w:t>Годишният доклад за напредъка, посочен в параграф 1, съдържа п</w:t>
            </w:r>
            <w:r w:rsidRPr="00BE53BD">
              <w:t xml:space="preserve">о-специално информация за напредъка в изпълнението на плана на нетните разходи, изпълнението на по-общите ангажименти за реформи и инвестиции в контекста на европейския семестър, </w:t>
            </w:r>
            <w:r w:rsidRPr="00BE53BD">
              <w:rPr>
                <w:b/>
                <w:i/>
              </w:rPr>
              <w:t>включително за напредъка по отношение на целите на ЕС и националните цели в о</w:t>
            </w:r>
            <w:r w:rsidRPr="00BE53BD">
              <w:rPr>
                <w:b/>
                <w:i/>
              </w:rPr>
              <w:t>бластта на заетостта, обучението и намаляването на бедността до 2030 г.,</w:t>
            </w:r>
            <w:r w:rsidRPr="00BE53BD">
              <w:t xml:space="preserve"> </w:t>
            </w:r>
            <w:r w:rsidRPr="00BE53BD">
              <w:rPr>
                <w:b/>
                <w:i/>
              </w:rPr>
              <w:t>както и на общите приоритети на Съюза, посочени в приложение VI,</w:t>
            </w:r>
            <w:r w:rsidRPr="00BE53BD">
              <w:t xml:space="preserve"> и, ако е приложимо, </w:t>
            </w:r>
            <w:r w:rsidRPr="00BE53BD">
              <w:rPr>
                <w:b/>
                <w:i/>
              </w:rPr>
              <w:t>за напредъка</w:t>
            </w:r>
            <w:r w:rsidRPr="00BE53BD">
              <w:t xml:space="preserve"> в изпълнението на набора от ангажименти за реформи и инвестиции, които са в основата </w:t>
            </w:r>
            <w:r w:rsidRPr="00BE53BD">
              <w:t>на евентуалното удължаване на периода на корекция.</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24</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22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 xml:space="preserve">Всяка национална независима </w:t>
            </w:r>
            <w:r w:rsidRPr="00BE53BD">
              <w:t>фискална институция, посочена в член 8 от Директива [...] на Съвета</w:t>
            </w:r>
            <w:r w:rsidRPr="00BE53BD">
              <w:rPr>
                <w:vertAlign w:val="superscript"/>
              </w:rPr>
              <w:t>32</w:t>
            </w:r>
            <w:r w:rsidRPr="00BE53BD">
              <w:t xml:space="preserve"> [относно националните бюджетни рамки]</w:t>
            </w:r>
            <w:r w:rsidRPr="00BE53BD">
              <w:rPr>
                <w:b/>
                <w:i/>
              </w:rPr>
              <w:t>,</w:t>
            </w:r>
            <w:r w:rsidRPr="00BE53BD">
              <w:t xml:space="preserve"> предоставя оценка на съответствието на данните за бюджетните резултати, отчетени в доклада за напредъка по член 20, с плана на нетните разходи</w:t>
            </w:r>
            <w:r w:rsidRPr="00BE53BD">
              <w:rPr>
                <w:b/>
                <w:i/>
              </w:rPr>
              <w:t>.</w:t>
            </w:r>
            <w:r w:rsidRPr="00BE53BD">
              <w:t xml:space="preserve"> Ког</w:t>
            </w:r>
            <w:r w:rsidRPr="00BE53BD">
              <w:t xml:space="preserve">ато е приложимо, </w:t>
            </w:r>
            <w:r w:rsidRPr="00BE53BD">
              <w:rPr>
                <w:b/>
                <w:i/>
              </w:rPr>
              <w:t>всяка национална независима фискална институция</w:t>
            </w:r>
            <w:r w:rsidRPr="00BE53BD">
              <w:t xml:space="preserve"> анализира и факторите, на които се основава отклонението от плана на нетните разходи.</w:t>
            </w:r>
          </w:p>
        </w:tc>
        <w:tc>
          <w:tcPr>
            <w:tcW w:w="4876" w:type="dxa"/>
            <w:hideMark/>
          </w:tcPr>
          <w:p w:rsidR="00AF0131" w:rsidRPr="00BE53BD" w:rsidRDefault="00C21BA3" w:rsidP="00C33FBD">
            <w:pPr>
              <w:pStyle w:val="Normal6"/>
              <w:rPr>
                <w:szCs w:val="24"/>
              </w:rPr>
            </w:pPr>
            <w:r w:rsidRPr="00BE53BD">
              <w:t>Всяка национална независима фискална институция, посочена в член 8 от Директива [...] на Съвета</w:t>
            </w:r>
            <w:r w:rsidRPr="00BE53BD">
              <w:rPr>
                <w:vertAlign w:val="superscript"/>
              </w:rPr>
              <w:t>32</w:t>
            </w:r>
            <w:r w:rsidRPr="00BE53BD">
              <w:t xml:space="preserve"> [относн</w:t>
            </w:r>
            <w:r w:rsidRPr="00BE53BD">
              <w:t>о националните бюджетни рамки]</w:t>
            </w:r>
            <w:r w:rsidRPr="00BE53BD">
              <w:rPr>
                <w:b/>
                <w:i/>
              </w:rPr>
              <w:t>:</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a)</w:t>
            </w:r>
            <w:r w:rsidRPr="00BE53BD">
              <w:t xml:space="preserve"> </w:t>
            </w:r>
            <w:r w:rsidRPr="00BE53BD">
              <w:tab/>
              <w:t>предоставя оценка на съответствието на данните за бюджетните резултати, отчетени в доклада за напредъка по член 20, с плана на нетните разходи</w:t>
            </w:r>
            <w:r w:rsidRPr="00BE53BD">
              <w:rPr>
                <w:b/>
                <w:i/>
              </w:rPr>
              <w:t>;</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б)</w:t>
            </w:r>
            <w:r w:rsidRPr="00BE53BD">
              <w:t xml:space="preserve"> </w:t>
            </w:r>
            <w:r w:rsidRPr="00BE53BD">
              <w:tab/>
              <w:t xml:space="preserve">когато е приложимо, анализира и факторите, на които се основава </w:t>
            </w:r>
            <w:r w:rsidRPr="00BE53BD">
              <w:t>отклонението от плана на нетните разходи</w:t>
            </w:r>
            <w:r w:rsidRPr="00BE53BD">
              <w:rPr>
                <w:b/>
                <w:i/>
              </w:rPr>
              <w:t>;</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 xml:space="preserve">в) </w:t>
            </w:r>
            <w:r w:rsidRPr="00BE53BD">
              <w:tab/>
            </w:r>
            <w:r w:rsidRPr="00BE53BD">
              <w:rPr>
                <w:b/>
                <w:i/>
              </w:rPr>
              <w:t>предоставя оценка на социалното въздействие на избора на политика за фискална корекция</w:t>
            </w:r>
            <w:r w:rsidRPr="00BE53BD">
              <w:t>.</w:t>
            </w:r>
          </w:p>
        </w:tc>
      </w:tr>
      <w:tr w:rsidR="004A39FD" w:rsidRPr="00BE53BD" w:rsidTr="00C33FBD">
        <w:trPr>
          <w:jc w:val="center"/>
        </w:trPr>
        <w:tc>
          <w:tcPr>
            <w:tcW w:w="4876" w:type="dxa"/>
            <w:hideMark/>
          </w:tcPr>
          <w:p w:rsidR="00AF0131" w:rsidRPr="00BE53BD" w:rsidRDefault="00C21BA3" w:rsidP="00C33FBD">
            <w:pPr>
              <w:pStyle w:val="Normal6"/>
            </w:pPr>
            <w:r w:rsidRPr="00BE53BD">
              <w:t>__________________</w:t>
            </w:r>
          </w:p>
        </w:tc>
        <w:tc>
          <w:tcPr>
            <w:tcW w:w="4876" w:type="dxa"/>
            <w:hideMark/>
          </w:tcPr>
          <w:p w:rsidR="00AF0131" w:rsidRPr="00BE53BD" w:rsidRDefault="00C21BA3" w:rsidP="00C33FBD">
            <w:pPr>
              <w:pStyle w:val="Normal6"/>
              <w:rPr>
                <w:szCs w:val="24"/>
              </w:rPr>
            </w:pPr>
            <w:r w:rsidRPr="00BE53BD">
              <w:t>__________________</w:t>
            </w:r>
          </w:p>
        </w:tc>
      </w:tr>
      <w:tr w:rsidR="004A39FD" w:rsidRPr="00BE53BD" w:rsidTr="00C33FBD">
        <w:trPr>
          <w:jc w:val="center"/>
        </w:trPr>
        <w:tc>
          <w:tcPr>
            <w:tcW w:w="4876" w:type="dxa"/>
            <w:hideMark/>
          </w:tcPr>
          <w:p w:rsidR="00AF0131" w:rsidRPr="00BE53BD" w:rsidRDefault="00C21BA3" w:rsidP="00C33FBD">
            <w:pPr>
              <w:pStyle w:val="Normal6"/>
            </w:pPr>
            <w:r w:rsidRPr="00BE53BD">
              <w:rPr>
                <w:vertAlign w:val="superscript"/>
              </w:rPr>
              <w:t>32</w:t>
            </w:r>
            <w:r w:rsidRPr="00BE53BD">
              <w:t xml:space="preserve"> Директива [...] на Съвета от [...] [за изменение на Директива 2011/85/ЕС на С</w:t>
            </w:r>
            <w:r w:rsidRPr="00BE53BD">
              <w:t>ъвета относно изискванията за бюджетните рамки на държавите членки] (ОВ L...,..., стр…).</w:t>
            </w:r>
          </w:p>
        </w:tc>
        <w:tc>
          <w:tcPr>
            <w:tcW w:w="4876" w:type="dxa"/>
            <w:hideMark/>
          </w:tcPr>
          <w:p w:rsidR="00AF0131" w:rsidRPr="00BE53BD" w:rsidRDefault="00C21BA3" w:rsidP="00C33FBD">
            <w:pPr>
              <w:pStyle w:val="Normal6"/>
              <w:rPr>
                <w:szCs w:val="24"/>
              </w:rPr>
            </w:pPr>
            <w:r w:rsidRPr="00BE53BD">
              <w:rPr>
                <w:vertAlign w:val="superscript"/>
              </w:rPr>
              <w:t>32</w:t>
            </w:r>
            <w:r w:rsidRPr="00BE53BD">
              <w:t xml:space="preserve"> Директива [...] на Съвета от [...] [за изменение на Директива 2011/85/ЕС на Съвета относно изискванията за бюджетните рамки на държавите членки] (ОВ L...,..., стр…)</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25</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26 – параграф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 xml:space="preserve">Европейският парламент участва надлежно в европейския семестър, за да се </w:t>
            </w:r>
            <w:r w:rsidRPr="00BE53BD">
              <w:t>увеличат прозрачността и ангажираността, както и отчетността по отношение на взетите решения, по-специално чрез икономически диалог. При необходимост в рамките на европейския семестър се провеждат консултации с Икономическия и финансов комитет, Комитета за</w:t>
            </w:r>
            <w:r w:rsidRPr="00BE53BD">
              <w:t xml:space="preserve"> икономическа политика, Комитета по заетостта и Комитета за социална закрила. Съответните заинтересовани страни, по-специално социалните партньори, участват в рамките на европейския семестър, когато е целесъобразно, във връзка с основни въпроси на политика</w:t>
            </w:r>
            <w:r w:rsidRPr="00BE53BD">
              <w:t>та в съответствие с разпоредбите на ДФЕС и националните правни и политически условия.</w:t>
            </w:r>
          </w:p>
        </w:tc>
        <w:tc>
          <w:tcPr>
            <w:tcW w:w="4876" w:type="dxa"/>
            <w:hideMark/>
          </w:tcPr>
          <w:p w:rsidR="00AF0131" w:rsidRPr="00BE53BD" w:rsidRDefault="00C21BA3" w:rsidP="00C33FBD">
            <w:pPr>
              <w:pStyle w:val="Normal6"/>
              <w:rPr>
                <w:szCs w:val="24"/>
              </w:rPr>
            </w:pPr>
            <w:r w:rsidRPr="00BE53BD">
              <w:t>Европейският парламент участва надлежно в европейския семестър, за да се увеличат прозрачността и ангажираността, както и отчетността по отношение на взетите решения, по-</w:t>
            </w:r>
            <w:r w:rsidRPr="00BE53BD">
              <w:t xml:space="preserve">специално чрез икономически диалог </w:t>
            </w:r>
            <w:r w:rsidRPr="00BE53BD">
              <w:rPr>
                <w:b/>
                <w:i/>
              </w:rPr>
              <w:t>и диалог в областта на заетостта, а също така и по отношение на определянето на приоритетите на макроикономическата и социалната политика</w:t>
            </w:r>
            <w:r w:rsidRPr="00BE53BD">
              <w:t>. При необходимост в рамките на европейския семестър се провеждат консултации с Икон</w:t>
            </w:r>
            <w:r w:rsidRPr="00BE53BD">
              <w:t xml:space="preserve">омическия и финансов комитет, Комитета за икономическа политика, Комитета по заетостта и Комитета за социална закрила. </w:t>
            </w:r>
            <w:r w:rsidRPr="00BE53BD">
              <w:rPr>
                <w:b/>
                <w:i/>
              </w:rPr>
              <w:t>При необходимост в рамките на европейския семестър се провеждат консултации с Европейския икономически и социален комитет и Европейския к</w:t>
            </w:r>
            <w:r w:rsidRPr="00BE53BD">
              <w:rPr>
                <w:b/>
                <w:i/>
              </w:rPr>
              <w:t>омитет на регионите.</w:t>
            </w:r>
            <w:r w:rsidRPr="00BE53BD">
              <w:t xml:space="preserve"> Съответните заинтересовани страни, по-специално социалните партньори </w:t>
            </w:r>
            <w:r w:rsidRPr="00BE53BD">
              <w:rPr>
                <w:b/>
                <w:i/>
              </w:rPr>
              <w:t>и организациите на гражданското общество</w:t>
            </w:r>
            <w:r w:rsidRPr="00BE53BD">
              <w:t>, участват в рамките на европейския семестър, когато е целесъобразно, във връзка с основни въпроси на политиката в съответстви</w:t>
            </w:r>
            <w:r w:rsidRPr="00BE53BD">
              <w:t>е с разпоредбите на ДФЕС и националните правни и политически условия.</w:t>
            </w:r>
          </w:p>
        </w:tc>
      </w:tr>
    </w:tbl>
    <w:p w:rsidR="00AF0131" w:rsidRPr="00BE53BD" w:rsidRDefault="00C21BA3" w:rsidP="00C56375">
      <w:pPr>
        <w:rPr>
          <w:rFonts w:eastAsiaTheme="majorEastAsia"/>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26</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26 – параграф 2</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 xml:space="preserve">За да се </w:t>
            </w:r>
            <w:r w:rsidRPr="00BE53BD">
              <w:t>насърчи диалогът между институциите на Съюза, по-специално Европейския парламент, Съвета и Комисията, и за да се гарантира по-голяма прозрачност и отчетност, Европейският парламент може да отправя покани до председателя на Съвета, Комисията и когато е умес</w:t>
            </w:r>
            <w:r w:rsidRPr="00BE53BD">
              <w:t>тно, председателя на Европейския съвет или председателя на Еврогрупата, да се явят пред него, за да обсъдят насоките за политиката на държавите членки, издадени от Комисията, заключенията на Европейския съвет и резултатите от многостранното наблюдение, осъ</w:t>
            </w:r>
            <w:r w:rsidRPr="00BE53BD">
              <w:t>ществявано съгласно настоящия регламент.</w:t>
            </w:r>
          </w:p>
        </w:tc>
        <w:tc>
          <w:tcPr>
            <w:tcW w:w="4876" w:type="dxa"/>
            <w:hideMark/>
          </w:tcPr>
          <w:p w:rsidR="00AF0131" w:rsidRPr="00BE53BD" w:rsidRDefault="00C21BA3" w:rsidP="00C33FBD">
            <w:pPr>
              <w:pStyle w:val="Normal6"/>
              <w:rPr>
                <w:szCs w:val="24"/>
              </w:rPr>
            </w:pPr>
            <w:r w:rsidRPr="00BE53BD">
              <w:t>За да се насърчи диалогът между институциите на Съюза, по-специално Европейския парламент, Съвета и Комисията, и за да се гарантира по-голяма прозрачност и отчетност, Европейският парламент може да отправя покани до</w:t>
            </w:r>
            <w:r w:rsidRPr="00BE53BD">
              <w:t xml:space="preserve"> председателя на Съвета, Комисията и когато е уместно, председателя на Европейския съвет или председателя на Еврогрупата, да се явят пред него, за да обсъдят насоките за политиката на държавите членки, издадени от Комисията, заключенията на Европейския съв</w:t>
            </w:r>
            <w:r w:rsidRPr="00BE53BD">
              <w:t>ет и резултатите от многостранното наблюдение, осъществявано съгласно настоящия регламент</w:t>
            </w:r>
            <w:r w:rsidRPr="00BE53BD">
              <w:rPr>
                <w:b/>
                <w:i/>
              </w:rPr>
              <w:t>, включително системите за ранно предупреждение, създадени съгласно член 121, параграф 4 и член 148 от ДФЕС</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27</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Член 26 – параграф 3a (нов)</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Компетентните комисии на Европейския парламент могат да поканят Комисията за обсъждане на следните въпроси:</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a)</w:t>
            </w:r>
            <w:r w:rsidRPr="00BE53BD">
              <w:rPr>
                <w:b/>
                <w:i/>
              </w:rPr>
              <w:tab/>
              <w:t xml:space="preserve">оценката на </w:t>
            </w:r>
            <w:r w:rsidRPr="00BE53BD">
              <w:rPr>
                <w:b/>
                <w:i/>
              </w:rPr>
              <w:t>Комисията на прогнозите за средносрочния публичен дълг в националните средносрочни структурни планове във фискалната област, както и на анализа на устойчивостта на обслужването на дълга;</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б)</w:t>
            </w:r>
            <w:r w:rsidRPr="00BE53BD">
              <w:rPr>
                <w:b/>
                <w:i/>
              </w:rPr>
              <w:tab/>
              <w:t xml:space="preserve"> оценката на информацията, предоставена от държавите членки в го</w:t>
            </w:r>
            <w:r w:rsidRPr="00BE53BD">
              <w:rPr>
                <w:b/>
                <w:i/>
              </w:rPr>
              <w:t>дишните доклади за напредъка;</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в)</w:t>
            </w:r>
            <w:r w:rsidRPr="00BE53BD">
              <w:rPr>
                <w:b/>
                <w:i/>
              </w:rPr>
              <w:tab/>
              <w:t>оценката на набора от ангажименти за реформи и инвестиции, които са в основата на удължаване на периода на корекция;</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г) оценката на специфичните за всяка държава препоръки и рискове за социалната конвергенция и на напре</w:t>
            </w:r>
            <w:r w:rsidRPr="00BE53BD">
              <w:rPr>
                <w:b/>
                <w:i/>
              </w:rPr>
              <w:t>дъка в прилагането на принципите на Европейския стълб на социалните права.</w:t>
            </w:r>
          </w:p>
        </w:tc>
      </w:tr>
    </w:tbl>
    <w:p w:rsidR="00AF0131" w:rsidRPr="00BE53BD" w:rsidRDefault="00C21BA3" w:rsidP="00C56375">
      <w:pPr>
        <w:rPr>
          <w:rStyle w:val="HideTWBExt"/>
          <w:rFonts w:eastAsiaTheme="majorEastAsia"/>
          <w:b/>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28</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г</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г)</w:t>
            </w:r>
            <w:r w:rsidRPr="00BE53BD">
              <w:tab/>
              <w:t>информация за имплицитните задължения</w:t>
            </w:r>
            <w:r w:rsidRPr="00BE53BD">
              <w:rPr>
                <w:b/>
                <w:i/>
              </w:rPr>
              <w:t>, свързани със застаряването,</w:t>
            </w:r>
            <w:r w:rsidRPr="00BE53BD">
              <w:t xml:space="preserve"> и за условните задължения с потенциално силно въздействие върху държавния бюджет, включително държавни гаранции, необслужвани кредити и задължения, произтичащи от дейността на</w:t>
            </w:r>
            <w:r w:rsidRPr="00BE53BD">
              <w:t xml:space="preserve"> държавни предприятия, включително техния размер, потенциални разходи и задължения, произтичащи от съдебни дела, и доколкото е възможно, информация за условните задължения във връзка с бедствия и с климата.</w:t>
            </w:r>
          </w:p>
        </w:tc>
        <w:tc>
          <w:tcPr>
            <w:tcW w:w="4876" w:type="dxa"/>
            <w:hideMark/>
          </w:tcPr>
          <w:p w:rsidR="00AF0131" w:rsidRPr="00BE53BD" w:rsidRDefault="00C21BA3" w:rsidP="00C33FBD">
            <w:pPr>
              <w:pStyle w:val="Normal6"/>
              <w:rPr>
                <w:szCs w:val="24"/>
              </w:rPr>
            </w:pPr>
            <w:r w:rsidRPr="00BE53BD">
              <w:t>г)</w:t>
            </w:r>
            <w:r w:rsidRPr="00BE53BD">
              <w:tab/>
              <w:t>информация за имплицитните задължения и за усл</w:t>
            </w:r>
            <w:r w:rsidRPr="00BE53BD">
              <w:t>овните задължения с потенциално силно въздействие върху държавния бюджет, включително държавни гаранции, необслужвани кредити и задължения, произтичащи от дейността на държавни предприятия, включително техния размер, потенциални разходи и задължения, произ</w:t>
            </w:r>
            <w:r w:rsidRPr="00BE53BD">
              <w:t>тичащи от съдебни дела, и доколкото е възможно, информация за условните задължения във връзка с бедствия и с климата.</w:t>
            </w:r>
          </w:p>
        </w:tc>
      </w:tr>
    </w:tbl>
    <w:p w:rsidR="00AF0131" w:rsidRPr="00BE53BD" w:rsidRDefault="00C21BA3" w:rsidP="00AF0131">
      <w:pPr>
        <w:pStyle w:val="AMNumberTabs0"/>
        <w:keepNext/>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29</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ІІ – параграф 1 – буква е</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е)</w:t>
            </w:r>
            <w:r w:rsidRPr="00BE53BD">
              <w:tab/>
              <w:t>в случай че държавата членка използва допускания по точка д), които се различават от допусканията на Комисията за периода на корекция по националния средносрочен структурен план във фискалната област</w:t>
            </w:r>
            <w:r w:rsidRPr="00BE53BD">
              <w:t xml:space="preserve"> и следващия 10-годишен период при липса на допълнителни бюджетни мерки — надлежни обяснения и обосновки въз основа на солидни икономически аргументи за тези разлики.</w:t>
            </w:r>
          </w:p>
        </w:tc>
        <w:tc>
          <w:tcPr>
            <w:tcW w:w="4876" w:type="dxa"/>
            <w:hideMark/>
          </w:tcPr>
          <w:p w:rsidR="00AF0131" w:rsidRPr="00BE53BD" w:rsidRDefault="00C21BA3" w:rsidP="00C33FBD">
            <w:pPr>
              <w:pStyle w:val="Normal6"/>
              <w:rPr>
                <w:szCs w:val="24"/>
              </w:rPr>
            </w:pPr>
            <w:r w:rsidRPr="00BE53BD">
              <w:t>е)</w:t>
            </w:r>
            <w:r w:rsidRPr="00BE53BD">
              <w:tab/>
              <w:t>в случай че държавата членка използва допускания по точка д), които се различават от д</w:t>
            </w:r>
            <w:r w:rsidRPr="00BE53BD">
              <w:t xml:space="preserve">опусканията на Комисията за периода на корекция по националния средносрочен структурен план във фискалната област и следващия 10-годишен период при липса на допълнителни бюджетни мерки — надлежни обяснения и обосновки въз основа на солидни икономически </w:t>
            </w:r>
            <w:r w:rsidRPr="00BE53BD">
              <w:rPr>
                <w:b/>
                <w:i/>
              </w:rPr>
              <w:t>и с</w:t>
            </w:r>
            <w:r w:rsidRPr="00BE53BD">
              <w:rPr>
                <w:b/>
                <w:i/>
              </w:rPr>
              <w:t>оциални</w:t>
            </w:r>
            <w:r w:rsidRPr="00BE53BD">
              <w:t xml:space="preserve"> аргументи за тези разлики.</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30</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ж</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ж)</w:t>
            </w:r>
            <w:r w:rsidRPr="00BE53BD">
              <w:tab/>
              <w:t>анализ на начина, по който</w:t>
            </w:r>
            <w:r w:rsidRPr="00BE53BD">
              <w:t xml:space="preserve"> промените в основните икономически допускания биха повлияли на бюджетната и на дълговата позиция на държавата членка.</w:t>
            </w:r>
          </w:p>
        </w:tc>
        <w:tc>
          <w:tcPr>
            <w:tcW w:w="4876" w:type="dxa"/>
            <w:hideMark/>
          </w:tcPr>
          <w:p w:rsidR="00AF0131" w:rsidRPr="00BE53BD" w:rsidRDefault="00C21BA3" w:rsidP="00C33FBD">
            <w:pPr>
              <w:pStyle w:val="Normal6"/>
              <w:rPr>
                <w:szCs w:val="24"/>
              </w:rPr>
            </w:pPr>
            <w:r w:rsidRPr="00BE53BD">
              <w:t>ж)</w:t>
            </w:r>
            <w:r w:rsidRPr="00BE53BD">
              <w:tab/>
              <w:t xml:space="preserve">анализ на начина, по който промените в основните икономически </w:t>
            </w:r>
            <w:r w:rsidRPr="00BE53BD">
              <w:rPr>
                <w:b/>
                <w:i/>
              </w:rPr>
              <w:t>и социални</w:t>
            </w:r>
            <w:r w:rsidRPr="00BE53BD">
              <w:t xml:space="preserve"> допускания биха повлияли на бюджетната и на дълговата позиция</w:t>
            </w:r>
            <w:r w:rsidRPr="00BE53BD">
              <w:t xml:space="preserve"> на държавата членка</w:t>
            </w:r>
            <w:r w:rsidRPr="00BE53BD">
              <w:rPr>
                <w:b/>
                <w:i/>
              </w:rPr>
              <w:t>, както и на постигането на националните цели, свързани с водещите цели на Европейския стълб на социалните права и техните основни вторични показатели и общите приоритети на Съюза</w:t>
            </w:r>
            <w:r w:rsidRPr="00BE53BD">
              <w:t>.</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31</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з</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з)</w:t>
            </w:r>
            <w:r w:rsidRPr="00BE53BD">
              <w:tab/>
              <w:t xml:space="preserve">ако е приложимо, надлежно обосновани мотиви (с подходящи надеждни и проверяеми икономически аргументи) за </w:t>
            </w:r>
            <w:r w:rsidRPr="00BE53BD">
              <w:t>наличието на отклонение от техническата траектория, представена от Комисията.</w:t>
            </w:r>
          </w:p>
        </w:tc>
        <w:tc>
          <w:tcPr>
            <w:tcW w:w="4876" w:type="dxa"/>
            <w:hideMark/>
          </w:tcPr>
          <w:p w:rsidR="00AF0131" w:rsidRPr="00BE53BD" w:rsidRDefault="00C21BA3" w:rsidP="00C33FBD">
            <w:pPr>
              <w:pStyle w:val="Normal6"/>
              <w:rPr>
                <w:szCs w:val="24"/>
              </w:rPr>
            </w:pPr>
            <w:r w:rsidRPr="00BE53BD">
              <w:t>з)</w:t>
            </w:r>
            <w:r w:rsidRPr="00BE53BD">
              <w:tab/>
              <w:t xml:space="preserve">ако е приложимо, надлежно обосновани мотиви (с подходящи надеждни и проверяеми икономически </w:t>
            </w:r>
            <w:r w:rsidRPr="00BE53BD">
              <w:rPr>
                <w:b/>
                <w:i/>
              </w:rPr>
              <w:t>и социални</w:t>
            </w:r>
            <w:r w:rsidRPr="00BE53BD">
              <w:t xml:space="preserve"> аргументи) за наличието на отклонение от техническата траектория, предст</w:t>
            </w:r>
            <w:r w:rsidRPr="00BE53BD">
              <w:t>авена от Комисията.</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32</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ІІ – параграф 1 – буква й</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й)</w:t>
            </w:r>
            <w:r w:rsidRPr="00BE53BD">
              <w:tab/>
              <w:t xml:space="preserve">пълните разходи за публични инвестиции, </w:t>
            </w:r>
            <w:r w:rsidRPr="00BE53BD">
              <w:t>както и разходите за реформи и публични инвестиции, насочени към постигане на общите приоритети на Съюза, посочени в приложение VI.</w:t>
            </w:r>
          </w:p>
        </w:tc>
        <w:tc>
          <w:tcPr>
            <w:tcW w:w="4876" w:type="dxa"/>
            <w:hideMark/>
          </w:tcPr>
          <w:p w:rsidR="00AF0131" w:rsidRPr="00BE53BD" w:rsidRDefault="00C21BA3" w:rsidP="00C33FBD">
            <w:pPr>
              <w:pStyle w:val="Normal6"/>
              <w:rPr>
                <w:szCs w:val="24"/>
              </w:rPr>
            </w:pPr>
            <w:r w:rsidRPr="00BE53BD">
              <w:t>й)</w:t>
            </w:r>
            <w:r w:rsidRPr="00BE53BD">
              <w:tab/>
              <w:t xml:space="preserve">пълните разходи за публични инвестиции, както и разходите за реформи и публични инвестиции, насочени към постигане на </w:t>
            </w:r>
            <w:r w:rsidRPr="00BE53BD">
              <w:rPr>
                <w:b/>
                <w:i/>
              </w:rPr>
              <w:t>все</w:t>
            </w:r>
            <w:r w:rsidRPr="00BE53BD">
              <w:rPr>
                <w:b/>
                <w:i/>
              </w:rPr>
              <w:t>ки един от</w:t>
            </w:r>
            <w:r w:rsidRPr="00BE53BD">
              <w:t xml:space="preserve"> общите приоритети на Съюза, посочени в приложение VI.</w:t>
            </w:r>
          </w:p>
        </w:tc>
      </w:tr>
    </w:tbl>
    <w:p w:rsidR="00AF0131" w:rsidRPr="00BE53BD" w:rsidRDefault="00C21BA3" w:rsidP="00C56375">
      <w:pPr>
        <w:rPr>
          <w:rFonts w:eastAsiaTheme="majorEastAsia"/>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33</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к</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к)</w:t>
            </w:r>
            <w:r w:rsidRPr="00BE53BD">
              <w:tab/>
              <w:t>ако е приложимо, информация за конкретния, обвързан със срокове и проверяем набор от ангажименти за реформи и инвестиции, които са в основата на евентуалното удължаване на периода на корекция съгласно член 13, график за тяхното изпълнение, както и соли</w:t>
            </w:r>
            <w:r w:rsidRPr="00BE53BD">
              <w:t>дни икономически аргументи, че този набор от ангажименти за реформи и инвестиции отговаря на критериите по член 13, като се вземат предвид критериите за оценка в приложение VII.</w:t>
            </w:r>
          </w:p>
        </w:tc>
        <w:tc>
          <w:tcPr>
            <w:tcW w:w="4876" w:type="dxa"/>
            <w:hideMark/>
          </w:tcPr>
          <w:p w:rsidR="00AF0131" w:rsidRPr="00BE53BD" w:rsidRDefault="00C21BA3" w:rsidP="00C33FBD">
            <w:pPr>
              <w:pStyle w:val="Normal6"/>
              <w:rPr>
                <w:szCs w:val="24"/>
              </w:rPr>
            </w:pPr>
            <w:r w:rsidRPr="00BE53BD">
              <w:t>к)</w:t>
            </w:r>
            <w:r w:rsidRPr="00BE53BD">
              <w:tab/>
            </w:r>
            <w:r w:rsidRPr="00BE53BD">
              <w:t xml:space="preserve">ако е приложимо, информация за конкретния, обвързан със срокове и проверяем набор от ангажименти за реформи и инвестиции, които са в основата на евентуалното удължаване на периода на корекция съгласно член 13, график за тяхното изпълнение, както и солидни </w:t>
            </w:r>
            <w:r w:rsidRPr="00BE53BD">
              <w:t xml:space="preserve">икономически </w:t>
            </w:r>
            <w:r w:rsidRPr="00BE53BD">
              <w:rPr>
                <w:b/>
                <w:i/>
              </w:rPr>
              <w:t>и социални</w:t>
            </w:r>
            <w:r w:rsidRPr="00BE53BD">
              <w:t xml:space="preserve"> аргументи, че този набор от ангажименти за реформи и инвестиции отговаря на критериите по член 13, като се вземат предвид критериите за оценка в приложение VII.</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34</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w:t>
      </w:r>
      <w:r w:rsidRPr="00BE53BD">
        <w:t xml:space="preserve">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л</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л)</w:t>
            </w:r>
            <w:r w:rsidRPr="00BE53BD">
              <w:tab/>
            </w:r>
            <w:r w:rsidRPr="00BE53BD">
              <w:t xml:space="preserve">количествено определяне, доколкото е възможно, на очакваното въздействие на реформите и инвестициите, посочени в точка к), върху фискалната устойчивост, </w:t>
            </w:r>
            <w:r w:rsidRPr="00BE53BD">
              <w:rPr>
                <w:b/>
                <w:bCs/>
                <w:i/>
                <w:iCs/>
              </w:rPr>
              <w:t>растежа</w:t>
            </w:r>
            <w:r w:rsidRPr="00BE53BD">
              <w:t xml:space="preserve"> и </w:t>
            </w:r>
            <w:r w:rsidRPr="00BE53BD">
              <w:rPr>
                <w:b/>
                <w:bCs/>
                <w:i/>
                <w:iCs/>
              </w:rPr>
              <w:t>заетостта</w:t>
            </w:r>
            <w:r w:rsidRPr="00BE53BD">
              <w:t>, когато е приложимо, в съответствие с общоприетите методики.</w:t>
            </w:r>
          </w:p>
        </w:tc>
        <w:tc>
          <w:tcPr>
            <w:tcW w:w="4876" w:type="dxa"/>
            <w:hideMark/>
          </w:tcPr>
          <w:p w:rsidR="00AF0131" w:rsidRPr="00BE53BD" w:rsidRDefault="00C21BA3" w:rsidP="00C33FBD">
            <w:pPr>
              <w:pStyle w:val="Normal6"/>
              <w:rPr>
                <w:szCs w:val="24"/>
              </w:rPr>
            </w:pPr>
            <w:r w:rsidRPr="00BE53BD">
              <w:t>л)</w:t>
            </w:r>
            <w:r w:rsidRPr="00BE53BD">
              <w:tab/>
              <w:t>количествено опреде</w:t>
            </w:r>
            <w:r w:rsidRPr="00BE53BD">
              <w:t xml:space="preserve">ляне, доколкото е възможно, на очакваното въздействие на реформите и инвестициите, посочени в точка к), върху фискалната устойчивост, </w:t>
            </w:r>
            <w:r w:rsidRPr="00BE53BD">
              <w:rPr>
                <w:b/>
                <w:i/>
              </w:rPr>
              <w:t>устойчивия и приобщаващ растеж</w:t>
            </w:r>
            <w:r w:rsidRPr="00BE53BD">
              <w:t xml:space="preserve"> и </w:t>
            </w:r>
            <w:r w:rsidRPr="00BE53BD">
              <w:rPr>
                <w:b/>
                <w:i/>
              </w:rPr>
              <w:t>конкурентоспособността, качествената заетост, както и върху възходящата социална конверге</w:t>
            </w:r>
            <w:r w:rsidRPr="00BE53BD">
              <w:rPr>
                <w:b/>
                <w:i/>
              </w:rPr>
              <w:t>нция</w:t>
            </w:r>
            <w:r w:rsidRPr="00BE53BD">
              <w:t>, когато е приложимо, в съответствие с общоприетите методики.</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35</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на (нова)</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на)</w:t>
            </w:r>
            <w:r w:rsidRPr="00BE53BD">
              <w:rPr>
                <w:b/>
                <w:i/>
              </w:rPr>
              <w:tab/>
              <w:t>ако е приложимо, реформите и инвестициите за коригиране на установените рискове за социалната конвергенция съгласно рамката за социална конвергенция.</w:t>
            </w:r>
          </w:p>
        </w:tc>
      </w:tr>
    </w:tbl>
    <w:p w:rsidR="00AF0131" w:rsidRPr="00BE53BD" w:rsidRDefault="00C21BA3" w:rsidP="00C56375">
      <w:pPr>
        <w:rPr>
          <w:rFonts w:eastAsiaTheme="majorEastAsia"/>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36</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w:t>
      </w:r>
      <w:r w:rsidRPr="00BE53BD">
        <w:rPr>
          <w:rStyle w:val="HideTWBExt"/>
          <w:b w:val="0"/>
        </w:rPr>
        <w:t>d&gt;</w:t>
      </w:r>
    </w:p>
    <w:p w:rsidR="00AF0131" w:rsidRPr="00BE53BD" w:rsidRDefault="00C21BA3" w:rsidP="00AF0131">
      <w:pPr>
        <w:pStyle w:val="NormalBold"/>
      </w:pPr>
      <w:r w:rsidRPr="00BE53BD">
        <w:rPr>
          <w:rStyle w:val="HideTWBExt"/>
          <w:b w:val="0"/>
        </w:rPr>
        <w:t>&lt;Article&gt;</w:t>
      </w:r>
      <w:r w:rsidRPr="00BE53BD">
        <w:t>Приложение II – параграф 1 – буква п</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п)</w:t>
            </w:r>
            <w:r w:rsidRPr="00BE53BD">
              <w:tab/>
              <w:t xml:space="preserve">за държавите членки с малки предизвикателства пред държавния дълг, но с големи имплицитни задължения </w:t>
            </w:r>
            <w:r w:rsidRPr="00BE53BD">
              <w:rPr>
                <w:b/>
                <w:i/>
              </w:rPr>
              <w:t>поради застаряването на населението</w:t>
            </w:r>
            <w:r w:rsidRPr="00BE53BD">
              <w:t xml:space="preserve">, в </w:t>
            </w:r>
            <w:r w:rsidRPr="00BE53BD">
              <w:t>националната траектория на нетните разходи и реформите в националните средносрочни структурни планове във фискалната област следва надлежно да се отчитат предизвикателствата пред публичните финанси, свързани с дългосрочната фискална устойчивост.</w:t>
            </w:r>
          </w:p>
        </w:tc>
        <w:tc>
          <w:tcPr>
            <w:tcW w:w="4876" w:type="dxa"/>
            <w:hideMark/>
          </w:tcPr>
          <w:p w:rsidR="00AF0131" w:rsidRPr="00BE53BD" w:rsidRDefault="00C21BA3" w:rsidP="00C33FBD">
            <w:pPr>
              <w:pStyle w:val="Normal6"/>
              <w:rPr>
                <w:szCs w:val="24"/>
              </w:rPr>
            </w:pPr>
            <w:r w:rsidRPr="00BE53BD">
              <w:t>п)</w:t>
            </w:r>
            <w:r w:rsidRPr="00BE53BD">
              <w:tab/>
              <w:t>за държ</w:t>
            </w:r>
            <w:r w:rsidRPr="00BE53BD">
              <w:t>авите членки с малки предизвикателства пред държавния дълг, но с големи имплицитни задължения, в националната траектория на нетните разходи и реформите в националните средносрочни структурни планове във фискалната област следва надлежно да се отчитат преди</w:t>
            </w:r>
            <w:r w:rsidRPr="00BE53BD">
              <w:t>звикателствата пред публичните финанси, свързани с дългосрочната фискална устойчивост</w:t>
            </w:r>
            <w:r w:rsidRPr="00BE53BD">
              <w:rPr>
                <w:b/>
                <w:i/>
              </w:rPr>
              <w:t>, както и рисковете за социалната конвергенция, установени при последния мониторинг</w:t>
            </w:r>
            <w:r w:rsidRPr="00BE53BD">
              <w:t>.</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37</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 – параграф 1 – буква р</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р)</w:t>
            </w:r>
            <w:r w:rsidRPr="00BE53BD">
              <w:tab/>
              <w:t xml:space="preserve">информация относно </w:t>
            </w:r>
            <w:r w:rsidRPr="00BE53BD">
              <w:rPr>
                <w:b/>
                <w:bCs/>
                <w:i/>
                <w:iCs/>
              </w:rPr>
              <w:t>консултациите</w:t>
            </w:r>
            <w:r w:rsidRPr="00BE53BD">
              <w:t xml:space="preserve"> със социалните партньори, организациите на гражданското общество и други заинтересовани страни с оглед на изготвянето на плана.</w:t>
            </w:r>
          </w:p>
        </w:tc>
        <w:tc>
          <w:tcPr>
            <w:tcW w:w="4876" w:type="dxa"/>
            <w:hideMark/>
          </w:tcPr>
          <w:p w:rsidR="00AF0131" w:rsidRPr="00BE53BD" w:rsidRDefault="00C21BA3" w:rsidP="00C33FBD">
            <w:pPr>
              <w:pStyle w:val="Normal6"/>
              <w:rPr>
                <w:szCs w:val="24"/>
              </w:rPr>
            </w:pPr>
            <w:r w:rsidRPr="00BE53BD">
              <w:t>р)</w:t>
            </w:r>
            <w:r w:rsidRPr="00BE53BD">
              <w:tab/>
              <w:t xml:space="preserve">информация относно </w:t>
            </w:r>
            <w:r w:rsidRPr="00BE53BD">
              <w:rPr>
                <w:b/>
                <w:i/>
              </w:rPr>
              <w:t>ефективните консултации</w:t>
            </w:r>
            <w:r w:rsidRPr="00BE53BD">
              <w:t xml:space="preserve"> със социалните партньори, организациите на гражданското общество и други заинтере</w:t>
            </w:r>
            <w:r w:rsidRPr="00BE53BD">
              <w:t>совани страни с оглед на изготвянето на плана.</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38</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III – параграф 1 – буква б</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б)</w:t>
            </w:r>
            <w:r w:rsidRPr="00BE53BD">
              <w:tab/>
              <w:t xml:space="preserve">сравнение от </w:t>
            </w:r>
            <w:r w:rsidRPr="00BE53BD">
              <w:t>началото на националния средносрочен структурен план във фискалната област между прогнозите за основните икономически променливи, представени в този план, и данните за бюджетните резултати по отношение на тези променливи, както и между последиците за спазв</w:t>
            </w:r>
            <w:r w:rsidRPr="00BE53BD">
              <w:t>ането на плана за нетните разходи, определен от Съвета, и последиците за прогнозната траектория на съотношението на консолидирания държавен дълг към БВП, отчетена в този план.</w:t>
            </w:r>
          </w:p>
        </w:tc>
        <w:tc>
          <w:tcPr>
            <w:tcW w:w="4876" w:type="dxa"/>
            <w:hideMark/>
          </w:tcPr>
          <w:p w:rsidR="00AF0131" w:rsidRPr="00BE53BD" w:rsidRDefault="00C21BA3" w:rsidP="00C33FBD">
            <w:pPr>
              <w:pStyle w:val="Normal6"/>
              <w:rPr>
                <w:szCs w:val="24"/>
              </w:rPr>
            </w:pPr>
            <w:r w:rsidRPr="00BE53BD">
              <w:t>б)</w:t>
            </w:r>
            <w:r w:rsidRPr="00BE53BD">
              <w:tab/>
              <w:t>сравнение от началото на националния средносрочен структурен план във фискалн</w:t>
            </w:r>
            <w:r w:rsidRPr="00BE53BD">
              <w:t xml:space="preserve">ата област между прогнозите за основните икономически </w:t>
            </w:r>
            <w:r w:rsidRPr="00BE53BD">
              <w:rPr>
                <w:b/>
                <w:i/>
              </w:rPr>
              <w:t>и социални</w:t>
            </w:r>
            <w:r w:rsidRPr="00BE53BD">
              <w:t xml:space="preserve"> променливи, представени в този план, и данните за бюджетните резултати по отношение на тези променливи, както и между последиците за спазването на плана за нетните разходи, определен от Съвет</w:t>
            </w:r>
            <w:r w:rsidRPr="00BE53BD">
              <w:t>а, и последиците за прогнозната траектория на съотношението на консолидирания държавен дълг към БВП, отчетена в този план</w:t>
            </w:r>
            <w:r w:rsidRPr="00BE53BD">
              <w:rPr>
                <w:b/>
                <w:i/>
              </w:rPr>
              <w:t>, както и за съответствието с постигането на националните цели, свързани с водещите цели на Европейския стълб на социалните права</w:t>
            </w:r>
            <w:r w:rsidRPr="00BE53BD">
              <w:t>.</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39</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III – параграф 1 – буква з</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з)</w:t>
            </w:r>
            <w:r w:rsidRPr="00BE53BD">
              <w:tab/>
              <w:t xml:space="preserve">основните допускания за очакваното икономическо развитие и </w:t>
            </w:r>
            <w:r w:rsidRPr="00BE53BD">
              <w:t>основните икономически променливи за следващите години от периода на корекция, включително съотношението на консолидирания държавен дълг към БВП.</w:t>
            </w:r>
          </w:p>
        </w:tc>
        <w:tc>
          <w:tcPr>
            <w:tcW w:w="4876" w:type="dxa"/>
            <w:hideMark/>
          </w:tcPr>
          <w:p w:rsidR="00AF0131" w:rsidRPr="00BE53BD" w:rsidRDefault="00C21BA3" w:rsidP="00C33FBD">
            <w:pPr>
              <w:pStyle w:val="Normal6"/>
              <w:rPr>
                <w:szCs w:val="24"/>
              </w:rPr>
            </w:pPr>
            <w:r w:rsidRPr="00BE53BD">
              <w:t>з)</w:t>
            </w:r>
            <w:r w:rsidRPr="00BE53BD">
              <w:tab/>
              <w:t xml:space="preserve">основните допускания за очакваното икономическо </w:t>
            </w:r>
            <w:r w:rsidRPr="00BE53BD">
              <w:rPr>
                <w:b/>
                <w:i/>
              </w:rPr>
              <w:t>и социално</w:t>
            </w:r>
            <w:r w:rsidRPr="00BE53BD">
              <w:t xml:space="preserve"> развитие и основните икономически </w:t>
            </w:r>
            <w:r w:rsidRPr="00BE53BD">
              <w:rPr>
                <w:b/>
                <w:i/>
              </w:rPr>
              <w:t>и социални</w:t>
            </w:r>
            <w:r w:rsidRPr="00BE53BD">
              <w:t xml:space="preserve"> про</w:t>
            </w:r>
            <w:r w:rsidRPr="00BE53BD">
              <w:t>менливи за следващите години от периода на корекция, включително съотношението на консолидирания държавен дълг към БВП.</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40</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 xml:space="preserve">Приложение III – параграф 1 – </w:t>
      </w:r>
      <w:r w:rsidRPr="00BE53BD">
        <w:t>буква л</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л)</w:t>
            </w:r>
            <w:r w:rsidRPr="00BE53BD">
              <w:tab/>
              <w:t>анализ на развитието на макроикономическите дисбаланси, установени в рамките на процедурата при макроикономически дисбаланси, и на въздействието върху тях на изпълнението на съответните реформ</w:t>
            </w:r>
            <w:r w:rsidRPr="00BE53BD">
              <w:t xml:space="preserve">и и инвестиции, отчетени в националния средносрочен структурен план във фискалната област в съответствие с приложение II, </w:t>
            </w:r>
            <w:r w:rsidRPr="00BE53BD">
              <w:rPr>
                <w:b/>
                <w:i/>
              </w:rPr>
              <w:t>точка</w:t>
            </w:r>
            <w:r w:rsidRPr="00BE53BD">
              <w:t> н), когато е приложимо.</w:t>
            </w:r>
          </w:p>
        </w:tc>
        <w:tc>
          <w:tcPr>
            <w:tcW w:w="4876" w:type="dxa"/>
            <w:hideMark/>
          </w:tcPr>
          <w:p w:rsidR="00AF0131" w:rsidRPr="00BE53BD" w:rsidRDefault="00C21BA3" w:rsidP="00C33FBD">
            <w:pPr>
              <w:pStyle w:val="Normal6"/>
              <w:rPr>
                <w:szCs w:val="24"/>
              </w:rPr>
            </w:pPr>
            <w:r w:rsidRPr="00BE53BD">
              <w:t>л)</w:t>
            </w:r>
            <w:r w:rsidRPr="00BE53BD">
              <w:tab/>
              <w:t>анализ на развитието на макроикономическите дисбаланси, установени в рамките на процедурата при макро</w:t>
            </w:r>
            <w:r w:rsidRPr="00BE53BD">
              <w:t xml:space="preserve">икономически дисбаланси, </w:t>
            </w:r>
            <w:r w:rsidRPr="00BE53BD">
              <w:rPr>
                <w:b/>
                <w:i/>
              </w:rPr>
              <w:t xml:space="preserve">както и на установените рискове за социалната конвергенция съгласно рамката за социална конвергенция </w:t>
            </w:r>
            <w:r w:rsidRPr="00BE53BD">
              <w:t xml:space="preserve">и на въздействието върху тях на изпълнението на съответните реформи и инвестиции, отчетени в националния средносрочен структурен план във фискалната област в съответствие с приложение II, </w:t>
            </w:r>
            <w:r w:rsidRPr="00BE53BD">
              <w:rPr>
                <w:b/>
                <w:i/>
              </w:rPr>
              <w:t>букви</w:t>
            </w:r>
            <w:r w:rsidRPr="00BE53BD">
              <w:t xml:space="preserve"> н) </w:t>
            </w:r>
            <w:r w:rsidRPr="00BE53BD">
              <w:rPr>
                <w:b/>
                <w:i/>
              </w:rPr>
              <w:t>и о)</w:t>
            </w:r>
            <w:r w:rsidRPr="00BE53BD">
              <w:t>, когато е приложимо.</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41</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III – параграф 1 – буква н</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н)</w:t>
            </w:r>
            <w:r w:rsidRPr="00BE53BD">
              <w:tab/>
              <w:t>информация относно развитието на политиката в областта на пазара на труда и уменията и с</w:t>
            </w:r>
            <w:r w:rsidRPr="00BE53BD">
              <w:t>оциалната политика, както и относно прилагането на предприетите мерки на политиката, с които се насърчава възходяща социална конвергенция между държавите членки към по-добри условия на труд и живот, в съответствие с принципите на Европейския стълб на социа</w:t>
            </w:r>
            <w:r w:rsidRPr="00BE53BD">
              <w:t>лните права и насоките за заетостта съгласно член 148 от ДФЕС. Това включва очакваното въздействие на мерките във връзка с напредъка по националните цели в областта на заетостта, уменията и намаляването на бедността до 2030 г.</w:t>
            </w:r>
          </w:p>
        </w:tc>
        <w:tc>
          <w:tcPr>
            <w:tcW w:w="4876" w:type="dxa"/>
            <w:hideMark/>
          </w:tcPr>
          <w:p w:rsidR="00AF0131" w:rsidRPr="00BE53BD" w:rsidRDefault="00C21BA3" w:rsidP="00C33FBD">
            <w:pPr>
              <w:pStyle w:val="Normal6"/>
              <w:rPr>
                <w:szCs w:val="24"/>
              </w:rPr>
            </w:pPr>
            <w:r w:rsidRPr="00BE53BD">
              <w:t>н)</w:t>
            </w:r>
            <w:r w:rsidRPr="00BE53BD">
              <w:tab/>
              <w:t xml:space="preserve">информация относно </w:t>
            </w:r>
            <w:r w:rsidRPr="00BE53BD">
              <w:t>развитието на политиката в областта на пазара на труда и уменията и социалната политика, както и относно прилагането на предприетите мерки на политиката, с които се насърчава възходяща социална конвергенция между държавите членки към по-добри условия на тр</w:t>
            </w:r>
            <w:r w:rsidRPr="00BE53BD">
              <w:t>уд и живот, в съответствие с принципите на Европейския стълб на социалните права и насоките за заетостта съгласно член 148 от ДФЕС</w:t>
            </w:r>
            <w:r w:rsidRPr="00BE53BD">
              <w:rPr>
                <w:b/>
                <w:i/>
              </w:rPr>
              <w:t xml:space="preserve"> и рамката за социална конвергенция</w:t>
            </w:r>
            <w:r w:rsidRPr="00BE53BD">
              <w:t>. Това включва очакваното въздействие на мерките във връзка с напредъка по националните цел</w:t>
            </w:r>
            <w:r w:rsidRPr="00BE53BD">
              <w:t xml:space="preserve">и в областта на заетостта, уменията и намаляването на бедността до 2030 г. </w:t>
            </w:r>
            <w:r w:rsidRPr="00BE53BD">
              <w:rPr>
                <w:b/>
                <w:i/>
              </w:rPr>
              <w:t>и ако е приложимо, очакваното въздействие на мерките за коригиране на установените социални рискове съгласно рамката за социална конвергенция</w:t>
            </w:r>
            <w:r w:rsidRPr="00BE53BD">
              <w:t>.</w:t>
            </w:r>
          </w:p>
        </w:tc>
      </w:tr>
    </w:tbl>
    <w:p w:rsidR="00AF0131" w:rsidRPr="00BE53BD" w:rsidRDefault="00C21BA3" w:rsidP="00AF0131">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42</w:t>
      </w:r>
      <w:r w:rsidRPr="00BE53BD">
        <w:rPr>
          <w:rStyle w:val="HideTWBExt"/>
          <w:b w:val="0"/>
        </w:rPr>
        <w:t>&lt;</w:t>
      </w:r>
      <w:r w:rsidRPr="00BE53BD">
        <w:rPr>
          <w:rStyle w:val="HideTWBExt"/>
          <w:b w:val="0"/>
        </w:rPr>
        <w: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IIІ – параграф 1 – буква оа (нова)</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оа)</w:t>
            </w:r>
            <w:r w:rsidRPr="00BE53BD">
              <w:tab/>
            </w:r>
            <w:r w:rsidRPr="00BE53BD">
              <w:rPr>
                <w:b/>
                <w:i/>
              </w:rPr>
              <w:t>информация относно консултациите със социалните партньори, организациите на гражданското</w:t>
            </w:r>
            <w:r w:rsidRPr="00BE53BD">
              <w:rPr>
                <w:b/>
                <w:i/>
              </w:rPr>
              <w:t xml:space="preserve"> общество и други заинтересовани страни с оглед на изготвянето на доклада.</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C56375">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43</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VII – точка 2 – параграф 2 – подточка 2.1 – уводна част</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2.1</w:t>
            </w:r>
            <w:r w:rsidRPr="00BE53BD">
              <w:tab/>
              <w:t xml:space="preserve">Наборът от ангажименти за реформи и инвестиции насърчава </w:t>
            </w:r>
            <w:r w:rsidRPr="00BE53BD">
              <w:rPr>
                <w:b/>
                <w:i/>
              </w:rPr>
              <w:t>растежа</w:t>
            </w:r>
            <w:r w:rsidRPr="00BE53BD">
              <w:t>.</w:t>
            </w:r>
          </w:p>
        </w:tc>
        <w:tc>
          <w:tcPr>
            <w:tcW w:w="4876" w:type="dxa"/>
            <w:hideMark/>
          </w:tcPr>
          <w:p w:rsidR="00AF0131" w:rsidRPr="00BE53BD" w:rsidRDefault="00C21BA3" w:rsidP="00C33FBD">
            <w:pPr>
              <w:pStyle w:val="Normal6"/>
              <w:rPr>
                <w:szCs w:val="24"/>
              </w:rPr>
            </w:pPr>
            <w:r w:rsidRPr="00BE53BD">
              <w:t>2.1</w:t>
            </w:r>
            <w:r w:rsidRPr="00BE53BD">
              <w:tab/>
              <w:t xml:space="preserve">Наборът от ангажименти за реформи и инвестиции насърчава </w:t>
            </w:r>
            <w:r w:rsidRPr="00BE53BD">
              <w:rPr>
                <w:b/>
                <w:i/>
              </w:rPr>
              <w:t>устойчивия растеж</w:t>
            </w:r>
            <w:r w:rsidRPr="00BE53BD">
              <w:t xml:space="preserve">. </w:t>
            </w:r>
            <w:r w:rsidRPr="00BE53BD">
              <w:rPr>
                <w:b/>
                <w:i/>
              </w:rPr>
              <w:t xml:space="preserve">Очаква се наборът от ангажименти за реформи и инвестиции да </w:t>
            </w:r>
            <w:r w:rsidRPr="00BE53BD">
              <w:rPr>
                <w:b/>
                <w:i/>
              </w:rPr>
              <w:t>доведе до значителен напредък по отношение на постигането на националните цели, свързани с водещите цели на Европейския стълб на социалните права и техните основни и вторични показатели;</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44</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 xml:space="preserve">Предложение </w:t>
      </w:r>
      <w:r w:rsidRPr="00BE53BD">
        <w:t>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VII – точка 2 – параграф 2 – подточка 2.2a (нова)</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tcPr>
          <w:p w:rsidR="00AF0131" w:rsidRPr="00BE53BD" w:rsidRDefault="00AF0131" w:rsidP="00C33FBD">
            <w:pPr>
              <w:pStyle w:val="Normal6"/>
            </w:pPr>
          </w:p>
        </w:tc>
        <w:tc>
          <w:tcPr>
            <w:tcW w:w="4876" w:type="dxa"/>
            <w:hideMark/>
          </w:tcPr>
          <w:p w:rsidR="00AF0131" w:rsidRPr="00BE53BD" w:rsidRDefault="00C21BA3" w:rsidP="00C33FBD">
            <w:pPr>
              <w:pStyle w:val="Normal6"/>
              <w:rPr>
                <w:szCs w:val="24"/>
              </w:rPr>
            </w:pPr>
            <w:r w:rsidRPr="00BE53BD">
              <w:rPr>
                <w:b/>
                <w:i/>
              </w:rPr>
              <w:t>2.2a</w:t>
            </w:r>
            <w:r w:rsidRPr="00BE53BD">
              <w:rPr>
                <w:b/>
                <w:i/>
              </w:rPr>
              <w:tab/>
              <w:t>Наборът от ангажименти за реформи и инвестиции подкрепя възходящата социална конвергенция.</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45</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VII – точка 2 – параграф 2 – подточка 2.4 – уводна част</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2.4</w:t>
            </w:r>
            <w:r w:rsidRPr="00BE53BD">
              <w:tab/>
              <w:t xml:space="preserve">В набора от ангажименти за реформи и </w:t>
            </w:r>
            <w:r w:rsidRPr="00BE53BD">
              <w:t>инвестиции, взети заедно, се отчитат съответните специфични за всяка държава препоръки, включително, когато е приложимо, препоръките, дадени в рамките на процедурата при макроикономически дисбаланси.</w:t>
            </w:r>
          </w:p>
        </w:tc>
        <w:tc>
          <w:tcPr>
            <w:tcW w:w="4876" w:type="dxa"/>
            <w:hideMark/>
          </w:tcPr>
          <w:p w:rsidR="00AF0131" w:rsidRPr="00BE53BD" w:rsidRDefault="00C21BA3" w:rsidP="00C33FBD">
            <w:pPr>
              <w:pStyle w:val="Normal6"/>
              <w:rPr>
                <w:szCs w:val="24"/>
              </w:rPr>
            </w:pPr>
            <w:r w:rsidRPr="00BE53BD">
              <w:t>2.4</w:t>
            </w:r>
            <w:r w:rsidRPr="00BE53BD">
              <w:tab/>
              <w:t>В набора от ангажименти за реформи и инвестиции, взе</w:t>
            </w:r>
            <w:r w:rsidRPr="00BE53BD">
              <w:t xml:space="preserve">ти заедно, се отчитат съответните специфични за всяка държава препоръки </w:t>
            </w:r>
            <w:r w:rsidRPr="00BE53BD">
              <w:rPr>
                <w:b/>
                <w:i/>
              </w:rPr>
              <w:t>съгласно член 121, параграф 4 и член 148, параграф 4 от ДФЕС</w:t>
            </w:r>
            <w:r w:rsidRPr="00BE53BD">
              <w:t>, включително, когато е приложимо, препоръките, дадени в рамките на процедурата при макроикономически дисбаланси.</w:t>
            </w:r>
          </w:p>
        </w:tc>
      </w:tr>
    </w:tbl>
    <w:p w:rsidR="00AF0131" w:rsidRPr="00BE53BD" w:rsidRDefault="00C21BA3" w:rsidP="00C56375">
      <w:pPr>
        <w:rPr>
          <w:rStyle w:val="HideTWBExt"/>
          <w:rFonts w:ascii="Times New Roman" w:hAnsi="Times New Roman" w:cs="Times New Roman"/>
          <w:noProof w:val="0"/>
          <w:vanish w:val="0"/>
          <w:color w:val="auto"/>
          <w:sz w:val="24"/>
        </w:rPr>
      </w:pPr>
      <w:r w:rsidRPr="00BE53BD">
        <w:rPr>
          <w:rStyle w:val="HideTWBExt"/>
        </w:rPr>
        <w:t>&lt;/Amend&gt;</w:t>
      </w:r>
    </w:p>
    <w:p w:rsidR="00AF0131" w:rsidRPr="00BE53BD" w:rsidRDefault="00AF0131" w:rsidP="00AF0131">
      <w:pPr>
        <w:rPr>
          <w:rStyle w:val="HideTWBExt"/>
        </w:rPr>
      </w:pPr>
    </w:p>
    <w:p w:rsidR="00AF0131" w:rsidRPr="00BE53BD" w:rsidRDefault="00C21BA3" w:rsidP="00AF0131">
      <w:pPr>
        <w:pStyle w:val="AmNumberTabs"/>
      </w:pPr>
      <w:r w:rsidRPr="00BE53BD">
        <w:rPr>
          <w:rStyle w:val="HideTWBExt"/>
          <w:b w:val="0"/>
        </w:rPr>
        <w:t>&lt;Amend&gt;</w:t>
      </w:r>
      <w:r w:rsidRPr="00BE53BD">
        <w:t>Изменение</w:t>
      </w:r>
      <w:r w:rsidRPr="00BE53BD">
        <w:tab/>
      </w:r>
      <w:r w:rsidRPr="00BE53BD">
        <w:tab/>
      </w:r>
      <w:r w:rsidRPr="00BE53BD">
        <w:rPr>
          <w:rStyle w:val="HideTWBExt"/>
          <w:b w:val="0"/>
        </w:rPr>
        <w:t>&lt;NumAm&gt;</w:t>
      </w:r>
      <w:r w:rsidRPr="00BE53BD">
        <w:t>46</w:t>
      </w:r>
      <w:r w:rsidRPr="00BE53BD">
        <w:rPr>
          <w:rStyle w:val="HideTWBExt"/>
          <w:b w:val="0"/>
        </w:rPr>
        <w:t>&lt;/NumAm&gt;</w:t>
      </w:r>
    </w:p>
    <w:p w:rsidR="00AF0131" w:rsidRPr="00BE53BD" w:rsidRDefault="00AF0131" w:rsidP="00AF0131"/>
    <w:p w:rsidR="00AF0131" w:rsidRPr="00BE53BD" w:rsidRDefault="00C21BA3" w:rsidP="00AF0131">
      <w:pPr>
        <w:pStyle w:val="NormalBold"/>
        <w:keepNext/>
      </w:pPr>
      <w:r w:rsidRPr="00BE53BD">
        <w:rPr>
          <w:rStyle w:val="HideTWBExt"/>
          <w:b w:val="0"/>
        </w:rPr>
        <w:t>&lt;DocAmend&gt;</w:t>
      </w:r>
      <w:r w:rsidRPr="00BE53BD">
        <w:t>Предложение за регламент</w:t>
      </w:r>
      <w:r w:rsidRPr="00BE53BD">
        <w:rPr>
          <w:rStyle w:val="HideTWBExt"/>
          <w:b w:val="0"/>
        </w:rPr>
        <w:t>&lt;/DocAmend&gt;</w:t>
      </w:r>
    </w:p>
    <w:p w:rsidR="00AF0131" w:rsidRPr="00BE53BD" w:rsidRDefault="00C21BA3" w:rsidP="00AF0131">
      <w:pPr>
        <w:pStyle w:val="NormalBold"/>
      </w:pPr>
      <w:r w:rsidRPr="00BE53BD">
        <w:rPr>
          <w:rStyle w:val="HideTWBExt"/>
          <w:b w:val="0"/>
        </w:rPr>
        <w:t>&lt;Article&gt;</w:t>
      </w:r>
      <w:r w:rsidRPr="00BE53BD">
        <w:t>Приложение VII – точка 2 – параграф 2 – подточка 2.4 – тире 1</w:t>
      </w:r>
      <w:r w:rsidRPr="00BE53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9FD" w:rsidRPr="00BE53BD" w:rsidTr="00C33FBD">
        <w:trPr>
          <w:jc w:val="center"/>
        </w:trPr>
        <w:tc>
          <w:tcPr>
            <w:tcW w:w="9752" w:type="dxa"/>
            <w:gridSpan w:val="2"/>
          </w:tcPr>
          <w:p w:rsidR="00AF0131" w:rsidRPr="00BE53BD" w:rsidRDefault="00AF0131" w:rsidP="00C33FBD">
            <w:pPr>
              <w:keepNext/>
            </w:pPr>
          </w:p>
        </w:tc>
      </w:tr>
      <w:tr w:rsidR="004A39FD" w:rsidRPr="00BE53BD" w:rsidTr="00C33FBD">
        <w:trPr>
          <w:jc w:val="center"/>
        </w:trPr>
        <w:tc>
          <w:tcPr>
            <w:tcW w:w="4876" w:type="dxa"/>
            <w:hideMark/>
          </w:tcPr>
          <w:p w:rsidR="00AF0131" w:rsidRPr="00BE53BD" w:rsidRDefault="00C21BA3" w:rsidP="00C33FBD">
            <w:pPr>
              <w:pStyle w:val="ColumnHeading"/>
              <w:keepNext/>
            </w:pPr>
            <w:r w:rsidRPr="00BE53BD">
              <w:t>Текст, предложен от Комисията</w:t>
            </w:r>
          </w:p>
        </w:tc>
        <w:tc>
          <w:tcPr>
            <w:tcW w:w="4876" w:type="dxa"/>
            <w:hideMark/>
          </w:tcPr>
          <w:p w:rsidR="00AF0131" w:rsidRPr="00BE53BD" w:rsidRDefault="00C21BA3" w:rsidP="00C33FBD">
            <w:pPr>
              <w:pStyle w:val="ColumnHeading"/>
              <w:keepNext/>
            </w:pPr>
            <w:r w:rsidRPr="00BE53BD">
              <w:t>Изменение</w:t>
            </w:r>
          </w:p>
        </w:tc>
      </w:tr>
      <w:tr w:rsidR="004A39FD" w:rsidRPr="00BE53BD" w:rsidTr="00C33FBD">
        <w:trPr>
          <w:jc w:val="center"/>
        </w:trPr>
        <w:tc>
          <w:tcPr>
            <w:tcW w:w="4876" w:type="dxa"/>
            <w:hideMark/>
          </w:tcPr>
          <w:p w:rsidR="00AF0131" w:rsidRPr="00BE53BD" w:rsidRDefault="00C21BA3" w:rsidP="00C33FBD">
            <w:pPr>
              <w:pStyle w:val="Normal6"/>
            </w:pPr>
            <w:r w:rsidRPr="00BE53BD">
              <w:t>–</w:t>
            </w:r>
            <w:r w:rsidRPr="00BE53BD">
              <w:tab/>
              <w:t>С набора от подходящи ангажименти за реформи и</w:t>
            </w:r>
            <w:r w:rsidRPr="00BE53BD">
              <w:t xml:space="preserve"> инвестиции, които са в основата на удължаването на периода на корекция, взети заедно, се очаква да се преодолеят предизвикателствата, посочени в съответните специфични за всяка държава препоръки, включително препоръките, дадени в рамките на процедурата пр</w:t>
            </w:r>
            <w:r w:rsidRPr="00BE53BD">
              <w:t>и макроикономически дисбаланси, когато е приложимо, като се вземат предвид обхватът и мащабът на специфичните за всяка държава предизвикателства и ангажиментите, поети в рамките на плановете за възстановяване и устойчивост, когато е приложимо.</w:t>
            </w:r>
          </w:p>
        </w:tc>
        <w:tc>
          <w:tcPr>
            <w:tcW w:w="4876" w:type="dxa"/>
            <w:hideMark/>
          </w:tcPr>
          <w:p w:rsidR="00AF0131" w:rsidRPr="00BE53BD" w:rsidRDefault="00C21BA3" w:rsidP="00C33FBD">
            <w:pPr>
              <w:pStyle w:val="Normal6"/>
              <w:rPr>
                <w:szCs w:val="24"/>
              </w:rPr>
            </w:pPr>
            <w:r w:rsidRPr="00BE53BD">
              <w:t>–</w:t>
            </w:r>
            <w:r w:rsidRPr="00BE53BD">
              <w:tab/>
              <w:t>С набора о</w:t>
            </w:r>
            <w:r w:rsidRPr="00BE53BD">
              <w:t>т подходящи ангажименти за реформи и инвестиции, които са в основата на удължаването на периода на корекция, взети заедно, се очаква да се преодолеят предизвикателствата, посочени в съответните специфични за всяка държава препоръки, включително препоръките</w:t>
            </w:r>
            <w:r w:rsidRPr="00BE53BD">
              <w:t xml:space="preserve">, дадени в рамките на процедурата при макроикономически дисбаланси, когато е приложимо, </w:t>
            </w:r>
            <w:r w:rsidRPr="00BE53BD">
              <w:rPr>
                <w:b/>
                <w:i/>
              </w:rPr>
              <w:t>и препоръките, дадени в съответствие с член 148, параграф 4 от ДФЕС,</w:t>
            </w:r>
            <w:r w:rsidRPr="00BE53BD">
              <w:t xml:space="preserve"> като се вземат предвид обхватът и мащабът на специфичните за всяка държава предизвикателства и анга</w:t>
            </w:r>
            <w:r w:rsidRPr="00BE53BD">
              <w:t>жиментите, поети в рамките на плановете за възстановяване и устойчивост, когато е приложимо.</w:t>
            </w:r>
          </w:p>
        </w:tc>
      </w:tr>
    </w:tbl>
    <w:p w:rsidR="00AF0131" w:rsidRPr="00BE53BD" w:rsidRDefault="00C21BA3" w:rsidP="00AF0131">
      <w:pPr>
        <w:rPr>
          <w:rStyle w:val="HideTWBExt"/>
        </w:rPr>
      </w:pPr>
      <w:r w:rsidRPr="00BE53BD">
        <w:rPr>
          <w:rStyle w:val="HideTWBExt"/>
        </w:rPr>
        <w:t>&lt;/Amend&gt;</w:t>
      </w:r>
    </w:p>
    <w:p w:rsidR="00AF0131" w:rsidRPr="00BE53BD" w:rsidRDefault="00C21BA3" w:rsidP="00AF0131">
      <w:pPr>
        <w:rPr>
          <w:rStyle w:val="HideTWBExt"/>
          <w:szCs w:val="20"/>
        </w:rPr>
      </w:pPr>
      <w:r w:rsidRPr="00BE53BD">
        <w:rPr>
          <w:rStyle w:val="HideTWBExt"/>
        </w:rPr>
        <w:t>&lt;/RepeatBlock-Amend&gt;</w:t>
      </w:r>
    </w:p>
    <w:p w:rsidR="00AF0131" w:rsidRPr="00BE53BD" w:rsidRDefault="00C21BA3" w:rsidP="00AF0131">
      <w:r w:rsidRPr="00BE53BD">
        <w:br w:type="page"/>
      </w:r>
    </w:p>
    <w:p w:rsidR="00AF0131" w:rsidRPr="00BE53BD" w:rsidRDefault="00C21BA3" w:rsidP="00AF0131">
      <w:pPr>
        <w:pStyle w:val="PageHeadingNotTOC"/>
      </w:pPr>
      <w:bookmarkStart w:id="2" w:name="ProcPageAD"/>
      <w:r w:rsidRPr="00BE53BD">
        <w:t>ПРОЦЕДУРА НА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Заглавие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 xml:space="preserve">Ефективната координация на икономическите политики и многостранния бюджетен надзор и </w:t>
            </w:r>
            <w:r w:rsidRPr="00BE53BD">
              <w:rPr>
                <w:color w:val="000000"/>
                <w:sz w:val="20"/>
              </w:rPr>
              <w:t>за отмяна на Регламент (ЕО) № 1466/97 на Съвета</w:t>
            </w:r>
          </w:p>
        </w:tc>
      </w:tr>
      <w:tr w:rsidR="004A39FD" w:rsidRPr="00BE53B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COM(2023)0240 – C9-0150/2023 – 2023/0138(COD)</w:t>
            </w:r>
          </w:p>
        </w:tc>
      </w:tr>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Водеща комисия</w:t>
            </w:r>
          </w:p>
          <w:p w:rsidR="00AF0131" w:rsidRPr="00BE53BD" w:rsidRDefault="00C21BA3" w:rsidP="00C33FBD">
            <w:pPr>
              <w:autoSpaceDE w:val="0"/>
              <w:autoSpaceDN w:val="0"/>
              <w:adjustRightInd w:val="0"/>
              <w:rPr>
                <w:color w:val="000000"/>
                <w:sz w:val="20"/>
                <w:szCs w:val="20"/>
              </w:rPr>
            </w:pPr>
            <w:r w:rsidRPr="00BE53BD">
              <w:rPr>
                <w:color w:val="000000"/>
                <w:sz w:val="20"/>
              </w:rPr>
              <w:t>       Дата на обявяване в заседание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ECON</w:t>
            </w:r>
          </w:p>
          <w:p w:rsidR="00AF0131" w:rsidRPr="00BE53BD" w:rsidRDefault="00C21BA3" w:rsidP="00C33FBD">
            <w:pPr>
              <w:autoSpaceDE w:val="0"/>
              <w:autoSpaceDN w:val="0"/>
              <w:adjustRightInd w:val="0"/>
              <w:rPr>
                <w:color w:val="000000"/>
                <w:sz w:val="20"/>
                <w:szCs w:val="20"/>
              </w:rPr>
            </w:pPr>
            <w:r w:rsidRPr="00BE53BD">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r>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Дадено становище</w:t>
            </w:r>
          </w:p>
          <w:p w:rsidR="00AF0131" w:rsidRPr="00BE53BD" w:rsidRDefault="00C21BA3" w:rsidP="00C33FBD">
            <w:pPr>
              <w:autoSpaceDE w:val="0"/>
              <w:autoSpaceDN w:val="0"/>
              <w:adjustRightInd w:val="0"/>
              <w:rPr>
                <w:color w:val="000000"/>
                <w:sz w:val="20"/>
                <w:szCs w:val="20"/>
              </w:rPr>
            </w:pPr>
            <w:r w:rsidRPr="00BE53BD">
              <w:rPr>
                <w:color w:val="000000"/>
                <w:sz w:val="20"/>
              </w:rPr>
              <w:t>       Дата на обявяване в 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EMPL</w:t>
            </w:r>
          </w:p>
          <w:p w:rsidR="00AF0131" w:rsidRPr="00BE53BD" w:rsidRDefault="00C21BA3" w:rsidP="00C33FBD">
            <w:pPr>
              <w:autoSpaceDE w:val="0"/>
              <w:autoSpaceDN w:val="0"/>
              <w:adjustRightInd w:val="0"/>
              <w:rPr>
                <w:color w:val="000000"/>
                <w:sz w:val="20"/>
                <w:szCs w:val="20"/>
              </w:rPr>
            </w:pPr>
            <w:r w:rsidRPr="00BE53BD">
              <w:rPr>
                <w:color w:val="000000"/>
                <w:sz w:val="20"/>
              </w:rPr>
              <w:t>12.6.2023</w:t>
            </w:r>
          </w:p>
        </w:tc>
      </w:tr>
      <w:tr w:rsidR="004A39FD" w:rsidRPr="00BE53B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Асоциирани комисии</w:t>
            </w:r>
            <w:r w:rsidRPr="00BE53BD">
              <w:rPr>
                <w:b/>
                <w:color w:val="000000"/>
                <w:sz w:val="20"/>
              </w:rPr>
              <w:br/>
              <w:t>Дата на обявяване в заседание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14.9.2023</w:t>
            </w:r>
          </w:p>
        </w:tc>
      </w:tr>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Докладчик по становище</w:t>
            </w:r>
          </w:p>
          <w:p w:rsidR="00AF0131" w:rsidRPr="00BE53BD" w:rsidRDefault="00C21BA3" w:rsidP="00C33FBD">
            <w:pPr>
              <w:autoSpaceDE w:val="0"/>
              <w:autoSpaceDN w:val="0"/>
              <w:adjustRightInd w:val="0"/>
              <w:rPr>
                <w:color w:val="000000"/>
                <w:sz w:val="20"/>
                <w:szCs w:val="20"/>
              </w:rPr>
            </w:pPr>
            <w:r w:rsidRPr="00BE53BD">
              <w:rPr>
                <w:color w:val="000000"/>
                <w:sz w:val="20"/>
              </w:rPr>
              <w:t>       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Gabriele Bischoff</w:t>
            </w:r>
          </w:p>
          <w:p w:rsidR="00AF0131" w:rsidRPr="00BE53BD" w:rsidRDefault="00C21BA3" w:rsidP="00C33FBD">
            <w:pPr>
              <w:autoSpaceDE w:val="0"/>
              <w:autoSpaceDN w:val="0"/>
              <w:adjustRightInd w:val="0"/>
              <w:rPr>
                <w:color w:val="000000"/>
                <w:sz w:val="20"/>
                <w:szCs w:val="20"/>
              </w:rPr>
            </w:pPr>
            <w:r w:rsidRPr="00BE53BD">
              <w:rPr>
                <w:color w:val="000000"/>
                <w:sz w:val="20"/>
              </w:rPr>
              <w:t>29.6.2023</w:t>
            </w:r>
          </w:p>
        </w:tc>
      </w:tr>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r>
      <w:tr w:rsidR="004A39FD" w:rsidRPr="00BE53B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BE53BD" w:rsidRDefault="00AF0131" w:rsidP="00C33FBD">
            <w:pPr>
              <w:autoSpaceDE w:val="0"/>
              <w:autoSpaceDN w:val="0"/>
              <w:adjustRightInd w:val="0"/>
              <w:rPr>
                <w:rFonts w:ascii="sans-serif" w:hAnsi="sans-serif" w:cs="sans-serif"/>
                <w:color w:val="000000"/>
              </w:rPr>
            </w:pPr>
          </w:p>
        </w:tc>
      </w:tr>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w:t>
            </w:r>
          </w:p>
          <w:p w:rsidR="00AF0131" w:rsidRPr="00BE53BD" w:rsidRDefault="00C21BA3" w:rsidP="00C33FBD">
            <w:pPr>
              <w:autoSpaceDE w:val="0"/>
              <w:autoSpaceDN w:val="0"/>
              <w:adjustRightInd w:val="0"/>
              <w:rPr>
                <w:color w:val="000000"/>
                <w:sz w:val="20"/>
                <w:szCs w:val="20"/>
              </w:rPr>
            </w:pPr>
            <w:r w:rsidRPr="00BE53BD">
              <w:rPr>
                <w:color w:val="000000"/>
                <w:sz w:val="20"/>
              </w:rPr>
              <w:t>–:</w:t>
            </w:r>
          </w:p>
          <w:p w:rsidR="00AF0131" w:rsidRPr="00BE53BD" w:rsidRDefault="00C21BA3" w:rsidP="00C33FBD">
            <w:pPr>
              <w:autoSpaceDE w:val="0"/>
              <w:autoSpaceDN w:val="0"/>
              <w:adjustRightInd w:val="0"/>
              <w:rPr>
                <w:color w:val="000000"/>
                <w:sz w:val="20"/>
                <w:szCs w:val="20"/>
              </w:rPr>
            </w:pPr>
            <w:r w:rsidRPr="00BE53B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29</w:t>
            </w:r>
          </w:p>
          <w:p w:rsidR="00AF0131" w:rsidRPr="00BE53BD" w:rsidRDefault="00C21BA3" w:rsidP="00C33FBD">
            <w:pPr>
              <w:autoSpaceDE w:val="0"/>
              <w:autoSpaceDN w:val="0"/>
              <w:adjustRightInd w:val="0"/>
              <w:rPr>
                <w:color w:val="000000"/>
                <w:sz w:val="20"/>
                <w:szCs w:val="20"/>
              </w:rPr>
            </w:pPr>
            <w:r w:rsidRPr="00BE53BD">
              <w:rPr>
                <w:color w:val="000000"/>
                <w:sz w:val="20"/>
              </w:rPr>
              <w:t>4</w:t>
            </w:r>
          </w:p>
          <w:p w:rsidR="00AF0131" w:rsidRPr="00BE53BD" w:rsidRDefault="00C21BA3" w:rsidP="00C33FBD">
            <w:pPr>
              <w:autoSpaceDE w:val="0"/>
              <w:autoSpaceDN w:val="0"/>
              <w:adjustRightInd w:val="0"/>
              <w:rPr>
                <w:color w:val="000000"/>
                <w:sz w:val="20"/>
                <w:szCs w:val="20"/>
              </w:rPr>
            </w:pPr>
            <w:r w:rsidRPr="00BE53BD">
              <w:rPr>
                <w:color w:val="000000"/>
                <w:sz w:val="20"/>
              </w:rPr>
              <w:t>10</w:t>
            </w:r>
          </w:p>
        </w:tc>
      </w:tr>
      <w:tr w:rsidR="004A39FD" w:rsidRPr="00BE53B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 xml:space="preserve">João Albuquerque, Marc Angel, Dominique Bilde, Gabriele Bischoff, Milan Brglez, Jordi Cañas, David Casa, Ilan De Basso, Margarita de la Pisa Carrión, Özlem Demirel, Klára Dobrev, Jarosław Duda, Estrella </w:t>
            </w:r>
            <w:r w:rsidRPr="00BE53BD">
              <w:rPr>
                <w:color w:val="000000"/>
                <w:sz w:val="20"/>
              </w:rPr>
              <w:t>Durá Ferrandis, Lucia Ďuriš Nicholsonová, Loucas Fourlas, Cindy Franssen, Chiara Gemma, Helmut Geuking, Elisabetta Gualmini, Alicia Homs Ginel, Agnes Jongerius, Stelios Kympouropoulos, Katrin Langensiepen, Miriam Lexmann, Elena Lizzi, Sara Matthieu, Max Or</w:t>
            </w:r>
            <w:r w:rsidRPr="00BE53BD">
              <w:rPr>
                <w:color w:val="000000"/>
                <w:sz w:val="20"/>
              </w:rPr>
              <w:t>ville, Kira Marie Peter-Hansen, Dragoş Pîslaru, Elżbieta Rafalska, Daniela Rondinelli, Pirkko Ruohonen-Lerner, Monica Semedo, Romana Tomc, Nikolaj Villumsen, Marianne Vind, Maria Walsh, Tomáš Zdechovský</w:t>
            </w:r>
          </w:p>
        </w:tc>
      </w:tr>
      <w:tr w:rsidR="004A39FD" w:rsidRPr="00BE53B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A</w:t>
            </w:r>
            <w:r w:rsidRPr="00BE53BD">
              <w:rPr>
                <w:color w:val="000000"/>
                <w:sz w:val="20"/>
              </w:rPr>
              <w:t>lexander Alexandrov Yordanov, Aurore Lalucq, Eugenia Rodríguez Palop</w:t>
            </w:r>
          </w:p>
        </w:tc>
      </w:tr>
      <w:tr w:rsidR="004A39FD" w:rsidRPr="00BE53B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b/>
                <w:bCs/>
                <w:color w:val="000000"/>
                <w:sz w:val="20"/>
                <w:szCs w:val="20"/>
              </w:rPr>
            </w:pPr>
            <w:r w:rsidRPr="00BE53BD">
              <w:rPr>
                <w:b/>
                <w:color w:val="000000"/>
                <w:sz w:val="20"/>
              </w:rPr>
              <w:t>Заместници (чл. 209, пар. 7),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BE53BD" w:rsidRDefault="00C21BA3" w:rsidP="00C33FBD">
            <w:pPr>
              <w:autoSpaceDE w:val="0"/>
              <w:autoSpaceDN w:val="0"/>
              <w:adjustRightInd w:val="0"/>
              <w:rPr>
                <w:color w:val="000000"/>
                <w:sz w:val="20"/>
                <w:szCs w:val="20"/>
              </w:rPr>
            </w:pPr>
            <w:r w:rsidRPr="00BE53BD">
              <w:rPr>
                <w:color w:val="000000"/>
                <w:sz w:val="20"/>
              </w:rPr>
              <w:t>Sirpa Pietikäinen, Caroline Roose</w:t>
            </w:r>
          </w:p>
        </w:tc>
      </w:tr>
    </w:tbl>
    <w:p w:rsidR="00AF0131" w:rsidRPr="00BE53BD" w:rsidRDefault="00AF0131" w:rsidP="00AF0131"/>
    <w:bookmarkEnd w:id="2"/>
    <w:p w:rsidR="00AF0131" w:rsidRPr="00BE53BD" w:rsidRDefault="00AF0131" w:rsidP="00AF0131">
      <w:pPr>
        <w:sectPr w:rsidR="00AF0131" w:rsidRPr="00BE53BD" w:rsidSect="00BE53B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BE53BD" w:rsidRDefault="00C21BA3" w:rsidP="00AF0131">
      <w:pPr>
        <w:pStyle w:val="PageHeadingNotTOC"/>
      </w:pPr>
      <w:bookmarkStart w:id="3" w:name="RollCallPageAD"/>
      <w:r w:rsidRPr="00BE53BD">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39FD" w:rsidRPr="00BE53BD" w:rsidTr="00C33FBD">
        <w:trPr>
          <w:cantSplit/>
        </w:trPr>
        <w:tc>
          <w:tcPr>
            <w:tcW w:w="1701" w:type="dxa"/>
            <w:shd w:val="pct10" w:color="000000" w:fill="FFFFFF"/>
            <w:vAlign w:val="center"/>
          </w:tcPr>
          <w:p w:rsidR="00AF0131" w:rsidRPr="00BE53BD" w:rsidRDefault="00C21BA3" w:rsidP="00C33FBD">
            <w:pPr>
              <w:pStyle w:val="RollCallVotes"/>
            </w:pPr>
            <w:r w:rsidRPr="00BE53BD">
              <w:t>29</w:t>
            </w:r>
          </w:p>
        </w:tc>
        <w:tc>
          <w:tcPr>
            <w:tcW w:w="7371" w:type="dxa"/>
            <w:shd w:val="pct10" w:color="000000" w:fill="FFFFFF"/>
          </w:tcPr>
          <w:p w:rsidR="00AF0131" w:rsidRPr="00BE53BD" w:rsidRDefault="00C21BA3" w:rsidP="00C33FBD">
            <w:pPr>
              <w:pStyle w:val="RollCallSymbols14pt"/>
            </w:pPr>
            <w:r w:rsidRPr="00BE53BD">
              <w:t>+</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PPE</w:t>
            </w:r>
          </w:p>
        </w:tc>
        <w:tc>
          <w:tcPr>
            <w:tcW w:w="7371" w:type="dxa"/>
            <w:shd w:val="clear" w:color="auto" w:fill="FFFFFF"/>
          </w:tcPr>
          <w:p w:rsidR="00AF0131" w:rsidRPr="00BE53BD" w:rsidRDefault="00C21BA3" w:rsidP="00C33FBD">
            <w:pPr>
              <w:pStyle w:val="RollCallTable"/>
            </w:pPr>
            <w:r w:rsidRPr="00BE53BD">
              <w:t xml:space="preserve">David </w:t>
            </w:r>
            <w:r w:rsidRPr="00BE53BD">
              <w:t>Casa, Loucas Fourlas, Cindy Franssen, Stelios Kympouropoulos, Sirpa Pietikäinen, Maria Walsh</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Renew</w:t>
            </w:r>
          </w:p>
        </w:tc>
        <w:tc>
          <w:tcPr>
            <w:tcW w:w="7371" w:type="dxa"/>
            <w:shd w:val="clear" w:color="auto" w:fill="FFFFFF"/>
          </w:tcPr>
          <w:p w:rsidR="00AF0131" w:rsidRPr="00BE53BD" w:rsidRDefault="00C21BA3" w:rsidP="00C33FBD">
            <w:pPr>
              <w:pStyle w:val="RollCallTable"/>
            </w:pPr>
            <w:r w:rsidRPr="00BE53BD">
              <w:t>Jordi Cañas, Lucia Ďuriš Nicholsonová, Max Orville, Dragoş Pîslaru, Monica Semedo</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S&amp;D</w:t>
            </w:r>
          </w:p>
        </w:tc>
        <w:tc>
          <w:tcPr>
            <w:tcW w:w="7371" w:type="dxa"/>
            <w:shd w:val="clear" w:color="auto" w:fill="FFFFFF"/>
          </w:tcPr>
          <w:p w:rsidR="00AF0131" w:rsidRPr="00BE53BD" w:rsidRDefault="00C21BA3" w:rsidP="00C33FBD">
            <w:pPr>
              <w:pStyle w:val="RollCallTable"/>
            </w:pPr>
            <w:r w:rsidRPr="00BE53BD">
              <w:t xml:space="preserve">João Albuquerque, Marc Angel, Gabriele Bischoff, Milan Brglez, Klára </w:t>
            </w:r>
            <w:r w:rsidRPr="00BE53BD">
              <w:t>Dobrev, Estrella Durá Ferrandis, Elisabetta Gualmini, Alicia Homs Ginel, Agnes Jongerius, Aurore Lalucq, Daniela Rondinelli, Marianne Vind</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The Left</w:t>
            </w:r>
          </w:p>
        </w:tc>
        <w:tc>
          <w:tcPr>
            <w:tcW w:w="7371" w:type="dxa"/>
            <w:shd w:val="clear" w:color="auto" w:fill="FFFFFF"/>
          </w:tcPr>
          <w:p w:rsidR="00AF0131" w:rsidRPr="00BE53BD" w:rsidRDefault="00C21BA3" w:rsidP="00C33FBD">
            <w:pPr>
              <w:pStyle w:val="RollCallTable"/>
            </w:pPr>
            <w:r w:rsidRPr="00BE53BD">
              <w:t>Eugenia Rodríguez Palop, Nikolaj Villumsen</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Verts/ALE</w:t>
            </w:r>
          </w:p>
        </w:tc>
        <w:tc>
          <w:tcPr>
            <w:tcW w:w="7371" w:type="dxa"/>
            <w:shd w:val="clear" w:color="auto" w:fill="FFFFFF"/>
          </w:tcPr>
          <w:p w:rsidR="00AF0131" w:rsidRPr="00BE53BD" w:rsidRDefault="00C21BA3" w:rsidP="00C33FBD">
            <w:pPr>
              <w:pStyle w:val="RollCallTable"/>
            </w:pPr>
            <w:r w:rsidRPr="00BE53BD">
              <w:t>Katrin Langensiepen, Sara Matthieu, Kira Marie Peter-</w:t>
            </w:r>
            <w:r w:rsidRPr="00BE53BD">
              <w:t>Hansen, Caroline Roose</w:t>
            </w:r>
          </w:p>
        </w:tc>
      </w:tr>
    </w:tbl>
    <w:p w:rsidR="00AF0131" w:rsidRPr="00BE53BD"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39FD" w:rsidRPr="00BE53BD" w:rsidTr="00C33FBD">
        <w:trPr>
          <w:cantSplit/>
        </w:trPr>
        <w:tc>
          <w:tcPr>
            <w:tcW w:w="1701" w:type="dxa"/>
            <w:shd w:val="pct10" w:color="000000" w:fill="FFFFFF"/>
            <w:vAlign w:val="center"/>
          </w:tcPr>
          <w:p w:rsidR="00AF0131" w:rsidRPr="00BE53BD" w:rsidRDefault="00C21BA3" w:rsidP="00C33FBD">
            <w:pPr>
              <w:pStyle w:val="RollCallVotes"/>
            </w:pPr>
            <w:r w:rsidRPr="00BE53BD">
              <w:t>4</w:t>
            </w:r>
          </w:p>
        </w:tc>
        <w:tc>
          <w:tcPr>
            <w:tcW w:w="7371" w:type="dxa"/>
            <w:shd w:val="pct10" w:color="000000" w:fill="FFFFFF"/>
          </w:tcPr>
          <w:p w:rsidR="00AF0131" w:rsidRPr="00BE53BD" w:rsidRDefault="00C21BA3" w:rsidP="00C33FBD">
            <w:pPr>
              <w:pStyle w:val="RollCallSymbols14pt"/>
            </w:pPr>
            <w:r w:rsidRPr="00BE53BD">
              <w:t>-</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ECR</w:t>
            </w:r>
          </w:p>
        </w:tc>
        <w:tc>
          <w:tcPr>
            <w:tcW w:w="7371" w:type="dxa"/>
            <w:shd w:val="clear" w:color="auto" w:fill="FFFFFF"/>
          </w:tcPr>
          <w:p w:rsidR="00AF0131" w:rsidRPr="00BE53BD" w:rsidRDefault="00C21BA3" w:rsidP="00C33FBD">
            <w:pPr>
              <w:pStyle w:val="RollCallTable"/>
            </w:pPr>
            <w:r w:rsidRPr="00BE53BD">
              <w:t>Margarita de la Pisa Carrión, Elżbieta Rafalska, Pirkko Ruohonen-Lerner</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ID</w:t>
            </w:r>
          </w:p>
        </w:tc>
        <w:tc>
          <w:tcPr>
            <w:tcW w:w="7371" w:type="dxa"/>
            <w:shd w:val="clear" w:color="auto" w:fill="FFFFFF"/>
          </w:tcPr>
          <w:p w:rsidR="00AF0131" w:rsidRPr="00BE53BD" w:rsidRDefault="00C21BA3" w:rsidP="00C33FBD">
            <w:pPr>
              <w:pStyle w:val="RollCallTable"/>
            </w:pPr>
            <w:r w:rsidRPr="00BE53BD">
              <w:t>Dominique Bilde</w:t>
            </w:r>
          </w:p>
        </w:tc>
      </w:tr>
    </w:tbl>
    <w:p w:rsidR="00AF0131" w:rsidRPr="00BE53BD"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39FD" w:rsidRPr="00BE53BD" w:rsidTr="00C33FBD">
        <w:trPr>
          <w:cantSplit/>
        </w:trPr>
        <w:tc>
          <w:tcPr>
            <w:tcW w:w="1701" w:type="dxa"/>
            <w:shd w:val="pct10" w:color="000000" w:fill="FFFFFF"/>
            <w:vAlign w:val="center"/>
          </w:tcPr>
          <w:p w:rsidR="00AF0131" w:rsidRPr="00BE53BD" w:rsidRDefault="00C21BA3" w:rsidP="00C33FBD">
            <w:pPr>
              <w:pStyle w:val="RollCallVotes"/>
            </w:pPr>
            <w:r w:rsidRPr="00BE53BD">
              <w:t>10</w:t>
            </w:r>
          </w:p>
        </w:tc>
        <w:tc>
          <w:tcPr>
            <w:tcW w:w="7371" w:type="dxa"/>
            <w:shd w:val="pct10" w:color="000000" w:fill="FFFFFF"/>
          </w:tcPr>
          <w:p w:rsidR="00AF0131" w:rsidRPr="00BE53BD" w:rsidRDefault="00C21BA3" w:rsidP="00C33FBD">
            <w:pPr>
              <w:pStyle w:val="RollCallSymbols14pt"/>
            </w:pPr>
            <w:r w:rsidRPr="00BE53BD">
              <w:t>0</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ECR</w:t>
            </w:r>
          </w:p>
        </w:tc>
        <w:tc>
          <w:tcPr>
            <w:tcW w:w="7371" w:type="dxa"/>
            <w:shd w:val="clear" w:color="auto" w:fill="FFFFFF"/>
          </w:tcPr>
          <w:p w:rsidR="00AF0131" w:rsidRPr="00BE53BD" w:rsidRDefault="00C21BA3" w:rsidP="00C33FBD">
            <w:pPr>
              <w:pStyle w:val="RollCallTable"/>
            </w:pPr>
            <w:r w:rsidRPr="00BE53BD">
              <w:t>Chiara Gemma</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ID</w:t>
            </w:r>
          </w:p>
        </w:tc>
        <w:tc>
          <w:tcPr>
            <w:tcW w:w="7371" w:type="dxa"/>
            <w:shd w:val="clear" w:color="auto" w:fill="FFFFFF"/>
          </w:tcPr>
          <w:p w:rsidR="00AF0131" w:rsidRPr="00BE53BD" w:rsidRDefault="00C21BA3" w:rsidP="00C33FBD">
            <w:pPr>
              <w:pStyle w:val="RollCallTable"/>
            </w:pPr>
            <w:r w:rsidRPr="00BE53BD">
              <w:t>Elena Lizzi</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PPE</w:t>
            </w:r>
          </w:p>
        </w:tc>
        <w:tc>
          <w:tcPr>
            <w:tcW w:w="7371" w:type="dxa"/>
            <w:shd w:val="clear" w:color="auto" w:fill="FFFFFF"/>
          </w:tcPr>
          <w:p w:rsidR="00AF0131" w:rsidRPr="00BE53BD" w:rsidRDefault="00C21BA3" w:rsidP="00C33FBD">
            <w:pPr>
              <w:pStyle w:val="RollCallTable"/>
            </w:pPr>
            <w:r w:rsidRPr="00BE53BD">
              <w:t>Alexander Alexandrov Yordanov, Jarosław Duda, Helmut Geuking, Miriam Lexmann, Romana</w:t>
            </w:r>
            <w:r w:rsidRPr="00BE53BD">
              <w:t xml:space="preserve"> Tomc, Tomáš Zdechovský</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S&amp;D</w:t>
            </w:r>
          </w:p>
        </w:tc>
        <w:tc>
          <w:tcPr>
            <w:tcW w:w="7371" w:type="dxa"/>
            <w:shd w:val="clear" w:color="auto" w:fill="FFFFFF"/>
          </w:tcPr>
          <w:p w:rsidR="00AF0131" w:rsidRPr="00BE53BD" w:rsidRDefault="00C21BA3" w:rsidP="00C33FBD">
            <w:pPr>
              <w:pStyle w:val="RollCallTable"/>
            </w:pPr>
            <w:r w:rsidRPr="00BE53BD">
              <w:t>Ilan De Basso</w:t>
            </w:r>
          </w:p>
        </w:tc>
      </w:tr>
      <w:tr w:rsidR="004A39FD" w:rsidRPr="00BE53BD" w:rsidTr="00C33FBD">
        <w:trPr>
          <w:cantSplit/>
        </w:trPr>
        <w:tc>
          <w:tcPr>
            <w:tcW w:w="1701" w:type="dxa"/>
            <w:shd w:val="clear" w:color="auto" w:fill="FFFFFF"/>
          </w:tcPr>
          <w:p w:rsidR="00AF0131" w:rsidRPr="00BE53BD" w:rsidRDefault="00C21BA3" w:rsidP="00C33FBD">
            <w:pPr>
              <w:pStyle w:val="RollCallTable"/>
            </w:pPr>
            <w:r w:rsidRPr="00BE53BD">
              <w:t>The Left</w:t>
            </w:r>
          </w:p>
        </w:tc>
        <w:tc>
          <w:tcPr>
            <w:tcW w:w="7371" w:type="dxa"/>
            <w:shd w:val="clear" w:color="auto" w:fill="FFFFFF"/>
          </w:tcPr>
          <w:p w:rsidR="00AF0131" w:rsidRPr="00BE53BD" w:rsidRDefault="00C21BA3" w:rsidP="00C33FBD">
            <w:pPr>
              <w:pStyle w:val="RollCallTable"/>
            </w:pPr>
            <w:r w:rsidRPr="00BE53BD">
              <w:t>Özlem Demirel</w:t>
            </w:r>
          </w:p>
        </w:tc>
      </w:tr>
    </w:tbl>
    <w:p w:rsidR="00AF0131" w:rsidRPr="00BE53BD" w:rsidRDefault="00AF0131" w:rsidP="00AF0131">
      <w:pPr>
        <w:pStyle w:val="Normal12a"/>
      </w:pPr>
    </w:p>
    <w:p w:rsidR="00AF0131" w:rsidRPr="00BE53BD" w:rsidRDefault="00C21BA3" w:rsidP="00AF0131">
      <w:r w:rsidRPr="00BE53BD">
        <w:t>Легенда на използваните знаци:</w:t>
      </w:r>
    </w:p>
    <w:p w:rsidR="00AF0131" w:rsidRPr="00BE53BD" w:rsidRDefault="00C21BA3" w:rsidP="00AF0131">
      <w:pPr>
        <w:pStyle w:val="RollCallTabs"/>
      </w:pPr>
      <w:r w:rsidRPr="00BE53BD">
        <w:t>+</w:t>
      </w:r>
      <w:r w:rsidRPr="00BE53BD">
        <w:tab/>
        <w:t>:</w:t>
      </w:r>
      <w:r w:rsidRPr="00BE53BD">
        <w:tab/>
        <w:t>„за“</w:t>
      </w:r>
    </w:p>
    <w:p w:rsidR="00AF0131" w:rsidRPr="00BE53BD" w:rsidRDefault="00C21BA3" w:rsidP="00AF0131">
      <w:pPr>
        <w:pStyle w:val="RollCallTabs"/>
      </w:pPr>
      <w:r w:rsidRPr="00BE53BD">
        <w:t>-</w:t>
      </w:r>
      <w:r w:rsidRPr="00BE53BD">
        <w:tab/>
        <w:t>:</w:t>
      </w:r>
      <w:r w:rsidRPr="00BE53BD">
        <w:tab/>
        <w:t>„против“</w:t>
      </w:r>
    </w:p>
    <w:p w:rsidR="00AF0131" w:rsidRPr="00BE53BD" w:rsidRDefault="00C21BA3" w:rsidP="00AF0131">
      <w:pPr>
        <w:pStyle w:val="RollCallTabs"/>
      </w:pPr>
      <w:r w:rsidRPr="00BE53BD">
        <w:t>0</w:t>
      </w:r>
      <w:r w:rsidRPr="00BE53BD">
        <w:tab/>
        <w:t>:</w:t>
      </w:r>
      <w:r w:rsidRPr="00BE53BD">
        <w:tab/>
        <w:t>„въздържал се“</w:t>
      </w:r>
    </w:p>
    <w:p w:rsidR="00AF0131" w:rsidRPr="00BE53BD" w:rsidRDefault="00AF0131" w:rsidP="00AF0131"/>
    <w:bookmarkEnd w:id="3"/>
    <w:p w:rsidR="00AF0131" w:rsidRPr="00BE53BD" w:rsidRDefault="00AF0131" w:rsidP="00AF0131"/>
    <w:p w:rsidR="00DB56E4" w:rsidRPr="00BE53BD" w:rsidRDefault="00DB56E4" w:rsidP="00AF0131">
      <w:pPr>
        <w:pStyle w:val="CoverReference"/>
      </w:pPr>
    </w:p>
    <w:sectPr w:rsidR="00DB56E4" w:rsidRPr="00BE53BD"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E53BD" w:rsidRDefault="00C21BA3">
      <w:r w:rsidRPr="00BE53BD">
        <w:separator/>
      </w:r>
    </w:p>
  </w:endnote>
  <w:endnote w:type="continuationSeparator" w:id="0">
    <w:p w:rsidR="00000000" w:rsidRPr="00BE53BD" w:rsidRDefault="00C21BA3">
      <w:r w:rsidRPr="00BE53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BD" w:rsidRPr="00BE53BD" w:rsidRDefault="00BE53BD" w:rsidP="00BE53BD">
    <w:pPr>
      <w:pStyle w:val="EPFooter"/>
    </w:pPr>
    <w:r w:rsidRPr="00BE53BD">
      <w:t>PE</w:t>
    </w:r>
    <w:r w:rsidRPr="00BE53BD">
      <w:rPr>
        <w:rStyle w:val="HideTWBExt"/>
      </w:rPr>
      <w:t>&lt;NoPE&gt;</w:t>
    </w:r>
    <w:r w:rsidRPr="00BE53BD">
      <w:t>752.621</w:t>
    </w:r>
    <w:r w:rsidRPr="00BE53BD">
      <w:rPr>
        <w:rStyle w:val="HideTWBExt"/>
      </w:rPr>
      <w:t>&lt;/NoPE&gt;&lt;Version&gt;</w:t>
    </w:r>
    <w:r w:rsidRPr="00BE53BD">
      <w:t>v02-00</w:t>
    </w:r>
    <w:r w:rsidRPr="00BE53BD">
      <w:rPr>
        <w:rStyle w:val="HideTWBExt"/>
      </w:rPr>
      <w:t>&lt;/Version&gt;</w:t>
    </w:r>
    <w:r w:rsidRPr="00BE53BD">
      <w:tab/>
    </w:r>
    <w:r w:rsidRPr="00BE53BD">
      <w:fldChar w:fldCharType="begin"/>
    </w:r>
    <w:r w:rsidRPr="00BE53BD">
      <w:instrText xml:space="preserve"> PAGE  \* MERGEFORMAT </w:instrText>
    </w:r>
    <w:r w:rsidRPr="00BE53BD">
      <w:fldChar w:fldCharType="separate"/>
    </w:r>
    <w:r w:rsidR="00C21BA3">
      <w:rPr>
        <w:noProof/>
      </w:rPr>
      <w:t>4</w:t>
    </w:r>
    <w:r w:rsidRPr="00BE53BD">
      <w:fldChar w:fldCharType="end"/>
    </w:r>
    <w:r w:rsidRPr="00BE53BD">
      <w:t>/</w:t>
    </w:r>
    <w:fldSimple w:instr=" NUMPAGES  \* MERGEFORMAT ">
      <w:r w:rsidR="00C21BA3">
        <w:rPr>
          <w:noProof/>
        </w:rPr>
        <w:t>31</w:t>
      </w:r>
    </w:fldSimple>
    <w:r w:rsidRPr="00BE53BD">
      <w:tab/>
    </w:r>
    <w:r w:rsidRPr="00BE53BD">
      <w:rPr>
        <w:rStyle w:val="HideTWBExt"/>
      </w:rPr>
      <w:t>&lt;PathFdR&gt;</w:t>
    </w:r>
    <w:r w:rsidRPr="00BE53BD">
      <w:t>AD\1288324BG.docx</w:t>
    </w:r>
    <w:r w:rsidRPr="00BE53BD">
      <w:rPr>
        <w:rStyle w:val="HideTWBExt"/>
      </w:rPr>
      <w:t>&lt;/PathFdR&gt;</w:t>
    </w:r>
  </w:p>
  <w:p w:rsidR="00AF0131" w:rsidRPr="00BE53BD" w:rsidRDefault="00BE53BD" w:rsidP="00BE53BD">
    <w:pPr>
      <w:pStyle w:val="EPFooter2"/>
    </w:pPr>
    <w:r w:rsidRPr="00BE53BD">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BD" w:rsidRPr="00BE53BD" w:rsidRDefault="00BE53BD" w:rsidP="00BE53BD">
    <w:pPr>
      <w:pStyle w:val="EPFooter"/>
    </w:pPr>
    <w:r w:rsidRPr="00BE53BD">
      <w:rPr>
        <w:rStyle w:val="HideTWBExt"/>
      </w:rPr>
      <w:t>&lt;PathFdR&gt;</w:t>
    </w:r>
    <w:r w:rsidRPr="00BE53BD">
      <w:t>AD\1288324BG.docx</w:t>
    </w:r>
    <w:r w:rsidRPr="00BE53BD">
      <w:rPr>
        <w:rStyle w:val="HideTWBExt"/>
      </w:rPr>
      <w:t>&lt;/PathFdR&gt;</w:t>
    </w:r>
    <w:r w:rsidRPr="00BE53BD">
      <w:tab/>
    </w:r>
    <w:r w:rsidRPr="00BE53BD">
      <w:fldChar w:fldCharType="begin"/>
    </w:r>
    <w:r w:rsidRPr="00BE53BD">
      <w:instrText xml:space="preserve"> PAGE  \* MERGEFORMAT </w:instrText>
    </w:r>
    <w:r w:rsidRPr="00BE53BD">
      <w:fldChar w:fldCharType="separate"/>
    </w:r>
    <w:r w:rsidR="00C21BA3">
      <w:rPr>
        <w:noProof/>
      </w:rPr>
      <w:t>3</w:t>
    </w:r>
    <w:r w:rsidRPr="00BE53BD">
      <w:fldChar w:fldCharType="end"/>
    </w:r>
    <w:r w:rsidRPr="00BE53BD">
      <w:t>/</w:t>
    </w:r>
    <w:fldSimple w:instr=" NUMPAGES  \* MERGEFORMAT ">
      <w:r w:rsidR="00C21BA3">
        <w:rPr>
          <w:noProof/>
        </w:rPr>
        <w:t>31</w:t>
      </w:r>
    </w:fldSimple>
    <w:r w:rsidRPr="00BE53BD">
      <w:tab/>
      <w:t>PE</w:t>
    </w:r>
    <w:r w:rsidRPr="00BE53BD">
      <w:rPr>
        <w:rStyle w:val="HideTWBExt"/>
      </w:rPr>
      <w:t>&lt;NoPE&gt;</w:t>
    </w:r>
    <w:r w:rsidRPr="00BE53BD">
      <w:t>752.621</w:t>
    </w:r>
    <w:r w:rsidRPr="00BE53BD">
      <w:rPr>
        <w:rStyle w:val="HideTWBExt"/>
      </w:rPr>
      <w:t>&lt;/NoPE&gt;&lt;Version&gt;</w:t>
    </w:r>
    <w:r w:rsidRPr="00BE53BD">
      <w:t>v02-00</w:t>
    </w:r>
    <w:r w:rsidRPr="00BE53BD">
      <w:rPr>
        <w:rStyle w:val="HideTWBExt"/>
      </w:rPr>
      <w:t>&lt;/Version&gt;</w:t>
    </w:r>
  </w:p>
  <w:p w:rsidR="00AF0131" w:rsidRPr="00BE53BD" w:rsidRDefault="00BE53BD" w:rsidP="00BE53BD">
    <w:pPr>
      <w:pStyle w:val="EPFooter2"/>
    </w:pPr>
    <w:r w:rsidRPr="00BE53BD">
      <w:tab/>
    </w:r>
    <w:r w:rsidRPr="00BE53BD">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BD" w:rsidRPr="00BE53BD" w:rsidRDefault="00BE53BD" w:rsidP="00BE53BD">
    <w:pPr>
      <w:pStyle w:val="EPFooter"/>
    </w:pPr>
    <w:r w:rsidRPr="00BE53BD">
      <w:rPr>
        <w:rStyle w:val="HideTWBExt"/>
      </w:rPr>
      <w:t>&lt;PathFdR&gt;</w:t>
    </w:r>
    <w:r w:rsidRPr="00BE53BD">
      <w:t>AD\1288324BG.docx</w:t>
    </w:r>
    <w:r w:rsidRPr="00BE53BD">
      <w:rPr>
        <w:rStyle w:val="HideTWBExt"/>
      </w:rPr>
      <w:t>&lt;/PathFdR&gt;</w:t>
    </w:r>
    <w:r w:rsidRPr="00BE53BD">
      <w:tab/>
    </w:r>
    <w:r w:rsidRPr="00BE53BD">
      <w:tab/>
      <w:t>PE</w:t>
    </w:r>
    <w:r w:rsidRPr="00BE53BD">
      <w:rPr>
        <w:rStyle w:val="HideTWBExt"/>
      </w:rPr>
      <w:t>&lt;NoPE&gt;</w:t>
    </w:r>
    <w:r w:rsidRPr="00BE53BD">
      <w:t>752.621</w:t>
    </w:r>
    <w:r w:rsidRPr="00BE53BD">
      <w:rPr>
        <w:rStyle w:val="HideTWBExt"/>
      </w:rPr>
      <w:t>&lt;/NoPE&gt;&lt;Version&gt;</w:t>
    </w:r>
    <w:r w:rsidRPr="00BE53BD">
      <w:t>v02-00</w:t>
    </w:r>
    <w:r w:rsidRPr="00BE53BD">
      <w:rPr>
        <w:rStyle w:val="HideTWBExt"/>
      </w:rPr>
      <w:t>&lt;/Version&gt;</w:t>
    </w:r>
  </w:p>
  <w:p w:rsidR="00AF0131" w:rsidRPr="00BE53BD" w:rsidRDefault="00BE53BD" w:rsidP="00BE53BD">
    <w:pPr>
      <w:pStyle w:val="EPFooter2"/>
    </w:pPr>
    <w:r w:rsidRPr="00BE53BD">
      <w:t>BG</w:t>
    </w:r>
    <w:r w:rsidRPr="00BE53BD">
      <w:tab/>
    </w:r>
    <w:r w:rsidRPr="00BE53BD">
      <w:rPr>
        <w:b w:val="0"/>
        <w:i/>
        <w:color w:val="C0C0C0"/>
        <w:sz w:val="22"/>
      </w:rPr>
      <w:t>Единство в многообразието</w:t>
    </w:r>
    <w:r w:rsidRPr="00BE53BD">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BE53BD" w:rsidRDefault="00C21BA3" w:rsidP="002258E0">
    <w:pPr>
      <w:pStyle w:val="EPFooter"/>
    </w:pPr>
    <w:r w:rsidRPr="00BE53BD">
      <w:rPr>
        <w:rStyle w:val="HideTWBExt"/>
      </w:rPr>
      <w:t>&lt;PathFdR&gt;</w:t>
    </w:r>
    <w:r w:rsidRPr="00BE53BD">
      <w:t>AD\1288324EN.docx</w:t>
    </w:r>
    <w:r w:rsidRPr="00BE53BD">
      <w:rPr>
        <w:rStyle w:val="HideTWBExt"/>
      </w:rPr>
      <w:t>&lt;/PathFdR&gt;</w:t>
    </w:r>
    <w:r w:rsidRPr="00BE53BD">
      <w:tab/>
    </w:r>
    <w:r w:rsidRPr="00BE53BD">
      <w:tab/>
      <w:t>PE</w:t>
    </w:r>
    <w:r w:rsidRPr="00BE53BD">
      <w:rPr>
        <w:rStyle w:val="HideTWBExt"/>
      </w:rPr>
      <w:t>&lt;NoPE&gt;</w:t>
    </w:r>
    <w:r w:rsidRPr="00BE53BD">
      <w:t>752.621</w:t>
    </w:r>
    <w:r w:rsidRPr="00BE53BD">
      <w:rPr>
        <w:rStyle w:val="HideTWBExt"/>
      </w:rPr>
      <w:t>&lt;/NoPE&gt;&lt;Version&gt;</w:t>
    </w:r>
    <w:r w:rsidRPr="00BE53BD">
      <w:t>v02-00</w:t>
    </w:r>
    <w:r w:rsidRPr="00BE53BD">
      <w:rPr>
        <w:rStyle w:val="HideTWBExt"/>
      </w:rPr>
      <w:t>&lt;/Version&gt;</w:t>
    </w:r>
  </w:p>
  <w:p w:rsidR="001A7452" w:rsidRPr="00BE53BD" w:rsidRDefault="00C21BA3" w:rsidP="002258E0">
    <w:pPr>
      <w:pStyle w:val="EPFooter2"/>
    </w:pPr>
    <w:r w:rsidRPr="00BE53BD">
      <w:t>EN</w:t>
    </w:r>
    <w:r w:rsidRPr="00BE53BD">
      <w:tab/>
    </w:r>
    <w:r w:rsidRPr="00BE53BD">
      <w:rPr>
        <w:b w:val="0"/>
        <w:i/>
        <w:color w:val="C0C0C0"/>
        <w:sz w:val="22"/>
      </w:rPr>
      <w:t>United in diversity</w:t>
    </w:r>
    <w:r w:rsidRPr="00BE53BD">
      <w:tab/>
    </w:r>
    <w:r w:rsidRPr="00BE53BD">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E53BD" w:rsidRDefault="00C21BA3">
      <w:r w:rsidRPr="00BE53BD">
        <w:separator/>
      </w:r>
    </w:p>
  </w:footnote>
  <w:footnote w:type="continuationSeparator" w:id="0">
    <w:p w:rsidR="00000000" w:rsidRPr="00BE53BD" w:rsidRDefault="00C21BA3">
      <w:r w:rsidRPr="00BE53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BA3" w:rsidRDefault="00C21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BA3" w:rsidRDefault="00C21B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BA3" w:rsidRDefault="00C21B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A39FD"/>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BE53BD"/>
    <w:rsid w:val="00C21BA3"/>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D956C"/>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bg-BG"/>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86C67-148A-44FD-BE34-A603AED35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7594</Words>
  <Characters>46290</Characters>
  <Application>Microsoft Office Word</Application>
  <DocSecurity>0</DocSecurity>
  <Lines>1923</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2023-11-14T16:09:00Z</dcterms:created>
  <dcterms:modified xsi:type="dcterms:W3CDTF">2023-11-14T16:09:00Z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AD\1288324BG.docx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- 2023/11/14 17:08</vt:lpwstr>
  </property>
</Properties>
</file>