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2714F" w:rsidRPr="00407A0E" w:rsidTr="00E34A5C">
        <w:trPr>
          <w:trHeight w:hRule="exact" w:val="1418"/>
        </w:trPr>
        <w:tc>
          <w:tcPr>
            <w:tcW w:w="6804" w:type="dxa"/>
            <w:shd w:val="clear" w:color="auto" w:fill="auto"/>
            <w:vAlign w:val="center"/>
          </w:tcPr>
          <w:p w:rsidR="00BA3E40" w:rsidRPr="00407A0E" w:rsidRDefault="00407A0E" w:rsidP="00E34A5C">
            <w:pPr>
              <w:pStyle w:val="EPName"/>
            </w:pPr>
            <w:r w:rsidRPr="00407A0E">
              <w:t>Evropský parlament</w:t>
            </w:r>
          </w:p>
          <w:p w:rsidR="00BA3E40" w:rsidRPr="00407A0E" w:rsidRDefault="00407A0E" w:rsidP="009B6583">
            <w:pPr>
              <w:pStyle w:val="EPTerm"/>
            </w:pPr>
            <w:r w:rsidRPr="00407A0E">
              <w:t>2019-2024</w:t>
            </w:r>
          </w:p>
        </w:tc>
        <w:tc>
          <w:tcPr>
            <w:tcW w:w="2268" w:type="dxa"/>
            <w:shd w:val="clear" w:color="auto" w:fill="auto"/>
          </w:tcPr>
          <w:p w:rsidR="00BA3E40" w:rsidRPr="00407A0E" w:rsidRDefault="00407A0E" w:rsidP="00E34A5C">
            <w:pPr>
              <w:pStyle w:val="EPLogo"/>
            </w:pPr>
            <w:r w:rsidRPr="00407A0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07A0E" w:rsidRDefault="00F24D40" w:rsidP="00F24D40">
      <w:pPr>
        <w:pStyle w:val="LineTop"/>
      </w:pPr>
    </w:p>
    <w:p w:rsidR="00F24D40" w:rsidRPr="00407A0E" w:rsidRDefault="00407A0E" w:rsidP="00F24D40">
      <w:pPr>
        <w:pStyle w:val="EPBody"/>
      </w:pPr>
      <w:r w:rsidRPr="00407A0E">
        <w:rPr>
          <w:rStyle w:val="HideTWBExt"/>
          <w:i w:val="0"/>
          <w:szCs w:val="24"/>
        </w:rPr>
        <w:t>&lt;</w:t>
      </w:r>
      <w:r w:rsidRPr="00407A0E">
        <w:rPr>
          <w:rStyle w:val="HideTWBExt"/>
          <w:i w:val="0"/>
          <w:szCs w:val="24"/>
        </w:rPr>
        <w:t>Commission</w:t>
      </w:r>
      <w:r w:rsidRPr="00407A0E">
        <w:rPr>
          <w:rStyle w:val="HideTWBExt"/>
          <w:i w:val="0"/>
          <w:szCs w:val="24"/>
        </w:rPr>
        <w:t>&gt;</w:t>
      </w:r>
      <w:r w:rsidRPr="00407A0E">
        <w:rPr>
          <w:rStyle w:val="HideTWBInt"/>
          <w:i w:val="0"/>
          <w:szCs w:val="24"/>
        </w:rPr>
        <w:t>{EMPL}</w:t>
      </w:r>
      <w:r w:rsidRPr="00407A0E">
        <w:t>Výbor pro zaměstnanost a sociální věci</w:t>
      </w:r>
      <w:r w:rsidRPr="00407A0E">
        <w:rPr>
          <w:rStyle w:val="HideTWBExt"/>
          <w:i w:val="0"/>
          <w:szCs w:val="24"/>
        </w:rPr>
        <w:t>&lt;/</w:t>
      </w:r>
      <w:r w:rsidRPr="00407A0E">
        <w:rPr>
          <w:rStyle w:val="HideTWBExt"/>
          <w:i w:val="0"/>
          <w:szCs w:val="24"/>
        </w:rPr>
        <w:t>Commission</w:t>
      </w:r>
      <w:r w:rsidRPr="00407A0E">
        <w:rPr>
          <w:rStyle w:val="HideTWBExt"/>
          <w:i w:val="0"/>
          <w:szCs w:val="24"/>
        </w:rPr>
        <w:t>&gt;</w:t>
      </w:r>
    </w:p>
    <w:p w:rsidR="00F24D40" w:rsidRPr="00407A0E" w:rsidRDefault="00F24D40" w:rsidP="00F24D40">
      <w:pPr>
        <w:pStyle w:val="LineBottom"/>
      </w:pPr>
    </w:p>
    <w:p w:rsidR="00AF0131" w:rsidRPr="00407A0E" w:rsidRDefault="00407A0E" w:rsidP="00AF0131">
      <w:pPr>
        <w:pStyle w:val="CoverReference"/>
      </w:pPr>
      <w:r w:rsidRPr="00407A0E">
        <w:rPr>
          <w:rStyle w:val="HideTWBExt"/>
          <w:b w:val="0"/>
          <w:szCs w:val="24"/>
        </w:rPr>
        <w:t>&lt;RefProc&gt;</w:t>
      </w:r>
      <w:r w:rsidRPr="00407A0E">
        <w:t>2023/0138</w:t>
      </w:r>
      <w:r w:rsidRPr="00407A0E">
        <w:rPr>
          <w:rStyle w:val="HideTWBExt"/>
          <w:b w:val="0"/>
          <w:szCs w:val="24"/>
        </w:rPr>
        <w:t>&lt;/RefProc&gt;&lt;RefTypeProc&gt;</w:t>
      </w:r>
      <w:r w:rsidRPr="00407A0E">
        <w:t>(COD)</w:t>
      </w:r>
      <w:r w:rsidRPr="00407A0E">
        <w:rPr>
          <w:rStyle w:val="HideTWBExt"/>
          <w:b w:val="0"/>
          <w:szCs w:val="24"/>
        </w:rPr>
        <w:t>&lt;/RefTypeProc&gt;</w:t>
      </w:r>
    </w:p>
    <w:p w:rsidR="00AF0131" w:rsidRPr="00407A0E" w:rsidRDefault="00407A0E" w:rsidP="00AF0131">
      <w:pPr>
        <w:pStyle w:val="CoverDate"/>
      </w:pPr>
      <w:r w:rsidRPr="00407A0E">
        <w:rPr>
          <w:rStyle w:val="HideTWBExt"/>
        </w:rPr>
        <w:t>&lt;Date&gt;</w:t>
      </w:r>
      <w:r w:rsidRPr="00407A0E">
        <w:rPr>
          <w:rStyle w:val="HideTWBInt"/>
        </w:rPr>
        <w:t>{30/10/2023}</w:t>
      </w:r>
      <w:r w:rsidRPr="00407A0E">
        <w:t>30.10.2023</w:t>
      </w:r>
      <w:r w:rsidRPr="00407A0E">
        <w:rPr>
          <w:rStyle w:val="HideTWBExt"/>
        </w:rPr>
        <w:t>&lt;/Date&gt;</w:t>
      </w:r>
    </w:p>
    <w:p w:rsidR="00AF0131" w:rsidRPr="00407A0E" w:rsidRDefault="00407A0E" w:rsidP="00AF0131">
      <w:pPr>
        <w:pStyle w:val="CoverDocType24a"/>
      </w:pPr>
      <w:r w:rsidRPr="00407A0E">
        <w:rPr>
          <w:rStyle w:val="HideTWBExt"/>
          <w:b w:val="0"/>
          <w:szCs w:val="24"/>
        </w:rPr>
        <w:t>&lt;TitreType&gt;</w:t>
      </w:r>
      <w:r w:rsidRPr="00407A0E">
        <w:t>STANOVISKO</w:t>
      </w:r>
      <w:r w:rsidRPr="00407A0E">
        <w:rPr>
          <w:rStyle w:val="HideTWBExt"/>
          <w:b w:val="0"/>
          <w:szCs w:val="24"/>
        </w:rPr>
        <w:t>&lt;/TitreType&gt;</w:t>
      </w:r>
    </w:p>
    <w:p w:rsidR="00AF0131" w:rsidRPr="00407A0E" w:rsidRDefault="00407A0E" w:rsidP="00AF0131">
      <w:pPr>
        <w:pStyle w:val="CoverNormal24a"/>
      </w:pPr>
      <w:r w:rsidRPr="00407A0E">
        <w:rPr>
          <w:rStyle w:val="HideTWBExt"/>
        </w:rPr>
        <w:t>&lt;CommissionResp&gt;</w:t>
      </w:r>
      <w:r w:rsidRPr="00407A0E">
        <w:t>Výboru pro zaměstnanost a sociální věci</w:t>
      </w:r>
      <w:r w:rsidRPr="00407A0E">
        <w:rPr>
          <w:rStyle w:val="HideTWBExt"/>
        </w:rPr>
        <w:t>&lt;/CommissionResp&gt;</w:t>
      </w:r>
    </w:p>
    <w:p w:rsidR="00AF0131" w:rsidRPr="00407A0E" w:rsidRDefault="00407A0E" w:rsidP="00AF0131">
      <w:pPr>
        <w:pStyle w:val="CoverNormal24a"/>
      </w:pPr>
      <w:r w:rsidRPr="00407A0E">
        <w:rPr>
          <w:rStyle w:val="HideTWBExt"/>
        </w:rPr>
        <w:t>&lt;CommissionInt&gt;</w:t>
      </w:r>
      <w:r w:rsidRPr="00407A0E">
        <w:t>pro Hospodářský a měnový výbor</w:t>
      </w:r>
      <w:r w:rsidRPr="00407A0E">
        <w:rPr>
          <w:rStyle w:val="HideTWBExt"/>
        </w:rPr>
        <w:t>&lt;/CommissionInt&gt;</w:t>
      </w:r>
    </w:p>
    <w:p w:rsidR="00AF0131" w:rsidRPr="00407A0E" w:rsidRDefault="00407A0E" w:rsidP="00AF0131">
      <w:pPr>
        <w:pStyle w:val="CoverNormal"/>
      </w:pPr>
      <w:r w:rsidRPr="00407A0E">
        <w:rPr>
          <w:rStyle w:val="HideTWBExt"/>
        </w:rPr>
        <w:t>&lt;Titre&gt;</w:t>
      </w:r>
      <w:r w:rsidRPr="00407A0E">
        <w:t>k návrhu nařízení Evropského parlamentu a Rady o účinné koordinaci hospodářských politik a mnohostranném rozpočtovém dohledu a o z</w:t>
      </w:r>
      <w:r w:rsidRPr="00407A0E">
        <w:t>rušení nařízení Rady (ES) č. 1466/97</w:t>
      </w:r>
      <w:r w:rsidRPr="00407A0E">
        <w:rPr>
          <w:rStyle w:val="HideTWBExt"/>
        </w:rPr>
        <w:t>&lt;/Titre&gt;</w:t>
      </w:r>
    </w:p>
    <w:p w:rsidR="00AF0131" w:rsidRPr="00407A0E" w:rsidRDefault="00407A0E" w:rsidP="00AF0131">
      <w:pPr>
        <w:pStyle w:val="CoverNormal24a"/>
      </w:pPr>
      <w:r w:rsidRPr="00407A0E">
        <w:rPr>
          <w:rStyle w:val="HideTWBExt"/>
        </w:rPr>
        <w:t>&lt;DocRef&gt;</w:t>
      </w:r>
      <w:r w:rsidRPr="00407A0E">
        <w:t>(COM(2023)0240 – C9</w:t>
      </w:r>
      <w:r w:rsidRPr="00407A0E">
        <w:noBreakHyphen/>
        <w:t>0150/2023 – 2023/0138(COD))</w:t>
      </w:r>
      <w:r w:rsidRPr="00407A0E">
        <w:rPr>
          <w:rStyle w:val="HideTWBExt"/>
        </w:rPr>
        <w:t>&lt;/DocRef&gt;</w:t>
      </w:r>
    </w:p>
    <w:p w:rsidR="00AF0131" w:rsidRPr="00407A0E" w:rsidRDefault="00407A0E" w:rsidP="00AF0131">
      <w:pPr>
        <w:pStyle w:val="CoverNormal24a"/>
      </w:pPr>
      <w:r w:rsidRPr="00407A0E">
        <w:t>Zpravodajka</w:t>
      </w:r>
      <w:r w:rsidRPr="00407A0E">
        <w:rPr>
          <w:snapToGrid w:val="0"/>
        </w:rPr>
        <w:t>(*)</w:t>
      </w:r>
      <w:r w:rsidRPr="00407A0E">
        <w:t xml:space="preserve">: </w:t>
      </w:r>
      <w:r w:rsidRPr="00407A0E">
        <w:rPr>
          <w:rStyle w:val="HideTWBExt"/>
        </w:rPr>
        <w:t>&lt;Depute&gt;</w:t>
      </w:r>
      <w:r w:rsidRPr="00407A0E">
        <w:t>Gabriele Bischoff</w:t>
      </w:r>
      <w:r w:rsidRPr="00407A0E">
        <w:rPr>
          <w:rStyle w:val="HideTWBExt"/>
        </w:rPr>
        <w:t>&lt;/Depute&gt;</w:t>
      </w:r>
    </w:p>
    <w:p w:rsidR="00AF0131" w:rsidRPr="00407A0E" w:rsidRDefault="00407A0E" w:rsidP="00AF0131">
      <w:pPr>
        <w:pStyle w:val="CoverNormal"/>
        <w:rPr>
          <w:snapToGrid w:val="0"/>
          <w:szCs w:val="24"/>
        </w:rPr>
      </w:pPr>
      <w:r w:rsidRPr="00407A0E">
        <w:rPr>
          <w:snapToGrid w:val="0"/>
        </w:rPr>
        <w:t>(*) Přidružený výbor – článek 57 jednacího řádu</w:t>
      </w:r>
    </w:p>
    <w:p w:rsidR="00AF0131" w:rsidRPr="00407A0E" w:rsidRDefault="00AF0131" w:rsidP="00AF0131">
      <w:pPr>
        <w:pStyle w:val="CoverNormal"/>
        <w:rPr>
          <w:snapToGrid w:val="0"/>
          <w:szCs w:val="24"/>
        </w:rPr>
      </w:pPr>
    </w:p>
    <w:p w:rsidR="00AF0131" w:rsidRPr="00407A0E" w:rsidRDefault="00AF0131" w:rsidP="00AF0131">
      <w:pPr>
        <w:pStyle w:val="CoverNormal"/>
        <w:rPr>
          <w:snapToGrid w:val="0"/>
          <w:szCs w:val="24"/>
        </w:rPr>
      </w:pPr>
    </w:p>
    <w:p w:rsidR="00AF0131" w:rsidRPr="00407A0E" w:rsidRDefault="00AF0131" w:rsidP="00AF0131">
      <w:pPr>
        <w:pStyle w:val="CoverNormal"/>
        <w:rPr>
          <w:snapToGrid w:val="0"/>
          <w:szCs w:val="24"/>
        </w:rPr>
      </w:pPr>
    </w:p>
    <w:p w:rsidR="00AF0131" w:rsidRPr="00407A0E" w:rsidRDefault="00AF0131" w:rsidP="00AF0131">
      <w:pPr>
        <w:pStyle w:val="CoverNormal"/>
        <w:rPr>
          <w:snapToGrid w:val="0"/>
          <w:szCs w:val="24"/>
        </w:rPr>
      </w:pPr>
    </w:p>
    <w:p w:rsidR="00AF0131" w:rsidRPr="00407A0E" w:rsidRDefault="00407A0E" w:rsidP="00AF0131">
      <w:pPr>
        <w:tabs>
          <w:tab w:val="center" w:pos="4677"/>
        </w:tabs>
      </w:pPr>
      <w:r w:rsidRPr="00407A0E">
        <w:br w:type="page"/>
      </w:r>
      <w:r w:rsidRPr="00407A0E">
        <w:lastRenderedPageBreak/>
        <w:t>PA_Legam</w:t>
      </w:r>
    </w:p>
    <w:p w:rsidR="00AF0131" w:rsidRPr="00407A0E" w:rsidRDefault="00407A0E" w:rsidP="00C56375">
      <w:pPr>
        <w:pStyle w:val="PageHeadingNotTOC"/>
      </w:pPr>
      <w:r w:rsidRPr="00407A0E">
        <w:br w:type="page"/>
      </w:r>
      <w:r w:rsidRPr="00407A0E">
        <w:lastRenderedPageBreak/>
        <w:t>POZMĚŇOVACÍ NÁVRHY</w:t>
      </w:r>
    </w:p>
    <w:p w:rsidR="00AF0131" w:rsidRPr="00407A0E" w:rsidRDefault="00407A0E" w:rsidP="00AF0131">
      <w:pPr>
        <w:pStyle w:val="Normal12a"/>
      </w:pPr>
      <w:bookmarkStart w:id="0" w:name="IntroA"/>
      <w:r w:rsidRPr="00407A0E">
        <w:t>Výbor pro zaměstnanost a sociální věci vyzývá Hospodářský a měnový výbor jako příslušný výbor, aby vzal na vědomí:</w:t>
      </w:r>
    </w:p>
    <w:bookmarkEnd w:id="0"/>
    <w:p w:rsidR="00AF0131" w:rsidRPr="00407A0E" w:rsidRDefault="00407A0E" w:rsidP="00C56375">
      <w:r w:rsidRPr="00407A0E">
        <w:rPr>
          <w:rStyle w:val="HideTWBExt"/>
        </w:rPr>
        <w:t>&lt;RepeatBlock-Amend&gt;</w:t>
      </w:r>
      <w:r w:rsidRPr="00407A0E">
        <w:rPr>
          <w:rStyle w:val="HideTWBExt"/>
        </w:rPr>
        <w:t>&lt;Amend&gt;</w:t>
      </w:r>
      <w:r w:rsidRPr="00407A0E">
        <w:t>Pozměňovací návrh</w:t>
      </w:r>
      <w:r w:rsidRPr="00407A0E">
        <w:tab/>
      </w:r>
      <w:r w:rsidRPr="00407A0E">
        <w:rPr>
          <w:rStyle w:val="HideTWBExt"/>
        </w:rPr>
        <w:t>&lt;NumAm&gt;</w:t>
      </w:r>
      <w:r w:rsidRPr="00407A0E">
        <w:t>1</w:t>
      </w:r>
      <w:r w:rsidRPr="00407A0E">
        <w:rPr>
          <w:rStyle w:val="HideTWBExt"/>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(2)</w:t>
            </w:r>
            <w:r w:rsidRPr="00407A0E">
              <w:tab/>
              <w:t>Pakt o stabilitě a růstu, který se původně skládal z nařízení Rady (ES) č. 1466/97</w:t>
            </w:r>
            <w:r w:rsidRPr="00407A0E">
              <w:rPr>
                <w:vertAlign w:val="superscript"/>
              </w:rPr>
              <w:t>19</w:t>
            </w:r>
            <w:r w:rsidRPr="00407A0E">
              <w:t>, nařízení Rady (ES) č. 1467/97 ze dne 7. července 1997</w:t>
            </w:r>
            <w:r w:rsidRPr="00407A0E">
              <w:rPr>
                <w:vertAlign w:val="superscript"/>
              </w:rPr>
              <w:t>20</w:t>
            </w:r>
            <w:r w:rsidRPr="00407A0E">
              <w:t xml:space="preserve"> a usnesení Evropské rady ze dne 17. června 1997 o Paktu o stabilitě a</w:t>
            </w:r>
            <w:r w:rsidRPr="00407A0E">
              <w:t xml:space="preserve"> růstu</w:t>
            </w:r>
            <w:r w:rsidRPr="00407A0E">
              <w:rPr>
                <w:vertAlign w:val="superscript"/>
              </w:rPr>
              <w:t>21</w:t>
            </w:r>
            <w:r w:rsidRPr="00407A0E">
              <w:t>, je založen na cíli zdravých a udržitelných veřejných financí jako prostředku k posílení podmínek pro cenovou stabilitu a pro silný udržitelný růst založený na finanční stabilitě, čímž podporuje dosažení cílů Unie v oblasti udržitelného a inkluziv</w:t>
            </w:r>
            <w:r w:rsidRPr="00407A0E">
              <w:t xml:space="preserve">ního růstu </w:t>
            </w:r>
            <w:r w:rsidRPr="00407A0E">
              <w:rPr>
                <w:b/>
                <w:i/>
              </w:rPr>
              <w:t>a</w:t>
            </w:r>
            <w:r w:rsidRPr="00407A0E">
              <w:t xml:space="preserve"> zaměstnanosti.</w:t>
            </w:r>
          </w:p>
        </w:tc>
        <w:tc>
          <w:tcPr>
            <w:tcW w:w="4876" w:type="dxa"/>
            <w:hideMark/>
          </w:tcPr>
          <w:p w:rsidR="00AF0131" w:rsidRPr="00407A0E" w:rsidRDefault="00407A0E" w:rsidP="00C33FBD">
            <w:pPr>
              <w:pStyle w:val="Normal6"/>
              <w:rPr>
                <w:szCs w:val="24"/>
              </w:rPr>
            </w:pPr>
            <w:r w:rsidRPr="00407A0E">
              <w:t>(2)</w:t>
            </w:r>
            <w:r w:rsidRPr="00407A0E">
              <w:tab/>
              <w:t>Pakt o stabilitě a růstu, který se původně skládal z nařízení Rady (ES) č. 1466/97</w:t>
            </w:r>
            <w:r w:rsidRPr="00407A0E">
              <w:rPr>
                <w:vertAlign w:val="superscript"/>
              </w:rPr>
              <w:t>19</w:t>
            </w:r>
            <w:r w:rsidRPr="00407A0E">
              <w:t>, nařízení Rady (ES) č. 1467/97 ze dne 7. července 1997</w:t>
            </w:r>
            <w:r w:rsidRPr="00407A0E">
              <w:rPr>
                <w:vertAlign w:val="superscript"/>
              </w:rPr>
              <w:t>20</w:t>
            </w:r>
            <w:r w:rsidRPr="00407A0E">
              <w:t xml:space="preserve"> a usnesení Evropské rady ze dne 17. června 1997 o Paktu o stabilitě a růstu</w:t>
            </w:r>
            <w:r w:rsidRPr="00407A0E">
              <w:rPr>
                <w:vertAlign w:val="superscript"/>
              </w:rPr>
              <w:t>21</w:t>
            </w:r>
            <w:r w:rsidRPr="00407A0E">
              <w:t xml:space="preserve">, je </w:t>
            </w:r>
            <w:r w:rsidRPr="00407A0E">
              <w:t xml:space="preserve">založen na cíli zdravých a udržitelných veřejných financí jako prostředku k posílení podmínek pro cenovou stabilitu a pro silný udržitelný růst </w:t>
            </w:r>
            <w:r w:rsidRPr="00407A0E">
              <w:rPr>
                <w:b/>
                <w:i/>
              </w:rPr>
              <w:t>přispívající k vytváření pracovních míst,</w:t>
            </w:r>
            <w:r w:rsidRPr="00407A0E">
              <w:t xml:space="preserve"> založený na finanční stabilitě, čímž podporuje dosažení cílů Unie v ob</w:t>
            </w:r>
            <w:r w:rsidRPr="00407A0E">
              <w:t>lasti udržitelného a inkluzivního růstu</w:t>
            </w:r>
            <w:r w:rsidRPr="00407A0E">
              <w:rPr>
                <w:b/>
                <w:i/>
              </w:rPr>
              <w:t>, který se zaměřuje na dosažení úplné</w:t>
            </w:r>
            <w:r w:rsidRPr="00407A0E">
              <w:t xml:space="preserve"> zaměstnanosti </w:t>
            </w:r>
            <w:r w:rsidRPr="00407A0E">
              <w:rPr>
                <w:b/>
                <w:i/>
              </w:rPr>
              <w:t>a sociálního pokroku</w:t>
            </w:r>
            <w:r w:rsidRPr="00407A0E">
              <w:t>.</w:t>
            </w:r>
          </w:p>
        </w:tc>
      </w:tr>
      <w:tr w:rsidR="00407A0E" w:rsidRPr="00407A0E" w:rsidTr="00C33FBD">
        <w:trPr>
          <w:jc w:val="center"/>
        </w:trPr>
        <w:tc>
          <w:tcPr>
            <w:tcW w:w="4876" w:type="dxa"/>
            <w:hideMark/>
          </w:tcPr>
          <w:p w:rsidR="00AF0131" w:rsidRPr="00407A0E" w:rsidRDefault="00407A0E" w:rsidP="00C33FBD">
            <w:pPr>
              <w:pStyle w:val="Normal6"/>
            </w:pPr>
            <w:r w:rsidRPr="00407A0E">
              <w:t>__________________</w:t>
            </w:r>
          </w:p>
        </w:tc>
        <w:tc>
          <w:tcPr>
            <w:tcW w:w="4876" w:type="dxa"/>
            <w:hideMark/>
          </w:tcPr>
          <w:p w:rsidR="00AF0131" w:rsidRPr="00407A0E" w:rsidRDefault="00407A0E" w:rsidP="00C33FBD">
            <w:pPr>
              <w:pStyle w:val="Normal6"/>
              <w:rPr>
                <w:szCs w:val="24"/>
              </w:rPr>
            </w:pPr>
            <w:r w:rsidRPr="00407A0E">
              <w:t>__________________</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19</w:t>
            </w:r>
            <w:r w:rsidRPr="00407A0E">
              <w:t xml:space="preserve"> Nařízení Rady (ES) č. 1466/97 ze dne 7. července 1997 o posílení dohledu nad stavy rozpočtů a nad ho</w:t>
            </w:r>
            <w:r w:rsidRPr="00407A0E">
              <w:t>spodářskými politikami a o posílení koordinace hospodářských politik (Úř. věst. L 209, 2.8.1997, s. 1).</w:t>
            </w:r>
          </w:p>
        </w:tc>
        <w:tc>
          <w:tcPr>
            <w:tcW w:w="4876" w:type="dxa"/>
            <w:hideMark/>
          </w:tcPr>
          <w:p w:rsidR="00AF0131" w:rsidRPr="00407A0E" w:rsidRDefault="00407A0E" w:rsidP="00C33FBD">
            <w:pPr>
              <w:pStyle w:val="Normal6"/>
              <w:rPr>
                <w:szCs w:val="24"/>
              </w:rPr>
            </w:pPr>
            <w:r w:rsidRPr="00407A0E">
              <w:rPr>
                <w:vertAlign w:val="superscript"/>
              </w:rPr>
              <w:t>19</w:t>
            </w:r>
            <w:r w:rsidRPr="00407A0E">
              <w:t xml:space="preserve"> Nařízení Rady (ES) č. 1466/97 ze dne 7. července 1997 o posílení dohledu nad stavy rozpočtů a nad hospodářskými politikami a o posílení koordinace ho</w:t>
            </w:r>
            <w:r w:rsidRPr="00407A0E">
              <w:t>spodářských politik (Úř. věst. L 209, 2.8.1997, s. 1).</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20</w:t>
            </w:r>
            <w:r w:rsidRPr="00407A0E">
              <w:t xml:space="preserve"> Nařízení Rady (ES) č. 1467/97 ze dne 7. července 1997 o urychlení a vyjasnění postupu při nadměrném schodku (Úř. věst. L 209, 2.8.1997, s. 6).</w:t>
            </w:r>
          </w:p>
        </w:tc>
        <w:tc>
          <w:tcPr>
            <w:tcW w:w="4876" w:type="dxa"/>
            <w:hideMark/>
          </w:tcPr>
          <w:p w:rsidR="00AF0131" w:rsidRPr="00407A0E" w:rsidRDefault="00407A0E" w:rsidP="00C33FBD">
            <w:pPr>
              <w:pStyle w:val="Normal6"/>
              <w:rPr>
                <w:szCs w:val="24"/>
              </w:rPr>
            </w:pPr>
            <w:r w:rsidRPr="00407A0E">
              <w:rPr>
                <w:vertAlign w:val="superscript"/>
              </w:rPr>
              <w:t>20</w:t>
            </w:r>
            <w:r w:rsidRPr="00407A0E">
              <w:t xml:space="preserve"> Nařízení Rady (ES) č. 1467/97 ze dne 7. července 19</w:t>
            </w:r>
            <w:r w:rsidRPr="00407A0E">
              <w:t>97 o urychlení a vyjasnění postupu při nadměrném schodku (Úř. věst. L 209, 2.8.1997, s. 6).</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21</w:t>
            </w:r>
            <w:r w:rsidRPr="00407A0E">
              <w:t xml:space="preserve"> Usnesení Evropské rady o Paktu o stabilitě a růstu z Amsterdamu ze dne 17. června 1997 (Úř. věst. C 236, 2.8.1997, s. 1).</w:t>
            </w:r>
          </w:p>
        </w:tc>
        <w:tc>
          <w:tcPr>
            <w:tcW w:w="4876" w:type="dxa"/>
            <w:hideMark/>
          </w:tcPr>
          <w:p w:rsidR="00AF0131" w:rsidRPr="00407A0E" w:rsidRDefault="00407A0E" w:rsidP="00C33FBD">
            <w:pPr>
              <w:pStyle w:val="Normal6"/>
              <w:rPr>
                <w:szCs w:val="24"/>
              </w:rPr>
            </w:pPr>
            <w:r w:rsidRPr="00407A0E">
              <w:rPr>
                <w:vertAlign w:val="superscript"/>
              </w:rPr>
              <w:t>21</w:t>
            </w:r>
            <w:r w:rsidRPr="00407A0E">
              <w:t xml:space="preserve"> Usnesení Evropské rady o Paktu o stabilitě a růstu z Amsterdamu ze dne 17. června 1997 (Úř. věst. C 236, 2.8.1997, s. 1).</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lastRenderedPageBreak/>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5</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(5)</w:t>
            </w:r>
            <w:r w:rsidRPr="00407A0E">
              <w:tab/>
              <w:t>Rámec správy ekonomických záležitostí Unie by měl být upraven tak, aby lépe zohledňoval rostoucí různorodost fiskálních pozic, výzev týkajících se veřejného dluhu a dalších slabých míst napříč členskými státy. D</w:t>
            </w:r>
            <w:r w:rsidRPr="00407A0E">
              <w:t>ůrazná politická reakce na pandemii COVID-19 se ukázala jako vysoce účinná při zmírňování hospodářských a sociálních škod způsobených krizí, avšak krize vedla k výraznému zvýšení míry zadlužení veřejného a soukromého sektoru a ukázala, že je důležité postu</w:t>
            </w:r>
            <w:r w:rsidRPr="00407A0E">
              <w:t xml:space="preserve">pně, trvale </w:t>
            </w:r>
            <w:r w:rsidRPr="00407A0E">
              <w:rPr>
                <w:b/>
                <w:i/>
              </w:rPr>
              <w:t>a</w:t>
            </w:r>
            <w:r w:rsidRPr="00407A0E">
              <w:t xml:space="preserve"> prorůstově snižovat míru zadlužení na obezřetnou úroveň a řešit makroekonomické nerovnováhy, přičemž je třeba věnovat náležitou pozornost cílům v oblasti zaměstnanosti a v sociální oblasti. Zároveň by měl být rámec správy ekonomických záležit</w:t>
            </w:r>
            <w:r w:rsidRPr="00407A0E">
              <w:t>ostí Unie upraven tak, aby pomohl řešit střednědobé a dlouhodobé výzvy, jimž Unie čelí, včetně dosažení spravedlivé digitální a zelené transformace, včetně právního rámce pro klima</w:t>
            </w:r>
            <w:r w:rsidRPr="00407A0E">
              <w:rPr>
                <w:vertAlign w:val="superscript"/>
              </w:rPr>
              <w:t>22</w:t>
            </w:r>
            <w:r w:rsidRPr="00407A0E">
              <w:t>, zajištění energetické bezpečnosti, otevřené strategické autonomie, řešen</w:t>
            </w:r>
            <w:r w:rsidRPr="00407A0E">
              <w:t>í demografických změn, posílení sociální a hospodářské odolnosti a provádění strategického kompasu pro bezpečnost a obranu, což vše vyžaduje reformy a trvale vysokou úroveň investic v nadcházejících letech.</w:t>
            </w:r>
          </w:p>
        </w:tc>
        <w:tc>
          <w:tcPr>
            <w:tcW w:w="4876" w:type="dxa"/>
            <w:hideMark/>
          </w:tcPr>
          <w:p w:rsidR="00AF0131" w:rsidRPr="00407A0E" w:rsidRDefault="00407A0E" w:rsidP="00C33FBD">
            <w:pPr>
              <w:pStyle w:val="Normal6"/>
              <w:rPr>
                <w:szCs w:val="24"/>
              </w:rPr>
            </w:pPr>
            <w:r w:rsidRPr="00407A0E">
              <w:t>(5)</w:t>
            </w:r>
            <w:r w:rsidRPr="00407A0E">
              <w:tab/>
              <w:t>Rámec správy ekonomických záležitostí Unie by</w:t>
            </w:r>
            <w:r w:rsidRPr="00407A0E">
              <w:t xml:space="preserve"> měl být upraven tak, aby lépe zohledňoval rostoucí různorodost fiskálních pozic, výzev týkajících se veřejného dluhu a dalších slabých míst napříč členskými státy. Důrazná politická reakce na pandemii COVID-19 se ukázala jako vysoce účinná při zmírňování </w:t>
            </w:r>
            <w:r w:rsidRPr="00407A0E">
              <w:t>hospodářských a sociálních škod způsobených krizí, avšak krize vedla k výraznému zvýšení míry zadlužení veřejného a soukromého sektoru a ukázala, že je důležité postupně, trvale</w:t>
            </w:r>
            <w:r w:rsidRPr="00407A0E">
              <w:rPr>
                <w:b/>
                <w:i/>
              </w:rPr>
              <w:t>,</w:t>
            </w:r>
            <w:r w:rsidRPr="00407A0E">
              <w:t xml:space="preserve"> prorůstově </w:t>
            </w:r>
            <w:r w:rsidRPr="00407A0E">
              <w:rPr>
                <w:b/>
                <w:i/>
              </w:rPr>
              <w:t>a inkluzivně</w:t>
            </w:r>
            <w:r w:rsidRPr="00407A0E">
              <w:t xml:space="preserve"> snižovat míru zadlužení na obezřetnou úroveň a řešit </w:t>
            </w:r>
            <w:r w:rsidRPr="00407A0E">
              <w:t>makroekonomické nerovnováhy</w:t>
            </w:r>
            <w:r w:rsidRPr="00407A0E">
              <w:rPr>
                <w:b/>
                <w:i/>
              </w:rPr>
              <w:t>, jakož i podpořit vzestupnou sociální konvergenci</w:t>
            </w:r>
            <w:r w:rsidRPr="00407A0E">
              <w:t xml:space="preserve">, přičemž je třeba věnovat náležitou pozornost cílům v oblasti </w:t>
            </w:r>
            <w:r w:rsidRPr="00407A0E">
              <w:rPr>
                <w:b/>
                <w:i/>
              </w:rPr>
              <w:t>kvalitní</w:t>
            </w:r>
            <w:r w:rsidRPr="00407A0E">
              <w:t xml:space="preserve"> zaměstnanosti a v sociální oblasti. Zároveň by měl být rámec správy ekonomických záležitostí Unie upraven t</w:t>
            </w:r>
            <w:r w:rsidRPr="00407A0E">
              <w:t>ak, aby pomohl řešit střednědobé a dlouhodobé výzvy, jimž Unie čelí, včetně dosažení spravedlivé digitální a zelené transformace, včetně právního rámce pro klima</w:t>
            </w:r>
            <w:r w:rsidRPr="00407A0E">
              <w:rPr>
                <w:vertAlign w:val="superscript"/>
              </w:rPr>
              <w:t>22</w:t>
            </w:r>
            <w:r w:rsidRPr="00407A0E">
              <w:rPr>
                <w:b/>
                <w:i/>
              </w:rPr>
              <w:t xml:space="preserve"> a provedení evropského pilíře sociálních práv</w:t>
            </w:r>
            <w:r w:rsidRPr="00407A0E">
              <w:t>, zajištění energetické bezpečnosti, otevřené s</w:t>
            </w:r>
            <w:r w:rsidRPr="00407A0E">
              <w:t>trategické autonomie, řešení demografických změn, posílení sociální a hospodářské odolnosti</w:t>
            </w:r>
            <w:r w:rsidRPr="00407A0E">
              <w:rPr>
                <w:b/>
                <w:i/>
              </w:rPr>
              <w:t>, mimo jiné prostřednictvím posílení sociálních investic,</w:t>
            </w:r>
            <w:r w:rsidRPr="00407A0E">
              <w:t xml:space="preserve"> a provádění strategického kompasu pro bezpečnost a obranu, což vše vyžaduje reformy a trvale vysokou úroveň</w:t>
            </w:r>
            <w:r w:rsidRPr="00407A0E">
              <w:t xml:space="preserve"> investic v nadcházejících letech.</w:t>
            </w:r>
          </w:p>
        </w:tc>
      </w:tr>
      <w:tr w:rsidR="00407A0E" w:rsidRPr="00407A0E" w:rsidTr="00C33FBD">
        <w:trPr>
          <w:jc w:val="center"/>
        </w:trPr>
        <w:tc>
          <w:tcPr>
            <w:tcW w:w="4876" w:type="dxa"/>
            <w:hideMark/>
          </w:tcPr>
          <w:p w:rsidR="00AF0131" w:rsidRPr="00407A0E" w:rsidRDefault="00407A0E" w:rsidP="00C33FBD">
            <w:pPr>
              <w:pStyle w:val="Normal6"/>
            </w:pPr>
            <w:r w:rsidRPr="00407A0E">
              <w:t>__________________</w:t>
            </w:r>
          </w:p>
        </w:tc>
        <w:tc>
          <w:tcPr>
            <w:tcW w:w="4876" w:type="dxa"/>
            <w:hideMark/>
          </w:tcPr>
          <w:p w:rsidR="00AF0131" w:rsidRPr="00407A0E" w:rsidRDefault="00407A0E" w:rsidP="00C33FBD">
            <w:pPr>
              <w:pStyle w:val="Normal6"/>
              <w:rPr>
                <w:szCs w:val="24"/>
              </w:rPr>
            </w:pPr>
            <w:r w:rsidRPr="00407A0E">
              <w:t>__________________</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22</w:t>
            </w:r>
            <w:r w:rsidRPr="00407A0E">
              <w:t xml:space="preserve"> Evropský právní rámec pro klima stanoví celounijní cíl klimatické neutrality do roku 2050 a vyžaduje, aby orgány Unie a členské státy pokročily při zvyšování adaptační kapacity, k čemuž jsou nutné značné veřejné investice za účelem snížení </w:t>
            </w:r>
            <w:r w:rsidRPr="00407A0E">
              <w:lastRenderedPageBreak/>
              <w:t>negativních soc</w:t>
            </w:r>
            <w:r w:rsidRPr="00407A0E">
              <w:t>ioekonomických dopadů změny klimatu na EU a její členské státy, včetně negativních dopadů na růst a udržitelnost veřejných financí.</w:t>
            </w:r>
          </w:p>
        </w:tc>
        <w:tc>
          <w:tcPr>
            <w:tcW w:w="4876" w:type="dxa"/>
            <w:hideMark/>
          </w:tcPr>
          <w:p w:rsidR="00AF0131" w:rsidRPr="00407A0E" w:rsidRDefault="00407A0E" w:rsidP="00C33FBD">
            <w:pPr>
              <w:pStyle w:val="Normal6"/>
              <w:rPr>
                <w:szCs w:val="24"/>
              </w:rPr>
            </w:pPr>
            <w:r w:rsidRPr="00407A0E">
              <w:rPr>
                <w:vertAlign w:val="superscript"/>
              </w:rPr>
              <w:lastRenderedPageBreak/>
              <w:t>22</w:t>
            </w:r>
            <w:r w:rsidRPr="00407A0E">
              <w:t xml:space="preserve"> Evropský právní rámec pro klima stanoví celounijní cíl klimatické neutrality do roku 2050 a vyžaduje, aby orgány Unie a členské státy pokročily při zvyšování adaptační kapacity, k čemuž jsou nutné značné veřejné investice za účelem snížení </w:t>
            </w:r>
            <w:r w:rsidRPr="00407A0E">
              <w:lastRenderedPageBreak/>
              <w:t>negativních soc</w:t>
            </w:r>
            <w:r w:rsidRPr="00407A0E">
              <w:t>ioekonomických dopadů změny klimatu na EU a její členské státy, včetně negativních dopadů na růst a udržitelnost veřejných financí.</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7</w:t>
      </w:r>
      <w:r w:rsidRPr="00407A0E">
        <w:rPr>
          <w:rStyle w:val="HideTWBExt"/>
          <w:b w:val="0"/>
          <w:szCs w:val="24"/>
        </w:rPr>
        <w:t>&lt;/Article</w:t>
      </w:r>
      <w:r w:rsidRPr="00407A0E">
        <w:rPr>
          <w:rStyle w:val="HideTWBExt"/>
          <w:b w:val="0"/>
          <w:szCs w:val="24"/>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(7)</w:t>
            </w:r>
            <w:r w:rsidRPr="00407A0E">
              <w:tab/>
              <w:t xml:space="preserve">Postup mnohostranného dohledu stanovený v čl. 121 odst. 2, 3 a 4 a čl. 148 odst. 4 Smlouvy o fungování EU by měl v souladu s podrobnějšími pravidly sledovat celou škálu hospodářského vývoje </w:t>
            </w:r>
            <w:r w:rsidRPr="00407A0E">
              <w:rPr>
                <w:b/>
                <w:i/>
              </w:rPr>
              <w:t>a</w:t>
            </w:r>
            <w:r w:rsidRPr="00407A0E">
              <w:t xml:space="preserve"> vývoje zaměstnanosti v jednotlivých členských státech a v Unii. Patří sem zjišťování makroekonomické nerovnováhy a prevence a náprava nadměrné nerovnováhy, jak je stanoveno v nařízeních Evropského parlamentu a Rady (EU) č. 1174/2011</w:t>
            </w:r>
            <w:r w:rsidRPr="00407A0E">
              <w:rPr>
                <w:vertAlign w:val="superscript"/>
              </w:rPr>
              <w:t>23</w:t>
            </w:r>
            <w:r w:rsidRPr="00407A0E">
              <w:t xml:space="preserve"> a (EU) č. 1176/2011</w:t>
            </w:r>
            <w:r w:rsidRPr="00407A0E">
              <w:rPr>
                <w:vertAlign w:val="superscript"/>
              </w:rPr>
              <w:t>2</w:t>
            </w:r>
            <w:r w:rsidRPr="00407A0E">
              <w:rPr>
                <w:vertAlign w:val="superscript"/>
              </w:rPr>
              <w:t>4</w:t>
            </w:r>
            <w:r w:rsidRPr="00407A0E">
              <w:t xml:space="preserve">. Pro sledování tohoto hospodářského vývoje </w:t>
            </w:r>
            <w:r w:rsidRPr="00407A0E">
              <w:rPr>
                <w:b/>
                <w:i/>
              </w:rPr>
              <w:t>a</w:t>
            </w:r>
            <w:r w:rsidRPr="00407A0E">
              <w:t xml:space="preserve"> vývoje zaměstnanosti by členské státy měly předkládat informace ve formě střednědobých fiskálně-strukturálních plánů.</w:t>
            </w:r>
          </w:p>
        </w:tc>
        <w:tc>
          <w:tcPr>
            <w:tcW w:w="4876" w:type="dxa"/>
            <w:hideMark/>
          </w:tcPr>
          <w:p w:rsidR="00AF0131" w:rsidRPr="00407A0E" w:rsidRDefault="00407A0E" w:rsidP="00C33FBD">
            <w:pPr>
              <w:pStyle w:val="Normal6"/>
              <w:rPr>
                <w:szCs w:val="24"/>
              </w:rPr>
            </w:pPr>
            <w:r w:rsidRPr="00407A0E">
              <w:t>(7)</w:t>
            </w:r>
            <w:r w:rsidRPr="00407A0E">
              <w:tab/>
              <w:t>Postup mnohostranného dohledu stanovený v čl. 121 odst. 2, 3 a 4 a čl. 148 odst. 4 Smlo</w:t>
            </w:r>
            <w:r w:rsidRPr="00407A0E">
              <w:t>uvy o fungování EU by měl v souladu s podrobnějšími pravidly sledovat celou škálu hospodářského vývoje</w:t>
            </w:r>
            <w:r w:rsidRPr="00407A0E">
              <w:rPr>
                <w:b/>
                <w:i/>
              </w:rPr>
              <w:t>,</w:t>
            </w:r>
            <w:r w:rsidRPr="00407A0E">
              <w:t xml:space="preserve"> vývoje zaměstnanosti </w:t>
            </w:r>
            <w:r w:rsidRPr="00407A0E">
              <w:rPr>
                <w:b/>
                <w:i/>
              </w:rPr>
              <w:t>a příslušného sociálního vývoje</w:t>
            </w:r>
            <w:r w:rsidRPr="00407A0E">
              <w:t xml:space="preserve"> v jednotlivých členských státech a v Unii </w:t>
            </w:r>
            <w:r w:rsidRPr="00407A0E">
              <w:rPr>
                <w:b/>
                <w:i/>
              </w:rPr>
              <w:t>v návaznosti na hlavní cíle, včetně pokroku při plnění vn</w:t>
            </w:r>
            <w:r w:rsidRPr="00407A0E">
              <w:rPr>
                <w:b/>
                <w:i/>
              </w:rPr>
              <w:t>itrostátních cílů, a jejich hlavní a vedlejší ukazatele evropského pilíře sociálních práv</w:t>
            </w:r>
            <w:r w:rsidRPr="00407A0E">
              <w:t>. Patří sem zjišťování makroekonomické nerovnováhy a prevence a náprava nadměrné nerovnováhy, jak je stanoveno v nařízeních Evropského parlamentu a Rady (EU) č. 1174/2</w:t>
            </w:r>
            <w:r w:rsidRPr="00407A0E">
              <w:t>011</w:t>
            </w:r>
            <w:r w:rsidRPr="00407A0E">
              <w:rPr>
                <w:vertAlign w:val="superscript"/>
              </w:rPr>
              <w:t>23</w:t>
            </w:r>
            <w:r w:rsidRPr="00407A0E">
              <w:t xml:space="preserve"> a (EU) č. 1176/2011</w:t>
            </w:r>
            <w:r w:rsidRPr="00407A0E">
              <w:rPr>
                <w:vertAlign w:val="superscript"/>
              </w:rPr>
              <w:t>24</w:t>
            </w:r>
            <w:r w:rsidRPr="00407A0E">
              <w:t>. Pro sledování tohoto hospodářského vývoje</w:t>
            </w:r>
            <w:r w:rsidRPr="00407A0E">
              <w:rPr>
                <w:b/>
                <w:i/>
              </w:rPr>
              <w:t>,</w:t>
            </w:r>
            <w:r w:rsidRPr="00407A0E">
              <w:t xml:space="preserve"> vývoje zaměstnanosti </w:t>
            </w:r>
            <w:r w:rsidRPr="00407A0E">
              <w:rPr>
                <w:b/>
                <w:i/>
              </w:rPr>
              <w:t>a vývoje sociální konvergence</w:t>
            </w:r>
            <w:r w:rsidRPr="00407A0E">
              <w:t xml:space="preserve"> by členské státy měly předkládat informace ve formě střednědobých fiskálně-strukturálních plánů.</w:t>
            </w:r>
          </w:p>
        </w:tc>
      </w:tr>
      <w:tr w:rsidR="00407A0E" w:rsidRPr="00407A0E" w:rsidTr="00C33FBD">
        <w:trPr>
          <w:jc w:val="center"/>
        </w:trPr>
        <w:tc>
          <w:tcPr>
            <w:tcW w:w="4876" w:type="dxa"/>
            <w:hideMark/>
          </w:tcPr>
          <w:p w:rsidR="00AF0131" w:rsidRPr="00407A0E" w:rsidRDefault="00407A0E" w:rsidP="00C33FBD">
            <w:pPr>
              <w:pStyle w:val="Normal6"/>
            </w:pPr>
            <w:r w:rsidRPr="00407A0E">
              <w:t>__________________</w:t>
            </w:r>
          </w:p>
        </w:tc>
        <w:tc>
          <w:tcPr>
            <w:tcW w:w="4876" w:type="dxa"/>
            <w:hideMark/>
          </w:tcPr>
          <w:p w:rsidR="00AF0131" w:rsidRPr="00407A0E" w:rsidRDefault="00407A0E" w:rsidP="00C33FBD">
            <w:pPr>
              <w:pStyle w:val="Normal6"/>
              <w:rPr>
                <w:szCs w:val="24"/>
              </w:rPr>
            </w:pPr>
            <w:r w:rsidRPr="00407A0E">
              <w:t>________________</w:t>
            </w:r>
            <w:r w:rsidRPr="00407A0E">
              <w:t>__</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23</w:t>
            </w:r>
            <w:r w:rsidRPr="00407A0E">
              <w:t xml:space="preserve"> Nařízení Evropského parlamentu a Rady (EU) č. 1174/2011 ze dne 16. listopadu 2011 o donucovacích opatřeních k nápravě nadměrné makroekonomické nerovnováhy v eurozóně (Úř. věst. L 306, 23.11.2011, s. 8).</w:t>
            </w:r>
          </w:p>
        </w:tc>
        <w:tc>
          <w:tcPr>
            <w:tcW w:w="4876" w:type="dxa"/>
            <w:hideMark/>
          </w:tcPr>
          <w:p w:rsidR="00AF0131" w:rsidRPr="00407A0E" w:rsidRDefault="00407A0E" w:rsidP="00C33FBD">
            <w:pPr>
              <w:pStyle w:val="Normal6"/>
              <w:rPr>
                <w:szCs w:val="24"/>
              </w:rPr>
            </w:pPr>
            <w:r w:rsidRPr="00407A0E">
              <w:rPr>
                <w:vertAlign w:val="superscript"/>
              </w:rPr>
              <w:t>23</w:t>
            </w:r>
            <w:r w:rsidRPr="00407A0E">
              <w:t xml:space="preserve"> Nařízení Evropského parlamentu a Rady (EU) č. 1174/2011 ze dne 16. listopadu 2011 o donucovacích opatřeních k nápravě nadměrné makroekonomické nerovnováhy v eurozóně (Úř. věst. L 306, 23.11.2011, s. 8).</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24</w:t>
            </w:r>
            <w:r w:rsidRPr="00407A0E">
              <w:t xml:space="preserve"> Nařízení Evropského parlamentu a Rady (EU) č. 11</w:t>
            </w:r>
            <w:r w:rsidRPr="00407A0E">
              <w:t>76/2011 ze dne 16. listopadu 2011 o prevenci a nápravě makroekonomické nerovnováhy (Úř. věst. L 306, 23.11.2011, s. 25).</w:t>
            </w:r>
          </w:p>
        </w:tc>
        <w:tc>
          <w:tcPr>
            <w:tcW w:w="4876" w:type="dxa"/>
            <w:hideMark/>
          </w:tcPr>
          <w:p w:rsidR="00AF0131" w:rsidRPr="00407A0E" w:rsidRDefault="00407A0E" w:rsidP="00C33FBD">
            <w:pPr>
              <w:pStyle w:val="Normal6"/>
              <w:rPr>
                <w:szCs w:val="24"/>
              </w:rPr>
            </w:pPr>
            <w:r w:rsidRPr="00407A0E">
              <w:rPr>
                <w:vertAlign w:val="superscript"/>
              </w:rPr>
              <w:t>24</w:t>
            </w:r>
            <w:r w:rsidRPr="00407A0E">
              <w:t xml:space="preserve"> Nařízení Evropského parlamentu a Rady (EU) č. 1176/2011 ze dne 16. listopadu 2011 o prevenci a nápravě makroekonomické nerovnováhy (</w:t>
            </w:r>
            <w:r w:rsidRPr="00407A0E">
              <w:t>Úř. věst. L 306, 23.11.2011, s. 25).</w:t>
            </w:r>
          </w:p>
        </w:tc>
      </w:tr>
    </w:tbl>
    <w:p w:rsidR="00AF0131" w:rsidRPr="00407A0E" w:rsidRDefault="00407A0E" w:rsidP="00C56375">
      <w:pPr>
        <w:rPr>
          <w:rStyle w:val="HideTWBExt"/>
          <w:rFonts w:eastAsiaTheme="majorEastAsia"/>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7 a (nový)</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(7a)</w:t>
            </w:r>
            <w:r w:rsidRPr="00407A0E">
              <w:rPr>
                <w:b/>
                <w:i/>
              </w:rPr>
              <w:tab/>
            </w:r>
            <w:r w:rsidRPr="00407A0E">
              <w:rPr>
                <w:b/>
                <w:i/>
              </w:rPr>
              <w:t>Za účelem podpory vzestupné sociální konvergence je postup mnohostranného dohledu stanovený v čl. 148 odst. 4 Smlouvy o fungování EU doplněn systémem včasného varování v rámci evropského semestru (rámec sociální konvergence). V tomto rámci sociální konverg</w:t>
            </w:r>
            <w:r w:rsidRPr="00407A0E">
              <w:rPr>
                <w:b/>
                <w:i/>
              </w:rPr>
              <w:t xml:space="preserve">ence Komise – v souladu s článkem 148 Smlouvy o fungování EU – ve společné zprávě o zaměstnanosti na základě hlavních ukazatelů srovnávacího přehledu sociálních ukazatelů nejprve určí rizika pro vzestupnou konvergenci členských států. Ve druhé fázi Komise </w:t>
            </w:r>
            <w:r w:rsidRPr="00407A0E">
              <w:rPr>
                <w:b/>
                <w:i/>
              </w:rPr>
              <w:t>určí členské státy, u nichž je třeba dalšího zkoumání, a zveřejní zprávy o sociální konvergenci pro ty členské státy, u nichž bylo zjištěno riziko ohrožení vzestupné sociální konvergence. Závěry mnohostranného dohledu pro jednotlivé země v novém rámci by m</w:t>
            </w:r>
            <w:r w:rsidRPr="00407A0E">
              <w:rPr>
                <w:b/>
                <w:i/>
              </w:rPr>
              <w:t>ěly být podkladem pro úvahy Komise o doporučeních a návrzích pro jednotlivé země.</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5</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8</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(8)</w:t>
            </w:r>
            <w:r w:rsidRPr="00407A0E">
              <w:tab/>
            </w:r>
            <w:r w:rsidRPr="00407A0E">
              <w:t>Proto by měla být stanovena podrobná pravidla týkající se obsahu, předkládání, posuzování a sledování národních střednědobých fiskálně-strukturálních plánů s cílem podpořit udržitelnost dluhu</w:t>
            </w:r>
            <w:r w:rsidRPr="00407A0E">
              <w:rPr>
                <w:b/>
                <w:i/>
              </w:rPr>
              <w:t xml:space="preserve"> a</w:t>
            </w:r>
            <w:r w:rsidRPr="00407A0E">
              <w:t xml:space="preserve"> udržitelný a inkluzivní růst v členských státech a zabránit pr</w:t>
            </w:r>
            <w:r w:rsidRPr="00407A0E">
              <w:t xml:space="preserve">ostřednictvím střednědobého plánování vzniku nadměrných schodků veřejných </w:t>
            </w:r>
            <w:r w:rsidRPr="00407A0E">
              <w:lastRenderedPageBreak/>
              <w:t>financí.</w:t>
            </w:r>
          </w:p>
        </w:tc>
        <w:tc>
          <w:tcPr>
            <w:tcW w:w="4876" w:type="dxa"/>
            <w:hideMark/>
          </w:tcPr>
          <w:p w:rsidR="00AF0131" w:rsidRPr="00407A0E" w:rsidRDefault="00407A0E" w:rsidP="00C33FBD">
            <w:pPr>
              <w:pStyle w:val="Normal6"/>
              <w:rPr>
                <w:szCs w:val="24"/>
              </w:rPr>
            </w:pPr>
            <w:r w:rsidRPr="00407A0E">
              <w:lastRenderedPageBreak/>
              <w:t>(8)</w:t>
            </w:r>
            <w:r w:rsidRPr="00407A0E">
              <w:tab/>
              <w:t>Proto by měla být stanovena podrobná pravidla týkající se obsahu, předkládání, posuzování a sledování národních střednědobých fiskálně-strukturálních plánů s cílem podpo</w:t>
            </w:r>
            <w:r w:rsidRPr="00407A0E">
              <w:t>řit udržitelnost dluhu</w:t>
            </w:r>
            <w:r w:rsidRPr="00407A0E">
              <w:rPr>
                <w:b/>
                <w:i/>
              </w:rPr>
              <w:t>,</w:t>
            </w:r>
            <w:r w:rsidRPr="00407A0E">
              <w:t xml:space="preserve"> udržitelný a inkluzivní růst </w:t>
            </w:r>
            <w:r w:rsidRPr="00407A0E">
              <w:rPr>
                <w:b/>
                <w:i/>
              </w:rPr>
              <w:t>a vzestupnou sociální konvergenci</w:t>
            </w:r>
            <w:r w:rsidRPr="00407A0E">
              <w:t xml:space="preserve"> v členských státech a zabránit prostřednictvím střednědobého plánování vzniku nadměrných schodků veřejných </w:t>
            </w:r>
            <w:r w:rsidRPr="00407A0E">
              <w:lastRenderedPageBreak/>
              <w:t>financí.</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6</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9</w:t>
      </w:r>
      <w:r w:rsidRPr="00407A0E">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(9)</w:t>
            </w:r>
            <w:r w:rsidRPr="00407A0E">
              <w:tab/>
            </w:r>
            <w:r w:rsidRPr="00407A0E">
              <w:t xml:space="preserve">Národní střednědobé fiskálně-strukturální plány by měly spojovat fiskální, strukturálněreformní a investiční závazky každého členského státu a měly by být základem rámce správy ekonomických záležitostí Unie. Každý členský stát by měl předložit střednědobý </w:t>
            </w:r>
            <w:r w:rsidRPr="00407A0E">
              <w:t>plán, který stanoví jeho fiskální trajektorii, jakož i prioritní veřejné investice a reformní závazky, které společně zajistí trvalé a postupné snižování dluhu a udržitelný a inkluzivní růst, přičemž se vyhne procyklické fiskální politice, a také širší ref</w:t>
            </w:r>
            <w:r w:rsidRPr="00407A0E">
              <w:t>ormní a investiční závazky, včetně závazků týkajících se zelené a digitální transformace, sociální a ekonomické odolnosti a provádění evropského pilíře sociálních práv. Po dobu trvání Nástroje pro oživení a odolnost</w:t>
            </w:r>
            <w:r w:rsidRPr="00407A0E">
              <w:rPr>
                <w:vertAlign w:val="superscript"/>
              </w:rPr>
              <w:t>25</w:t>
            </w:r>
            <w:r w:rsidRPr="00407A0E">
              <w:t xml:space="preserve"> by měly být řádně zohledněny závazky p</w:t>
            </w:r>
            <w:r w:rsidRPr="00407A0E">
              <w:t>řijaté v národních plánech pro oživení a odolnost.</w:t>
            </w:r>
          </w:p>
        </w:tc>
        <w:tc>
          <w:tcPr>
            <w:tcW w:w="4876" w:type="dxa"/>
            <w:hideMark/>
          </w:tcPr>
          <w:p w:rsidR="00AF0131" w:rsidRPr="00407A0E" w:rsidRDefault="00407A0E" w:rsidP="00C33FBD">
            <w:pPr>
              <w:pStyle w:val="Normal6"/>
              <w:rPr>
                <w:szCs w:val="24"/>
              </w:rPr>
            </w:pPr>
            <w:r w:rsidRPr="00407A0E">
              <w:t>(9)</w:t>
            </w:r>
            <w:r w:rsidRPr="00407A0E">
              <w:tab/>
              <w:t xml:space="preserve">Národní střednědobé fiskálně-strukturální plány by měly spojovat fiskální, strukturálněreformní a investiční závazky každého členského státu a měly by být základem rámce správy ekonomických </w:t>
            </w:r>
            <w:r w:rsidRPr="00407A0E">
              <w:rPr>
                <w:b/>
                <w:i/>
              </w:rPr>
              <w:t>a sociálníc</w:t>
            </w:r>
            <w:r w:rsidRPr="00407A0E">
              <w:rPr>
                <w:b/>
                <w:i/>
              </w:rPr>
              <w:t>h</w:t>
            </w:r>
            <w:r w:rsidRPr="00407A0E">
              <w:t xml:space="preserve"> záležitostí Unie. Každý členský stát by měl předložit střednědobý plán, který stanoví jeho fiskální trajektorii, jakož i prioritní veřejné investice a reformní závazky, které společně zajistí trvalé a postupné snižování dluhu a udržitelný a inkluzivní rů</w:t>
            </w:r>
            <w:r w:rsidRPr="00407A0E">
              <w:t>st, přičemž se vyhne procyklické fiskální politice, a také širší reformní a investiční závazky, včetně závazků týkajících se zelené a digitální transformace, sociální a ekonomické odolnosti a provádění evropského pilíře sociálních práv</w:t>
            </w:r>
            <w:r w:rsidRPr="00407A0E">
              <w:rPr>
                <w:b/>
                <w:i/>
              </w:rPr>
              <w:t>, včetně souvisejícíc</w:t>
            </w:r>
            <w:r w:rsidRPr="00407A0E">
              <w:rPr>
                <w:b/>
                <w:i/>
              </w:rPr>
              <w:t>h cílů v oblasti zaměstnanosti, dovedností a snižování chudoby do roku 2030</w:t>
            </w:r>
            <w:r w:rsidRPr="00407A0E">
              <w:rPr>
                <w:b/>
                <w:i/>
                <w:vertAlign w:val="superscript"/>
              </w:rPr>
              <w:t>1a</w:t>
            </w:r>
            <w:r w:rsidRPr="00407A0E">
              <w:t>. Po dobu trvání Nástroje pro oživení a odolnost</w:t>
            </w:r>
            <w:r w:rsidRPr="00407A0E">
              <w:rPr>
                <w:vertAlign w:val="superscript"/>
              </w:rPr>
              <w:t>25</w:t>
            </w:r>
            <w:r w:rsidRPr="00407A0E">
              <w:t xml:space="preserve"> by měly být řádně zohledněny závazky přijaté v národních plánech pro oživení a odolnost.</w:t>
            </w:r>
          </w:p>
        </w:tc>
      </w:tr>
      <w:tr w:rsidR="00407A0E" w:rsidRPr="00407A0E" w:rsidTr="00C33FBD">
        <w:trPr>
          <w:jc w:val="center"/>
        </w:trPr>
        <w:tc>
          <w:tcPr>
            <w:tcW w:w="4876" w:type="dxa"/>
            <w:hideMark/>
          </w:tcPr>
          <w:p w:rsidR="00AF0131" w:rsidRPr="00407A0E" w:rsidRDefault="00407A0E" w:rsidP="00C33FBD">
            <w:pPr>
              <w:pStyle w:val="Normal6"/>
            </w:pPr>
            <w:r w:rsidRPr="00407A0E">
              <w:t>__________________</w:t>
            </w:r>
          </w:p>
        </w:tc>
        <w:tc>
          <w:tcPr>
            <w:tcW w:w="4876" w:type="dxa"/>
            <w:hideMark/>
          </w:tcPr>
          <w:p w:rsidR="00AF0131" w:rsidRPr="00407A0E" w:rsidRDefault="00407A0E" w:rsidP="00C33FBD">
            <w:pPr>
              <w:pStyle w:val="Normal6"/>
              <w:rPr>
                <w:szCs w:val="24"/>
              </w:rPr>
            </w:pPr>
            <w:r w:rsidRPr="00407A0E">
              <w:t>__________________</w:t>
            </w:r>
          </w:p>
        </w:tc>
      </w:tr>
      <w:tr w:rsidR="00407A0E" w:rsidRPr="00407A0E" w:rsidTr="00C33FBD">
        <w:trPr>
          <w:jc w:val="center"/>
        </w:trPr>
        <w:tc>
          <w:tcPr>
            <w:tcW w:w="4876" w:type="dxa"/>
          </w:tcPr>
          <w:p w:rsidR="00AF0131" w:rsidRPr="00407A0E" w:rsidRDefault="00AF0131" w:rsidP="00C33FBD">
            <w:pPr>
              <w:pStyle w:val="Normal6"/>
              <w:rPr>
                <w:vertAlign w:val="superscript"/>
              </w:rPr>
            </w:pPr>
          </w:p>
        </w:tc>
        <w:tc>
          <w:tcPr>
            <w:tcW w:w="4876" w:type="dxa"/>
          </w:tcPr>
          <w:p w:rsidR="00AF0131" w:rsidRPr="00407A0E" w:rsidRDefault="00407A0E" w:rsidP="00C33FBD">
            <w:pPr>
              <w:pStyle w:val="Normal6"/>
              <w:rPr>
                <w:vertAlign w:val="superscript"/>
              </w:rPr>
            </w:pPr>
            <w:r w:rsidRPr="00407A0E">
              <w:rPr>
                <w:b/>
                <w:bCs/>
                <w:i/>
                <w:iCs/>
                <w:vertAlign w:val="superscript"/>
              </w:rPr>
              <w:t>25a</w:t>
            </w:r>
            <w:r w:rsidRPr="00407A0E">
              <w:t xml:space="preserve"> </w:t>
            </w:r>
            <w:r w:rsidRPr="00407A0E">
              <w:rPr>
                <w:b/>
                <w:i/>
              </w:rPr>
              <w:t>Sdělení Komise Evropskému parlamentu, Radě, Evropskému hospodářskému a sociálnímu výboru a Výboru regionů – Akční plán pro evropský pilíř sociálních práv ze dne 4. března 2021 (COM(2021) 0102).</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25</w:t>
            </w:r>
            <w:r w:rsidRPr="00407A0E">
              <w:t xml:space="preserve"> Nařízení Evropského parlamentu a Rady (EU) 2021/241 </w:t>
            </w:r>
            <w:r w:rsidRPr="00407A0E">
              <w:t>ze dne 12. února 2021, kterým se zřizuje Nástroj pro oživení a odolnost (Úř. věst. L 57, 18.2.2021, s. 17).</w:t>
            </w:r>
          </w:p>
        </w:tc>
        <w:tc>
          <w:tcPr>
            <w:tcW w:w="4876" w:type="dxa"/>
            <w:hideMark/>
          </w:tcPr>
          <w:p w:rsidR="00AF0131" w:rsidRPr="00407A0E" w:rsidRDefault="00407A0E" w:rsidP="00C33FBD">
            <w:pPr>
              <w:pStyle w:val="Normal6"/>
              <w:rPr>
                <w:szCs w:val="24"/>
              </w:rPr>
            </w:pPr>
            <w:r w:rsidRPr="00407A0E">
              <w:rPr>
                <w:vertAlign w:val="superscript"/>
              </w:rPr>
              <w:t>25</w:t>
            </w:r>
            <w:r w:rsidRPr="00407A0E">
              <w:t xml:space="preserve"> Nařízení Evropského parlamentu a Rady (EU) 2021/241 ze dne 12. února 2021, kterým se zřizuje Nástroj pro oživení a odolnost (Úř. věst. L 57, 18.2</w:t>
            </w:r>
            <w:r w:rsidRPr="00407A0E">
              <w:t>.2021, s. 17).</w:t>
            </w:r>
          </w:p>
        </w:tc>
      </w:tr>
    </w:tbl>
    <w:p w:rsidR="002D23D0" w:rsidRPr="00407A0E" w:rsidRDefault="00407A0E" w:rsidP="00C56375">
      <w:pPr>
        <w:rPr>
          <w:rFonts w:eastAsiaTheme="majorEastAsia"/>
        </w:rPr>
      </w:pPr>
      <w:r w:rsidRPr="00407A0E">
        <w:rPr>
          <w:rStyle w:val="HideTWBExt"/>
        </w:rPr>
        <w:t>&lt;/Amend&gt;</w:t>
      </w:r>
    </w:p>
    <w:p w:rsidR="00AF0131" w:rsidRPr="00407A0E" w:rsidRDefault="00407A0E" w:rsidP="002D23D0">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7</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10</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(10)</w:t>
            </w:r>
            <w:r w:rsidRPr="00407A0E">
              <w:tab/>
            </w:r>
            <w:r w:rsidRPr="00407A0E">
              <w:t>S procesem evropského semestru jsou synchronizovány také fondy politiky soudržnosti. Investice a reformy v rámci politiky soudržnosti, jakožto dlouhodobé investiční politiky rozpočtu EU, by měly být při sestavování národních střednědobých fiskálně-struktur</w:t>
            </w:r>
            <w:r w:rsidRPr="00407A0E">
              <w:t>álních plánů rovněž náležitě zohledněny. Každý členský stát by měl rovněž vysvětlit, jak jeho národní střednědobý fiskálně-strukturální plán zajistí soulad s výdaji na programy EU, které jsou plně kompenzovány příjmy z fondů EU a příslušným vnitrostátním s</w:t>
            </w:r>
            <w:r w:rsidRPr="00407A0E">
              <w:t>polufinancováním.</w:t>
            </w:r>
          </w:p>
        </w:tc>
        <w:tc>
          <w:tcPr>
            <w:tcW w:w="4876" w:type="dxa"/>
            <w:hideMark/>
          </w:tcPr>
          <w:p w:rsidR="00AF0131" w:rsidRPr="00407A0E" w:rsidRDefault="00407A0E" w:rsidP="00C33FBD">
            <w:pPr>
              <w:pStyle w:val="Normal6"/>
              <w:rPr>
                <w:szCs w:val="24"/>
              </w:rPr>
            </w:pPr>
            <w:r w:rsidRPr="00407A0E">
              <w:t>(10)</w:t>
            </w:r>
            <w:r w:rsidRPr="00407A0E">
              <w:tab/>
              <w:t xml:space="preserve">S procesem evropského semestru jsou synchronizovány také fondy politiky soudržnosti. Investice a reformy v rámci politiky soudržnosti, jakožto dlouhodobé investiční politiky rozpočtu EU </w:t>
            </w:r>
            <w:r w:rsidRPr="00407A0E">
              <w:rPr>
                <w:b/>
                <w:i/>
              </w:rPr>
              <w:t>na posílení hospodářské, sociální a územní soud</w:t>
            </w:r>
            <w:r w:rsidRPr="00407A0E">
              <w:rPr>
                <w:b/>
                <w:i/>
              </w:rPr>
              <w:t>ržnosti</w:t>
            </w:r>
            <w:r w:rsidRPr="00407A0E">
              <w:t>, by měly být při sestavování národních střednědobých fiskálně-strukturálních plánů rovněž náležitě zohledněny. Každý členský stát by měl rovněž vysvětlit, jak jeho národní střednědobý fiskálně-strukturální plán zajistí soulad s výdaji na programy E</w:t>
            </w:r>
            <w:r w:rsidRPr="00407A0E">
              <w:t>U, které jsou plně kompenzovány příjmy z fondů EU a příslušným vnitrostátním spolufinancováním.</w:t>
            </w:r>
          </w:p>
        </w:tc>
      </w:tr>
    </w:tbl>
    <w:p w:rsidR="00AF0131" w:rsidRPr="00407A0E" w:rsidRDefault="00407A0E" w:rsidP="00C56375">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8</w:t>
      </w:r>
      <w:r w:rsidRPr="00407A0E">
        <w:rPr>
          <w:rStyle w:val="HideTWBExt"/>
          <w:b w:val="0"/>
          <w:szCs w:val="24"/>
        </w:rPr>
        <w:t>&lt;/NumAm&gt;</w:t>
      </w:r>
    </w:p>
    <w:p w:rsidR="00AF0131" w:rsidRPr="00407A0E" w:rsidRDefault="00AF0131" w:rsidP="00AF0131">
      <w:pPr>
        <w:rPr>
          <w:b/>
        </w:rPr>
      </w:pPr>
    </w:p>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13</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(13)</w:t>
            </w:r>
            <w:r w:rsidRPr="00407A0E">
              <w:tab/>
              <w:t>Komise by měla členským státům poskytnout při vypracovávání jejich střednědobého fiskálně-strukturálního plánu vodítko v podobě technické trajektorie založené na minimální fiskální korekci, která uvede dluh členského státu na věroho</w:t>
            </w:r>
            <w:r w:rsidRPr="00407A0E">
              <w:t xml:space="preserve">dně sestupnou dráhu nebo jej udrží na obezřetné úrovni. Měla by také zajistit, aby poměr veřejného dluhu na konci plánovacího horizontu klesl pod úroveň v roce předcházejícím začátku technické trajektorie. </w:t>
            </w:r>
            <w:r w:rsidRPr="00407A0E">
              <w:rPr>
                <w:b/>
                <w:i/>
              </w:rPr>
              <w:t>Udržitelnost tohoto snížení dluhu by měla být výsl</w:t>
            </w:r>
            <w:r w:rsidRPr="00407A0E">
              <w:rPr>
                <w:b/>
                <w:i/>
              </w:rPr>
              <w:t>edkem vhodných fiskálních politik.</w:t>
            </w:r>
          </w:p>
        </w:tc>
        <w:tc>
          <w:tcPr>
            <w:tcW w:w="4876" w:type="dxa"/>
            <w:hideMark/>
          </w:tcPr>
          <w:p w:rsidR="00AF0131" w:rsidRPr="00407A0E" w:rsidRDefault="00407A0E" w:rsidP="00C33FBD">
            <w:pPr>
              <w:pStyle w:val="Normal6"/>
              <w:rPr>
                <w:szCs w:val="24"/>
              </w:rPr>
            </w:pPr>
            <w:r w:rsidRPr="00407A0E">
              <w:t>(13)</w:t>
            </w:r>
            <w:r w:rsidRPr="00407A0E">
              <w:tab/>
            </w:r>
            <w:r w:rsidRPr="00407A0E">
              <w:t>Komise by měla členským státům poskytnout při vypracovávání jejich střednědobého fiskálně-strukturálního plánu vodítko v podobě technické trajektorie založené na minimální fiskální korekci, která uvede dluh členského státu na věrohodně sestupnou dráhu nebo</w:t>
            </w:r>
            <w:r w:rsidRPr="00407A0E">
              <w:t xml:space="preserve"> jej udrží na obezřetné úrovni</w:t>
            </w:r>
            <w:r w:rsidRPr="00407A0E">
              <w:rPr>
                <w:b/>
                <w:i/>
              </w:rPr>
              <w:t>, přičemž budou zároveň zohledněny cílené investice potřebné k dosažení společných priorit Unie</w:t>
            </w:r>
            <w:r w:rsidRPr="00407A0E">
              <w:t>. Měla by také zajistit, aby poměr veřejného dluhu na konci plánovacího horizontu klesl pod úroveň v roce předcházejícím začátku te</w:t>
            </w:r>
            <w:r w:rsidRPr="00407A0E">
              <w:t>chnické trajektorie.</w:t>
            </w:r>
          </w:p>
        </w:tc>
      </w:tr>
    </w:tbl>
    <w:p w:rsidR="00AF0131" w:rsidRPr="00407A0E" w:rsidRDefault="00407A0E" w:rsidP="00C56375">
      <w:pPr>
        <w:rPr>
          <w:rStyle w:val="HideTWBExt"/>
        </w:rPr>
      </w:pPr>
      <w:r w:rsidRPr="00407A0E">
        <w:rPr>
          <w:rStyle w:val="HideTWBExt"/>
        </w:rPr>
        <w:t>&lt;/Amend&gt;</w:t>
      </w:r>
    </w:p>
    <w:p w:rsidR="00AF0131" w:rsidRPr="00407A0E" w:rsidRDefault="00407A0E" w:rsidP="00C56375">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9</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Bod odůvodnění 22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(22)</w:t>
            </w:r>
            <w:r w:rsidRPr="00407A0E">
              <w:tab/>
            </w:r>
            <w:r w:rsidRPr="00407A0E">
              <w:t>K zajištění postupnějšího snižování dluhu může být období korekce prodlouženo maximálně o tři roky, pokud členský stát svůj střednědobý fiskálně-strukturální plán podloží souborem ověřitelných a časově vymezených reforem a investic, které společně: podporu</w:t>
            </w:r>
            <w:r w:rsidRPr="00407A0E">
              <w:t xml:space="preserve">jí růst </w:t>
            </w:r>
            <w:r w:rsidRPr="00407A0E">
              <w:rPr>
                <w:b/>
                <w:i/>
              </w:rPr>
              <w:t>a</w:t>
            </w:r>
            <w:r w:rsidRPr="00407A0E">
              <w:t xml:space="preserve"> udržitelnost veřejných financí, řeší společné priority Unie, reagují na příslušná doporučení pro danou zemi určená členskému státu v rámci evropského semestru a řeší investiční priority dané země, aniž by vedly ke snižování jiných veřejných inves</w:t>
            </w:r>
            <w:r w:rsidRPr="00407A0E">
              <w:t>tic financovaných z vnitrostátních zdrojů v období korekce, aby byl zajištěn makroekonomický dopad investic a nedošlo k vytěsnění jiných investičních priorit.</w:t>
            </w:r>
          </w:p>
        </w:tc>
        <w:tc>
          <w:tcPr>
            <w:tcW w:w="4876" w:type="dxa"/>
            <w:hideMark/>
          </w:tcPr>
          <w:p w:rsidR="00AF0131" w:rsidRPr="00407A0E" w:rsidRDefault="00407A0E" w:rsidP="00C33FBD">
            <w:pPr>
              <w:pStyle w:val="Normal6"/>
              <w:rPr>
                <w:szCs w:val="24"/>
              </w:rPr>
            </w:pPr>
            <w:r w:rsidRPr="00407A0E">
              <w:t>(22)</w:t>
            </w:r>
            <w:r w:rsidRPr="00407A0E">
              <w:tab/>
              <w:t>K zajištění postupnějšího snižování dluhu může být období korekce prodlouženo maximálně o tř</w:t>
            </w:r>
            <w:r w:rsidRPr="00407A0E">
              <w:t xml:space="preserve">i roky, pokud členský stát svůj střednědobý fiskálně-strukturální plán podloží souborem ověřitelných a časově vymezených reforem a investic, které společně: podporují </w:t>
            </w:r>
            <w:r w:rsidRPr="00407A0E">
              <w:rPr>
                <w:b/>
                <w:i/>
              </w:rPr>
              <w:t>udržitelný a inkluzivní</w:t>
            </w:r>
            <w:r w:rsidRPr="00407A0E">
              <w:t xml:space="preserve"> růst</w:t>
            </w:r>
            <w:r w:rsidRPr="00407A0E">
              <w:rPr>
                <w:b/>
                <w:i/>
              </w:rPr>
              <w:t>, prosazují vzestupnou sociální konvergenci, podporují</w:t>
            </w:r>
            <w:r w:rsidRPr="00407A0E">
              <w:t xml:space="preserve"> udržit</w:t>
            </w:r>
            <w:r w:rsidRPr="00407A0E">
              <w:t>elnost veřejných financí, řeší společné priority Unie, reagují na příslušná doporučení pro danou zemi určená členskému státu v rámci evropského semestru a řeší investiční priority dané země, aniž by vedly ke snižování jiných veřejných investic financovanýc</w:t>
            </w:r>
            <w:r w:rsidRPr="00407A0E">
              <w:t>h z vnitrostátních zdrojů v období korekce</w:t>
            </w:r>
            <w:r w:rsidRPr="00407A0E">
              <w:rPr>
                <w:b/>
                <w:i/>
              </w:rPr>
              <w:t>, včetně sociálních investic</w:t>
            </w:r>
            <w:r w:rsidRPr="00407A0E">
              <w:t>, aby byl zajištěn makroekonomický dopad investic a nedošlo k vytěsnění jiných investičních priorit.</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rPr>
          <w:rStyle w:val="HideTWBExt"/>
          <w:b w:val="0"/>
          <w:szCs w:val="24"/>
        </w:rPr>
        <w:t>&lt;NumAm&gt;</w:t>
      </w:r>
      <w:r w:rsidRPr="00407A0E">
        <w:t>10</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Toto nařízení stanoví pravidla zajišťující účinnou koordinaci hospodářských politik členských států, čímž podporuje dosažení cílů Unie v oblasti růstu a zaměstnanosti.</w:t>
            </w:r>
          </w:p>
        </w:tc>
        <w:tc>
          <w:tcPr>
            <w:tcW w:w="4876" w:type="dxa"/>
            <w:hideMark/>
          </w:tcPr>
          <w:p w:rsidR="00AF0131" w:rsidRPr="00407A0E" w:rsidRDefault="00407A0E" w:rsidP="00C33FBD">
            <w:pPr>
              <w:pStyle w:val="Normal6"/>
              <w:rPr>
                <w:szCs w:val="24"/>
              </w:rPr>
            </w:pPr>
            <w:r w:rsidRPr="00407A0E">
              <w:t>Toto nařízení stanoví pravidla zajišťující účinnou koordinaci hospodářských politik člen</w:t>
            </w:r>
            <w:r w:rsidRPr="00407A0E">
              <w:t xml:space="preserve">ských států, čímž podporuje dosažení cílů Unie v oblasti </w:t>
            </w:r>
            <w:r w:rsidRPr="00407A0E">
              <w:rPr>
                <w:b/>
                <w:i/>
              </w:rPr>
              <w:t>udržitelného a inkluzivního</w:t>
            </w:r>
            <w:r w:rsidRPr="00407A0E">
              <w:t xml:space="preserve"> růstu a </w:t>
            </w:r>
            <w:r w:rsidRPr="00407A0E">
              <w:rPr>
                <w:b/>
                <w:i/>
              </w:rPr>
              <w:t>kvalitní</w:t>
            </w:r>
            <w:r w:rsidRPr="00407A0E">
              <w:t xml:space="preserve"> zaměstnanosti.</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11</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 – odst. 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Stanoví podrobná pravidla týkající se obsahu, předkládání, posuzování a sledování národních střednědobých fiskálně-strukturálních plánů v rámci mnohostranného rozpočtového dohledu ze strany Rady a Komise s cílem pod</w:t>
            </w:r>
            <w:r w:rsidRPr="00407A0E">
              <w:t xml:space="preserve">pořit udržitelnost dluhu </w:t>
            </w:r>
            <w:r w:rsidRPr="00407A0E">
              <w:rPr>
                <w:b/>
                <w:i/>
              </w:rPr>
              <w:t>a</w:t>
            </w:r>
            <w:r w:rsidRPr="00407A0E">
              <w:t xml:space="preserve"> udržitelný a inkluzivní růst v členských státech a zabránit prostřednictvím střednědobého plánování vzniku nadměrných schodků veřejných financí.</w:t>
            </w:r>
          </w:p>
        </w:tc>
        <w:tc>
          <w:tcPr>
            <w:tcW w:w="4876" w:type="dxa"/>
            <w:hideMark/>
          </w:tcPr>
          <w:p w:rsidR="00AF0131" w:rsidRPr="00407A0E" w:rsidRDefault="00407A0E" w:rsidP="00C33FBD">
            <w:pPr>
              <w:pStyle w:val="Normal6"/>
              <w:rPr>
                <w:szCs w:val="24"/>
              </w:rPr>
            </w:pPr>
            <w:r w:rsidRPr="00407A0E">
              <w:t>Stanoví podrobná pravidla týkající se obsahu, předkládání, posuzování a sledování ná</w:t>
            </w:r>
            <w:r w:rsidRPr="00407A0E">
              <w:t>rodních střednědobých fiskálně-strukturálních plánů v rámci mnohostranného rozpočtového dohledu ze strany Rady a Komise s cílem podpořit udržitelnost dluhu</w:t>
            </w:r>
            <w:r w:rsidRPr="00407A0E">
              <w:rPr>
                <w:b/>
                <w:i/>
              </w:rPr>
              <w:t>,</w:t>
            </w:r>
            <w:r w:rsidRPr="00407A0E">
              <w:t xml:space="preserve"> udržitelný a inkluzivní růst </w:t>
            </w:r>
            <w:r w:rsidRPr="00407A0E">
              <w:rPr>
                <w:b/>
                <w:i/>
              </w:rPr>
              <w:t>a vzestupnou sociální konvergenci</w:t>
            </w:r>
            <w:r w:rsidRPr="00407A0E">
              <w:t xml:space="preserve"> v členských státech a zabránit prostřednictvím střednědobého plánování vzniku nadměrných schodků veřejných financí </w:t>
            </w:r>
            <w:r w:rsidRPr="00407A0E">
              <w:rPr>
                <w:b/>
                <w:i/>
              </w:rPr>
              <w:t>a zároveň zajistit cílené hospodářské a sociální investice v souladu se společnými prioritami Unie</w:t>
            </w:r>
            <w:r w:rsidRPr="00407A0E">
              <w:t>.</w:t>
            </w:r>
          </w:p>
        </w:tc>
      </w:tr>
    </w:tbl>
    <w:p w:rsidR="00AF0131" w:rsidRPr="00407A0E" w:rsidRDefault="00407A0E" w:rsidP="00C56375">
      <w:pPr>
        <w:rPr>
          <w:rStyle w:val="HideTWBExt"/>
        </w:rPr>
      </w:pPr>
      <w:r w:rsidRPr="00407A0E">
        <w:rPr>
          <w:rStyle w:val="HideTWBExt"/>
        </w:rPr>
        <w:t>&lt;/Amend&gt;</w:t>
      </w:r>
    </w:p>
    <w:p w:rsidR="00AF0131" w:rsidRPr="00407A0E" w:rsidRDefault="00407A0E" w:rsidP="00C56375">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w:t>
      </w:r>
      <w:r w:rsidRPr="00407A0E">
        <w:rPr>
          <w:rStyle w:val="HideTWBExt"/>
          <w:b w:val="0"/>
          <w:szCs w:val="24"/>
        </w:rPr>
        <w:t>Am&gt;</w:t>
      </w:r>
      <w:r w:rsidRPr="00407A0E">
        <w:t>12</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3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 xml:space="preserve">V zájmu zajištění užší koordinace hospodářských politik a </w:t>
            </w:r>
            <w:r w:rsidRPr="00407A0E">
              <w:rPr>
                <w:b/>
                <w:i/>
              </w:rPr>
              <w:t>trvalé</w:t>
            </w:r>
            <w:r w:rsidRPr="00407A0E">
              <w:t xml:space="preserve"> konvergence hospodářské a sociální výkonnosti členských států provádějí Rada a Komise mnohostranný dohled v rámci evropského semestru v souladu s cíli a požadavky stanovenými ve Smlouvě o fungování EU. Mnohostranný dohled se opírá o vysoce kvalitní a nezá</w:t>
            </w:r>
            <w:r w:rsidRPr="00407A0E">
              <w:t>vislé statistiky vypracované v souladu se zásadami stanovenými v nařízení Evropského parlamentu a Rady (ES) č. 223/2009.</w:t>
            </w:r>
          </w:p>
        </w:tc>
        <w:tc>
          <w:tcPr>
            <w:tcW w:w="4876" w:type="dxa"/>
            <w:hideMark/>
          </w:tcPr>
          <w:p w:rsidR="00AF0131" w:rsidRPr="00407A0E" w:rsidRDefault="00407A0E" w:rsidP="00C33FBD">
            <w:pPr>
              <w:pStyle w:val="Normal6"/>
              <w:rPr>
                <w:szCs w:val="24"/>
              </w:rPr>
            </w:pPr>
            <w:r w:rsidRPr="00407A0E">
              <w:t xml:space="preserve">V zájmu zajištění užší koordinace hospodářských politik </w:t>
            </w:r>
            <w:r w:rsidRPr="00407A0E">
              <w:rPr>
                <w:b/>
                <w:i/>
              </w:rPr>
              <w:t>a politik zaměstnanosti</w:t>
            </w:r>
            <w:r w:rsidRPr="00407A0E">
              <w:t xml:space="preserve"> a </w:t>
            </w:r>
            <w:r w:rsidRPr="00407A0E">
              <w:rPr>
                <w:b/>
                <w:i/>
              </w:rPr>
              <w:t>vzestupné</w:t>
            </w:r>
            <w:r w:rsidRPr="00407A0E">
              <w:t xml:space="preserve"> konvergence hospodářské a sociální výkonnos</w:t>
            </w:r>
            <w:r w:rsidRPr="00407A0E">
              <w:t xml:space="preserve">ti členských států </w:t>
            </w:r>
            <w:r w:rsidRPr="00407A0E">
              <w:rPr>
                <w:b/>
                <w:i/>
              </w:rPr>
              <w:t>v souladu se společnými prioritami Unie</w:t>
            </w:r>
            <w:r w:rsidRPr="00407A0E">
              <w:t xml:space="preserve"> provádějí Rada a Komise mnohostranný dohled v rámci evropského semestru v souladu s cíli a požadavky stanovenými ve Smlouvě o fungování EU. Mnohostranný dohled se opírá o vysoce kvalitní a nezávisl</w:t>
            </w:r>
            <w:r w:rsidRPr="00407A0E">
              <w:t>é statistiky vypracované v souladu se zásadami stanovenými v nařízení Evropského parlamentu a Rady (ES) č. 223/2009.</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13</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3 – odst. 2 – písm. b</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b)</w:t>
            </w:r>
            <w:r w:rsidRPr="00407A0E">
              <w:tab/>
              <w:t xml:space="preserve">definování hlavních směrů politik </w:t>
            </w:r>
            <w:r w:rsidRPr="00407A0E">
              <w:lastRenderedPageBreak/>
              <w:t xml:space="preserve">zaměstnanosti, které mají členské státy zohlednit v souladu s čl. 148 odst. 2 Smlouvy o fungování EU, </w:t>
            </w:r>
            <w:r w:rsidRPr="00407A0E">
              <w:rPr>
                <w:b/>
                <w:i/>
              </w:rPr>
              <w:t>včetně</w:t>
            </w:r>
            <w:r w:rsidRPr="00407A0E">
              <w:t xml:space="preserve"> evropského pilíře sociálních práv, a souvisejících doporučení pro jednotlivé země a dohled nad jejich prováděním;</w:t>
            </w:r>
          </w:p>
        </w:tc>
        <w:tc>
          <w:tcPr>
            <w:tcW w:w="4876" w:type="dxa"/>
            <w:hideMark/>
          </w:tcPr>
          <w:p w:rsidR="00AF0131" w:rsidRPr="00407A0E" w:rsidRDefault="00407A0E" w:rsidP="00C33FBD">
            <w:pPr>
              <w:pStyle w:val="Normal6"/>
              <w:rPr>
                <w:szCs w:val="24"/>
              </w:rPr>
            </w:pPr>
            <w:r w:rsidRPr="00407A0E">
              <w:lastRenderedPageBreak/>
              <w:t>b)</w:t>
            </w:r>
            <w:r w:rsidRPr="00407A0E">
              <w:tab/>
              <w:t xml:space="preserve">definování hlavních směrů politik </w:t>
            </w:r>
            <w:r w:rsidRPr="00407A0E">
              <w:lastRenderedPageBreak/>
              <w:t>zaměstnanosti, které mají členské státy zohlednit v souladu s čl. 148 odst. 2 Smlouvy o fungování EU, ev</w:t>
            </w:r>
            <w:r w:rsidRPr="00407A0E">
              <w:t xml:space="preserve">ropského pilíře sociálních práv </w:t>
            </w:r>
            <w:r w:rsidRPr="00407A0E">
              <w:rPr>
                <w:b/>
                <w:i/>
              </w:rPr>
              <w:t>a jeho hlavních cílů</w:t>
            </w:r>
            <w:r w:rsidRPr="00407A0E">
              <w:t>, a souvisejících doporučení pro jednotlivé země a dohled nad jejich prováděním</w:t>
            </w:r>
            <w:r w:rsidRPr="00407A0E">
              <w:rPr>
                <w:b/>
                <w:i/>
              </w:rPr>
              <w:t xml:space="preserve">, stejně jako srovnávacího přehledu sociálních ukazatelů a jeho hlavních a vedlejších ukazatelů a rámce sociální konvergence </w:t>
            </w:r>
            <w:r w:rsidRPr="00407A0E">
              <w:rPr>
                <w:b/>
                <w:i/>
              </w:rPr>
              <w:t>za účelem prevence a určení rizik ohrožujících sociální konvergenci</w:t>
            </w:r>
            <w:r w:rsidRPr="00407A0E">
              <w:t>;</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14</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4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1.</w:t>
            </w:r>
            <w:r w:rsidRPr="00407A0E">
              <w:tab/>
            </w:r>
            <w:r w:rsidRPr="00407A0E">
              <w:t>Po posouzení střednědobých fiskálně-strukturálních plánů, výročních zpráv o pokroku a socioekonomické situace dotčených členských států podle tohoto nařízení podá Rada v případě potřeby na základě doporučení Komise těmto členským státům doporučení, přičemž</w:t>
            </w:r>
            <w:r w:rsidRPr="00407A0E">
              <w:t xml:space="preserve"> plně využije právní nástroje stanovené v článcích 121 a 148 Smlouvy o fungování EU a související sekundární právní předpisy.</w:t>
            </w:r>
          </w:p>
        </w:tc>
        <w:tc>
          <w:tcPr>
            <w:tcW w:w="4876" w:type="dxa"/>
            <w:hideMark/>
          </w:tcPr>
          <w:p w:rsidR="00AF0131" w:rsidRPr="00407A0E" w:rsidRDefault="00407A0E" w:rsidP="00C33FBD">
            <w:pPr>
              <w:pStyle w:val="Normal6"/>
              <w:rPr>
                <w:szCs w:val="24"/>
              </w:rPr>
            </w:pPr>
            <w:r w:rsidRPr="00407A0E">
              <w:t>1.</w:t>
            </w:r>
            <w:r w:rsidRPr="00407A0E">
              <w:tab/>
              <w:t>Po posouzení střednědobých fiskálně-strukturálních plánů, výročních zpráv o pokroku a socioekonomické situace dotčených členský</w:t>
            </w:r>
            <w:r w:rsidRPr="00407A0E">
              <w:t xml:space="preserve">ch států podle tohoto nařízení podá Rada v případě potřeby na základě doporučení Komise těmto členským státům doporučení, přičemž plně využije </w:t>
            </w:r>
            <w:r w:rsidRPr="00407A0E">
              <w:rPr>
                <w:b/>
                <w:i/>
              </w:rPr>
              <w:t>evropský pilíř sociálních práv a</w:t>
            </w:r>
            <w:r w:rsidRPr="00407A0E">
              <w:t xml:space="preserve"> právní nástroje stanovené v článcích 121 a 148 Smlouvy o fungování EU a souvisej</w:t>
            </w:r>
            <w:r w:rsidRPr="00407A0E">
              <w:t>ící sekundární právní předpisy.</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15</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4 – odst. 3 – písm. b a (nové)</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ba)</w:t>
            </w:r>
            <w:r w:rsidRPr="00407A0E">
              <w:rPr>
                <w:b/>
                <w:i/>
              </w:rPr>
              <w:tab/>
            </w:r>
            <w:r w:rsidRPr="00407A0E">
              <w:rPr>
                <w:b/>
                <w:i/>
              </w:rPr>
              <w:t>doporučení Rady na základě návrhu Komise podle čl. 148 odst. 4 Smlouvy o fungování EU nebo zohledňující výsledky rámce sociální konvergence;</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rPr>
          <w:rStyle w:val="HideTWBExt"/>
          <w:b w:val="0"/>
          <w:szCs w:val="24"/>
        </w:rPr>
        <w:t>&lt;NumAm&gt;</w:t>
      </w:r>
      <w:r w:rsidRPr="00407A0E">
        <w:t>16</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lastRenderedPageBreak/>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7 – odst. 1 – písm. b</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b)</w:t>
            </w:r>
            <w:r w:rsidRPr="00407A0E">
              <w:tab/>
              <w:t>své makroekonomické prognózy a předpoklady;</w:t>
            </w:r>
          </w:p>
        </w:tc>
        <w:tc>
          <w:tcPr>
            <w:tcW w:w="4876" w:type="dxa"/>
            <w:hideMark/>
          </w:tcPr>
          <w:p w:rsidR="00AF0131" w:rsidRPr="00407A0E" w:rsidRDefault="00407A0E" w:rsidP="00C33FBD">
            <w:pPr>
              <w:pStyle w:val="Normal6"/>
              <w:rPr>
                <w:szCs w:val="24"/>
              </w:rPr>
            </w:pPr>
            <w:r w:rsidRPr="00407A0E">
              <w:t>b)</w:t>
            </w:r>
            <w:r w:rsidRPr="00407A0E">
              <w:tab/>
              <w:t xml:space="preserve">své makroekonomické prognózy a předpoklady; </w:t>
            </w:r>
            <w:r w:rsidRPr="00407A0E">
              <w:rPr>
                <w:b/>
                <w:i/>
              </w:rPr>
              <w:t>své prognózy a předpoklady týkající se sociálních rizik;</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17</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11 – odst. 1 – pododstavec 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Popisuje rovněž opatření dotčeného členského státu, kterými reaguje na doporučení pro danou zemi, včetně těch, která jsou důležitá pro postup při makroekonomické nerovnováze, a na případná varování ze strany Komise nebo případná doporučení Rady podaná podl</w:t>
            </w:r>
            <w:r w:rsidRPr="00407A0E">
              <w:t>e čl. 121 odst. 4 Smlouvy o fungování EU.</w:t>
            </w:r>
          </w:p>
        </w:tc>
        <w:tc>
          <w:tcPr>
            <w:tcW w:w="4876" w:type="dxa"/>
            <w:hideMark/>
          </w:tcPr>
          <w:p w:rsidR="00AF0131" w:rsidRPr="00407A0E" w:rsidRDefault="00407A0E" w:rsidP="00C33FBD">
            <w:pPr>
              <w:pStyle w:val="Normal6"/>
              <w:rPr>
                <w:szCs w:val="24"/>
              </w:rPr>
            </w:pPr>
            <w:r w:rsidRPr="00407A0E">
              <w:t xml:space="preserve">Popisuje rovněž opatření dotčeného členského státu, kterými reaguje na doporučení pro danou zemi, včetně těch, která jsou důležitá pro postup při makroekonomické nerovnováze, </w:t>
            </w:r>
            <w:r w:rsidRPr="00407A0E">
              <w:rPr>
                <w:b/>
                <w:i/>
              </w:rPr>
              <w:t>stejně jako na problémy zjištěné ve zpr</w:t>
            </w:r>
            <w:r w:rsidRPr="00407A0E">
              <w:rPr>
                <w:b/>
                <w:i/>
              </w:rPr>
              <w:t>ávách o sociální konvergenci podle rámce sociální konvergence</w:t>
            </w:r>
            <w:r w:rsidRPr="00407A0E">
              <w:t xml:space="preserve"> a na případná varování ze strany Komise nebo případná doporučení Rady podaná podle čl. 121 odst. 4 Smlouvy o fungování EU </w:t>
            </w:r>
            <w:r w:rsidRPr="00407A0E">
              <w:rPr>
                <w:b/>
                <w:i/>
              </w:rPr>
              <w:t>a čl. 148 odst. 4 Smlouvy o fungování EU</w:t>
            </w:r>
            <w:r w:rsidRPr="00407A0E">
              <w:t>.</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18</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12 – odst. 1 – písm. b</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b)</w:t>
            </w:r>
            <w:r w:rsidRPr="00407A0E">
              <w:tab/>
            </w:r>
            <w:r w:rsidRPr="00407A0E">
              <w:t>obsahuje vysvětlení, jak bude zajištěna realizace investic a reforem reagujících na hlavní výzvy zjištěné v rámci evropského semestru, v doporučeních pro danou zemi, případně jak budou napraveny zjištěné makroekonomické nerovnováhy v rámci postupu při makr</w:t>
            </w:r>
            <w:r w:rsidRPr="00407A0E">
              <w:t xml:space="preserve">oekonomické nerovnováze a jak budou řešeny společné priority Unie uvedené v příloze VI tohoto nařízení, včetně Zelené dohody pro </w:t>
            </w:r>
            <w:r w:rsidRPr="00407A0E">
              <w:lastRenderedPageBreak/>
              <w:t>Evropu, evropského pilíře sociálních práv a digitální dekády, přičemž musí být zajištěn soulad s aktualizovanými vnitrostátními</w:t>
            </w:r>
            <w:r w:rsidRPr="00407A0E">
              <w:t xml:space="preserve"> plány v oblasti energetiky a klimatu a národními plány pro digitální dekádu;</w:t>
            </w:r>
          </w:p>
        </w:tc>
        <w:tc>
          <w:tcPr>
            <w:tcW w:w="4876" w:type="dxa"/>
            <w:hideMark/>
          </w:tcPr>
          <w:p w:rsidR="00AF0131" w:rsidRPr="00407A0E" w:rsidRDefault="00407A0E" w:rsidP="00C33FBD">
            <w:pPr>
              <w:pStyle w:val="Normal6"/>
              <w:rPr>
                <w:szCs w:val="24"/>
              </w:rPr>
            </w:pPr>
            <w:r w:rsidRPr="00407A0E">
              <w:lastRenderedPageBreak/>
              <w:t>b)</w:t>
            </w:r>
            <w:r w:rsidRPr="00407A0E">
              <w:tab/>
            </w:r>
            <w:r w:rsidRPr="00407A0E">
              <w:rPr>
                <w:b/>
                <w:i/>
              </w:rPr>
              <w:t>posoudí nedostatky ve vnitrostátních veřejných investicích, které brání v dosažení společných priorit; na tomto základě zajistí, aby plánovaná fiskální úprava umožnila potřebn</w:t>
            </w:r>
            <w:r w:rsidRPr="00407A0E">
              <w:rPr>
                <w:b/>
                <w:i/>
              </w:rPr>
              <w:t>é sociální investice k provádění zásad evropského pilíře sociálních práv. Kromě toho</w:t>
            </w:r>
            <w:r w:rsidRPr="00407A0E">
              <w:t xml:space="preserve"> obsahuje vysvětlení, jak bude zajištěna realizace investic a reforem reagujících na hlavní výzvy zjištěné v rámci evropského semestru, v </w:t>
            </w:r>
            <w:r w:rsidRPr="00407A0E">
              <w:lastRenderedPageBreak/>
              <w:t>doporučeních pro danou zemi, přípa</w:t>
            </w:r>
            <w:r w:rsidRPr="00407A0E">
              <w:t>dně jak budou napraveny zjištěné makroekonomické nerovnováhy v rámci postupu při makroekonomické nerovnováze</w:t>
            </w:r>
            <w:r w:rsidRPr="00407A0E">
              <w:rPr>
                <w:b/>
                <w:i/>
              </w:rPr>
              <w:t>, případně zjištěná rizika ohrožující sociální konvergenci podle rámce sociální konvergence,</w:t>
            </w:r>
            <w:r w:rsidRPr="00407A0E">
              <w:t xml:space="preserve"> a jak budou řešeny společné priority Unie uvedené v pří</w:t>
            </w:r>
            <w:r w:rsidRPr="00407A0E">
              <w:t>loze VI tohoto nařízení, včetně Zelené dohody pro Evropu, evropského pilíře sociálních práv</w:t>
            </w:r>
            <w:r w:rsidRPr="00407A0E">
              <w:rPr>
                <w:b/>
                <w:i/>
              </w:rPr>
              <w:t>, včetně souvisejících cílů v oblasti zaměstnanosti, odborné přípravy a snižování chudoby do roku 2030,</w:t>
            </w:r>
            <w:r w:rsidRPr="00407A0E">
              <w:t xml:space="preserve"> a digitální dekády, přičemž musí být zajištěn soulad s aktual</w:t>
            </w:r>
            <w:r w:rsidRPr="00407A0E">
              <w:t>izovanými vnitrostátními plány v oblasti energetiky a klimatu a národními plány pro digitální dekádu</w:t>
            </w:r>
            <w:r w:rsidRPr="00407A0E">
              <w:rPr>
                <w:b/>
                <w:i/>
              </w:rPr>
              <w:t>. Kromě toho obsahuje vysvětlení, jak přispívá k provádění hlavních směrů hospodářských politik členských států a hlavních směrů politik zaměstnanosti v sou</w:t>
            </w:r>
            <w:r w:rsidRPr="00407A0E">
              <w:rPr>
                <w:b/>
                <w:i/>
              </w:rPr>
              <w:t>ladu s čl. 121 odst. 2 a čl. 148 odst. 2 Smlouvy o fungování EU</w:t>
            </w:r>
            <w:r w:rsidRPr="00407A0E">
              <w:t>;</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19</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12 – odst. 1 – písm. d a (nové)</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da)</w:t>
            </w:r>
            <w:r w:rsidRPr="00407A0E">
              <w:rPr>
                <w:b/>
                <w:i/>
              </w:rPr>
              <w:tab/>
              <w:t>vysvětlí konzultační proces, který vedou místní a regionální orgány, sociální partneři, organizace občanské společnosti a další příslušné zúčastněné strany v souladu s vnitrostátním právním rámcem, a jak se příspěvky zúčastněných stran odrážejí v plánu</w:t>
            </w:r>
            <w:r w:rsidRPr="00407A0E">
              <w:rPr>
                <w:b/>
                <w:i/>
              </w:rPr>
              <w:t xml:space="preserve"> a v procesu provádění a</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20</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13 – odst. 2 – pododstavec 2 – bod iv</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iv)</w:t>
            </w:r>
            <w:r w:rsidRPr="00407A0E">
              <w:tab/>
            </w:r>
            <w:r w:rsidRPr="00407A0E">
              <w:t xml:space="preserve">reagovat na příslušná doporučení </w:t>
            </w:r>
            <w:r w:rsidRPr="00407A0E">
              <w:lastRenderedPageBreak/>
              <w:t>pro danou zemi určená dotčenému členskému státu, včetně případných doporučení vydaných v rámci postupu při makroekonomické nerovnováze;</w:t>
            </w:r>
          </w:p>
        </w:tc>
        <w:tc>
          <w:tcPr>
            <w:tcW w:w="4876" w:type="dxa"/>
            <w:hideMark/>
          </w:tcPr>
          <w:p w:rsidR="00AF0131" w:rsidRPr="00407A0E" w:rsidRDefault="00407A0E" w:rsidP="00C33FBD">
            <w:pPr>
              <w:pStyle w:val="Normal6"/>
              <w:rPr>
                <w:szCs w:val="24"/>
              </w:rPr>
            </w:pPr>
            <w:r w:rsidRPr="00407A0E">
              <w:lastRenderedPageBreak/>
              <w:t>iv)</w:t>
            </w:r>
            <w:r w:rsidRPr="00407A0E">
              <w:tab/>
              <w:t xml:space="preserve">reagovat na příslušná doporučení </w:t>
            </w:r>
            <w:r w:rsidRPr="00407A0E">
              <w:lastRenderedPageBreak/>
              <w:t xml:space="preserve">pro danou zemi určená dotčenému členskému státu </w:t>
            </w:r>
            <w:r w:rsidRPr="00407A0E">
              <w:rPr>
                <w:b/>
                <w:i/>
              </w:rPr>
              <w:t>po</w:t>
            </w:r>
            <w:r w:rsidRPr="00407A0E">
              <w:rPr>
                <w:b/>
                <w:i/>
              </w:rPr>
              <w:t>dle čl. 121 odst. 4 a čl. 148 odst. 4 Smlouva o fungování EU</w:t>
            </w:r>
            <w:r w:rsidRPr="00407A0E">
              <w:t xml:space="preserve">, včetně případných doporučení vydaných v rámci postupu při makroekonomické nerovnováze </w:t>
            </w:r>
            <w:r w:rsidRPr="00407A0E">
              <w:rPr>
                <w:b/>
                <w:i/>
              </w:rPr>
              <w:t>a podle rámce sociální konvergence</w:t>
            </w:r>
            <w:r w:rsidRPr="00407A0E">
              <w:t>;</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21</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16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Na doporučení Komise přijme Rada doporučení, kterým stanoví dráhu čistých výdajů dotčeného členského státu a v příslušném případě schválí soubor reformních a investičních závazků, které jsou podkladem pro prodloužení období korekce, obsažených v jeho národ</w:t>
            </w:r>
            <w:r w:rsidRPr="00407A0E">
              <w:t xml:space="preserve">ním střednědobém fiskálně-strukturálním plánu, a to zpravidla </w:t>
            </w:r>
            <w:r w:rsidRPr="00407A0E">
              <w:rPr>
                <w:b/>
                <w:i/>
              </w:rPr>
              <w:t>do čtyř týdnů</w:t>
            </w:r>
            <w:r w:rsidRPr="00407A0E">
              <w:t xml:space="preserve"> od přijetí doporučení Komise.</w:t>
            </w:r>
          </w:p>
        </w:tc>
        <w:tc>
          <w:tcPr>
            <w:tcW w:w="4876" w:type="dxa"/>
            <w:hideMark/>
          </w:tcPr>
          <w:p w:rsidR="00AF0131" w:rsidRPr="00407A0E" w:rsidRDefault="00407A0E" w:rsidP="00C33FBD">
            <w:pPr>
              <w:pStyle w:val="Normal6"/>
              <w:rPr>
                <w:szCs w:val="24"/>
              </w:rPr>
            </w:pPr>
            <w:r w:rsidRPr="00407A0E">
              <w:t xml:space="preserve">Na doporučení Komise přijme Rada </w:t>
            </w:r>
            <w:r w:rsidRPr="00407A0E">
              <w:rPr>
                <w:b/>
                <w:i/>
              </w:rPr>
              <w:t>po konzultaci s příslušnými poradními výbory určenými v souladu s článkem 26</w:t>
            </w:r>
            <w:r w:rsidRPr="00407A0E">
              <w:t xml:space="preserve"> doporučení, kterým stanoví dráhu čistých výdajů dotčeného členského státu a v příslušném případě schválí soubor reformních a investičních závazků, které jsou podkladem pro prodloužení období korekce, obsažených v jeho národním střednědobém fiskálně-strukt</w:t>
            </w:r>
            <w:r w:rsidRPr="00407A0E">
              <w:t xml:space="preserve">urálním plánu, a to zpravidla </w:t>
            </w:r>
            <w:r w:rsidRPr="00407A0E">
              <w:rPr>
                <w:b/>
                <w:i/>
              </w:rPr>
              <w:t>mezi šesti a deseti týdny</w:t>
            </w:r>
            <w:r w:rsidRPr="00407A0E">
              <w:t xml:space="preserve"> od přijetí doporučení Komise.</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22</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17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Pokud se Rada domnívá, že plán nesplňuje požadavky stanovené v čl. 15 odst. 2 a odst. 3 písm. a), doporučí na doporučení Komise, aby dotčený členský stát předložil revidovaný národní střednědobý fiskálně-strukturální plán.</w:t>
            </w:r>
          </w:p>
        </w:tc>
        <w:tc>
          <w:tcPr>
            <w:tcW w:w="4876" w:type="dxa"/>
            <w:hideMark/>
          </w:tcPr>
          <w:p w:rsidR="00AF0131" w:rsidRPr="00407A0E" w:rsidRDefault="00407A0E" w:rsidP="00C33FBD">
            <w:pPr>
              <w:pStyle w:val="Normal6"/>
              <w:rPr>
                <w:szCs w:val="24"/>
              </w:rPr>
            </w:pPr>
            <w:r w:rsidRPr="00407A0E">
              <w:t>Pokud se Rada domnívá, že plán ne</w:t>
            </w:r>
            <w:r w:rsidRPr="00407A0E">
              <w:t xml:space="preserve">splňuje požadavky stanovené v čl. 15 odst. 2 a odst. 3 písm. a) </w:t>
            </w:r>
            <w:r w:rsidRPr="00407A0E">
              <w:rPr>
                <w:b/>
                <w:i/>
              </w:rPr>
              <w:t>a b)</w:t>
            </w:r>
            <w:r w:rsidRPr="00407A0E">
              <w:t xml:space="preserve">, doporučí na doporučení Komise </w:t>
            </w:r>
            <w:r w:rsidRPr="00407A0E">
              <w:rPr>
                <w:b/>
                <w:i/>
              </w:rPr>
              <w:t>a po konzultaci s příslušnými poradními výbory určenými v souladu s článkem 26</w:t>
            </w:r>
            <w:r w:rsidRPr="00407A0E">
              <w:t>, aby dotčený členský stát předložil revidovaný národní střednědobý fiskálně-s</w:t>
            </w:r>
            <w:r w:rsidRPr="00407A0E">
              <w:t>trukturální plán.</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23</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lastRenderedPageBreak/>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20 – odst. 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2.</w:t>
            </w:r>
            <w:r w:rsidRPr="00407A0E">
              <w:tab/>
            </w:r>
            <w:r w:rsidRPr="00407A0E">
              <w:t>Výroční zpráva o pokroku podle odstavce 1 obsahuje zejména informace o pokroku při provádění dráhy čistých výdajů, plnění širších reformních a investičních závazků v rámci evropského semestru a v příslušném případě při plnění souboru reformních a investičn</w:t>
            </w:r>
            <w:r w:rsidRPr="00407A0E">
              <w:t>ích závazků, které jsou podkladem pro prodloužení období korekce.</w:t>
            </w:r>
          </w:p>
        </w:tc>
        <w:tc>
          <w:tcPr>
            <w:tcW w:w="4876" w:type="dxa"/>
            <w:hideMark/>
          </w:tcPr>
          <w:p w:rsidR="00AF0131" w:rsidRPr="00407A0E" w:rsidRDefault="00407A0E" w:rsidP="00C33FBD">
            <w:pPr>
              <w:pStyle w:val="Normal6"/>
              <w:rPr>
                <w:szCs w:val="24"/>
              </w:rPr>
            </w:pPr>
            <w:r w:rsidRPr="00407A0E">
              <w:t>2.</w:t>
            </w:r>
            <w:r w:rsidRPr="00407A0E">
              <w:tab/>
              <w:t>Výroční zpráva o pokroku podle odstavce 1 obsahuje zejména informace o pokroku při provádění dráhy čistých výdajů, plnění širších reformních a investičních závazků v rámci evropského seme</w:t>
            </w:r>
            <w:r w:rsidRPr="00407A0E">
              <w:t>stru</w:t>
            </w:r>
            <w:r w:rsidRPr="00407A0E">
              <w:rPr>
                <w:b/>
                <w:i/>
              </w:rPr>
              <w:t>, včetně pokroku při plnění cílů Unie a vnitrostátních cílů v oblasti zaměstnanosti, odborné přípravy a snižování chudoby do roku 2030, stejně jako společných priorit Unie uvedených v příloze VI,</w:t>
            </w:r>
            <w:r w:rsidRPr="00407A0E">
              <w:t xml:space="preserve"> a v příslušném případě při plnění souboru reformních a i</w:t>
            </w:r>
            <w:r w:rsidRPr="00407A0E">
              <w:t>nvestičních závazků, které jsou podkladem pro prodloužení období korekce.</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24</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22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Každá vnitrostátní nezávislá fiskální instituce podle článku 8 směrnice Rady […]</w:t>
            </w:r>
            <w:r w:rsidRPr="00407A0E">
              <w:rPr>
                <w:vertAlign w:val="superscript"/>
              </w:rPr>
              <w:t xml:space="preserve"> 32</w:t>
            </w:r>
            <w:r w:rsidRPr="00407A0E">
              <w:t xml:space="preserve"> [o vnitrostátních rozpočtových rámcích] poskytne posouzení souladu údajů o reálných výsledných rozpočtových hodnotách vykázaných ve zprávě o pokroku uvedené v článku 20 s d</w:t>
            </w:r>
            <w:r w:rsidRPr="00407A0E">
              <w:t>ráhou čistých výdajů</w:t>
            </w:r>
            <w:r w:rsidRPr="00407A0E">
              <w:rPr>
                <w:b/>
                <w:i/>
              </w:rPr>
              <w:t>.</w:t>
            </w:r>
            <w:r w:rsidRPr="00407A0E">
              <w:t xml:space="preserve"> </w:t>
            </w:r>
            <w:r w:rsidRPr="00407A0E">
              <w:rPr>
                <w:b/>
                <w:i/>
              </w:rPr>
              <w:t>V případě odchylky od dráhy čistých výdajů</w:t>
            </w:r>
            <w:r w:rsidRPr="00407A0E">
              <w:t xml:space="preserve"> analyzuje </w:t>
            </w:r>
            <w:r w:rsidRPr="00407A0E">
              <w:rPr>
                <w:b/>
                <w:i/>
              </w:rPr>
              <w:t>každá vnitrostátní nezávislá fiskální instituce</w:t>
            </w:r>
            <w:r w:rsidRPr="00407A0E">
              <w:t xml:space="preserve"> také faktory, které </w:t>
            </w:r>
            <w:r w:rsidRPr="00407A0E">
              <w:rPr>
                <w:b/>
                <w:i/>
              </w:rPr>
              <w:t>k této</w:t>
            </w:r>
            <w:r w:rsidRPr="00407A0E">
              <w:t xml:space="preserve"> odchylce </w:t>
            </w:r>
            <w:r w:rsidRPr="00407A0E">
              <w:rPr>
                <w:b/>
                <w:i/>
              </w:rPr>
              <w:t>vedly</w:t>
            </w:r>
            <w:r w:rsidRPr="00407A0E">
              <w:t>.</w:t>
            </w:r>
          </w:p>
        </w:tc>
        <w:tc>
          <w:tcPr>
            <w:tcW w:w="4876" w:type="dxa"/>
            <w:hideMark/>
          </w:tcPr>
          <w:p w:rsidR="00AF0131" w:rsidRPr="00407A0E" w:rsidRDefault="00407A0E" w:rsidP="00C33FBD">
            <w:pPr>
              <w:pStyle w:val="Normal6"/>
              <w:rPr>
                <w:szCs w:val="24"/>
              </w:rPr>
            </w:pPr>
            <w:r w:rsidRPr="00407A0E">
              <w:t>Každá vnitrostátní nezávislá fiskální instituce podle článku 8 směrnice Rady […]</w:t>
            </w:r>
            <w:r w:rsidRPr="00407A0E">
              <w:rPr>
                <w:vertAlign w:val="superscript"/>
              </w:rPr>
              <w:t>32</w:t>
            </w:r>
            <w:r w:rsidRPr="00407A0E">
              <w:t xml:space="preserve"> [o vnit</w:t>
            </w:r>
            <w:r w:rsidRPr="00407A0E">
              <w:t>rostátních rozpočtových rámcích]</w:t>
            </w:r>
            <w:r w:rsidRPr="00407A0E">
              <w:rPr>
                <w:b/>
                <w:i/>
              </w:rPr>
              <w:t>:</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a)</w:t>
            </w:r>
            <w:r w:rsidRPr="00407A0E">
              <w:t xml:space="preserve"> </w:t>
            </w:r>
            <w:r w:rsidRPr="00407A0E">
              <w:tab/>
              <w:t xml:space="preserve">poskytne posouzení souladu údajů o reálných výsledných rozpočtových hodnotách vykázaných ve zprávě o pokroku uvedené v článku 20 </w:t>
            </w:r>
            <w:r w:rsidRPr="00407A0E">
              <w:rPr>
                <w:b/>
                <w:i/>
              </w:rPr>
              <w:t>tohoto nařízení</w:t>
            </w:r>
            <w:r w:rsidRPr="00407A0E">
              <w:t xml:space="preserve"> s dráhou čistých výdajů</w:t>
            </w:r>
            <w:r w:rsidRPr="00407A0E">
              <w:rPr>
                <w:b/>
                <w:i/>
              </w:rPr>
              <w:t>;</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b)</w:t>
            </w:r>
            <w:r w:rsidRPr="00407A0E">
              <w:t xml:space="preserve"> </w:t>
            </w:r>
            <w:r w:rsidRPr="00407A0E">
              <w:tab/>
            </w:r>
            <w:r w:rsidRPr="00407A0E">
              <w:rPr>
                <w:b/>
                <w:i/>
              </w:rPr>
              <w:t>případně</w:t>
            </w:r>
            <w:r w:rsidRPr="00407A0E">
              <w:t xml:space="preserve"> analyzuje také faktory, které </w:t>
            </w:r>
            <w:r w:rsidRPr="00407A0E">
              <w:rPr>
                <w:b/>
                <w:i/>
              </w:rPr>
              <w:t>vedly</w:t>
            </w:r>
            <w:r w:rsidRPr="00407A0E">
              <w:t xml:space="preserve"> odchylce </w:t>
            </w:r>
            <w:r w:rsidRPr="00407A0E">
              <w:rPr>
                <w:b/>
                <w:i/>
              </w:rPr>
              <w:t>od dráhy čistých výdajů;</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 xml:space="preserve">c) </w:t>
            </w:r>
            <w:r w:rsidRPr="00407A0E">
              <w:tab/>
            </w:r>
            <w:r w:rsidRPr="00407A0E">
              <w:rPr>
                <w:b/>
                <w:i/>
              </w:rPr>
              <w:t xml:space="preserve">poskytne posouzení sociálního </w:t>
            </w:r>
            <w:r w:rsidRPr="00407A0E">
              <w:rPr>
                <w:b/>
                <w:i/>
              </w:rPr>
              <w:lastRenderedPageBreak/>
              <w:t>dopadu rozhodnutí v oblasti politiky fiskální korekce</w:t>
            </w:r>
            <w:r w:rsidRPr="00407A0E">
              <w:t>.</w:t>
            </w:r>
          </w:p>
        </w:tc>
      </w:tr>
      <w:tr w:rsidR="00407A0E" w:rsidRPr="00407A0E" w:rsidTr="00C33FBD">
        <w:trPr>
          <w:jc w:val="center"/>
        </w:trPr>
        <w:tc>
          <w:tcPr>
            <w:tcW w:w="4876" w:type="dxa"/>
            <w:hideMark/>
          </w:tcPr>
          <w:p w:rsidR="00AF0131" w:rsidRPr="00407A0E" w:rsidRDefault="00407A0E" w:rsidP="00C33FBD">
            <w:pPr>
              <w:pStyle w:val="Normal6"/>
            </w:pPr>
            <w:r w:rsidRPr="00407A0E">
              <w:lastRenderedPageBreak/>
              <w:t>__________________</w:t>
            </w:r>
          </w:p>
        </w:tc>
        <w:tc>
          <w:tcPr>
            <w:tcW w:w="4876" w:type="dxa"/>
            <w:hideMark/>
          </w:tcPr>
          <w:p w:rsidR="00AF0131" w:rsidRPr="00407A0E" w:rsidRDefault="00407A0E" w:rsidP="00C33FBD">
            <w:pPr>
              <w:pStyle w:val="Normal6"/>
              <w:rPr>
                <w:szCs w:val="24"/>
              </w:rPr>
            </w:pPr>
            <w:r w:rsidRPr="00407A0E">
              <w:t>__________________</w:t>
            </w:r>
          </w:p>
        </w:tc>
      </w:tr>
      <w:tr w:rsidR="00407A0E" w:rsidRPr="00407A0E" w:rsidTr="00C33FBD">
        <w:trPr>
          <w:jc w:val="center"/>
        </w:trPr>
        <w:tc>
          <w:tcPr>
            <w:tcW w:w="4876" w:type="dxa"/>
            <w:hideMark/>
          </w:tcPr>
          <w:p w:rsidR="00AF0131" w:rsidRPr="00407A0E" w:rsidRDefault="00407A0E" w:rsidP="00C33FBD">
            <w:pPr>
              <w:pStyle w:val="Normal6"/>
            </w:pPr>
            <w:r w:rsidRPr="00407A0E">
              <w:rPr>
                <w:vertAlign w:val="superscript"/>
              </w:rPr>
              <w:t>32</w:t>
            </w:r>
            <w:r w:rsidRPr="00407A0E">
              <w:t xml:space="preserve"> Směrnice Rady […] ze dne […] [kterou se mění směrnice Rady 2011/85/EU o požadavcíc</w:t>
            </w:r>
            <w:r w:rsidRPr="00407A0E">
              <w:t>h na rozpočtové rámce členských států] (Úř. věst. …, …, s. …).</w:t>
            </w:r>
          </w:p>
        </w:tc>
        <w:tc>
          <w:tcPr>
            <w:tcW w:w="4876" w:type="dxa"/>
            <w:hideMark/>
          </w:tcPr>
          <w:p w:rsidR="00AF0131" w:rsidRPr="00407A0E" w:rsidRDefault="00407A0E" w:rsidP="00C33FBD">
            <w:pPr>
              <w:pStyle w:val="Normal6"/>
              <w:rPr>
                <w:szCs w:val="24"/>
              </w:rPr>
            </w:pPr>
            <w:r w:rsidRPr="00407A0E">
              <w:rPr>
                <w:vertAlign w:val="superscript"/>
              </w:rPr>
              <w:t>32</w:t>
            </w:r>
            <w:r w:rsidRPr="00407A0E">
              <w:t xml:space="preserve"> Směrnice Rady […] ze dne […] [kterou se mění směrnice Rady 2011/85/EU o požadavcích na rozpočtové rámce členských států] (Úř. věst. …, …, s. …).</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25</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26 – odst. 1</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Evropský parlament je řádně zapojen do evropského semestru s cílem zvýšit transparentnost, vlastní odpovědnost a odpovědnost členských států v souvislosti s přijímanými rozhodnutími, zejména prostřednictvím hospodářského dialogu. Případně jsou v rámci evro</w:t>
            </w:r>
            <w:r w:rsidRPr="00407A0E">
              <w:t>pského semestru vedeny konzultace s Hospodářským a finančním výborem, Výborem pro hospodářskou politiku, Výborem pro zaměstnanost a Výborem pro sociální ochranu. V souladu s ustanoveními Smlouvy o fungování EU a vnitrostátními právními a politickými ustano</w:t>
            </w:r>
            <w:r w:rsidRPr="00407A0E">
              <w:t>veními jsou v rámci evropského semestru případně zapojeny v souvislosti s hlavními politickými otázkami příslušné zainteresované strany, zejména sociální partneři.</w:t>
            </w:r>
          </w:p>
        </w:tc>
        <w:tc>
          <w:tcPr>
            <w:tcW w:w="4876" w:type="dxa"/>
            <w:hideMark/>
          </w:tcPr>
          <w:p w:rsidR="00AF0131" w:rsidRPr="00407A0E" w:rsidRDefault="00407A0E" w:rsidP="00C33FBD">
            <w:pPr>
              <w:pStyle w:val="Normal6"/>
              <w:rPr>
                <w:szCs w:val="24"/>
              </w:rPr>
            </w:pPr>
            <w:r w:rsidRPr="00407A0E">
              <w:t>Evropský parlament je řádně zapojen do evropského semestru s cílem zvýšit transparentnost, v</w:t>
            </w:r>
            <w:r w:rsidRPr="00407A0E">
              <w:t xml:space="preserve">lastní odpovědnost a odpovědnost členských států v souvislosti s přijímanými rozhodnutími, zejména prostřednictvím hospodářského dialogu </w:t>
            </w:r>
            <w:r w:rsidRPr="00407A0E">
              <w:rPr>
                <w:b/>
                <w:i/>
              </w:rPr>
              <w:t>a dialogu o zaměstnanosti, a rovněž v souvislosti se stanovením priorit makroekonomické a sociální politiky</w:t>
            </w:r>
            <w:r w:rsidRPr="00407A0E">
              <w:t>. Případně j</w:t>
            </w:r>
            <w:r w:rsidRPr="00407A0E">
              <w:t>sou v rámci evropského semestru vedeny konzultace s Hospodářským a finančním výborem, Výborem pro hospodářskou politiku, Výborem pro zaměstnanost a Výborem pro sociální ochranu</w:t>
            </w:r>
            <w:r w:rsidRPr="00407A0E">
              <w:rPr>
                <w:b/>
                <w:i/>
              </w:rPr>
              <w:t>.</w:t>
            </w:r>
            <w:r w:rsidRPr="00407A0E">
              <w:t xml:space="preserve"> </w:t>
            </w:r>
            <w:r w:rsidRPr="00407A0E">
              <w:rPr>
                <w:b/>
                <w:i/>
              </w:rPr>
              <w:t>V rámci evropského semestru se případně konzultují také Evropský hospodářský a</w:t>
            </w:r>
            <w:r w:rsidRPr="00407A0E">
              <w:rPr>
                <w:b/>
                <w:i/>
              </w:rPr>
              <w:t xml:space="preserve"> sociální výbor a Výbor regionů</w:t>
            </w:r>
            <w:r w:rsidRPr="00407A0E">
              <w:t xml:space="preserve">. V souladu s ustanoveními Smlouvy o fungování EU a vnitrostátními právními a politickými ustanoveními jsou v rámci evropského semestru případně zapojeny v souvislosti s hlavními politickými otázkami příslušné zainteresované </w:t>
            </w:r>
            <w:r w:rsidRPr="00407A0E">
              <w:t xml:space="preserve">strany, zejména sociální partneři </w:t>
            </w:r>
            <w:r w:rsidRPr="00407A0E">
              <w:rPr>
                <w:b/>
                <w:i/>
              </w:rPr>
              <w:t>a organizace občanské společnosti</w:t>
            </w:r>
            <w:r w:rsidRPr="00407A0E">
              <w:t>.</w:t>
            </w:r>
          </w:p>
        </w:tc>
      </w:tr>
    </w:tbl>
    <w:p w:rsidR="00AF0131" w:rsidRPr="00407A0E" w:rsidRDefault="00407A0E" w:rsidP="00C56375">
      <w:pPr>
        <w:rPr>
          <w:rFonts w:eastAsiaTheme="majorEastAsia"/>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26</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26 – odst. 2</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Pro posílení dialogu mezi orgány Unie, především mezi Evropským parlamentem, Radou a Komisí, a pro zajištění transparentnosti a odpovědnosti může Evropský parlament vyzvat předsedu Rady, Komisi, a případně předsedu Evropské rady nebo Euroskupiny, aby se na</w:t>
            </w:r>
            <w:r w:rsidRPr="00407A0E">
              <w:t xml:space="preserve"> jeho půdě zúčastnili diskuse o politických pokynech členským státům vydaných Komisí, závěrech Evropské rady a výsledcích mnohostranného dohledu prováděného podle tohoto nařízení.</w:t>
            </w:r>
          </w:p>
        </w:tc>
        <w:tc>
          <w:tcPr>
            <w:tcW w:w="4876" w:type="dxa"/>
            <w:hideMark/>
          </w:tcPr>
          <w:p w:rsidR="00AF0131" w:rsidRPr="00407A0E" w:rsidRDefault="00407A0E" w:rsidP="00C33FBD">
            <w:pPr>
              <w:pStyle w:val="Normal6"/>
              <w:rPr>
                <w:szCs w:val="24"/>
              </w:rPr>
            </w:pPr>
            <w:r w:rsidRPr="00407A0E">
              <w:t>Pro posílení dialogu mezi orgány Unie, především mezi Evropským parlamentem,</w:t>
            </w:r>
            <w:r w:rsidRPr="00407A0E">
              <w:t xml:space="preserve"> Radou a Komisí, a pro zajištění transparentnosti a odpovědnosti může Evropský parlament vyzvat předsedu Rady, Komisi, a případně předsedu Evropské rady nebo Euroskupiny, aby se na jeho půdě zúčastnili diskuse o politických pokynech členským státům vydanýc</w:t>
            </w:r>
            <w:r w:rsidRPr="00407A0E">
              <w:t>h Komisí, závěrech Evropské rady a výsledcích mnohostranného dohledu prováděného podle tohoto nařízení</w:t>
            </w:r>
            <w:r w:rsidRPr="00407A0E">
              <w:rPr>
                <w:b/>
                <w:i/>
              </w:rPr>
              <w:t>, včetně systémů včasného varování zřízených podle čl. 121 odst. 4 a článku 148 Smlouvy o fungování EU</w:t>
            </w:r>
            <w:r w:rsidRPr="00407A0E">
              <w:t>.</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27</w:t>
      </w:r>
      <w:r w:rsidRPr="00407A0E">
        <w:rPr>
          <w:rStyle w:val="HideTWBExt"/>
          <w:b w:val="0"/>
          <w:szCs w:val="24"/>
        </w:rPr>
        <w:t>&lt;/Num</w:t>
      </w:r>
      <w:r w:rsidRPr="00407A0E">
        <w:rPr>
          <w:rStyle w:val="HideTWBExt"/>
          <w:b w:val="0"/>
          <w:szCs w:val="24"/>
        </w:rPr>
        <w:t>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Čl. 26 – odst. 3 a (nový)</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Příslušné výbory Evropského parlamentu mohou vyzvat Komisi, aby projednala tyto záležitosti:</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a)</w:t>
            </w:r>
            <w:r w:rsidRPr="00407A0E">
              <w:rPr>
                <w:b/>
                <w:i/>
              </w:rPr>
              <w:tab/>
            </w:r>
            <w:r w:rsidRPr="00407A0E">
              <w:rPr>
                <w:b/>
                <w:i/>
              </w:rPr>
              <w:t>posouzení národních střednědobých fiskálně-strukturálních plánů, které Komise provedla v rámci střednědobého posouzení projekce veřejného dluhu, jakož i analýzu udržitelnosti dluhu;</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b)</w:t>
            </w:r>
            <w:r w:rsidRPr="00407A0E">
              <w:rPr>
                <w:b/>
                <w:i/>
              </w:rPr>
              <w:tab/>
              <w:t xml:space="preserve"> posouzení informací, které členské státy poskytují ve výročních zprá</w:t>
            </w:r>
            <w:r w:rsidRPr="00407A0E">
              <w:rPr>
                <w:b/>
                <w:i/>
              </w:rPr>
              <w:t>vách o pokroku;</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c)</w:t>
            </w:r>
            <w:r w:rsidRPr="00407A0E">
              <w:rPr>
                <w:b/>
                <w:i/>
              </w:rPr>
              <w:tab/>
              <w:t>posouzení souboru reformních a investičních závazků, které jsou podkladem pro prodloužení období korekce;</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d) hodnocení doporučení pro jednotlivé země a rizik ohrožujících sociální konvergenci a pokrok při provádění zásad evropského p</w:t>
            </w:r>
            <w:r w:rsidRPr="00407A0E">
              <w:rPr>
                <w:b/>
                <w:i/>
              </w:rPr>
              <w:t>ilíře sociálních práv.</w:t>
            </w:r>
          </w:p>
        </w:tc>
      </w:tr>
    </w:tbl>
    <w:p w:rsidR="00AF0131" w:rsidRPr="00407A0E" w:rsidRDefault="00407A0E" w:rsidP="00C56375">
      <w:pPr>
        <w:rPr>
          <w:rStyle w:val="HideTWBExt"/>
          <w:rFonts w:eastAsiaTheme="majorEastAsia"/>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28</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d</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d)</w:t>
            </w:r>
            <w:r w:rsidRPr="00407A0E">
              <w:tab/>
              <w:t xml:space="preserve">Informace o implicitních </w:t>
            </w:r>
            <w:r w:rsidRPr="00407A0E">
              <w:rPr>
                <w:b/>
                <w:i/>
              </w:rPr>
              <w:t>závazcích souvisejících se stárnutím</w:t>
            </w:r>
            <w:r w:rsidRPr="00407A0E">
              <w:t xml:space="preserve"> a </w:t>
            </w:r>
            <w:r w:rsidRPr="00407A0E">
              <w:rPr>
                <w:b/>
                <w:i/>
              </w:rPr>
              <w:t>o</w:t>
            </w:r>
            <w:r w:rsidRPr="00407A0E">
              <w:t xml:space="preserve"> podmíněných závazcích s potenciálně velkým dopadem na veřejné finance, což zahrnuje mj. vládní záruky, úvěry se selháním a závazky vyplývající z činnosti veřejných společností, včetně jejich rozsahu, potenciální výd</w:t>
            </w:r>
            <w:r w:rsidRPr="00407A0E">
              <w:t>aje a závazky vyplývající ze soudních řízení a v co největší možné míře i informace o podmíněných závazcích spojených s katastrofami a klimatem.</w:t>
            </w:r>
          </w:p>
        </w:tc>
        <w:tc>
          <w:tcPr>
            <w:tcW w:w="4876" w:type="dxa"/>
            <w:hideMark/>
          </w:tcPr>
          <w:p w:rsidR="00AF0131" w:rsidRPr="00407A0E" w:rsidRDefault="00407A0E" w:rsidP="00C33FBD">
            <w:pPr>
              <w:pStyle w:val="Normal6"/>
              <w:rPr>
                <w:szCs w:val="24"/>
              </w:rPr>
            </w:pPr>
            <w:r w:rsidRPr="00407A0E">
              <w:t>d)</w:t>
            </w:r>
            <w:r w:rsidRPr="00407A0E">
              <w:tab/>
            </w:r>
            <w:r w:rsidRPr="00407A0E">
              <w:t xml:space="preserve">Informace o implicitních a podmíněných závazcích s potenciálně velkým dopadem na veřejné finance, což zahrnuje mj. vládní záruky, úvěry se selháním a závazky vyplývající z činnosti veřejných společností, včetně jejich rozsahu, potenciální výdaje a závazky </w:t>
            </w:r>
            <w:r w:rsidRPr="00407A0E">
              <w:t>vyplývající ze soudních řízení a v co největší možné míře i informace o podmíněných závazcích spojených s katastrofami a klimatem.</w:t>
            </w:r>
          </w:p>
        </w:tc>
      </w:tr>
    </w:tbl>
    <w:p w:rsidR="00AF0131" w:rsidRPr="00407A0E" w:rsidRDefault="00407A0E" w:rsidP="00AF0131">
      <w:pPr>
        <w:pStyle w:val="AMNumberTabs0"/>
        <w:keepNext/>
      </w:pPr>
      <w:r w:rsidRPr="00407A0E">
        <w:rPr>
          <w:rStyle w:val="HideTWBExt"/>
          <w:b w:val="0"/>
          <w:szCs w:val="24"/>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29</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f</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f)</w:t>
            </w:r>
            <w:r w:rsidRPr="00407A0E">
              <w:tab/>
              <w:t>V případě, že členský stát použije předpoklady uvedené v písmenu e), které se liší od předpokladů Komise pro období korekce v rámci národního střednědobého fiskálně-stru</w:t>
            </w:r>
            <w:r w:rsidRPr="00407A0E">
              <w:t>kturálního plánu a pro následující období deseti let bez dalších rozpočtových opatření, náležité vysvětlení a odůvodnění těchto rozdílů na základě řádných ekonomických argumentů.</w:t>
            </w:r>
          </w:p>
        </w:tc>
        <w:tc>
          <w:tcPr>
            <w:tcW w:w="4876" w:type="dxa"/>
            <w:hideMark/>
          </w:tcPr>
          <w:p w:rsidR="00AF0131" w:rsidRPr="00407A0E" w:rsidRDefault="00407A0E" w:rsidP="00C33FBD">
            <w:pPr>
              <w:pStyle w:val="Normal6"/>
              <w:rPr>
                <w:szCs w:val="24"/>
              </w:rPr>
            </w:pPr>
            <w:r w:rsidRPr="00407A0E">
              <w:t>f)</w:t>
            </w:r>
            <w:r w:rsidRPr="00407A0E">
              <w:tab/>
              <w:t>V případě, že členský stát použije předpoklady uvedené v písmenu e), které</w:t>
            </w:r>
            <w:r w:rsidRPr="00407A0E">
              <w:t xml:space="preserve"> se liší od předpokladů Komise pro období korekce v rámci národního střednědobého fiskálně-strukturálního plánu a pro následující období deseti let bez dalších rozpočtových opatření, náležité vysvětlení a odůvodnění těchto rozdílů na základě řádných ekonom</w:t>
            </w:r>
            <w:r w:rsidRPr="00407A0E">
              <w:t xml:space="preserve">ických </w:t>
            </w:r>
            <w:r w:rsidRPr="00407A0E">
              <w:rPr>
                <w:b/>
                <w:i/>
              </w:rPr>
              <w:t>a sociálních</w:t>
            </w:r>
            <w:r w:rsidRPr="00407A0E">
              <w:t xml:space="preserve"> argumentů.</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30</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g</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g)</w:t>
            </w:r>
            <w:r w:rsidRPr="00407A0E">
              <w:tab/>
            </w:r>
            <w:r w:rsidRPr="00407A0E">
              <w:t xml:space="preserve">Rozbor otázky, jak by změny </w:t>
            </w:r>
            <w:r w:rsidRPr="00407A0E">
              <w:lastRenderedPageBreak/>
              <w:t>hlavních hospodářských předpokladů ovlivnily stav rozpočtu a dluhu členského státu.</w:t>
            </w:r>
          </w:p>
        </w:tc>
        <w:tc>
          <w:tcPr>
            <w:tcW w:w="4876" w:type="dxa"/>
            <w:hideMark/>
          </w:tcPr>
          <w:p w:rsidR="00AF0131" w:rsidRPr="00407A0E" w:rsidRDefault="00407A0E" w:rsidP="00C33FBD">
            <w:pPr>
              <w:pStyle w:val="Normal6"/>
              <w:rPr>
                <w:szCs w:val="24"/>
              </w:rPr>
            </w:pPr>
            <w:r w:rsidRPr="00407A0E">
              <w:lastRenderedPageBreak/>
              <w:t>g)</w:t>
            </w:r>
            <w:r w:rsidRPr="00407A0E">
              <w:tab/>
              <w:t xml:space="preserve">Rozbor otázky, jak by změny </w:t>
            </w:r>
            <w:r w:rsidRPr="00407A0E">
              <w:lastRenderedPageBreak/>
              <w:t xml:space="preserve">hlavních hospodářských </w:t>
            </w:r>
            <w:r w:rsidRPr="00407A0E">
              <w:rPr>
                <w:b/>
                <w:i/>
              </w:rPr>
              <w:t>a sociálních</w:t>
            </w:r>
            <w:r w:rsidRPr="00407A0E">
              <w:t xml:space="preserve"> předpokladů ovlivnily stav rozpočtu a dluhu členského státu</w:t>
            </w:r>
            <w:r w:rsidRPr="00407A0E">
              <w:rPr>
                <w:b/>
                <w:i/>
              </w:rPr>
              <w:t>, stejně jako dosa</w:t>
            </w:r>
            <w:r w:rsidRPr="00407A0E">
              <w:rPr>
                <w:b/>
                <w:i/>
              </w:rPr>
              <w:t>žení vnitrostátních cílů spojených s hlavními cíli evropského pilíře sociálních práv a jejich hlavními sekundárními ukazateli a společných priorit Unie</w:t>
            </w:r>
            <w:r w:rsidRPr="00407A0E">
              <w:t>.</w:t>
            </w:r>
          </w:p>
        </w:tc>
      </w:tr>
    </w:tbl>
    <w:p w:rsidR="00AF0131" w:rsidRPr="00407A0E" w:rsidRDefault="00407A0E" w:rsidP="00AF0131">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31</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h</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h)</w:t>
            </w:r>
            <w:r w:rsidRPr="00407A0E">
              <w:tab/>
              <w:t>Případně patřičně podložené důvody (s příslušnými řádnými a ověřitelnými ekonomickými argumenty) pro odchýlení od technické trajektorie předložené Komisí.</w:t>
            </w:r>
          </w:p>
        </w:tc>
        <w:tc>
          <w:tcPr>
            <w:tcW w:w="4876" w:type="dxa"/>
            <w:hideMark/>
          </w:tcPr>
          <w:p w:rsidR="00AF0131" w:rsidRPr="00407A0E" w:rsidRDefault="00407A0E" w:rsidP="00C33FBD">
            <w:pPr>
              <w:pStyle w:val="Normal6"/>
              <w:rPr>
                <w:szCs w:val="24"/>
              </w:rPr>
            </w:pPr>
            <w:r w:rsidRPr="00407A0E">
              <w:t>h)</w:t>
            </w:r>
            <w:r w:rsidRPr="00407A0E">
              <w:tab/>
              <w:t>Případně pa</w:t>
            </w:r>
            <w:r w:rsidRPr="00407A0E">
              <w:t xml:space="preserve">třičně podložené důvody (s příslušnými řádnými a ověřitelnými ekonomickými </w:t>
            </w:r>
            <w:r w:rsidRPr="00407A0E">
              <w:rPr>
                <w:b/>
                <w:i/>
              </w:rPr>
              <w:t>a sociálními</w:t>
            </w:r>
            <w:r w:rsidRPr="00407A0E">
              <w:t xml:space="preserve"> argumenty) pro odchýlení od technické trajektorie předložené Komisí.</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32</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bod 1 – písm. j</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j)</w:t>
            </w:r>
            <w:r w:rsidRPr="00407A0E">
              <w:tab/>
              <w:t>Celkové výdaje na veřejné investice, jakož i reformy a výdaje na veřejné investice zaměřené na společné priority Unie uvedené v příloze VI.</w:t>
            </w:r>
          </w:p>
        </w:tc>
        <w:tc>
          <w:tcPr>
            <w:tcW w:w="4876" w:type="dxa"/>
            <w:hideMark/>
          </w:tcPr>
          <w:p w:rsidR="00AF0131" w:rsidRPr="00407A0E" w:rsidRDefault="00407A0E" w:rsidP="00C33FBD">
            <w:pPr>
              <w:pStyle w:val="Normal6"/>
              <w:rPr>
                <w:szCs w:val="24"/>
              </w:rPr>
            </w:pPr>
            <w:r w:rsidRPr="00407A0E">
              <w:t>j)</w:t>
            </w:r>
            <w:r w:rsidRPr="00407A0E">
              <w:tab/>
              <w:t>Celkové výdaje na v</w:t>
            </w:r>
            <w:r w:rsidRPr="00407A0E">
              <w:t xml:space="preserve">eřejné investice, jakož i reformy a výdaje na veřejné investice zaměřené na </w:t>
            </w:r>
            <w:r w:rsidRPr="00407A0E">
              <w:rPr>
                <w:b/>
                <w:i/>
              </w:rPr>
              <w:t>všechny</w:t>
            </w:r>
            <w:r w:rsidRPr="00407A0E">
              <w:t xml:space="preserve"> společné priority Unie uvedené v příloze VI.</w:t>
            </w:r>
          </w:p>
        </w:tc>
      </w:tr>
    </w:tbl>
    <w:p w:rsidR="00AF0131" w:rsidRPr="00407A0E" w:rsidRDefault="00407A0E" w:rsidP="00C56375">
      <w:pPr>
        <w:rPr>
          <w:rFonts w:eastAsiaTheme="majorEastAsia"/>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33</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k</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k)</w:t>
            </w:r>
            <w:r w:rsidRPr="00407A0E">
              <w:tab/>
              <w:t>Případně informace o konkrétním, časově vymezeném a ověřitelném souboru reformních a investičních závazků, které jsou podkladem pro prodloužení období korekce podle člán</w:t>
            </w:r>
            <w:r w:rsidRPr="00407A0E">
              <w:t xml:space="preserve">ku 13, časový plán jeho </w:t>
            </w:r>
            <w:r w:rsidRPr="00407A0E">
              <w:lastRenderedPageBreak/>
              <w:t>provádění a řádné ekonomické argumenty, že tento soubor reformních a investičních závazků splňuje kritéria podle článku 13 s přihlédnutím k posuzovacím kritériím uvedeným v příloze VII.</w:t>
            </w:r>
          </w:p>
        </w:tc>
        <w:tc>
          <w:tcPr>
            <w:tcW w:w="4876" w:type="dxa"/>
            <w:hideMark/>
          </w:tcPr>
          <w:p w:rsidR="00AF0131" w:rsidRPr="00407A0E" w:rsidRDefault="00407A0E" w:rsidP="00C33FBD">
            <w:pPr>
              <w:pStyle w:val="Normal6"/>
              <w:rPr>
                <w:szCs w:val="24"/>
              </w:rPr>
            </w:pPr>
            <w:r w:rsidRPr="00407A0E">
              <w:lastRenderedPageBreak/>
              <w:t>k)</w:t>
            </w:r>
            <w:r w:rsidRPr="00407A0E">
              <w:tab/>
            </w:r>
            <w:r w:rsidRPr="00407A0E">
              <w:t xml:space="preserve">Případně informace o konkrétním, časově vymezeném a ověřitelném souboru reformních a investičních závazků, které jsou podkladem pro prodloužení období korekce podle článku 13, časový plán jeho </w:t>
            </w:r>
            <w:r w:rsidRPr="00407A0E">
              <w:lastRenderedPageBreak/>
              <w:t xml:space="preserve">provádění a řádné ekonomické </w:t>
            </w:r>
            <w:r w:rsidRPr="00407A0E">
              <w:rPr>
                <w:b/>
                <w:i/>
              </w:rPr>
              <w:t>a sociální</w:t>
            </w:r>
            <w:r w:rsidRPr="00407A0E">
              <w:t xml:space="preserve"> argumenty, že tento sou</w:t>
            </w:r>
            <w:r w:rsidRPr="00407A0E">
              <w:t>bor reformních a investičních závazků splňuje kritéria podle článku 13 s přihlédnutím k posuzovacím kritériím uvedeným v příloze VII.</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34</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w:t>
      </w:r>
      <w:r w:rsidRPr="00407A0E">
        <w:t xml:space="preserve"> písm. l</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l)</w:t>
            </w:r>
            <w:r w:rsidRPr="00407A0E">
              <w:tab/>
            </w:r>
            <w:r w:rsidRPr="00407A0E">
              <w:t>Vyčíslení, v největší možné míře, očekávaných dopadů reforem a investic uvedených v písmenu k) na udržitelnost veřejných financí, růst a zaměstnanost, v příslušných případech v souladu se společně dohodnutými metodikami.</w:t>
            </w:r>
          </w:p>
        </w:tc>
        <w:tc>
          <w:tcPr>
            <w:tcW w:w="4876" w:type="dxa"/>
            <w:hideMark/>
          </w:tcPr>
          <w:p w:rsidR="00AF0131" w:rsidRPr="00407A0E" w:rsidRDefault="00407A0E" w:rsidP="00C33FBD">
            <w:pPr>
              <w:pStyle w:val="Normal6"/>
              <w:rPr>
                <w:szCs w:val="24"/>
              </w:rPr>
            </w:pPr>
            <w:r w:rsidRPr="00407A0E">
              <w:t>l)</w:t>
            </w:r>
            <w:r w:rsidRPr="00407A0E">
              <w:tab/>
            </w:r>
            <w:r w:rsidRPr="00407A0E">
              <w:t xml:space="preserve">Vyčíslení, v největší možné míře, očekávaných dopadů reforem a investic uvedených v písmenu k) na udržitelnost veřejných financí, </w:t>
            </w:r>
            <w:r w:rsidRPr="00407A0E">
              <w:rPr>
                <w:b/>
                <w:i/>
              </w:rPr>
              <w:t>udržitelný a inkluzivní</w:t>
            </w:r>
            <w:r w:rsidRPr="00407A0E">
              <w:t xml:space="preserve"> růst a </w:t>
            </w:r>
            <w:r w:rsidRPr="00407A0E">
              <w:rPr>
                <w:b/>
                <w:i/>
              </w:rPr>
              <w:t>konkurenceschopnost, kvalitní</w:t>
            </w:r>
            <w:r w:rsidRPr="00407A0E">
              <w:t xml:space="preserve"> zaměstnanost</w:t>
            </w:r>
            <w:r w:rsidRPr="00407A0E">
              <w:rPr>
                <w:b/>
                <w:i/>
              </w:rPr>
              <w:t>, stejně jako vzestupnou sociální konvergenci</w:t>
            </w:r>
            <w:r w:rsidRPr="00407A0E">
              <w:t>, v přís</w:t>
            </w:r>
            <w:r w:rsidRPr="00407A0E">
              <w:t>lušných případech v souladu se společně dohodnutými metodikami.</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35</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n a (nové)</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na)</w:t>
            </w:r>
            <w:r w:rsidRPr="00407A0E">
              <w:rPr>
                <w:b/>
                <w:i/>
              </w:rPr>
              <w:tab/>
              <w:t>Případně reformy a investice k nápravě zjištěných rizik ohrožujících sociální konvergenci podle rámce sociální konvergence.</w:t>
            </w:r>
          </w:p>
        </w:tc>
      </w:tr>
    </w:tbl>
    <w:p w:rsidR="00AF0131" w:rsidRPr="00407A0E" w:rsidRDefault="00407A0E" w:rsidP="00C56375">
      <w:pPr>
        <w:rPr>
          <w:rFonts w:eastAsiaTheme="majorEastAsia"/>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36</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w:t>
      </w:r>
      <w:r w:rsidRPr="00407A0E">
        <w:t>m. p</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p)</w:t>
            </w:r>
            <w:r w:rsidRPr="00407A0E">
              <w:tab/>
              <w:t xml:space="preserve">V případě členských států, které mají nízký veřejný dluh, ale vysoké implicitní závazky </w:t>
            </w:r>
            <w:r w:rsidRPr="00407A0E">
              <w:rPr>
                <w:b/>
                <w:i/>
              </w:rPr>
              <w:t>v důsledku stárnutí populace</w:t>
            </w:r>
            <w:r w:rsidRPr="00407A0E">
              <w:t xml:space="preserve">, by trajektorie vnitrostátních čistých výdajů a reformy obsažené v </w:t>
            </w:r>
            <w:r w:rsidRPr="00407A0E">
              <w:lastRenderedPageBreak/>
              <w:t>národních střednědobých fiskálně-strukturálních plánech měly náležitě zohlednit výzvy spojené s dlouhodobou udržitelností veřejných financí.</w:t>
            </w:r>
          </w:p>
        </w:tc>
        <w:tc>
          <w:tcPr>
            <w:tcW w:w="4876" w:type="dxa"/>
            <w:hideMark/>
          </w:tcPr>
          <w:p w:rsidR="00AF0131" w:rsidRPr="00407A0E" w:rsidRDefault="00407A0E" w:rsidP="00C33FBD">
            <w:pPr>
              <w:pStyle w:val="Normal6"/>
              <w:rPr>
                <w:szCs w:val="24"/>
              </w:rPr>
            </w:pPr>
            <w:r w:rsidRPr="00407A0E">
              <w:lastRenderedPageBreak/>
              <w:t>p)</w:t>
            </w:r>
            <w:r w:rsidRPr="00407A0E">
              <w:tab/>
              <w:t xml:space="preserve">V případě členských států, které mají nízký </w:t>
            </w:r>
            <w:r w:rsidRPr="00407A0E">
              <w:t xml:space="preserve">veřejný dluh, ale vysoké implicitní závazky, by trajektorie vnitrostátních čistých výdajů a reformy obsažené v národních střednědobých </w:t>
            </w:r>
            <w:r w:rsidRPr="00407A0E">
              <w:lastRenderedPageBreak/>
              <w:t>fiskálně-strukturálních plánech měly náležitě zohlednit výzvy spojené s dlouhodobou udržitelností veřejných financí</w:t>
            </w:r>
            <w:r w:rsidRPr="00407A0E">
              <w:rPr>
                <w:b/>
                <w:i/>
              </w:rPr>
              <w:t>, stej</w:t>
            </w:r>
            <w:r w:rsidRPr="00407A0E">
              <w:rPr>
                <w:b/>
                <w:i/>
              </w:rPr>
              <w:t>ně jako rizika ohrožující sociální konvergenci vyplývající s posledního sledování</w:t>
            </w:r>
            <w:r w:rsidRPr="00407A0E">
              <w:t>.</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37</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 – odst. 1 – písm. q</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q)</w:t>
            </w:r>
            <w:r w:rsidRPr="00407A0E">
              <w:tab/>
              <w:t>Informace o konzultacích se sociálními partnery, organizacemi občanské společnosti a dalšími příslušnými zúčastněnými stranami v souvislosti s přípravou plánu.</w:t>
            </w:r>
          </w:p>
        </w:tc>
        <w:tc>
          <w:tcPr>
            <w:tcW w:w="4876" w:type="dxa"/>
            <w:hideMark/>
          </w:tcPr>
          <w:p w:rsidR="00AF0131" w:rsidRPr="00407A0E" w:rsidRDefault="00407A0E" w:rsidP="00C33FBD">
            <w:pPr>
              <w:pStyle w:val="Normal6"/>
              <w:rPr>
                <w:szCs w:val="24"/>
              </w:rPr>
            </w:pPr>
            <w:r w:rsidRPr="00407A0E">
              <w:t>q)</w:t>
            </w:r>
            <w:r w:rsidRPr="00407A0E">
              <w:tab/>
              <w:t xml:space="preserve">Informace o </w:t>
            </w:r>
            <w:r w:rsidRPr="00407A0E">
              <w:rPr>
                <w:b/>
                <w:i/>
              </w:rPr>
              <w:t>účinných</w:t>
            </w:r>
            <w:r w:rsidRPr="00407A0E">
              <w:t xml:space="preserve"> konzultacích se sociálními partnery, organizacemi </w:t>
            </w:r>
            <w:r w:rsidRPr="00407A0E">
              <w:t>občanské společnosti a dalšími příslušnými zúčastněnými stranami v souvislosti s přípravou plánu.</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38</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III – odst. 1 – písm. b</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b)</w:t>
            </w:r>
            <w:r w:rsidRPr="00407A0E">
              <w:tab/>
              <w:t>Srovnání projekcí hlavních ekonomických proměnných předložených v národním střednědobém fiskálně-strukturálním plánu od počátku jeho platnosti s údaji o reálných výsledných hodnotách těchto proměnných, jakož i dů</w:t>
            </w:r>
            <w:r w:rsidRPr="00407A0E">
              <w:t>sledky pro dodržení dráhy čistých výdajů stanovené Radou a důsledky pro předpokládaný vývoj poměru veřejného dluhu uvedený v tomto plánu.</w:t>
            </w:r>
          </w:p>
        </w:tc>
        <w:tc>
          <w:tcPr>
            <w:tcW w:w="4876" w:type="dxa"/>
            <w:hideMark/>
          </w:tcPr>
          <w:p w:rsidR="00AF0131" w:rsidRPr="00407A0E" w:rsidRDefault="00407A0E" w:rsidP="00C33FBD">
            <w:pPr>
              <w:pStyle w:val="Normal6"/>
              <w:rPr>
                <w:szCs w:val="24"/>
              </w:rPr>
            </w:pPr>
            <w:r w:rsidRPr="00407A0E">
              <w:t>b)</w:t>
            </w:r>
            <w:r w:rsidRPr="00407A0E">
              <w:tab/>
              <w:t xml:space="preserve">Srovnání projekcí hlavních ekonomických </w:t>
            </w:r>
            <w:r w:rsidRPr="00407A0E">
              <w:rPr>
                <w:b/>
                <w:i/>
              </w:rPr>
              <w:t>a sociálních</w:t>
            </w:r>
            <w:r w:rsidRPr="00407A0E">
              <w:t xml:space="preserve"> proměnných předložených v národním střednědobém fiskálně-struk</w:t>
            </w:r>
            <w:r w:rsidRPr="00407A0E">
              <w:t>turálním plánu od počátku jeho platnosti s údaji o reálných výsledných hodnotách těchto proměnných, jakož i důsledky pro dodržení dráhy čistých výdajů stanovené Radou a důsledky pro předpokládaný vývoj poměru veřejného dluhu uvedený v tomto plánu</w:t>
            </w:r>
            <w:r w:rsidRPr="00407A0E">
              <w:rPr>
                <w:b/>
                <w:i/>
              </w:rPr>
              <w:t>, stejně j</w:t>
            </w:r>
            <w:r w:rsidRPr="00407A0E">
              <w:rPr>
                <w:b/>
                <w:i/>
              </w:rPr>
              <w:t>ako dosahování vnitrostátních cílů souvisejících s hlavními cíli evropského pilíře sociálních práv</w:t>
            </w:r>
            <w:r w:rsidRPr="00407A0E">
              <w:t>.</w:t>
            </w:r>
          </w:p>
        </w:tc>
      </w:tr>
    </w:tbl>
    <w:p w:rsidR="00AF0131" w:rsidRPr="00407A0E" w:rsidRDefault="00407A0E" w:rsidP="00AF0131">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39</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III – odst. 1 – písm. h</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h)</w:t>
            </w:r>
            <w:r w:rsidRPr="00407A0E">
              <w:tab/>
              <w:t>Hlavní předpoklady o očekávaném hospodářském vývoji a hlavních ekonomických proměnných pro následující léta období korekce, včetně poměru veřejného dluhu.</w:t>
            </w:r>
          </w:p>
        </w:tc>
        <w:tc>
          <w:tcPr>
            <w:tcW w:w="4876" w:type="dxa"/>
            <w:hideMark/>
          </w:tcPr>
          <w:p w:rsidR="00AF0131" w:rsidRPr="00407A0E" w:rsidRDefault="00407A0E" w:rsidP="00C33FBD">
            <w:pPr>
              <w:pStyle w:val="Normal6"/>
              <w:rPr>
                <w:szCs w:val="24"/>
              </w:rPr>
            </w:pPr>
            <w:r w:rsidRPr="00407A0E">
              <w:t>h)</w:t>
            </w:r>
            <w:r w:rsidRPr="00407A0E">
              <w:tab/>
              <w:t xml:space="preserve">Hlavní předpoklady o očekávaném hospodářském </w:t>
            </w:r>
            <w:r w:rsidRPr="00407A0E">
              <w:rPr>
                <w:b/>
                <w:i/>
              </w:rPr>
              <w:t>a sociáln</w:t>
            </w:r>
            <w:r w:rsidRPr="00407A0E">
              <w:rPr>
                <w:b/>
                <w:i/>
              </w:rPr>
              <w:t>í</w:t>
            </w:r>
            <w:r w:rsidRPr="00407A0E">
              <w:t xml:space="preserve">m vývoji a hlavních ekonomických </w:t>
            </w:r>
            <w:r w:rsidRPr="00407A0E">
              <w:rPr>
                <w:b/>
                <w:i/>
              </w:rPr>
              <w:t>a sociálních</w:t>
            </w:r>
            <w:r w:rsidRPr="00407A0E">
              <w:t xml:space="preserve"> proměnných pro následující léta období korekce, včetně poměru veřejného dluhu.</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40</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III – odst. 1 – písm. l</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l)</w:t>
            </w:r>
            <w:r w:rsidRPr="00407A0E">
              <w:tab/>
              <w:t xml:space="preserve">Analýza vývoje makroekonomické nerovnováhy zjištěné v rámci postupu při makroekonomické nerovnováze a v příslušných případech analýza dopadu na tuto nerovnováhu, který </w:t>
            </w:r>
            <w:r w:rsidRPr="00407A0E">
              <w:t>má provádění příslušných reforem a investic uvedených v národním střednědobém fiskálně-strukturálním plánu v souladu s přílohou II písm. n).</w:t>
            </w:r>
          </w:p>
        </w:tc>
        <w:tc>
          <w:tcPr>
            <w:tcW w:w="4876" w:type="dxa"/>
            <w:hideMark/>
          </w:tcPr>
          <w:p w:rsidR="00AF0131" w:rsidRPr="00407A0E" w:rsidRDefault="00407A0E" w:rsidP="00C33FBD">
            <w:pPr>
              <w:pStyle w:val="Normal6"/>
              <w:rPr>
                <w:szCs w:val="24"/>
              </w:rPr>
            </w:pPr>
            <w:r w:rsidRPr="00407A0E">
              <w:t>l)</w:t>
            </w:r>
            <w:r w:rsidRPr="00407A0E">
              <w:tab/>
              <w:t>Analýza vývoje makroekonomické nerovnováhy zjištěné v rámci postupu při makroekonomické nerovnováze</w:t>
            </w:r>
            <w:r w:rsidRPr="00407A0E">
              <w:rPr>
                <w:b/>
                <w:i/>
              </w:rPr>
              <w:t>, stejně jako</w:t>
            </w:r>
            <w:r w:rsidRPr="00407A0E">
              <w:rPr>
                <w:b/>
                <w:i/>
              </w:rPr>
              <w:t xml:space="preserve"> rizik ohrožujících sociální konvergenci zjištěných podle rámce sociální konvergence</w:t>
            </w:r>
            <w:r w:rsidRPr="00407A0E">
              <w:t>, a v příslušných případech analýza dopadu na tuto nerovnováhu, který má provádění příslušných reforem a investic uvedených v národním střednědobém fiskálně-strukturálním p</w:t>
            </w:r>
            <w:r w:rsidRPr="00407A0E">
              <w:t>lánu v souladu s přílohou II písm. n)</w:t>
            </w:r>
            <w:r w:rsidRPr="00407A0E">
              <w:rPr>
                <w:b/>
                <w:i/>
              </w:rPr>
              <w:t>a o)</w:t>
            </w:r>
            <w:r w:rsidRPr="00407A0E">
              <w:t>.</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41</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III – odst. 1 – písm. n</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n)</w:t>
            </w:r>
            <w:r w:rsidRPr="00407A0E">
              <w:tab/>
            </w:r>
            <w:r w:rsidRPr="00407A0E">
              <w:t>Informace o vývoji na trhu práce a v oblasti dovedností a sociální politiky a o provádění přijatých politických opatření, která podporují vzestupnou sociální konvergenci mezi členskými státy směrem k lepším pracovním a životním podmínkám v souladu se zásad</w:t>
            </w:r>
            <w:r w:rsidRPr="00407A0E">
              <w:t xml:space="preserve">ami evropského pilíře sociálních práv a hlavními směry politik zaměstnanosti podle článku 148 Smlouvy o fungování EU. Zahrnuje to očekávaný dopad opatření ve vztahu k pokroku při plnění vnitrostátních cílů v oblasti </w:t>
            </w:r>
            <w:r w:rsidRPr="00407A0E">
              <w:lastRenderedPageBreak/>
              <w:t>zaměstnanosti, dovedností a snižování ch</w:t>
            </w:r>
            <w:r w:rsidRPr="00407A0E">
              <w:t>udoby do roku 2030.</w:t>
            </w:r>
          </w:p>
        </w:tc>
        <w:tc>
          <w:tcPr>
            <w:tcW w:w="4876" w:type="dxa"/>
            <w:hideMark/>
          </w:tcPr>
          <w:p w:rsidR="00AF0131" w:rsidRPr="00407A0E" w:rsidRDefault="00407A0E" w:rsidP="00C33FBD">
            <w:pPr>
              <w:pStyle w:val="Normal6"/>
              <w:rPr>
                <w:szCs w:val="24"/>
              </w:rPr>
            </w:pPr>
            <w:r w:rsidRPr="00407A0E">
              <w:lastRenderedPageBreak/>
              <w:t>n)</w:t>
            </w:r>
            <w:r w:rsidRPr="00407A0E">
              <w:tab/>
            </w:r>
            <w:r w:rsidRPr="00407A0E">
              <w:t>Informace o vývoji na trhu práce a v oblasti dovedností a sociální politiky a o provádění přijatých politických opatření, která podporují vzestupnou sociální konvergenci mezi členskými státy směrem k lepším pracovním a životním podmínkám v souladu se zásad</w:t>
            </w:r>
            <w:r w:rsidRPr="00407A0E">
              <w:t xml:space="preserve">ami evropského pilíře sociálních práv a hlavními směry politik zaměstnanosti podle článku 148 Smlouvy o fungování EU </w:t>
            </w:r>
            <w:r w:rsidRPr="00407A0E">
              <w:rPr>
                <w:b/>
                <w:i/>
              </w:rPr>
              <w:t>a rámce sociální konvergence</w:t>
            </w:r>
            <w:r w:rsidRPr="00407A0E">
              <w:t xml:space="preserve">. </w:t>
            </w:r>
            <w:r w:rsidRPr="00407A0E">
              <w:t xml:space="preserve">Zahrnuje to očekávaný dopad opatření ve vztahu k pokroku při </w:t>
            </w:r>
            <w:r w:rsidRPr="00407A0E">
              <w:lastRenderedPageBreak/>
              <w:t xml:space="preserve">plnění vnitrostátních cílů v oblasti zaměstnanosti, dovedností a snižování chudoby do roku 2030 </w:t>
            </w:r>
            <w:r w:rsidRPr="00407A0E">
              <w:rPr>
                <w:b/>
                <w:i/>
              </w:rPr>
              <w:t>a případně očekávaný dopad opatření k nápravě zjištěných rizik ohrožujících sociální konvergenci po</w:t>
            </w:r>
            <w:r w:rsidRPr="00407A0E">
              <w:rPr>
                <w:b/>
                <w:i/>
              </w:rPr>
              <w:t>dle rámce sociální konvergence</w:t>
            </w:r>
            <w:r w:rsidRPr="00407A0E">
              <w:t>.</w:t>
            </w:r>
          </w:p>
        </w:tc>
      </w:tr>
    </w:tbl>
    <w:p w:rsidR="00AF0131" w:rsidRPr="00407A0E" w:rsidRDefault="00407A0E" w:rsidP="00AF0131">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42</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III – odst. 1 – písm. o a (nové)</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oa)</w:t>
            </w:r>
            <w:r w:rsidRPr="00407A0E">
              <w:tab/>
            </w:r>
            <w:r w:rsidRPr="00407A0E">
              <w:rPr>
                <w:b/>
                <w:i/>
              </w:rPr>
              <w:t>Informace o konzultacích se sociálními partnery, organizacemi občanské společnosti a dalšími příslušnými zúčastněnými stranami v souvislosti s přípravou zprávy.</w:t>
            </w:r>
          </w:p>
        </w:tc>
      </w:tr>
    </w:tbl>
    <w:p w:rsidR="00AF0131" w:rsidRPr="00407A0E" w:rsidRDefault="00407A0E" w:rsidP="00C56375">
      <w:pPr>
        <w:rPr>
          <w:rStyle w:val="HideTWBExt"/>
        </w:rPr>
      </w:pPr>
      <w:r w:rsidRPr="00407A0E">
        <w:rPr>
          <w:rStyle w:val="HideTWBExt"/>
        </w:rPr>
        <w:t>&lt;/Amend&gt;</w:t>
      </w:r>
    </w:p>
    <w:p w:rsidR="00AF0131" w:rsidRPr="00407A0E" w:rsidRDefault="00407A0E" w:rsidP="00C56375">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43</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w:t>
      </w:r>
      <w:r w:rsidRPr="00407A0E">
        <w:rPr>
          <w:rStyle w:val="HideTWBExt"/>
          <w:b w:val="0"/>
          <w:szCs w:val="24"/>
        </w:rPr>
        <w:t>icle&gt;</w:t>
      </w:r>
      <w:r w:rsidRPr="00407A0E">
        <w:t>Příloha VII – část 2 – odst. 2 – bod 2.1 – návětí</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2.1</w:t>
            </w:r>
            <w:r w:rsidRPr="00407A0E">
              <w:tab/>
              <w:t>Soubor reformních a investičních závazků podporuje růst</w:t>
            </w:r>
          </w:p>
        </w:tc>
        <w:tc>
          <w:tcPr>
            <w:tcW w:w="4876" w:type="dxa"/>
            <w:hideMark/>
          </w:tcPr>
          <w:p w:rsidR="00AF0131" w:rsidRPr="00407A0E" w:rsidRDefault="00407A0E" w:rsidP="00C33FBD">
            <w:pPr>
              <w:pStyle w:val="Normal6"/>
              <w:rPr>
                <w:szCs w:val="24"/>
              </w:rPr>
            </w:pPr>
            <w:r w:rsidRPr="00407A0E">
              <w:t>2.1</w:t>
            </w:r>
            <w:r w:rsidRPr="00407A0E">
              <w:tab/>
              <w:t xml:space="preserve">Soubor reformních a investičních závazků podporuje </w:t>
            </w:r>
            <w:r w:rsidRPr="00407A0E">
              <w:rPr>
                <w:b/>
                <w:i/>
              </w:rPr>
              <w:t>udržitelný</w:t>
            </w:r>
            <w:r w:rsidRPr="00407A0E">
              <w:t xml:space="preserve"> růst</w:t>
            </w:r>
            <w:r w:rsidRPr="00407A0E">
              <w:rPr>
                <w:b/>
                <w:i/>
              </w:rPr>
              <w:t>.</w:t>
            </w:r>
            <w:r w:rsidRPr="00407A0E">
              <w:t xml:space="preserve"> </w:t>
            </w:r>
            <w:r w:rsidRPr="00407A0E">
              <w:rPr>
                <w:b/>
                <w:i/>
              </w:rPr>
              <w:t>Očekává se, že soubor reformních a investičních závazků přinese dostatečný pokrok při dosahování vnitrostátních cílů spojených s hlavními cíli evropského pilíře sociálních práv a jejich hlavními a sekundárními ukazateli</w:t>
            </w:r>
          </w:p>
        </w:tc>
      </w:tr>
    </w:tbl>
    <w:p w:rsidR="00AF0131" w:rsidRPr="00407A0E" w:rsidRDefault="00407A0E" w:rsidP="00C56375">
      <w:pPr>
        <w:rPr>
          <w:rStyle w:val="HideTWBExt"/>
        </w:rPr>
      </w:pPr>
      <w:r w:rsidRPr="00407A0E">
        <w:rPr>
          <w:rStyle w:val="HideTWBExt"/>
        </w:rPr>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44</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VII – bod 2 – odst. 2 – bod 2.2 a (nový)</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tcPr>
          <w:p w:rsidR="00AF0131" w:rsidRPr="00407A0E" w:rsidRDefault="00AF0131" w:rsidP="00C33FBD">
            <w:pPr>
              <w:pStyle w:val="Normal6"/>
            </w:pPr>
          </w:p>
        </w:tc>
        <w:tc>
          <w:tcPr>
            <w:tcW w:w="4876" w:type="dxa"/>
            <w:hideMark/>
          </w:tcPr>
          <w:p w:rsidR="00AF0131" w:rsidRPr="00407A0E" w:rsidRDefault="00407A0E" w:rsidP="00C33FBD">
            <w:pPr>
              <w:pStyle w:val="Normal6"/>
              <w:rPr>
                <w:szCs w:val="24"/>
              </w:rPr>
            </w:pPr>
            <w:r w:rsidRPr="00407A0E">
              <w:rPr>
                <w:b/>
                <w:i/>
              </w:rPr>
              <w:t>2.2a</w:t>
            </w:r>
            <w:r w:rsidRPr="00407A0E">
              <w:rPr>
                <w:b/>
                <w:i/>
              </w:rPr>
              <w:tab/>
              <w:t>Soubor reformních a investičních závazků podporuje vzestupnou sociální konvergenci</w:t>
            </w:r>
          </w:p>
        </w:tc>
      </w:tr>
    </w:tbl>
    <w:p w:rsidR="00AF0131" w:rsidRPr="00407A0E" w:rsidRDefault="00407A0E" w:rsidP="00C56375">
      <w:pPr>
        <w:rPr>
          <w:rStyle w:val="HideTWBExt"/>
        </w:rPr>
      </w:pPr>
      <w:r w:rsidRPr="00407A0E">
        <w:rPr>
          <w:rStyle w:val="HideTWBExt"/>
        </w:rPr>
        <w:lastRenderedPageBreak/>
        <w:t>&lt;/Amend&gt;</w:t>
      </w: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45</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VII – část 2 – odst. 2 – bod 2.4 – návětí</w:t>
      </w:r>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2.4</w:t>
            </w:r>
            <w:r w:rsidRPr="00407A0E">
              <w:tab/>
            </w:r>
            <w:r w:rsidRPr="00407A0E">
              <w:t>Soubor reformních a investičních závazků v souhrnu reaguje na příslušná doporučení pro danou zemi, včetně případných doporučení vydaných v rámci postupu při makroekonomické nerovnováze</w:t>
            </w:r>
          </w:p>
        </w:tc>
        <w:tc>
          <w:tcPr>
            <w:tcW w:w="4876" w:type="dxa"/>
            <w:hideMark/>
          </w:tcPr>
          <w:p w:rsidR="00AF0131" w:rsidRPr="00407A0E" w:rsidRDefault="00407A0E" w:rsidP="00C33FBD">
            <w:pPr>
              <w:pStyle w:val="Normal6"/>
              <w:rPr>
                <w:szCs w:val="24"/>
              </w:rPr>
            </w:pPr>
            <w:r w:rsidRPr="00407A0E">
              <w:t>2.4</w:t>
            </w:r>
            <w:r w:rsidRPr="00407A0E">
              <w:tab/>
              <w:t>Soubor reformních a investičních závazků v souhrnu reaguje na přísl</w:t>
            </w:r>
            <w:r w:rsidRPr="00407A0E">
              <w:t xml:space="preserve">ušná doporučení pro danou zemi </w:t>
            </w:r>
            <w:r w:rsidRPr="00407A0E">
              <w:rPr>
                <w:b/>
                <w:i/>
              </w:rPr>
              <w:t>podle čl. 121 odst. 4 a čl. 148 odst. 4 Smlouvy o fungování EU</w:t>
            </w:r>
            <w:r w:rsidRPr="00407A0E">
              <w:t>, včetně případných doporučení vydaných v rámci postupu při makroekonomické nerovnováze</w:t>
            </w:r>
          </w:p>
        </w:tc>
      </w:tr>
    </w:tbl>
    <w:p w:rsidR="00AF0131" w:rsidRPr="00407A0E" w:rsidRDefault="00407A0E" w:rsidP="00C56375">
      <w:pPr>
        <w:rPr>
          <w:rStyle w:val="HideTWBExt"/>
        </w:rPr>
      </w:pPr>
      <w:r w:rsidRPr="00407A0E">
        <w:rPr>
          <w:rStyle w:val="HideTWBExt"/>
        </w:rPr>
        <w:t>&lt;/Amend&gt;</w:t>
      </w:r>
    </w:p>
    <w:p w:rsidR="00AF0131" w:rsidRPr="00407A0E" w:rsidRDefault="00AF0131" w:rsidP="00AF0131">
      <w:pPr>
        <w:rPr>
          <w:rStyle w:val="HideTWBExt"/>
        </w:rPr>
      </w:pPr>
    </w:p>
    <w:p w:rsidR="00AF0131" w:rsidRPr="00407A0E" w:rsidRDefault="00407A0E" w:rsidP="00AF0131">
      <w:pPr>
        <w:pStyle w:val="AmNumberTabs"/>
      </w:pPr>
      <w:r w:rsidRPr="00407A0E">
        <w:rPr>
          <w:rStyle w:val="HideTWBExt"/>
          <w:b w:val="0"/>
          <w:szCs w:val="24"/>
        </w:rPr>
        <w:t>&lt;Amend&gt;</w:t>
      </w:r>
      <w:r w:rsidRPr="00407A0E">
        <w:t>Pozměňovací návrh</w:t>
      </w:r>
      <w:r w:rsidRPr="00407A0E">
        <w:tab/>
      </w:r>
      <w:r w:rsidRPr="00407A0E">
        <w:tab/>
      </w:r>
      <w:r w:rsidRPr="00407A0E">
        <w:rPr>
          <w:rStyle w:val="HideTWBExt"/>
          <w:b w:val="0"/>
          <w:szCs w:val="24"/>
        </w:rPr>
        <w:t>&lt;NumAm&gt;</w:t>
      </w:r>
      <w:r w:rsidRPr="00407A0E">
        <w:t>46</w:t>
      </w:r>
      <w:r w:rsidRPr="00407A0E">
        <w:rPr>
          <w:rStyle w:val="HideTWBExt"/>
          <w:b w:val="0"/>
          <w:szCs w:val="24"/>
        </w:rPr>
        <w:t>&lt;/NumAm&gt;</w:t>
      </w:r>
    </w:p>
    <w:p w:rsidR="00AF0131" w:rsidRPr="00407A0E" w:rsidRDefault="00AF0131" w:rsidP="00AF0131"/>
    <w:p w:rsidR="00AF0131" w:rsidRPr="00407A0E" w:rsidRDefault="00407A0E" w:rsidP="00AF0131">
      <w:pPr>
        <w:pStyle w:val="NormalBold"/>
        <w:keepNext/>
      </w:pPr>
      <w:r w:rsidRPr="00407A0E">
        <w:rPr>
          <w:rStyle w:val="HideTWBExt"/>
          <w:b w:val="0"/>
          <w:szCs w:val="24"/>
        </w:rPr>
        <w:t>&lt;DocAmend&gt;</w:t>
      </w:r>
      <w:r w:rsidRPr="00407A0E">
        <w:t>Návrh nařízení</w:t>
      </w:r>
      <w:r w:rsidRPr="00407A0E">
        <w:rPr>
          <w:rStyle w:val="HideTWBExt"/>
          <w:b w:val="0"/>
          <w:szCs w:val="24"/>
        </w:rPr>
        <w:t>&lt;/DocAmend&gt;</w:t>
      </w:r>
    </w:p>
    <w:p w:rsidR="00AF0131" w:rsidRPr="00407A0E" w:rsidRDefault="00407A0E" w:rsidP="00AF0131">
      <w:pPr>
        <w:pStyle w:val="NormalBold"/>
      </w:pPr>
      <w:r w:rsidRPr="00407A0E">
        <w:rPr>
          <w:rStyle w:val="HideTWBExt"/>
          <w:b w:val="0"/>
          <w:szCs w:val="24"/>
        </w:rPr>
        <w:t>&lt;Article&gt;</w:t>
      </w:r>
      <w:r w:rsidRPr="00407A0E">
        <w:t>Příloha VII – bod 2 – odst. 2 – bod 2.4 (nový)</w:t>
      </w:r>
      <w:r>
        <w:t xml:space="preserve"> – odrážka 1</w:t>
      </w:r>
      <w:bookmarkStart w:id="1" w:name="_GoBack"/>
      <w:bookmarkEnd w:id="1"/>
      <w:r w:rsidRPr="00407A0E">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07A0E" w:rsidRPr="00407A0E" w:rsidTr="00C33FBD">
        <w:trPr>
          <w:jc w:val="center"/>
        </w:trPr>
        <w:tc>
          <w:tcPr>
            <w:tcW w:w="9752" w:type="dxa"/>
            <w:gridSpan w:val="2"/>
          </w:tcPr>
          <w:p w:rsidR="00AF0131" w:rsidRPr="00407A0E" w:rsidRDefault="00AF0131" w:rsidP="00C33FBD">
            <w:pPr>
              <w:keepNext/>
            </w:pPr>
          </w:p>
        </w:tc>
      </w:tr>
      <w:tr w:rsidR="00407A0E" w:rsidRPr="00407A0E" w:rsidTr="00C33FBD">
        <w:trPr>
          <w:jc w:val="center"/>
        </w:trPr>
        <w:tc>
          <w:tcPr>
            <w:tcW w:w="4876" w:type="dxa"/>
            <w:hideMark/>
          </w:tcPr>
          <w:p w:rsidR="00AF0131" w:rsidRPr="00407A0E" w:rsidRDefault="00407A0E" w:rsidP="00C33FBD">
            <w:pPr>
              <w:pStyle w:val="ColumnHeading"/>
              <w:keepNext/>
            </w:pPr>
            <w:r w:rsidRPr="00407A0E">
              <w:t>Znění navržené Komisí</w:t>
            </w:r>
          </w:p>
        </w:tc>
        <w:tc>
          <w:tcPr>
            <w:tcW w:w="4876" w:type="dxa"/>
            <w:hideMark/>
          </w:tcPr>
          <w:p w:rsidR="00AF0131" w:rsidRPr="00407A0E" w:rsidRDefault="00407A0E" w:rsidP="00C33FBD">
            <w:pPr>
              <w:pStyle w:val="ColumnHeading"/>
              <w:keepNext/>
            </w:pPr>
            <w:r w:rsidRPr="00407A0E">
              <w:t>Pozměňovací návrh</w:t>
            </w:r>
          </w:p>
        </w:tc>
      </w:tr>
      <w:tr w:rsidR="00407A0E" w:rsidRPr="00407A0E" w:rsidTr="00C33FBD">
        <w:trPr>
          <w:jc w:val="center"/>
        </w:trPr>
        <w:tc>
          <w:tcPr>
            <w:tcW w:w="4876" w:type="dxa"/>
            <w:hideMark/>
          </w:tcPr>
          <w:p w:rsidR="00AF0131" w:rsidRPr="00407A0E" w:rsidRDefault="00407A0E" w:rsidP="00C33FBD">
            <w:pPr>
              <w:pStyle w:val="Normal6"/>
            </w:pPr>
            <w:r w:rsidRPr="00407A0E">
              <w:t>–</w:t>
            </w:r>
            <w:r w:rsidRPr="00407A0E">
              <w:tab/>
              <w:t>Očekává se, že soubor příslušných reformních a investičních závazků, které jsou podkladem pro prodloužení období korekc</w:t>
            </w:r>
            <w:r w:rsidRPr="00407A0E">
              <w:t xml:space="preserve">e, bude v souhrnu reagovat na výzvy uvedené v příslušných doporučeních pro danou zemi, včetně případných doporučení vydaných v rámci postupu při makroekonomické nerovnováze, s přihlédnutím k rozsahu a míře výzev, jimž daná země čelí, a případně k závazkům </w:t>
            </w:r>
            <w:r w:rsidRPr="00407A0E">
              <w:t>přijatým v rámci plánů pro oživení a odolnost.</w:t>
            </w:r>
          </w:p>
        </w:tc>
        <w:tc>
          <w:tcPr>
            <w:tcW w:w="4876" w:type="dxa"/>
            <w:hideMark/>
          </w:tcPr>
          <w:p w:rsidR="00AF0131" w:rsidRPr="00407A0E" w:rsidRDefault="00407A0E" w:rsidP="00C33FBD">
            <w:pPr>
              <w:pStyle w:val="Normal6"/>
              <w:rPr>
                <w:szCs w:val="24"/>
              </w:rPr>
            </w:pPr>
            <w:r w:rsidRPr="00407A0E">
              <w:t>–</w:t>
            </w:r>
            <w:r w:rsidRPr="00407A0E">
              <w:tab/>
              <w:t>Očekává se, že soubor příslušných reformních a investičních závazků, které jsou podkladem pro prodloužení období korekce, bude v souhrnu reagovat na výzvy uvedené v příslušných doporučeních pro danou zemi, v</w:t>
            </w:r>
            <w:r w:rsidRPr="00407A0E">
              <w:t xml:space="preserve">četně případných doporučení vydaných v rámci postupu při makroekonomické nerovnováze </w:t>
            </w:r>
            <w:r w:rsidRPr="00407A0E">
              <w:rPr>
                <w:b/>
                <w:i/>
              </w:rPr>
              <w:t>a doporučení vydaných v souladu s čl. 148 odst. 4 Smlouvy o fungování EU</w:t>
            </w:r>
            <w:r w:rsidRPr="00407A0E">
              <w:t>, s přihlédnutím k rozsahu a míře výzev, jimž daná země čelí, a případně k závazkům přijatým v rámc</w:t>
            </w:r>
            <w:r w:rsidRPr="00407A0E">
              <w:t>i plánů pro oživení a odolnost.</w:t>
            </w:r>
          </w:p>
        </w:tc>
      </w:tr>
    </w:tbl>
    <w:p w:rsidR="00AF0131" w:rsidRPr="00407A0E" w:rsidRDefault="00407A0E" w:rsidP="00AF0131">
      <w:pPr>
        <w:rPr>
          <w:rStyle w:val="HideTWBExt"/>
        </w:rPr>
      </w:pPr>
      <w:r w:rsidRPr="00407A0E">
        <w:rPr>
          <w:rStyle w:val="HideTWBExt"/>
        </w:rPr>
        <w:t>&lt;/Amend&gt;</w:t>
      </w:r>
    </w:p>
    <w:p w:rsidR="00AF0131" w:rsidRPr="00407A0E" w:rsidRDefault="00407A0E" w:rsidP="00AF0131">
      <w:pPr>
        <w:rPr>
          <w:rStyle w:val="HideTWBExt"/>
        </w:rPr>
      </w:pPr>
      <w:r w:rsidRPr="00407A0E">
        <w:rPr>
          <w:rStyle w:val="HideTWBExt"/>
        </w:rPr>
        <w:t>&lt;/RepeatBlock-Amend&gt;</w:t>
      </w:r>
    </w:p>
    <w:p w:rsidR="00AF0131" w:rsidRPr="00407A0E" w:rsidRDefault="00407A0E" w:rsidP="00AF0131">
      <w:r w:rsidRPr="00407A0E">
        <w:br w:type="page"/>
      </w:r>
    </w:p>
    <w:p w:rsidR="00AF0131" w:rsidRPr="00407A0E" w:rsidRDefault="00407A0E" w:rsidP="00AF0131">
      <w:pPr>
        <w:pStyle w:val="PageHeadingNotTOC"/>
      </w:pPr>
      <w:bookmarkStart w:id="2" w:name="ProcPageAD"/>
      <w:r w:rsidRPr="00407A0E">
        <w:lastRenderedPageBreak/>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Účinná koordinace hospodářských politik a mnohostranný rozpočtový dohled a zrušení nařízení Rady (ES) č. 1466/97</w:t>
            </w:r>
          </w:p>
        </w:tc>
      </w:tr>
      <w:tr w:rsidR="00407A0E" w:rsidRPr="00407A0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COM(2023)0240 – C9-0150/2023 – 2023/0138(COD)</w:t>
            </w: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Příslušný výbor</w:t>
            </w:r>
          </w:p>
          <w:p w:rsidR="00AF0131" w:rsidRPr="00407A0E" w:rsidRDefault="00407A0E" w:rsidP="00C33FBD">
            <w:pPr>
              <w:autoSpaceDE w:val="0"/>
              <w:autoSpaceDN w:val="0"/>
              <w:adjustRightInd w:val="0"/>
              <w:rPr>
                <w:sz w:val="20"/>
                <w:szCs w:val="20"/>
              </w:rPr>
            </w:pPr>
            <w:r w:rsidRPr="00407A0E">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ECON</w:t>
            </w:r>
          </w:p>
          <w:p w:rsidR="00AF0131" w:rsidRPr="00407A0E" w:rsidRDefault="00407A0E" w:rsidP="00C33FBD">
            <w:pPr>
              <w:autoSpaceDE w:val="0"/>
              <w:autoSpaceDN w:val="0"/>
              <w:adjustRightInd w:val="0"/>
              <w:rPr>
                <w:sz w:val="20"/>
                <w:szCs w:val="20"/>
              </w:rPr>
            </w:pPr>
            <w:r w:rsidRPr="00407A0E">
              <w:rPr>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Výbor, který vypracoval stanovisko</w:t>
            </w:r>
          </w:p>
          <w:p w:rsidR="00AF0131" w:rsidRPr="00407A0E" w:rsidRDefault="00407A0E" w:rsidP="00C33FBD">
            <w:pPr>
              <w:autoSpaceDE w:val="0"/>
              <w:autoSpaceDN w:val="0"/>
              <w:adjustRightInd w:val="0"/>
              <w:rPr>
                <w:sz w:val="20"/>
                <w:szCs w:val="20"/>
              </w:rPr>
            </w:pPr>
            <w:r w:rsidRPr="00407A0E">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EMPL</w:t>
            </w:r>
          </w:p>
          <w:p w:rsidR="00AF0131" w:rsidRPr="00407A0E" w:rsidRDefault="00407A0E" w:rsidP="00C33FBD">
            <w:pPr>
              <w:autoSpaceDE w:val="0"/>
              <w:autoSpaceDN w:val="0"/>
              <w:adjustRightInd w:val="0"/>
              <w:rPr>
                <w:sz w:val="20"/>
                <w:szCs w:val="20"/>
              </w:rPr>
            </w:pPr>
            <w:r w:rsidRPr="00407A0E">
              <w:rPr>
                <w:sz w:val="20"/>
              </w:rPr>
              <w:t>12.6.2023</w:t>
            </w:r>
          </w:p>
        </w:tc>
      </w:tr>
      <w:tr w:rsidR="00407A0E" w:rsidRPr="00407A0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Přidružené výbory – datum oznámení na zasedání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14.9.2023</w:t>
            </w: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Zpravodajka</w:t>
            </w:r>
          </w:p>
          <w:p w:rsidR="00AF0131" w:rsidRPr="00407A0E" w:rsidRDefault="00407A0E" w:rsidP="00C33FBD">
            <w:pPr>
              <w:autoSpaceDE w:val="0"/>
              <w:autoSpaceDN w:val="0"/>
              <w:adjustRightInd w:val="0"/>
              <w:rPr>
                <w:sz w:val="20"/>
                <w:szCs w:val="20"/>
              </w:rPr>
            </w:pPr>
            <w:r w:rsidRPr="00407A0E">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Gabriele Bischoff</w:t>
            </w:r>
          </w:p>
          <w:p w:rsidR="00AF0131" w:rsidRPr="00407A0E" w:rsidRDefault="00407A0E" w:rsidP="00C33FBD">
            <w:pPr>
              <w:autoSpaceDE w:val="0"/>
              <w:autoSpaceDN w:val="0"/>
              <w:adjustRightInd w:val="0"/>
              <w:rPr>
                <w:sz w:val="20"/>
                <w:szCs w:val="20"/>
              </w:rPr>
            </w:pPr>
            <w:r w:rsidRPr="00407A0E">
              <w:rPr>
                <w:sz w:val="20"/>
              </w:rPr>
              <w:t>29.6.2023</w:t>
            </w: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r>
      <w:tr w:rsidR="00407A0E" w:rsidRPr="00407A0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Datum schválení</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407A0E" w:rsidRDefault="00AF0131" w:rsidP="00C33FBD">
            <w:pPr>
              <w:autoSpaceDE w:val="0"/>
              <w:autoSpaceDN w:val="0"/>
              <w:adjustRightInd w:val="0"/>
              <w:rPr>
                <w:rFonts w:ascii="sans-serif" w:hAnsi="sans-serif" w:cs="sans-serif"/>
              </w:rPr>
            </w:pP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w:t>
            </w:r>
          </w:p>
          <w:p w:rsidR="00AF0131" w:rsidRPr="00407A0E" w:rsidRDefault="00407A0E" w:rsidP="00C33FBD">
            <w:pPr>
              <w:autoSpaceDE w:val="0"/>
              <w:autoSpaceDN w:val="0"/>
              <w:adjustRightInd w:val="0"/>
              <w:rPr>
                <w:sz w:val="20"/>
                <w:szCs w:val="20"/>
              </w:rPr>
            </w:pPr>
            <w:r w:rsidRPr="00407A0E">
              <w:rPr>
                <w:sz w:val="20"/>
              </w:rPr>
              <w:t>–:</w:t>
            </w:r>
          </w:p>
          <w:p w:rsidR="00AF0131" w:rsidRPr="00407A0E" w:rsidRDefault="00407A0E" w:rsidP="00C33FBD">
            <w:pPr>
              <w:autoSpaceDE w:val="0"/>
              <w:autoSpaceDN w:val="0"/>
              <w:adjustRightInd w:val="0"/>
              <w:rPr>
                <w:sz w:val="20"/>
                <w:szCs w:val="20"/>
              </w:rPr>
            </w:pPr>
            <w:r w:rsidRPr="00407A0E">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29</w:t>
            </w:r>
          </w:p>
          <w:p w:rsidR="00AF0131" w:rsidRPr="00407A0E" w:rsidRDefault="00407A0E" w:rsidP="00C33FBD">
            <w:pPr>
              <w:autoSpaceDE w:val="0"/>
              <w:autoSpaceDN w:val="0"/>
              <w:adjustRightInd w:val="0"/>
              <w:rPr>
                <w:sz w:val="20"/>
                <w:szCs w:val="20"/>
              </w:rPr>
            </w:pPr>
            <w:r w:rsidRPr="00407A0E">
              <w:rPr>
                <w:sz w:val="20"/>
              </w:rPr>
              <w:t>4</w:t>
            </w:r>
          </w:p>
          <w:p w:rsidR="00AF0131" w:rsidRPr="00407A0E" w:rsidRDefault="00407A0E" w:rsidP="00C33FBD">
            <w:pPr>
              <w:autoSpaceDE w:val="0"/>
              <w:autoSpaceDN w:val="0"/>
              <w:adjustRightInd w:val="0"/>
              <w:rPr>
                <w:sz w:val="20"/>
                <w:szCs w:val="20"/>
              </w:rPr>
            </w:pPr>
            <w:r w:rsidRPr="00407A0E">
              <w:rPr>
                <w:sz w:val="20"/>
              </w:rPr>
              <w:t>10</w:t>
            </w:r>
          </w:p>
        </w:tc>
      </w:tr>
      <w:tr w:rsidR="00407A0E" w:rsidRPr="00407A0E"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João Albuquerque, Marc Angel, Dominique Bilde, Gabriele Bischoff, Milan Brglez, Jordi Cañas, David Casa, Ilan De Basso, Margarita de la Pisa Carrión, Özlem Demirel, Klára Dobrev, Jarosław Duda, Estrella Durá Ferrandis, Lucia Ďuriš Nicholsonová, Loucas Four</w:t>
            </w:r>
            <w:r w:rsidRPr="00407A0E">
              <w:rPr>
                <w:sz w:val="20"/>
              </w:rPr>
              <w:t>las, Cindy Franssen, Chiara Gemma, Helmut Geuking, Elisabetta Gualmini, Alicia Homs Ginel, Agnes Jongerius, Stelios Kympouropoulos, Katrin Langensiepen, Miriam Lexmann, Elena Lizzi, Sara Matthieu, Max Orville, Kira Marie Peter-Hansen, Dragoş Pîslaru, Elżbi</w:t>
            </w:r>
            <w:r w:rsidRPr="00407A0E">
              <w:rPr>
                <w:sz w:val="20"/>
              </w:rPr>
              <w:t>eta Rafalska, Daniela Rondinelli, Pirkko Ruohonen-Lerner, Monica Semedo, Romana Tomc, Nikolaj Villumsen, Marianne Vind, Maria Walsh, Tomáš Zdechovský</w:t>
            </w:r>
          </w:p>
        </w:tc>
      </w:tr>
      <w:tr w:rsidR="00407A0E" w:rsidRPr="00407A0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Alexander Alexandrov Yordanov, Aurore Lalucq, Eugenia Rodrígue</w:t>
            </w:r>
            <w:r w:rsidRPr="00407A0E">
              <w:rPr>
                <w:sz w:val="20"/>
              </w:rPr>
              <w:t>z Palop</w:t>
            </w:r>
          </w:p>
        </w:tc>
      </w:tr>
      <w:tr w:rsidR="00407A0E" w:rsidRPr="00407A0E"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b/>
                <w:bCs/>
                <w:sz w:val="20"/>
                <w:szCs w:val="20"/>
              </w:rPr>
            </w:pPr>
            <w:r w:rsidRPr="00407A0E">
              <w:rPr>
                <w:b/>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407A0E" w:rsidRDefault="00407A0E" w:rsidP="00C33FBD">
            <w:pPr>
              <w:autoSpaceDE w:val="0"/>
              <w:autoSpaceDN w:val="0"/>
              <w:adjustRightInd w:val="0"/>
              <w:rPr>
                <w:sz w:val="20"/>
                <w:szCs w:val="20"/>
              </w:rPr>
            </w:pPr>
            <w:r w:rsidRPr="00407A0E">
              <w:rPr>
                <w:sz w:val="20"/>
              </w:rPr>
              <w:t>Sirpa Pietikäinen, Caroline Roose</w:t>
            </w:r>
          </w:p>
        </w:tc>
      </w:tr>
    </w:tbl>
    <w:p w:rsidR="00AF0131" w:rsidRPr="00407A0E" w:rsidRDefault="00AF0131" w:rsidP="00AF0131"/>
    <w:bookmarkEnd w:id="2"/>
    <w:p w:rsidR="00AF0131" w:rsidRPr="00407A0E" w:rsidRDefault="00AF0131" w:rsidP="00AF0131">
      <w:pPr>
        <w:sectPr w:rsidR="00AF0131" w:rsidRPr="00407A0E" w:rsidSect="002E5A5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407A0E" w:rsidRDefault="00407A0E" w:rsidP="00AF0131">
      <w:pPr>
        <w:pStyle w:val="PageHeadingNotTOC"/>
      </w:pPr>
      <w:bookmarkStart w:id="3" w:name="RollCallPageAD"/>
      <w:r w:rsidRPr="00407A0E">
        <w:lastRenderedPageBreak/>
        <w:t>JMENOVITÉ KONEČNÉ HLASOVÁNÍ V PŘÍSLUŠNÉM VÝBORU</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7A0E" w:rsidRPr="00407A0E" w:rsidTr="00C33FBD">
        <w:trPr>
          <w:cantSplit/>
        </w:trPr>
        <w:tc>
          <w:tcPr>
            <w:tcW w:w="1701" w:type="dxa"/>
            <w:shd w:val="pct10" w:color="000000" w:fill="FFFFFF"/>
            <w:vAlign w:val="center"/>
          </w:tcPr>
          <w:p w:rsidR="00AF0131" w:rsidRPr="00407A0E" w:rsidRDefault="00407A0E" w:rsidP="00C33FBD">
            <w:pPr>
              <w:pStyle w:val="RollCallVotes"/>
            </w:pPr>
            <w:r w:rsidRPr="00407A0E">
              <w:t>29</w:t>
            </w:r>
          </w:p>
        </w:tc>
        <w:tc>
          <w:tcPr>
            <w:tcW w:w="7371" w:type="dxa"/>
            <w:shd w:val="pct10" w:color="000000" w:fill="FFFFFF"/>
          </w:tcPr>
          <w:p w:rsidR="00AF0131" w:rsidRPr="00407A0E" w:rsidRDefault="00407A0E" w:rsidP="00C33FBD">
            <w:pPr>
              <w:pStyle w:val="RollCallSymbols14pt"/>
            </w:pPr>
            <w:r w:rsidRPr="00407A0E">
              <w:t>+</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PPE</w:t>
            </w:r>
          </w:p>
        </w:tc>
        <w:tc>
          <w:tcPr>
            <w:tcW w:w="7371" w:type="dxa"/>
            <w:shd w:val="clear" w:color="auto" w:fill="FFFFFF"/>
          </w:tcPr>
          <w:p w:rsidR="00AF0131" w:rsidRPr="00407A0E" w:rsidRDefault="00407A0E" w:rsidP="00C33FBD">
            <w:pPr>
              <w:pStyle w:val="RollCallTable"/>
            </w:pPr>
            <w:r w:rsidRPr="00407A0E">
              <w:t>David Casa, Loucas Fourlas, Cindy Franssen, Stelios Kympouropoulos, Sirpa Pietikäinen, Maria Walsh</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Renew</w:t>
            </w:r>
          </w:p>
        </w:tc>
        <w:tc>
          <w:tcPr>
            <w:tcW w:w="7371" w:type="dxa"/>
            <w:shd w:val="clear" w:color="auto" w:fill="FFFFFF"/>
          </w:tcPr>
          <w:p w:rsidR="00AF0131" w:rsidRPr="00407A0E" w:rsidRDefault="00407A0E" w:rsidP="00C33FBD">
            <w:pPr>
              <w:pStyle w:val="RollCallTable"/>
            </w:pPr>
            <w:r w:rsidRPr="00407A0E">
              <w:t>Jordi Cañas, Lucia Ďuriš Nicholsonová, Max Orville, Dragoş Pîslaru, Monica Semedo</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S&amp;D</w:t>
            </w:r>
          </w:p>
        </w:tc>
        <w:tc>
          <w:tcPr>
            <w:tcW w:w="7371" w:type="dxa"/>
            <w:shd w:val="clear" w:color="auto" w:fill="FFFFFF"/>
          </w:tcPr>
          <w:p w:rsidR="00AF0131" w:rsidRPr="00407A0E" w:rsidRDefault="00407A0E" w:rsidP="00C33FBD">
            <w:pPr>
              <w:pStyle w:val="RollCallTable"/>
            </w:pPr>
            <w:r w:rsidRPr="00407A0E">
              <w:t xml:space="preserve">João Albuquerque, Marc Angel, Gabriele Bischoff, Milan Brglez, </w:t>
            </w:r>
            <w:r w:rsidRPr="00407A0E">
              <w:t>Klára Dobrev, Estrella Durá Ferrandis, Elisabetta Gualmini, Alicia Homs Ginel, Agnes Jongerius, Aurore Lalucq, Daniela Rondinelli, Marianne Vind</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The Left</w:t>
            </w:r>
          </w:p>
        </w:tc>
        <w:tc>
          <w:tcPr>
            <w:tcW w:w="7371" w:type="dxa"/>
            <w:shd w:val="clear" w:color="auto" w:fill="FFFFFF"/>
          </w:tcPr>
          <w:p w:rsidR="00AF0131" w:rsidRPr="00407A0E" w:rsidRDefault="00407A0E" w:rsidP="00C33FBD">
            <w:pPr>
              <w:pStyle w:val="RollCallTable"/>
            </w:pPr>
            <w:r w:rsidRPr="00407A0E">
              <w:t>Eugenia Rodríguez Palop, Nikolaj Villumsen</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Verts/ALE</w:t>
            </w:r>
          </w:p>
        </w:tc>
        <w:tc>
          <w:tcPr>
            <w:tcW w:w="7371" w:type="dxa"/>
            <w:shd w:val="clear" w:color="auto" w:fill="FFFFFF"/>
          </w:tcPr>
          <w:p w:rsidR="00AF0131" w:rsidRPr="00407A0E" w:rsidRDefault="00407A0E" w:rsidP="00C33FBD">
            <w:pPr>
              <w:pStyle w:val="RollCallTable"/>
            </w:pPr>
            <w:r w:rsidRPr="00407A0E">
              <w:t xml:space="preserve">Katrin Langensiepen, Sara Matthieu, Kira Marie </w:t>
            </w:r>
            <w:r w:rsidRPr="00407A0E">
              <w:t>Peter-Hansen, Caroline Roose</w:t>
            </w:r>
          </w:p>
        </w:tc>
      </w:tr>
    </w:tbl>
    <w:p w:rsidR="00AF0131" w:rsidRPr="00407A0E"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7A0E" w:rsidRPr="00407A0E" w:rsidTr="00C33FBD">
        <w:trPr>
          <w:cantSplit/>
        </w:trPr>
        <w:tc>
          <w:tcPr>
            <w:tcW w:w="1701" w:type="dxa"/>
            <w:shd w:val="pct10" w:color="000000" w:fill="FFFFFF"/>
            <w:vAlign w:val="center"/>
          </w:tcPr>
          <w:p w:rsidR="00AF0131" w:rsidRPr="00407A0E" w:rsidRDefault="00407A0E" w:rsidP="00C33FBD">
            <w:pPr>
              <w:pStyle w:val="RollCallVotes"/>
            </w:pPr>
            <w:r w:rsidRPr="00407A0E">
              <w:t>4</w:t>
            </w:r>
          </w:p>
        </w:tc>
        <w:tc>
          <w:tcPr>
            <w:tcW w:w="7371" w:type="dxa"/>
            <w:shd w:val="pct10" w:color="000000" w:fill="FFFFFF"/>
          </w:tcPr>
          <w:p w:rsidR="00AF0131" w:rsidRPr="00407A0E" w:rsidRDefault="00407A0E" w:rsidP="00C33FBD">
            <w:pPr>
              <w:pStyle w:val="RollCallSymbols14pt"/>
            </w:pPr>
            <w:r w:rsidRPr="00407A0E">
              <w:t>-</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ECR</w:t>
            </w:r>
          </w:p>
        </w:tc>
        <w:tc>
          <w:tcPr>
            <w:tcW w:w="7371" w:type="dxa"/>
            <w:shd w:val="clear" w:color="auto" w:fill="FFFFFF"/>
          </w:tcPr>
          <w:p w:rsidR="00AF0131" w:rsidRPr="00407A0E" w:rsidRDefault="00407A0E" w:rsidP="00C33FBD">
            <w:pPr>
              <w:pStyle w:val="RollCallTable"/>
            </w:pPr>
            <w:r w:rsidRPr="00407A0E">
              <w:t>Margarita de la Pisa Carrión, Elżbieta Rafalska, Pirkko Ruohonen-Lerner</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ID</w:t>
            </w:r>
          </w:p>
        </w:tc>
        <w:tc>
          <w:tcPr>
            <w:tcW w:w="7371" w:type="dxa"/>
            <w:shd w:val="clear" w:color="auto" w:fill="FFFFFF"/>
          </w:tcPr>
          <w:p w:rsidR="00AF0131" w:rsidRPr="00407A0E" w:rsidRDefault="00407A0E" w:rsidP="00C33FBD">
            <w:pPr>
              <w:pStyle w:val="RollCallTable"/>
            </w:pPr>
            <w:r w:rsidRPr="00407A0E">
              <w:t>Dominique Bilde</w:t>
            </w:r>
          </w:p>
        </w:tc>
      </w:tr>
    </w:tbl>
    <w:p w:rsidR="00AF0131" w:rsidRPr="00407A0E"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07A0E" w:rsidRPr="00407A0E" w:rsidTr="00C33FBD">
        <w:trPr>
          <w:cantSplit/>
        </w:trPr>
        <w:tc>
          <w:tcPr>
            <w:tcW w:w="1701" w:type="dxa"/>
            <w:shd w:val="pct10" w:color="000000" w:fill="FFFFFF"/>
            <w:vAlign w:val="center"/>
          </w:tcPr>
          <w:p w:rsidR="00AF0131" w:rsidRPr="00407A0E" w:rsidRDefault="00407A0E" w:rsidP="00C33FBD">
            <w:pPr>
              <w:pStyle w:val="RollCallVotes"/>
            </w:pPr>
            <w:r w:rsidRPr="00407A0E">
              <w:t>10</w:t>
            </w:r>
          </w:p>
        </w:tc>
        <w:tc>
          <w:tcPr>
            <w:tcW w:w="7371" w:type="dxa"/>
            <w:shd w:val="pct10" w:color="000000" w:fill="FFFFFF"/>
          </w:tcPr>
          <w:p w:rsidR="00AF0131" w:rsidRPr="00407A0E" w:rsidRDefault="00407A0E" w:rsidP="00C33FBD">
            <w:pPr>
              <w:pStyle w:val="RollCallSymbols14pt"/>
            </w:pPr>
            <w:r w:rsidRPr="00407A0E">
              <w:t>0</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ECR</w:t>
            </w:r>
          </w:p>
        </w:tc>
        <w:tc>
          <w:tcPr>
            <w:tcW w:w="7371" w:type="dxa"/>
            <w:shd w:val="clear" w:color="auto" w:fill="FFFFFF"/>
          </w:tcPr>
          <w:p w:rsidR="00AF0131" w:rsidRPr="00407A0E" w:rsidRDefault="00407A0E" w:rsidP="00C33FBD">
            <w:pPr>
              <w:pStyle w:val="RollCallTable"/>
            </w:pPr>
            <w:r w:rsidRPr="00407A0E">
              <w:t>Chiara Gemma</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ID</w:t>
            </w:r>
          </w:p>
        </w:tc>
        <w:tc>
          <w:tcPr>
            <w:tcW w:w="7371" w:type="dxa"/>
            <w:shd w:val="clear" w:color="auto" w:fill="FFFFFF"/>
          </w:tcPr>
          <w:p w:rsidR="00AF0131" w:rsidRPr="00407A0E" w:rsidRDefault="00407A0E" w:rsidP="00C33FBD">
            <w:pPr>
              <w:pStyle w:val="RollCallTable"/>
            </w:pPr>
            <w:r w:rsidRPr="00407A0E">
              <w:t>Elena Lizzi</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PPE</w:t>
            </w:r>
          </w:p>
        </w:tc>
        <w:tc>
          <w:tcPr>
            <w:tcW w:w="7371" w:type="dxa"/>
            <w:shd w:val="clear" w:color="auto" w:fill="FFFFFF"/>
          </w:tcPr>
          <w:p w:rsidR="00AF0131" w:rsidRPr="00407A0E" w:rsidRDefault="00407A0E" w:rsidP="00C33FBD">
            <w:pPr>
              <w:pStyle w:val="RollCallTable"/>
            </w:pPr>
            <w:r w:rsidRPr="00407A0E">
              <w:t>Alexander Alexandrov Yordanov, Jarosław Duda, Helmut Geuking, Miriam Lexmann, Romana Tomc, Tomáš Zdechovský</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S&amp;D</w:t>
            </w:r>
          </w:p>
        </w:tc>
        <w:tc>
          <w:tcPr>
            <w:tcW w:w="7371" w:type="dxa"/>
            <w:shd w:val="clear" w:color="auto" w:fill="FFFFFF"/>
          </w:tcPr>
          <w:p w:rsidR="00AF0131" w:rsidRPr="00407A0E" w:rsidRDefault="00407A0E" w:rsidP="00C33FBD">
            <w:pPr>
              <w:pStyle w:val="RollCallTable"/>
            </w:pPr>
            <w:r w:rsidRPr="00407A0E">
              <w:t>Ilan De Basso</w:t>
            </w:r>
          </w:p>
        </w:tc>
      </w:tr>
      <w:tr w:rsidR="00407A0E" w:rsidRPr="00407A0E" w:rsidTr="00C33FBD">
        <w:trPr>
          <w:cantSplit/>
        </w:trPr>
        <w:tc>
          <w:tcPr>
            <w:tcW w:w="1701" w:type="dxa"/>
            <w:shd w:val="clear" w:color="auto" w:fill="FFFFFF"/>
          </w:tcPr>
          <w:p w:rsidR="00AF0131" w:rsidRPr="00407A0E" w:rsidRDefault="00407A0E" w:rsidP="00C33FBD">
            <w:pPr>
              <w:pStyle w:val="RollCallTable"/>
            </w:pPr>
            <w:r w:rsidRPr="00407A0E">
              <w:t>The Left</w:t>
            </w:r>
          </w:p>
        </w:tc>
        <w:tc>
          <w:tcPr>
            <w:tcW w:w="7371" w:type="dxa"/>
            <w:shd w:val="clear" w:color="auto" w:fill="FFFFFF"/>
          </w:tcPr>
          <w:p w:rsidR="00AF0131" w:rsidRPr="00407A0E" w:rsidRDefault="00407A0E" w:rsidP="00C33FBD">
            <w:pPr>
              <w:pStyle w:val="RollCallTable"/>
            </w:pPr>
            <w:r w:rsidRPr="00407A0E">
              <w:t>Özlem Demirel</w:t>
            </w:r>
          </w:p>
        </w:tc>
      </w:tr>
    </w:tbl>
    <w:p w:rsidR="00AF0131" w:rsidRPr="00407A0E" w:rsidRDefault="00AF0131" w:rsidP="00AF0131">
      <w:pPr>
        <w:pStyle w:val="Normal12a"/>
      </w:pPr>
    </w:p>
    <w:p w:rsidR="00AF0131" w:rsidRPr="00407A0E" w:rsidRDefault="00407A0E" w:rsidP="00AF0131">
      <w:r w:rsidRPr="00407A0E">
        <w:t>Význam zkratek:</w:t>
      </w:r>
    </w:p>
    <w:p w:rsidR="00AF0131" w:rsidRPr="00407A0E" w:rsidRDefault="00407A0E" w:rsidP="00AF0131">
      <w:pPr>
        <w:pStyle w:val="RollCallTabs"/>
      </w:pPr>
      <w:r w:rsidRPr="00407A0E">
        <w:t>+</w:t>
      </w:r>
      <w:r w:rsidRPr="00407A0E">
        <w:tab/>
        <w:t>:</w:t>
      </w:r>
      <w:r w:rsidRPr="00407A0E">
        <w:tab/>
        <w:t>pro</w:t>
      </w:r>
    </w:p>
    <w:p w:rsidR="00AF0131" w:rsidRPr="00407A0E" w:rsidRDefault="00407A0E" w:rsidP="00AF0131">
      <w:pPr>
        <w:pStyle w:val="RollCallTabs"/>
      </w:pPr>
      <w:r w:rsidRPr="00407A0E">
        <w:t>-</w:t>
      </w:r>
      <w:r w:rsidRPr="00407A0E">
        <w:tab/>
        <w:t>:</w:t>
      </w:r>
      <w:r w:rsidRPr="00407A0E">
        <w:tab/>
        <w:t>proti</w:t>
      </w:r>
    </w:p>
    <w:p w:rsidR="00AF0131" w:rsidRPr="00407A0E" w:rsidRDefault="00407A0E" w:rsidP="00AF0131">
      <w:pPr>
        <w:pStyle w:val="RollCallTabs"/>
      </w:pPr>
      <w:r w:rsidRPr="00407A0E">
        <w:t>0</w:t>
      </w:r>
      <w:r w:rsidRPr="00407A0E">
        <w:tab/>
        <w:t>:</w:t>
      </w:r>
      <w:r w:rsidRPr="00407A0E">
        <w:tab/>
        <w:t>zdrželi se</w:t>
      </w:r>
    </w:p>
    <w:p w:rsidR="00AF0131" w:rsidRPr="00407A0E" w:rsidRDefault="00AF0131" w:rsidP="00AF0131"/>
    <w:bookmarkEnd w:id="3"/>
    <w:p w:rsidR="00AF0131" w:rsidRPr="00407A0E" w:rsidRDefault="00AF0131" w:rsidP="00AF0131"/>
    <w:p w:rsidR="00DB56E4" w:rsidRPr="00407A0E" w:rsidRDefault="00DB56E4" w:rsidP="00AF0131">
      <w:pPr>
        <w:pStyle w:val="CoverReference"/>
      </w:pPr>
    </w:p>
    <w:sectPr w:rsidR="00DB56E4" w:rsidRPr="00407A0E"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E5A5B" w:rsidRDefault="00407A0E">
      <w:r w:rsidRPr="002E5A5B">
        <w:separator/>
      </w:r>
    </w:p>
  </w:endnote>
  <w:endnote w:type="continuationSeparator" w:id="0">
    <w:p w:rsidR="00000000" w:rsidRPr="002E5A5B" w:rsidRDefault="00407A0E">
      <w:r w:rsidRPr="002E5A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A5B" w:rsidRPr="002E5A5B" w:rsidRDefault="002E5A5B" w:rsidP="002E5A5B">
    <w:pPr>
      <w:pStyle w:val="EPFooter"/>
    </w:pPr>
    <w:r w:rsidRPr="002E5A5B">
      <w:t>PE</w:t>
    </w:r>
    <w:r w:rsidRPr="00407A0E">
      <w:rPr>
        <w:rStyle w:val="HideTWBExt"/>
      </w:rPr>
      <w:t>&lt;NoPE&gt;</w:t>
    </w:r>
    <w:r w:rsidRPr="002E5A5B">
      <w:t>752.621</w:t>
    </w:r>
    <w:r w:rsidRPr="00407A0E">
      <w:rPr>
        <w:rStyle w:val="HideTWBExt"/>
      </w:rPr>
      <w:t>&lt;/NoPE&gt;&lt;Version&gt;</w:t>
    </w:r>
    <w:r w:rsidRPr="002E5A5B">
      <w:t>v02-00</w:t>
    </w:r>
    <w:r w:rsidRPr="00407A0E">
      <w:rPr>
        <w:rStyle w:val="HideTWBExt"/>
      </w:rPr>
      <w:t>&lt;/Version&gt;</w:t>
    </w:r>
    <w:r w:rsidRPr="002E5A5B">
      <w:tab/>
    </w:r>
    <w:r w:rsidRPr="002E5A5B">
      <w:fldChar w:fldCharType="begin"/>
    </w:r>
    <w:r w:rsidRPr="002E5A5B">
      <w:instrText xml:space="preserve"> PAGE  \* MERGEFORMAT </w:instrText>
    </w:r>
    <w:r w:rsidRPr="002E5A5B">
      <w:fldChar w:fldCharType="separate"/>
    </w:r>
    <w:r w:rsidR="00407A0E">
      <w:rPr>
        <w:noProof/>
      </w:rPr>
      <w:t>24</w:t>
    </w:r>
    <w:r w:rsidRPr="002E5A5B">
      <w:fldChar w:fldCharType="end"/>
    </w:r>
    <w:r w:rsidRPr="002E5A5B">
      <w:t>/</w:t>
    </w:r>
    <w:fldSimple w:instr=" NUMPAGES  \* MERGEFORMAT ">
      <w:r w:rsidR="00407A0E">
        <w:rPr>
          <w:noProof/>
        </w:rPr>
        <w:t>26</w:t>
      </w:r>
    </w:fldSimple>
    <w:r w:rsidRPr="002E5A5B">
      <w:tab/>
    </w:r>
    <w:r w:rsidRPr="00407A0E">
      <w:rPr>
        <w:rStyle w:val="HideTWBExt"/>
      </w:rPr>
      <w:t>&lt;PathFdR&gt;</w:t>
    </w:r>
    <w:r w:rsidRPr="002E5A5B">
      <w:t>AD\1288324CS.docx</w:t>
    </w:r>
    <w:r w:rsidRPr="00407A0E">
      <w:rPr>
        <w:rStyle w:val="HideTWBExt"/>
      </w:rPr>
      <w:t>&lt;/PathFdR&gt;</w:t>
    </w:r>
  </w:p>
  <w:p w:rsidR="00AF0131" w:rsidRPr="002E5A5B" w:rsidRDefault="002E5A5B" w:rsidP="002E5A5B">
    <w:pPr>
      <w:pStyle w:val="EPFooter2"/>
    </w:pPr>
    <w:r w:rsidRPr="002E5A5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A5B" w:rsidRPr="002E5A5B" w:rsidRDefault="002E5A5B" w:rsidP="002E5A5B">
    <w:pPr>
      <w:pStyle w:val="EPFooter"/>
    </w:pPr>
    <w:r w:rsidRPr="00407A0E">
      <w:rPr>
        <w:rStyle w:val="HideTWBExt"/>
      </w:rPr>
      <w:t>&lt;PathFdR&gt;</w:t>
    </w:r>
    <w:r w:rsidRPr="002E5A5B">
      <w:t>AD\1288324CS.docx</w:t>
    </w:r>
    <w:r w:rsidRPr="00407A0E">
      <w:rPr>
        <w:rStyle w:val="HideTWBExt"/>
      </w:rPr>
      <w:t>&lt;/PathFdR&gt;</w:t>
    </w:r>
    <w:r w:rsidRPr="002E5A5B">
      <w:tab/>
    </w:r>
    <w:r w:rsidRPr="002E5A5B">
      <w:fldChar w:fldCharType="begin"/>
    </w:r>
    <w:r w:rsidRPr="002E5A5B">
      <w:instrText xml:space="preserve"> PAGE  \* MERGEFORMAT </w:instrText>
    </w:r>
    <w:r w:rsidRPr="002E5A5B">
      <w:fldChar w:fldCharType="separate"/>
    </w:r>
    <w:r w:rsidR="00407A0E">
      <w:rPr>
        <w:noProof/>
      </w:rPr>
      <w:t>25</w:t>
    </w:r>
    <w:r w:rsidRPr="002E5A5B">
      <w:fldChar w:fldCharType="end"/>
    </w:r>
    <w:r w:rsidRPr="002E5A5B">
      <w:t>/</w:t>
    </w:r>
    <w:fldSimple w:instr=" NUMPAGES  \* MERGEFORMAT ">
      <w:r w:rsidR="00407A0E">
        <w:rPr>
          <w:noProof/>
        </w:rPr>
        <w:t>26</w:t>
      </w:r>
    </w:fldSimple>
    <w:r w:rsidRPr="002E5A5B">
      <w:tab/>
      <w:t>PE</w:t>
    </w:r>
    <w:r w:rsidRPr="00407A0E">
      <w:rPr>
        <w:rStyle w:val="HideTWBExt"/>
      </w:rPr>
      <w:t>&lt;NoPE&gt;</w:t>
    </w:r>
    <w:r w:rsidRPr="002E5A5B">
      <w:t>752.621</w:t>
    </w:r>
    <w:r w:rsidRPr="00407A0E">
      <w:rPr>
        <w:rStyle w:val="HideTWBExt"/>
      </w:rPr>
      <w:t>&lt;/NoPE&gt;&lt;Version&gt;</w:t>
    </w:r>
    <w:r w:rsidRPr="002E5A5B">
      <w:t>v02-00</w:t>
    </w:r>
    <w:r w:rsidRPr="00407A0E">
      <w:rPr>
        <w:rStyle w:val="HideTWBExt"/>
      </w:rPr>
      <w:t>&lt;/Version&gt;</w:t>
    </w:r>
  </w:p>
  <w:p w:rsidR="00AF0131" w:rsidRPr="002E5A5B" w:rsidRDefault="002E5A5B" w:rsidP="002E5A5B">
    <w:pPr>
      <w:pStyle w:val="EPFooter2"/>
    </w:pPr>
    <w:r w:rsidRPr="002E5A5B">
      <w:tab/>
    </w:r>
    <w:r w:rsidRPr="002E5A5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A5B" w:rsidRPr="002E5A5B" w:rsidRDefault="002E5A5B" w:rsidP="002E5A5B">
    <w:pPr>
      <w:pStyle w:val="EPFooter"/>
    </w:pPr>
    <w:r w:rsidRPr="00407A0E">
      <w:rPr>
        <w:rStyle w:val="HideTWBExt"/>
      </w:rPr>
      <w:t>&lt;PathFdR&gt;</w:t>
    </w:r>
    <w:r w:rsidRPr="002E5A5B">
      <w:t>AD\1288324CS.docx</w:t>
    </w:r>
    <w:r w:rsidRPr="00407A0E">
      <w:rPr>
        <w:rStyle w:val="HideTWBExt"/>
      </w:rPr>
      <w:t>&lt;/PathFdR&gt;</w:t>
    </w:r>
    <w:r w:rsidRPr="002E5A5B">
      <w:tab/>
    </w:r>
    <w:r w:rsidRPr="002E5A5B">
      <w:tab/>
      <w:t>PE</w:t>
    </w:r>
    <w:r w:rsidRPr="00407A0E">
      <w:rPr>
        <w:rStyle w:val="HideTWBExt"/>
      </w:rPr>
      <w:t>&lt;NoPE&gt;</w:t>
    </w:r>
    <w:r w:rsidRPr="002E5A5B">
      <w:t>752.621</w:t>
    </w:r>
    <w:r w:rsidRPr="00407A0E">
      <w:rPr>
        <w:rStyle w:val="HideTWBExt"/>
      </w:rPr>
      <w:t>&lt;/NoPE&gt;&lt;Version&gt;</w:t>
    </w:r>
    <w:r w:rsidRPr="002E5A5B">
      <w:t>v02-00</w:t>
    </w:r>
    <w:r w:rsidRPr="00407A0E">
      <w:rPr>
        <w:rStyle w:val="HideTWBExt"/>
      </w:rPr>
      <w:t>&lt;/Version&gt;</w:t>
    </w:r>
  </w:p>
  <w:p w:rsidR="00AF0131" w:rsidRPr="002E5A5B" w:rsidRDefault="002E5A5B" w:rsidP="002E5A5B">
    <w:pPr>
      <w:pStyle w:val="EPFooter2"/>
    </w:pPr>
    <w:r w:rsidRPr="002E5A5B">
      <w:t>CS</w:t>
    </w:r>
    <w:r w:rsidRPr="002E5A5B">
      <w:tab/>
    </w:r>
    <w:r w:rsidRPr="002E5A5B">
      <w:rPr>
        <w:b w:val="0"/>
        <w:i/>
        <w:color w:val="C0C0C0"/>
        <w:sz w:val="22"/>
      </w:rPr>
      <w:t>Jednotná v rozmanitosti</w:t>
    </w:r>
    <w:r w:rsidRPr="002E5A5B">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E5A5B" w:rsidRDefault="00407A0E" w:rsidP="002258E0">
    <w:pPr>
      <w:pStyle w:val="EPFooter"/>
    </w:pPr>
    <w:r w:rsidRPr="00407A0E">
      <w:rPr>
        <w:rStyle w:val="HideTWBExt"/>
      </w:rPr>
      <w:t>&lt;PathFdR&gt;</w:t>
    </w:r>
    <w:r w:rsidRPr="002E5A5B">
      <w:t>AD\1288324EN.docx</w:t>
    </w:r>
    <w:r w:rsidRPr="00407A0E">
      <w:rPr>
        <w:rStyle w:val="HideTWBExt"/>
      </w:rPr>
      <w:t>&lt;/PathFdR&gt;</w:t>
    </w:r>
    <w:r w:rsidRPr="002E5A5B">
      <w:tab/>
    </w:r>
    <w:r w:rsidRPr="002E5A5B">
      <w:tab/>
      <w:t>PE</w:t>
    </w:r>
    <w:r w:rsidRPr="00407A0E">
      <w:rPr>
        <w:rStyle w:val="HideTWBExt"/>
      </w:rPr>
      <w:t>&lt;NoPE&gt;</w:t>
    </w:r>
    <w:r w:rsidRPr="002E5A5B">
      <w:t>752.621</w:t>
    </w:r>
    <w:r w:rsidRPr="00407A0E">
      <w:rPr>
        <w:rStyle w:val="HideTWBExt"/>
      </w:rPr>
      <w:t>&lt;/NoPE&gt;&lt;Version&gt;</w:t>
    </w:r>
    <w:r w:rsidRPr="002E5A5B">
      <w:t>v02-00</w:t>
    </w:r>
    <w:r w:rsidRPr="00407A0E">
      <w:rPr>
        <w:rStyle w:val="HideTWBExt"/>
      </w:rPr>
      <w:t>&lt;/Version&gt;</w:t>
    </w:r>
  </w:p>
  <w:p w:rsidR="001A7452" w:rsidRPr="002E5A5B" w:rsidRDefault="00407A0E" w:rsidP="002258E0">
    <w:pPr>
      <w:pStyle w:val="EPFooter2"/>
    </w:pPr>
    <w:r w:rsidRPr="002E5A5B">
      <w:t>EN</w:t>
    </w:r>
    <w:r w:rsidRPr="002E5A5B">
      <w:tab/>
    </w:r>
    <w:r w:rsidRPr="002E5A5B">
      <w:rPr>
        <w:b w:val="0"/>
        <w:i/>
        <w:color w:val="C0C0C0"/>
        <w:sz w:val="22"/>
      </w:rPr>
      <w:t>United in diversity</w:t>
    </w:r>
    <w:r w:rsidRPr="002E5A5B">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E5A5B" w:rsidRDefault="00407A0E">
      <w:r w:rsidRPr="002E5A5B">
        <w:separator/>
      </w:r>
    </w:p>
  </w:footnote>
  <w:footnote w:type="continuationSeparator" w:id="0">
    <w:p w:rsidR="00000000" w:rsidRPr="002E5A5B" w:rsidRDefault="00407A0E">
      <w:r w:rsidRPr="002E5A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A0E" w:rsidRDefault="00407A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A0E" w:rsidRDefault="00407A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A0E" w:rsidRDefault="00407A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2E5A5B"/>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07A0E"/>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2714F"/>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FC567"/>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cs-CZ"/>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22C34-7B4B-46D7-A070-473C221D1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6561</Words>
  <Characters>40535</Characters>
  <Application>Microsoft Office Word</Application>
  <DocSecurity>0</DocSecurity>
  <Lines>1579</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2023-11-15T13:39:00Z</dcterms:created>
  <dcterms:modified xsi:type="dcterms:W3CDTF">2023-11-15T13:39:00Z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AD\1288324CS.docx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endToEpades">
    <vt:lpwstr>OK - 2023/10/30 08:33</vt:lpwstr>
  </property>
  <property fmtid="{D5CDD505-2E9C-101B-9397-08002B2CF9AE}" pid="13" name="SDLStudio">
    <vt:lpwstr/>
  </property>
  <property fmtid="{D5CDD505-2E9C-101B-9397-08002B2CF9AE}" pid="14" name="Bookout">
    <vt:lpwstr>OK - 2023/11/15 14:38</vt:lpwstr>
  </property>
</Properties>
</file>