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E4784" w:rsidRPr="00B65D81" w:rsidTr="00E34A5C">
        <w:trPr>
          <w:trHeight w:hRule="exact" w:val="1418"/>
        </w:trPr>
        <w:tc>
          <w:tcPr>
            <w:tcW w:w="6804" w:type="dxa"/>
            <w:shd w:val="clear" w:color="auto" w:fill="auto"/>
            <w:vAlign w:val="center"/>
          </w:tcPr>
          <w:p w:rsidR="00BA3E40" w:rsidRPr="00B65D81" w:rsidRDefault="00EE5C2C" w:rsidP="00E34A5C">
            <w:pPr>
              <w:pStyle w:val="EPName"/>
            </w:pPr>
            <w:r w:rsidRPr="00B65D81">
              <w:t>Europa-Parlamentet</w:t>
            </w:r>
          </w:p>
          <w:p w:rsidR="00BA3E40" w:rsidRPr="00B65D81" w:rsidRDefault="00EE5C2C" w:rsidP="009B6583">
            <w:pPr>
              <w:pStyle w:val="EPTerm"/>
            </w:pPr>
            <w:r w:rsidRPr="00B65D81">
              <w:t>2019-2024</w:t>
            </w:r>
          </w:p>
        </w:tc>
        <w:tc>
          <w:tcPr>
            <w:tcW w:w="2268" w:type="dxa"/>
            <w:shd w:val="clear" w:color="auto" w:fill="auto"/>
          </w:tcPr>
          <w:p w:rsidR="00BA3E40" w:rsidRPr="00B65D81" w:rsidRDefault="00EE5C2C" w:rsidP="00E34A5C">
            <w:pPr>
              <w:pStyle w:val="EPLogo"/>
            </w:pPr>
            <w:r w:rsidRPr="00B65D8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65D81" w:rsidRDefault="00F24D40" w:rsidP="00F24D40">
      <w:pPr>
        <w:pStyle w:val="LineTop"/>
      </w:pPr>
    </w:p>
    <w:p w:rsidR="00F24D40" w:rsidRPr="00B65D81" w:rsidRDefault="00EE5C2C" w:rsidP="00F24D40">
      <w:pPr>
        <w:pStyle w:val="EPBody"/>
      </w:pPr>
      <w:r w:rsidRPr="00B65D81">
        <w:rPr>
          <w:rStyle w:val="HideTWBExt"/>
          <w:noProof w:val="0"/>
        </w:rPr>
        <w:t>&lt;</w:t>
      </w:r>
      <w:r w:rsidRPr="00B65D81">
        <w:rPr>
          <w:rStyle w:val="HideTWBExt"/>
          <w:i w:val="0"/>
          <w:noProof w:val="0"/>
        </w:rPr>
        <w:t>Commission</w:t>
      </w:r>
      <w:r w:rsidRPr="00B65D81">
        <w:rPr>
          <w:rStyle w:val="HideTWBExt"/>
          <w:noProof w:val="0"/>
        </w:rPr>
        <w:t>&gt;</w:t>
      </w:r>
      <w:r w:rsidRPr="00B65D81">
        <w:rPr>
          <w:rStyle w:val="HideTWBInt"/>
          <w:color w:val="auto"/>
        </w:rPr>
        <w:t>{EMPL}</w:t>
      </w:r>
      <w:r w:rsidRPr="00B65D81">
        <w:t>Udvalget om Beskæftigelse og Sociale Anliggender</w:t>
      </w:r>
      <w:r w:rsidRPr="00B65D81">
        <w:rPr>
          <w:rStyle w:val="HideTWBExt"/>
          <w:noProof w:val="0"/>
        </w:rPr>
        <w:t>&lt;/</w:t>
      </w:r>
      <w:r w:rsidRPr="00B65D81">
        <w:rPr>
          <w:rStyle w:val="HideTWBExt"/>
          <w:i w:val="0"/>
          <w:noProof w:val="0"/>
        </w:rPr>
        <w:t>Commission</w:t>
      </w:r>
      <w:r w:rsidRPr="00B65D81">
        <w:rPr>
          <w:rStyle w:val="HideTWBExt"/>
          <w:noProof w:val="0"/>
        </w:rPr>
        <w:t>&gt;</w:t>
      </w:r>
    </w:p>
    <w:p w:rsidR="00F24D40" w:rsidRPr="00B65D81" w:rsidRDefault="00F24D40" w:rsidP="00F24D40">
      <w:pPr>
        <w:pStyle w:val="LineBottom"/>
      </w:pPr>
    </w:p>
    <w:p w:rsidR="00DB56E4" w:rsidRPr="00B65D81" w:rsidRDefault="00EE5C2C" w:rsidP="00DB56E4">
      <w:pPr>
        <w:pStyle w:val="CoverReference"/>
      </w:pPr>
      <w:r w:rsidRPr="00B65D81">
        <w:rPr>
          <w:rStyle w:val="HideTWBExt"/>
          <w:b w:val="0"/>
          <w:noProof w:val="0"/>
        </w:rPr>
        <w:t>&lt;RefProc&gt;</w:t>
      </w:r>
      <w:r w:rsidRPr="00B65D81">
        <w:t>2023/0138</w:t>
      </w:r>
      <w:r w:rsidRPr="00B65D81">
        <w:rPr>
          <w:rStyle w:val="HideTWBExt"/>
          <w:b w:val="0"/>
          <w:noProof w:val="0"/>
        </w:rPr>
        <w:t>&lt;/RefProc&gt;&lt;RefTypeProc&gt;</w:t>
      </w:r>
      <w:r w:rsidRPr="00B65D81">
        <w:t>(COD)</w:t>
      </w:r>
      <w:r w:rsidRPr="00B65D81">
        <w:rPr>
          <w:rStyle w:val="HideTWBExt"/>
          <w:b w:val="0"/>
          <w:noProof w:val="0"/>
        </w:rPr>
        <w:t>&lt;/RefTypeProc&gt;</w:t>
      </w:r>
    </w:p>
    <w:p w:rsidR="00DB56E4" w:rsidRPr="00B65D81" w:rsidRDefault="00EE5C2C" w:rsidP="00DB56E4">
      <w:pPr>
        <w:pStyle w:val="CoverDate"/>
      </w:pPr>
      <w:r w:rsidRPr="00B65D81">
        <w:rPr>
          <w:rStyle w:val="HideTWBExt"/>
          <w:noProof w:val="0"/>
        </w:rPr>
        <w:t>&lt;Date&gt;</w:t>
      </w:r>
      <w:r w:rsidRPr="00B65D81">
        <w:rPr>
          <w:rStyle w:val="HideTWBInt"/>
          <w:color w:val="auto"/>
        </w:rPr>
        <w:t>{30/10/2023}</w:t>
      </w:r>
      <w:r w:rsidRPr="00B65D81">
        <w:t>30.10.2023</w:t>
      </w:r>
      <w:r w:rsidRPr="00B65D81">
        <w:rPr>
          <w:rStyle w:val="HideTWBExt"/>
          <w:noProof w:val="0"/>
        </w:rPr>
        <w:t>&lt;/Date&gt;</w:t>
      </w:r>
    </w:p>
    <w:p w:rsidR="00DB56E4" w:rsidRPr="00B65D81" w:rsidRDefault="00EE5C2C" w:rsidP="00DB56E4">
      <w:pPr>
        <w:pStyle w:val="CoverDocType24a"/>
      </w:pPr>
      <w:r w:rsidRPr="00B65D81">
        <w:rPr>
          <w:rStyle w:val="HideTWBExt"/>
          <w:b w:val="0"/>
          <w:noProof w:val="0"/>
        </w:rPr>
        <w:t>&lt;TitreType&gt;</w:t>
      </w:r>
      <w:r w:rsidRPr="00B65D81">
        <w:t>UDTALELSE</w:t>
      </w:r>
      <w:r w:rsidRPr="00B65D81">
        <w:rPr>
          <w:rStyle w:val="HideTWBExt"/>
          <w:b w:val="0"/>
          <w:noProof w:val="0"/>
        </w:rPr>
        <w:t>&lt;/TitreType&gt;</w:t>
      </w:r>
    </w:p>
    <w:p w:rsidR="00DB56E4" w:rsidRPr="00B65D81" w:rsidRDefault="00EE5C2C" w:rsidP="00DB56E4">
      <w:pPr>
        <w:pStyle w:val="CoverNormal24a"/>
      </w:pPr>
      <w:r w:rsidRPr="00B65D81">
        <w:rPr>
          <w:rStyle w:val="HideTWBExt"/>
          <w:noProof w:val="0"/>
        </w:rPr>
        <w:t>&lt;CommissionResp&gt;</w:t>
      </w:r>
      <w:r w:rsidRPr="00B65D81">
        <w:t>fra Udvalget om Beskæftigelse og Sociale Anliggender</w:t>
      </w:r>
      <w:r w:rsidRPr="00B65D81">
        <w:rPr>
          <w:rStyle w:val="HideTWBExt"/>
          <w:noProof w:val="0"/>
        </w:rPr>
        <w:t>&lt;/CommissionResp&gt;</w:t>
      </w:r>
    </w:p>
    <w:p w:rsidR="00DB56E4" w:rsidRPr="00B65D81" w:rsidRDefault="00EE5C2C" w:rsidP="00DB56E4">
      <w:pPr>
        <w:pStyle w:val="CoverNormal24a"/>
      </w:pPr>
      <w:r w:rsidRPr="00B65D81">
        <w:rPr>
          <w:rStyle w:val="HideTWBExt"/>
          <w:noProof w:val="0"/>
        </w:rPr>
        <w:t>&lt;CommissionInt&gt;</w:t>
      </w:r>
      <w:r w:rsidRPr="00B65D81">
        <w:t>til Økonomi- og Valutaudvalget</w:t>
      </w:r>
      <w:r w:rsidRPr="00B65D81">
        <w:rPr>
          <w:rStyle w:val="HideTWBExt"/>
          <w:noProof w:val="0"/>
        </w:rPr>
        <w:t>&lt;/CommissionInt&gt;</w:t>
      </w:r>
    </w:p>
    <w:p w:rsidR="00DB56E4" w:rsidRPr="00B65D81" w:rsidRDefault="00EE5C2C" w:rsidP="00DB56E4">
      <w:pPr>
        <w:pStyle w:val="CoverNormal"/>
      </w:pPr>
      <w:r w:rsidRPr="00B65D81">
        <w:rPr>
          <w:rStyle w:val="HideTWBExt"/>
          <w:noProof w:val="0"/>
        </w:rPr>
        <w:t>&lt;Titre&gt;</w:t>
      </w:r>
      <w:r w:rsidRPr="00B65D81">
        <w:t>om forslag til Europa-Parlamentets og Rådets forordning om effektiv samordning af de økonomiske polit</w:t>
      </w:r>
      <w:r w:rsidRPr="00B65D81">
        <w:t>ikker og multilateral budgetovervågning og om ophævelse af Rådets forordning (EF) nr. 1466/97</w:t>
      </w:r>
      <w:r w:rsidRPr="00B65D81">
        <w:rPr>
          <w:rStyle w:val="HideTWBExt"/>
          <w:noProof w:val="0"/>
        </w:rPr>
        <w:t>&lt;/Titre&gt;</w:t>
      </w:r>
    </w:p>
    <w:p w:rsidR="00DB56E4" w:rsidRPr="00B65D81" w:rsidRDefault="00EE5C2C" w:rsidP="00DB56E4">
      <w:pPr>
        <w:pStyle w:val="CoverNormal24a"/>
      </w:pPr>
      <w:r w:rsidRPr="00B65D81">
        <w:rPr>
          <w:rStyle w:val="HideTWBExt"/>
          <w:noProof w:val="0"/>
        </w:rPr>
        <w:t>&lt;DocRef&gt;</w:t>
      </w:r>
      <w:r w:rsidRPr="00B65D81">
        <w:t>(COM(2023)0240 – C9</w:t>
      </w:r>
      <w:r w:rsidRPr="00B65D81">
        <w:noBreakHyphen/>
        <w:t>0150/2023 – 2023/0138(COD))</w:t>
      </w:r>
      <w:r w:rsidRPr="00B65D81">
        <w:rPr>
          <w:rStyle w:val="HideTWBExt"/>
          <w:noProof w:val="0"/>
        </w:rPr>
        <w:t>&lt;/DocRef&gt;</w:t>
      </w:r>
    </w:p>
    <w:p w:rsidR="00921659" w:rsidRPr="00B65D81" w:rsidRDefault="00EE5C2C" w:rsidP="00FA3C27">
      <w:pPr>
        <w:pStyle w:val="CoverNormal24a"/>
      </w:pPr>
      <w:r w:rsidRPr="00B65D81">
        <w:t>Ordfører for udtalelse</w:t>
      </w:r>
      <w:r w:rsidRPr="00B65D81">
        <w:rPr>
          <w:snapToGrid w:val="0"/>
        </w:rPr>
        <w:t>(*)</w:t>
      </w:r>
      <w:r w:rsidRPr="00B65D81">
        <w:t xml:space="preserve">:: </w:t>
      </w:r>
      <w:r w:rsidRPr="00B65D81">
        <w:rPr>
          <w:rStyle w:val="HideTWBExt"/>
          <w:noProof w:val="0"/>
        </w:rPr>
        <w:t>&lt;Depute&gt;</w:t>
      </w:r>
      <w:r w:rsidRPr="00B65D81">
        <w:t>Gabriele Bischoff</w:t>
      </w:r>
      <w:r w:rsidRPr="00B65D81">
        <w:rPr>
          <w:rStyle w:val="HideTWBExt"/>
          <w:noProof w:val="0"/>
        </w:rPr>
        <w:t>&lt;/Depute&gt;</w:t>
      </w:r>
    </w:p>
    <w:p w:rsidR="00921659" w:rsidRPr="00B65D81" w:rsidRDefault="00EE5C2C" w:rsidP="00487596">
      <w:pPr>
        <w:pStyle w:val="CoverNormal"/>
      </w:pPr>
      <w:r w:rsidRPr="00B65D81">
        <w:rPr>
          <w:snapToGrid w:val="0"/>
        </w:rPr>
        <w:t xml:space="preserve">(*) Associeret udvalg - </w:t>
      </w:r>
      <w:r w:rsidRPr="00B65D81">
        <w:rPr>
          <w:snapToGrid w:val="0"/>
        </w:rPr>
        <w:t>forretningsordenens artikel 57</w:t>
      </w:r>
    </w:p>
    <w:p w:rsidR="00DB56E4" w:rsidRPr="00B65D81" w:rsidRDefault="00EE5C2C" w:rsidP="0004474F">
      <w:pPr>
        <w:tabs>
          <w:tab w:val="center" w:pos="4677"/>
        </w:tabs>
      </w:pPr>
      <w:r w:rsidRPr="00B65D81">
        <w:br w:type="page"/>
      </w:r>
      <w:r w:rsidRPr="00B65D81">
        <w:lastRenderedPageBreak/>
        <w:t>PA_Legam</w:t>
      </w:r>
    </w:p>
    <w:p w:rsidR="00DB56E4" w:rsidRPr="00B65D81" w:rsidRDefault="00EE5C2C" w:rsidP="00DB56E4">
      <w:pPr>
        <w:pStyle w:val="PageHeadingNotTOC"/>
      </w:pPr>
      <w:r w:rsidRPr="00B65D81">
        <w:br w:type="page"/>
      </w:r>
    </w:p>
    <w:p w:rsidR="00DB56E4" w:rsidRPr="00B65D81" w:rsidRDefault="00EE5C2C" w:rsidP="00DB56E4">
      <w:pPr>
        <w:pStyle w:val="AmHeadingPA"/>
      </w:pPr>
      <w:r w:rsidRPr="00B65D81">
        <w:lastRenderedPageBreak/>
        <w:t>ÆNDRINGSFORSLAG</w:t>
      </w:r>
    </w:p>
    <w:p w:rsidR="00DB56E4" w:rsidRPr="00B65D81" w:rsidRDefault="00EE5C2C" w:rsidP="001E3AC4">
      <w:pPr>
        <w:pStyle w:val="Normal12a"/>
      </w:pPr>
      <w:bookmarkStart w:id="0" w:name="IntroA"/>
      <w:r w:rsidRPr="00B65D81">
        <w:t>Udvalget om Beskæftigelse og Sociale Anliggender opfordrer Økonomi- og Valutaudvalget, som er korresponderende udvalg, til at tage hensyn til følgende:</w:t>
      </w:r>
    </w:p>
    <w:p w:rsidR="006B07BB" w:rsidRPr="00B65D81" w:rsidRDefault="00EE5C2C" w:rsidP="006B07BB">
      <w:bookmarkStart w:id="1" w:name="ProcPageAD"/>
      <w:bookmarkEnd w:id="0"/>
      <w:r w:rsidRPr="00B65D81">
        <w:rPr>
          <w:rStyle w:val="HideTWBExt"/>
          <w:b/>
          <w:noProof w:val="0"/>
        </w:rPr>
        <w:t>&lt;RepeatBlock-Amend&gt;</w:t>
      </w:r>
      <w:r w:rsidRPr="00B65D81">
        <w:rPr>
          <w:rStyle w:val="HideTWBExt"/>
          <w:noProof w:val="0"/>
        </w:rPr>
        <w:t>&lt;Amend&gt;</w:t>
      </w:r>
      <w:r w:rsidRPr="00B65D81">
        <w:t>Ændringsforslag</w:t>
      </w:r>
      <w:r w:rsidRPr="00B65D81">
        <w:tab/>
      </w:r>
      <w:r w:rsidRPr="00B65D81">
        <w:rPr>
          <w:rStyle w:val="HideTWBExt"/>
          <w:noProof w:val="0"/>
        </w:rPr>
        <w:t>&lt;NumAm&gt;</w:t>
      </w:r>
      <w:r w:rsidRPr="00B65D81">
        <w:t>1</w:t>
      </w:r>
      <w:r w:rsidRPr="00B65D81">
        <w:rPr>
          <w:rStyle w:val="HideTWBExt"/>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(2)</w:t>
            </w:r>
            <w:r w:rsidRPr="00B65D81">
              <w:tab/>
              <w:t>Stabilitets- og vækstpagten, som oprindeligt bestod af Rådets forordning (EF) nr. 1466/97</w:t>
            </w:r>
            <w:r w:rsidRPr="00B65D81">
              <w:rPr>
                <w:vertAlign w:val="superscript"/>
              </w:rPr>
              <w:t>19</w:t>
            </w:r>
            <w:r w:rsidRPr="00B65D81">
              <w:t xml:space="preserve"> og Rådets forordning (EF) nr. 1467/97</w:t>
            </w:r>
            <w:r w:rsidRPr="00B65D81">
              <w:rPr>
                <w:vertAlign w:val="superscript"/>
              </w:rPr>
              <w:t>20</w:t>
            </w:r>
            <w:r w:rsidRPr="00B65D81">
              <w:t>, begge af 7. juli 1997, samt Det Europæiske Råds resolution om stabilitets- og vækstpagten af 17. juni 199</w:t>
            </w:r>
            <w:r w:rsidRPr="00B65D81">
              <w:rPr>
                <w:vertAlign w:val="superscript"/>
              </w:rPr>
              <w:t>21</w:t>
            </w:r>
            <w:r w:rsidRPr="00B65D81">
              <w:t>7, bygger på målsætningen om sunde og holdbare offentlige finanser som et middel til at styrke forudsætning</w:t>
            </w:r>
            <w:r w:rsidRPr="00B65D81">
              <w:t>erne for prisstabilitet og for stærk bæredygtig vækst understøttet af finansiel stabilitet, og støtter dermed opfyldelsen af Unionens målsætninger om bæredygtig og inklusiv vækst og beskæftigelse.</w:t>
            </w:r>
          </w:p>
        </w:tc>
        <w:tc>
          <w:tcPr>
            <w:tcW w:w="4876" w:type="dxa"/>
            <w:hideMark/>
          </w:tcPr>
          <w:p w:rsidR="006B07BB" w:rsidRPr="00B65D81" w:rsidRDefault="00EE5C2C" w:rsidP="00420909">
            <w:pPr>
              <w:pStyle w:val="Normal6"/>
              <w:rPr>
                <w:szCs w:val="24"/>
              </w:rPr>
            </w:pPr>
            <w:r w:rsidRPr="00B65D81">
              <w:t>(2)</w:t>
            </w:r>
            <w:r w:rsidRPr="00B65D81">
              <w:tab/>
              <w:t xml:space="preserve">Stabilitets- og vækstpagten, som oprindeligt bestod af </w:t>
            </w:r>
            <w:r w:rsidRPr="00B65D81">
              <w:t>Rådets forordning (EF) nr. 1466/19</w:t>
            </w:r>
            <w:r w:rsidRPr="00B65D81">
              <w:rPr>
                <w:vertAlign w:val="superscript"/>
              </w:rPr>
              <w:t>19</w:t>
            </w:r>
            <w:r w:rsidRPr="00B65D81">
              <w:t xml:space="preserve"> og Rådets forordning (EF) nr. 1467/97</w:t>
            </w:r>
            <w:r w:rsidRPr="00B65D81">
              <w:rPr>
                <w:vertAlign w:val="superscript"/>
              </w:rPr>
              <w:t>20</w:t>
            </w:r>
            <w:r w:rsidRPr="00B65D81">
              <w:t>, begge af 7. juli 1997, samt Det Europæiske Råds resolution om stabilitets- og vækstpagten</w:t>
            </w:r>
            <w:r w:rsidRPr="00B65D81">
              <w:rPr>
                <w:vertAlign w:val="superscript"/>
              </w:rPr>
              <w:t>21</w:t>
            </w:r>
            <w:r w:rsidRPr="00B65D81">
              <w:t xml:space="preserve"> af 17. juni 1997, bygger på målsætningen om sunde og holdbare offentlige finanser som </w:t>
            </w:r>
            <w:r w:rsidRPr="00B65D81">
              <w:t xml:space="preserve">et middel til at styrke forudsætningerne for prisstabilitet og for stærk bæredygtig vækst, </w:t>
            </w:r>
            <w:r w:rsidRPr="00B65D81">
              <w:rPr>
                <w:b/>
                <w:bCs/>
                <w:i/>
                <w:iCs/>
              </w:rPr>
              <w:t>der fremmer jobskabelsen</w:t>
            </w:r>
            <w:r w:rsidRPr="00B65D81">
              <w:t xml:space="preserve">, understøttet af finansiel stabilitet, og støtter dermed opfyldelsen af Unionens målsætninger om bæredygtig og inklusiv vækst </w:t>
            </w:r>
            <w:r w:rsidRPr="00B65D81">
              <w:rPr>
                <w:b/>
                <w:bCs/>
                <w:i/>
                <w:iCs/>
              </w:rPr>
              <w:t>med henblik på</w:t>
            </w:r>
            <w:r w:rsidRPr="00B65D81">
              <w:rPr>
                <w:b/>
                <w:bCs/>
                <w:i/>
                <w:iCs/>
              </w:rPr>
              <w:t xml:space="preserve"> fuld</w:t>
            </w:r>
            <w:r w:rsidRPr="00B65D81">
              <w:t xml:space="preserve"> beskæftigelse </w:t>
            </w:r>
            <w:r w:rsidRPr="00B65D81">
              <w:rPr>
                <w:b/>
                <w:bCs/>
                <w:i/>
                <w:iCs/>
              </w:rPr>
              <w:t>og sociale fremskridt</w:t>
            </w:r>
            <w:r w:rsidRPr="00B65D81">
              <w:t>.</w:t>
            </w:r>
          </w:p>
        </w:tc>
      </w:tr>
      <w:tr w:rsidR="006E4784" w:rsidRPr="00B65D81" w:rsidTr="00420909">
        <w:trPr>
          <w:jc w:val="center"/>
        </w:trPr>
        <w:tc>
          <w:tcPr>
            <w:tcW w:w="4876" w:type="dxa"/>
            <w:hideMark/>
          </w:tcPr>
          <w:p w:rsidR="006B07BB" w:rsidRPr="00B65D81" w:rsidRDefault="00EE5C2C" w:rsidP="00420909">
            <w:pPr>
              <w:pStyle w:val="Normal6"/>
            </w:pPr>
            <w:r w:rsidRPr="00B65D81">
              <w:t>__________________</w:t>
            </w:r>
          </w:p>
        </w:tc>
        <w:tc>
          <w:tcPr>
            <w:tcW w:w="4876" w:type="dxa"/>
            <w:hideMark/>
          </w:tcPr>
          <w:p w:rsidR="006B07BB" w:rsidRPr="00B65D81" w:rsidRDefault="00EE5C2C" w:rsidP="00420909">
            <w:pPr>
              <w:pStyle w:val="Normal6"/>
              <w:rPr>
                <w:szCs w:val="24"/>
              </w:rPr>
            </w:pPr>
            <w:r w:rsidRPr="00B65D81">
              <w:t>__________________</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19</w:t>
            </w:r>
            <w:r w:rsidRPr="00B65D81">
              <w:t xml:space="preserve"> Rådets forordning (EF) nr. 1466/97 af 7. juli 1997 om styrkelse af overvågningen af budgetstillinger samt overvågning og samordning af økonomiske politikker (EFT L 209 af</w:t>
            </w:r>
            <w:r w:rsidRPr="00B65D81">
              <w:t xml:space="preserve"> 2.8.1997, s. 1).</w:t>
            </w:r>
          </w:p>
        </w:tc>
        <w:tc>
          <w:tcPr>
            <w:tcW w:w="4876" w:type="dxa"/>
            <w:hideMark/>
          </w:tcPr>
          <w:p w:rsidR="006B07BB" w:rsidRPr="00B65D81" w:rsidRDefault="00EE5C2C" w:rsidP="00420909">
            <w:pPr>
              <w:pStyle w:val="Normal6"/>
              <w:rPr>
                <w:szCs w:val="24"/>
              </w:rPr>
            </w:pPr>
            <w:r w:rsidRPr="00B65D81">
              <w:rPr>
                <w:vertAlign w:val="superscript"/>
              </w:rPr>
              <w:t>19</w:t>
            </w:r>
            <w:r w:rsidRPr="00B65D81">
              <w:t xml:space="preserve"> Rådets forordning (EF) nr. 1466/97 af 7. juli 1997 om styrkelse af overvågningen af budgetstillinger samt overvågning og samordning af økonomiske politikker (EFT L 209 af 2.8.1997, s. 1).</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20</w:t>
            </w:r>
            <w:r w:rsidRPr="00B65D81">
              <w:t xml:space="preserve"> Rådets forordning (EF) nr. 1467/97 af 7. ju</w:t>
            </w:r>
            <w:r w:rsidRPr="00B65D81">
              <w:t>li 1997 om fremskyndelse og afklaring af gennemførelsen af proceduren i forbindelse med uforholdsmæssigt store underskud (EFT L 209 af 2.8.1997, s. 6).</w:t>
            </w:r>
          </w:p>
        </w:tc>
        <w:tc>
          <w:tcPr>
            <w:tcW w:w="4876" w:type="dxa"/>
            <w:hideMark/>
          </w:tcPr>
          <w:p w:rsidR="006B07BB" w:rsidRPr="00B65D81" w:rsidRDefault="00EE5C2C" w:rsidP="00420909">
            <w:pPr>
              <w:pStyle w:val="Normal6"/>
              <w:rPr>
                <w:szCs w:val="24"/>
              </w:rPr>
            </w:pPr>
            <w:r w:rsidRPr="00B65D81">
              <w:rPr>
                <w:vertAlign w:val="superscript"/>
              </w:rPr>
              <w:t>20</w:t>
            </w:r>
            <w:r w:rsidRPr="00B65D81">
              <w:t xml:space="preserve"> Rådets forordning (EF) nr. 1467/97 af 7. juli 1997 om fremskyndelse og afklaring af gennemførelsen af</w:t>
            </w:r>
            <w:r w:rsidRPr="00B65D81">
              <w:t xml:space="preserve"> proceduren i forbindelse med uforholdsmæssigt store underskud (EFT L 209 af 2.8.1997, s. 6).</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21</w:t>
            </w:r>
            <w:r w:rsidRPr="00B65D81">
              <w:t xml:space="preserve"> Det Europæiske Råds resolution om stabilitets- og vækstpagten Amsterdam, den 17. juni 1997 (EFT C 236 af 2.8.1997, s. 1).</w:t>
            </w:r>
          </w:p>
        </w:tc>
        <w:tc>
          <w:tcPr>
            <w:tcW w:w="4876" w:type="dxa"/>
            <w:hideMark/>
          </w:tcPr>
          <w:p w:rsidR="006B07BB" w:rsidRPr="00B65D81" w:rsidRDefault="00EE5C2C" w:rsidP="00420909">
            <w:pPr>
              <w:pStyle w:val="Normal6"/>
              <w:rPr>
                <w:szCs w:val="24"/>
              </w:rPr>
            </w:pPr>
            <w:r w:rsidRPr="00B65D81">
              <w:rPr>
                <w:vertAlign w:val="superscript"/>
              </w:rPr>
              <w:t>21</w:t>
            </w:r>
            <w:r w:rsidRPr="00B65D81">
              <w:t xml:space="preserve"> Det Europæiske Råds resolution om</w:t>
            </w:r>
            <w:r w:rsidRPr="00B65D81">
              <w:t xml:space="preserve"> stabilitets- og vækstpagten Amsterdam, den 17. juni 1997 (EUT C 236 af 2.8.1997, s. 1).</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lastRenderedPageBreak/>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5</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(5)</w:t>
            </w:r>
            <w:r w:rsidRPr="00B65D81">
              <w:tab/>
              <w:t>Unionens ramme for økonomisk styring bør tilpasses for bedre at tage hensyn til det forhold, at budgetstillingerne, udfordringerne relateret til offentlig gæld og de øvrige sårbarheder i medlemsstaterne bliver stadig mere forskelligart</w:t>
            </w:r>
            <w:r w:rsidRPr="00B65D81">
              <w:t>ede. Den stærke politiske reaktion på covid-19-pandemien var yderst effektiv med hensyn til at afbøde krisens skadelige økonomiske og sociale virkning, men krisen resulterede i en kraftig stigning i gældskvoterne i den offentlige og den private sektor, hvi</w:t>
            </w:r>
            <w:r w:rsidRPr="00B65D81">
              <w:t>lket understreger betydningen af at nedbringe gældskvoterne til et forsvarligt niveau på en gradvis, holdbar</w:t>
            </w:r>
            <w:r w:rsidRPr="00B65D81">
              <w:rPr>
                <w:b/>
                <w:i/>
              </w:rPr>
              <w:t xml:space="preserve"> og vækstfremmende</w:t>
            </w:r>
            <w:r w:rsidRPr="00B65D81">
              <w:t xml:space="preserve"> måde og rette op på makroøkonomiske ubalancer, samtidig med at der tages behørigt hensyn til </w:t>
            </w:r>
            <w:r w:rsidRPr="00B65D81">
              <w:rPr>
                <w:b/>
                <w:i/>
              </w:rPr>
              <w:t>beskæftigelsesmæssige</w:t>
            </w:r>
            <w:r w:rsidRPr="00B65D81">
              <w:t xml:space="preserve"> og sociale mål</w:t>
            </w:r>
            <w:r w:rsidRPr="00B65D81">
              <w:t>sætninger. Samtidig bør Unionens ramme for økonomisk styring tilpasses, så den kan hjælpe med at håndtere de mellem- og langsigtede udfordringer, Unionen står over for, bl.a. opnåelse af en retfærdig digital og grøn omstilling, herunder klimaloven</w:t>
            </w:r>
            <w:r w:rsidRPr="00B65D81">
              <w:rPr>
                <w:vertAlign w:val="superscript"/>
              </w:rPr>
              <w:t>22</w:t>
            </w:r>
            <w:r w:rsidRPr="00B65D81">
              <w:t>, sikri</w:t>
            </w:r>
            <w:r w:rsidRPr="00B65D81">
              <w:t>ng af energisikkerhed og åben strategisk autonomi, håndtering af demografiske ændringer, styrkelse af den sociale og økonomiske modstandsdygtighed og gennemførelse af det strategiske kompas for sikkerhed og forsvar, som alle kræver reformer og et vedvarend</w:t>
            </w:r>
            <w:r w:rsidRPr="00B65D81">
              <w:t>e højt niveau af investeringer i de kommende år.</w:t>
            </w:r>
          </w:p>
        </w:tc>
        <w:tc>
          <w:tcPr>
            <w:tcW w:w="4876" w:type="dxa"/>
            <w:hideMark/>
          </w:tcPr>
          <w:p w:rsidR="006B07BB" w:rsidRPr="00B65D81" w:rsidRDefault="00EE5C2C" w:rsidP="00420909">
            <w:pPr>
              <w:pStyle w:val="Normal6"/>
              <w:rPr>
                <w:szCs w:val="24"/>
              </w:rPr>
            </w:pPr>
            <w:r w:rsidRPr="00B65D81">
              <w:t>(5)</w:t>
            </w:r>
            <w:r w:rsidRPr="00B65D81">
              <w:tab/>
              <w:t xml:space="preserve">Unionens ramme for økonomisk styring bør tilpasses for bedre at tage hensyn til det forhold, at budgetstillingerne, udfordringerne relateret til offentlig gæld og de øvrige sårbarheder i medlemsstaterne </w:t>
            </w:r>
            <w:r w:rsidRPr="00B65D81">
              <w:t>bliver stadig mere forskelligartede. Den stærke politiske reaktion på covid-19-pandemien var yderst effektiv med hensyn til at afbøde krisens skadelige økonomiske og sociale virkning, men krisen resulterede i en kraftig stigning i gældskvoterne i den offen</w:t>
            </w:r>
            <w:r w:rsidRPr="00B65D81">
              <w:t>tlige og den private sektor, hvilket understreger betydningen af at nedbringe gældskvoterne til et forsvarligt niveau på en gradvis, holdbar</w:t>
            </w:r>
            <w:r w:rsidRPr="00B65D81">
              <w:rPr>
                <w:b/>
                <w:i/>
              </w:rPr>
              <w:t>, vækstfremmende og inklusiv</w:t>
            </w:r>
            <w:r w:rsidRPr="00B65D81">
              <w:t xml:space="preserve"> måde og rette op på makroøkonomiske ubalancer</w:t>
            </w:r>
            <w:r w:rsidRPr="00B65D81">
              <w:rPr>
                <w:b/>
                <w:i/>
              </w:rPr>
              <w:t xml:space="preserve"> samt støtte opadgående social konvergens</w:t>
            </w:r>
            <w:r w:rsidRPr="00B65D81">
              <w:t>,</w:t>
            </w:r>
            <w:r w:rsidRPr="00B65D81">
              <w:t xml:space="preserve"> samtidig med at der tages behørigt hensyn til </w:t>
            </w:r>
            <w:r w:rsidRPr="00B65D81">
              <w:rPr>
                <w:b/>
                <w:i/>
              </w:rPr>
              <w:t>kvalitetsbeskæftigelsesmæssige</w:t>
            </w:r>
            <w:r w:rsidRPr="00B65D81">
              <w:t xml:space="preserve"> og sociale målsætninger. Samtidig bør Unionens ramme for økonomisk styring tilpasses, så den kan hjælpe med at håndtere de mellem- og langsigtede udfordringer, Unionen står over </w:t>
            </w:r>
            <w:r w:rsidRPr="00B65D81">
              <w:t>for, bl.a. opnåelse af en retfærdig digital og grøn omstilling, herunder klimaloven</w:t>
            </w:r>
            <w:r w:rsidRPr="00B65D81">
              <w:rPr>
                <w:vertAlign w:val="superscript"/>
              </w:rPr>
              <w:t>22</w:t>
            </w:r>
            <w:r w:rsidRPr="00B65D81">
              <w:t xml:space="preserve">, </w:t>
            </w:r>
            <w:r w:rsidRPr="00B65D81">
              <w:rPr>
                <w:b/>
                <w:i/>
              </w:rPr>
              <w:t xml:space="preserve">herunder gennemførelsen af den europæiske søjle for sociale rettigheder, </w:t>
            </w:r>
            <w:r w:rsidRPr="00B65D81">
              <w:t>sikring af energisikkerhed og åben strategisk autonomi, håndtering af demografiske ændringer, st</w:t>
            </w:r>
            <w:r w:rsidRPr="00B65D81">
              <w:t>yrkelse af den sociale og økonomiske modstandsdygtighed</w:t>
            </w:r>
            <w:r w:rsidRPr="00B65D81">
              <w:rPr>
                <w:b/>
                <w:i/>
              </w:rPr>
              <w:t>, herunder gennem styrkelse af sociale investeringer</w:t>
            </w:r>
            <w:r w:rsidRPr="00B65D81">
              <w:t xml:space="preserve"> og gennemførelse af det strategiske kompas for sikkerhed og forsvar, som alle kræver reformer og et vedvarende højt niveau af investeringer i de kom</w:t>
            </w:r>
            <w:r w:rsidRPr="00B65D81">
              <w:t>mende år.</w:t>
            </w:r>
          </w:p>
        </w:tc>
      </w:tr>
      <w:tr w:rsidR="006E4784" w:rsidRPr="00B65D81" w:rsidTr="00420909">
        <w:trPr>
          <w:jc w:val="center"/>
        </w:trPr>
        <w:tc>
          <w:tcPr>
            <w:tcW w:w="4876" w:type="dxa"/>
            <w:hideMark/>
          </w:tcPr>
          <w:p w:rsidR="006B07BB" w:rsidRPr="00B65D81" w:rsidRDefault="00EE5C2C" w:rsidP="00420909">
            <w:pPr>
              <w:pStyle w:val="Normal6"/>
            </w:pPr>
            <w:r w:rsidRPr="00B65D81">
              <w:t>__________________</w:t>
            </w:r>
          </w:p>
        </w:tc>
        <w:tc>
          <w:tcPr>
            <w:tcW w:w="4876" w:type="dxa"/>
            <w:hideMark/>
          </w:tcPr>
          <w:p w:rsidR="006B07BB" w:rsidRPr="00B65D81" w:rsidRDefault="00EE5C2C" w:rsidP="00420909">
            <w:pPr>
              <w:pStyle w:val="Normal6"/>
              <w:rPr>
                <w:szCs w:val="24"/>
              </w:rPr>
            </w:pPr>
            <w:r w:rsidRPr="00B65D81">
              <w:t>__________________</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22</w:t>
            </w:r>
            <w:r w:rsidRPr="00B65D81">
              <w:t xml:space="preserve"> Den europæiske klimalov indeholder et mål om klimaneutralitet i hele Unionen senest i 2050 og kræver, at EU-</w:t>
            </w:r>
            <w:r w:rsidRPr="00B65D81">
              <w:lastRenderedPageBreak/>
              <w:t>institutionerne og medlemsstaterne gør fremskridt med hensyn til at øge tilpasningsevnen, hvilket kræver betydelige offentlige investeringer til at</w:t>
            </w:r>
            <w:r w:rsidRPr="00B65D81">
              <w:t xml:space="preserve"> mindske klimaændringernes negative socioøkonomiske virkninger i EU og medlemsstaterne, herunder de negative virkninger for vækst og finanspolitisk holdbarhed.</w:t>
            </w:r>
          </w:p>
        </w:tc>
        <w:tc>
          <w:tcPr>
            <w:tcW w:w="4876" w:type="dxa"/>
            <w:hideMark/>
          </w:tcPr>
          <w:p w:rsidR="006B07BB" w:rsidRPr="00B65D81" w:rsidRDefault="00EE5C2C" w:rsidP="00420909">
            <w:pPr>
              <w:pStyle w:val="Normal6"/>
              <w:rPr>
                <w:szCs w:val="24"/>
              </w:rPr>
            </w:pPr>
            <w:r w:rsidRPr="00B65D81">
              <w:rPr>
                <w:vertAlign w:val="superscript"/>
              </w:rPr>
              <w:lastRenderedPageBreak/>
              <w:t>22</w:t>
            </w:r>
            <w:r w:rsidRPr="00B65D81">
              <w:t xml:space="preserve"> Den europæiske klimalov indeholder et mål om klimaneutralitet i hele Unionen senest i 2050 og</w:t>
            </w:r>
            <w:r w:rsidRPr="00B65D81">
              <w:t xml:space="preserve"> kræver, at EU-</w:t>
            </w:r>
            <w:r w:rsidRPr="00B65D81">
              <w:lastRenderedPageBreak/>
              <w:t>institutionerne og medlemsstaterne gør fremskridt med hensyn til at øge tilpasningsevnen, hvilket kræver betydelige offentlige investeringer til at mindske klimaændringernes negative socioøkonomiske virkninger i EU og medlemsstaterne, herund</w:t>
            </w:r>
            <w:r w:rsidRPr="00B65D81">
              <w:t>er de negative virkninger for vækst og finanspolitisk holdbarhed.</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7</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(7)</w:t>
            </w:r>
            <w:r w:rsidRPr="00B65D81">
              <w:tab/>
            </w:r>
            <w:r w:rsidRPr="00B65D81">
              <w:t xml:space="preserve">Den procedure for multilateral overvågning, der er fastsat i artikel 121, stk. 2, 3 og 4, og artikel 148, stk. 4, i TEUF bør tjene til i overensstemmelse med mere detaljerede regler at overvåge alle aspekter af den økonomiske og </w:t>
            </w:r>
            <w:r w:rsidRPr="00B65D81">
              <w:rPr>
                <w:b/>
                <w:i/>
              </w:rPr>
              <w:t>beskæftigelsesmæssige</w:t>
            </w:r>
            <w:r w:rsidRPr="00B65D81">
              <w:t xml:space="preserve"> udvik</w:t>
            </w:r>
            <w:r w:rsidRPr="00B65D81">
              <w:t>ling i hver medlemsstat og i Unionen. Det omfatter afsløringen af makroøkonomiske ubalancer samt forebyggelse og korrektion af uforholdsmæssigt store makroøkonomiske ubalancer, jf. Europa-Parlamentets og Rådets forordning (EU) nr. 1174/2011</w:t>
            </w:r>
            <w:r w:rsidRPr="00B65D81">
              <w:rPr>
                <w:vertAlign w:val="superscript"/>
              </w:rPr>
              <w:t>23</w:t>
            </w:r>
            <w:r w:rsidRPr="00B65D81">
              <w:t xml:space="preserve"> og (EU) nr. 1</w:t>
            </w:r>
            <w:r w:rsidRPr="00B65D81">
              <w:t>176/2011</w:t>
            </w:r>
            <w:r w:rsidRPr="00B65D81">
              <w:rPr>
                <w:vertAlign w:val="superscript"/>
              </w:rPr>
              <w:t>24</w:t>
            </w:r>
            <w:r w:rsidRPr="00B65D81">
              <w:t xml:space="preserve">. Medlemsstaterne bør med henblik på overvågningen af denne økonomiske og </w:t>
            </w:r>
            <w:r w:rsidRPr="00B65D81">
              <w:rPr>
                <w:b/>
                <w:i/>
              </w:rPr>
              <w:t>beskæftigelsesmæssige udvikling</w:t>
            </w:r>
            <w:r w:rsidRPr="00B65D81">
              <w:t xml:space="preserve"> fremlægge oplysninger i form at mellemfristede planer for finans- og strukturpolitiske tiltag.</w:t>
            </w:r>
          </w:p>
        </w:tc>
        <w:tc>
          <w:tcPr>
            <w:tcW w:w="4876" w:type="dxa"/>
            <w:hideMark/>
          </w:tcPr>
          <w:p w:rsidR="006B07BB" w:rsidRPr="00B65D81" w:rsidRDefault="00EE5C2C" w:rsidP="00420909">
            <w:pPr>
              <w:pStyle w:val="Normal6"/>
              <w:rPr>
                <w:szCs w:val="24"/>
              </w:rPr>
            </w:pPr>
            <w:r w:rsidRPr="00B65D81">
              <w:t>(7)</w:t>
            </w:r>
            <w:r w:rsidRPr="00B65D81">
              <w:tab/>
              <w:t>Den procedure for multilateral overvågnin</w:t>
            </w:r>
            <w:r w:rsidRPr="00B65D81">
              <w:t>g, der er fastsat i artikel 121, stk. 2, 3 og 4, og artikel 148, stk. 4, i TEUF bør tjene til i overensstemmelse med mere detaljerede regler at overvåge alle aspekter af den økonomiske</w:t>
            </w:r>
            <w:r w:rsidRPr="00B65D81">
              <w:rPr>
                <w:b/>
                <w:i/>
              </w:rPr>
              <w:t>, beskæftigelsesmæssige</w:t>
            </w:r>
            <w:r w:rsidRPr="00B65D81">
              <w:t xml:space="preserve"> og </w:t>
            </w:r>
            <w:r w:rsidRPr="00B65D81">
              <w:rPr>
                <w:b/>
                <w:i/>
              </w:rPr>
              <w:t>relevante sociale</w:t>
            </w:r>
            <w:r w:rsidRPr="00B65D81">
              <w:t xml:space="preserve"> udvikling i hver medlemssta</w:t>
            </w:r>
            <w:r w:rsidRPr="00B65D81">
              <w:t>t og i Unionen</w:t>
            </w:r>
            <w:r w:rsidRPr="00B65D81">
              <w:rPr>
                <w:b/>
                <w:i/>
              </w:rPr>
              <w:t>, der er knyttet til de overordnede mål, herunder fremskridtene hen imod de nationale mål, og deres vigtigste og sekundære indikatorer i den europæiske søjle for sociale rettigheder</w:t>
            </w:r>
            <w:r w:rsidRPr="00B65D81">
              <w:t xml:space="preserve">. Det omfatter afsløringen af makroøkonomiske ubalancer samt </w:t>
            </w:r>
            <w:r w:rsidRPr="00B65D81">
              <w:t>forebyggelse og korrektion af uforholdsmæssigt store makroøkonomiske ubalancer, jf. Europa-Parlamentets og Rådets forordning (EU) nr. 1174/2011</w:t>
            </w:r>
            <w:r w:rsidRPr="00B65D81">
              <w:rPr>
                <w:vertAlign w:val="superscript"/>
              </w:rPr>
              <w:t>23</w:t>
            </w:r>
            <w:r w:rsidRPr="00B65D81">
              <w:t xml:space="preserve"> og (EU) nr. 1176/2011</w:t>
            </w:r>
            <w:r w:rsidRPr="00B65D81">
              <w:rPr>
                <w:vertAlign w:val="superscript"/>
              </w:rPr>
              <w:t>24</w:t>
            </w:r>
            <w:r w:rsidRPr="00B65D81">
              <w:t>. Medlemsstaterne bør med henblik på overvågningen af denne økonomiske</w:t>
            </w:r>
            <w:r w:rsidRPr="00B65D81">
              <w:rPr>
                <w:b/>
                <w:i/>
              </w:rPr>
              <w:t>, beskæftigelsesm</w:t>
            </w:r>
            <w:r w:rsidRPr="00B65D81">
              <w:rPr>
                <w:b/>
                <w:i/>
              </w:rPr>
              <w:t>æssige udvikling</w:t>
            </w:r>
            <w:r w:rsidRPr="00B65D81">
              <w:t xml:space="preserve"> og </w:t>
            </w:r>
            <w:r w:rsidRPr="00B65D81">
              <w:rPr>
                <w:b/>
                <w:i/>
              </w:rPr>
              <w:t>udviklingen vedrørende social konvergens</w:t>
            </w:r>
            <w:r w:rsidRPr="00B65D81">
              <w:t xml:space="preserve"> fremlægge oplysninger i form at mellemfristede planer for finans- og strukturpolitiske tiltag.</w:t>
            </w:r>
          </w:p>
        </w:tc>
      </w:tr>
      <w:tr w:rsidR="006E4784" w:rsidRPr="00B65D81" w:rsidTr="00420909">
        <w:trPr>
          <w:jc w:val="center"/>
        </w:trPr>
        <w:tc>
          <w:tcPr>
            <w:tcW w:w="4876" w:type="dxa"/>
            <w:hideMark/>
          </w:tcPr>
          <w:p w:rsidR="006B07BB" w:rsidRPr="00B65D81" w:rsidRDefault="00EE5C2C" w:rsidP="00420909">
            <w:pPr>
              <w:pStyle w:val="Normal6"/>
            </w:pPr>
            <w:r w:rsidRPr="00B65D81">
              <w:t>__________________</w:t>
            </w:r>
          </w:p>
        </w:tc>
        <w:tc>
          <w:tcPr>
            <w:tcW w:w="4876" w:type="dxa"/>
            <w:hideMark/>
          </w:tcPr>
          <w:p w:rsidR="006B07BB" w:rsidRPr="00B65D81" w:rsidRDefault="00EE5C2C" w:rsidP="00420909">
            <w:pPr>
              <w:pStyle w:val="Normal6"/>
              <w:rPr>
                <w:szCs w:val="24"/>
              </w:rPr>
            </w:pPr>
            <w:r w:rsidRPr="00B65D81">
              <w:t>__________________</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23</w:t>
            </w:r>
            <w:r w:rsidRPr="00B65D81">
              <w:t xml:space="preserve"> Europa-Parlamentets og Rådets forordning (EU) nr. 1174/20</w:t>
            </w:r>
            <w:r w:rsidRPr="00B65D81">
              <w:t xml:space="preserve">11 af 16. november 2011 om håndhævelsesforanstaltninger til at </w:t>
            </w:r>
            <w:r w:rsidRPr="00B65D81">
              <w:lastRenderedPageBreak/>
              <w:t>korrigere uforholdsmæssigt store makroøkonomiske ubalancer i euroområdet (EUT L 306 af 23.11.2011, s. 8).</w:t>
            </w:r>
          </w:p>
        </w:tc>
        <w:tc>
          <w:tcPr>
            <w:tcW w:w="4876" w:type="dxa"/>
            <w:hideMark/>
          </w:tcPr>
          <w:p w:rsidR="006B07BB" w:rsidRPr="00B65D81" w:rsidRDefault="00EE5C2C" w:rsidP="00420909">
            <w:pPr>
              <w:pStyle w:val="Normal6"/>
              <w:rPr>
                <w:szCs w:val="24"/>
              </w:rPr>
            </w:pPr>
            <w:r w:rsidRPr="00B65D81">
              <w:rPr>
                <w:vertAlign w:val="superscript"/>
              </w:rPr>
              <w:lastRenderedPageBreak/>
              <w:t>23</w:t>
            </w:r>
            <w:r w:rsidRPr="00B65D81">
              <w:t xml:space="preserve"> Europa-Parlamentets og Rådets forordning (EU) nr. 1174/2011 af 16. november 2011 om </w:t>
            </w:r>
            <w:r w:rsidRPr="00B65D81">
              <w:t xml:space="preserve">håndhævelsesforanstaltninger til at </w:t>
            </w:r>
            <w:r w:rsidRPr="00B65D81">
              <w:lastRenderedPageBreak/>
              <w:t>korrigere uforholdsmæssigt store makroøkonomiske ubalancer i euroområdet (EUT L 306 af 23.11.2011, s. 8).</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lastRenderedPageBreak/>
              <w:t>24</w:t>
            </w:r>
            <w:r w:rsidRPr="00B65D81">
              <w:t xml:space="preserve"> Europa-Parlamentets og Rådets forordning (EU) nr. 1176/2011 af 16. november 2011 om forebyggelse og korrektion</w:t>
            </w:r>
            <w:r w:rsidRPr="00B65D81">
              <w:t xml:space="preserve"> af makroøkonomiske ubalancer (EUT L 306 af 23.11.2011, s. 25).</w:t>
            </w:r>
          </w:p>
        </w:tc>
        <w:tc>
          <w:tcPr>
            <w:tcW w:w="4876" w:type="dxa"/>
            <w:hideMark/>
          </w:tcPr>
          <w:p w:rsidR="006B07BB" w:rsidRPr="00B65D81" w:rsidRDefault="00EE5C2C" w:rsidP="00420909">
            <w:pPr>
              <w:pStyle w:val="Normal6"/>
              <w:rPr>
                <w:szCs w:val="24"/>
              </w:rPr>
            </w:pPr>
            <w:r w:rsidRPr="00B65D81">
              <w:rPr>
                <w:vertAlign w:val="superscript"/>
              </w:rPr>
              <w:t>24</w:t>
            </w:r>
            <w:r w:rsidRPr="00B65D81">
              <w:t xml:space="preserve"> Europa-Parlamentets og Rådets forordning (EU) nr. 1176/2011 af 16. november 2011 om forebyggelse og korrektion af makroøkonomiske ubalancer (EUT L 306 af 23.11.2011, s. 25).</w:t>
            </w:r>
          </w:p>
        </w:tc>
      </w:tr>
    </w:tbl>
    <w:p w:rsidR="006B07BB" w:rsidRPr="00B65D81" w:rsidRDefault="00EE5C2C" w:rsidP="006B07BB">
      <w:pPr>
        <w:rPr>
          <w:rStyle w:val="HideTWBExt"/>
          <w:rFonts w:eastAsiaTheme="majorEastAsia"/>
          <w:noProof w:val="0"/>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w:t>
      </w:r>
      <w:r w:rsidRPr="00B65D81">
        <w:rPr>
          <w:rStyle w:val="HideTWBExt"/>
          <w:b w:val="0"/>
          <w:noProof w:val="0"/>
        </w:rPr>
        <w:t>d&gt;</w:t>
      </w:r>
      <w:r w:rsidRPr="00B65D81">
        <w:t>Ændringsforslag</w:t>
      </w:r>
      <w:r w:rsidRPr="00B65D81">
        <w:tab/>
      </w:r>
      <w:r w:rsidRPr="00B65D81">
        <w:tab/>
      </w:r>
      <w:r w:rsidRPr="00B65D81">
        <w:rPr>
          <w:rStyle w:val="HideTWBExt"/>
          <w:b w:val="0"/>
          <w:noProof w:val="0"/>
        </w:rPr>
        <w:t>&lt;NumAm&gt;</w:t>
      </w:r>
      <w:r w:rsidRPr="00B65D81">
        <w:t>4</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7 a (ny)</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(7a)</w:t>
            </w:r>
            <w:r w:rsidRPr="00B65D81">
              <w:rPr>
                <w:b/>
                <w:i/>
              </w:rPr>
              <w:tab/>
              <w:t xml:space="preserve">For at fremme opadgående social konvergens suppleres den multilaterale </w:t>
            </w:r>
            <w:r w:rsidRPr="00B65D81">
              <w:rPr>
                <w:b/>
                <w:i/>
              </w:rPr>
              <w:t>overvågningsprocedure, der er fastsat i artikel 148, stk. 4, i TEUF, med et system for tidlig varsling inden for det europæiske semester (rammen for social konvergens). Inden for rammen for social konvergens identificerer Kommissionen – i henhold til artik</w:t>
            </w:r>
            <w:r w:rsidRPr="00B65D81">
              <w:rPr>
                <w:b/>
                <w:i/>
              </w:rPr>
              <w:t>el 148 i TEUF – først risici for opadgående konvergens for medlemsstaterne i den fælles beskæftigelsesrapport baseret på nøgleindikatorerne i den sociale resultattavle. I anden fase identificerer Kommissionen de medlemsstater, der kræver yderligere undersø</w:t>
            </w:r>
            <w:r w:rsidRPr="00B65D81">
              <w:rPr>
                <w:b/>
                <w:i/>
              </w:rPr>
              <w:t>gelse, og offentliggør "rapporter om social konvergens" for de medlemsstater, der anses for at stå over for risici for opadgående social konvergens. De landespecifikke konklusioner af de multilaterale overvågningsaktiviteter under den nye ramme bør give in</w:t>
            </w:r>
            <w:r w:rsidRPr="00B65D81">
              <w:rPr>
                <w:b/>
                <w:i/>
              </w:rPr>
              <w:t>put til Kommissionens overvejelser om forslag til landespecifikke henstillinger.</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5</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8</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(8)</w:t>
            </w:r>
            <w:r w:rsidRPr="00B65D81">
              <w:tab/>
            </w:r>
            <w:r w:rsidRPr="00B65D81">
              <w:t>Der bør derfor fastlægges detaljerede regler vedrørende indholdet, forelæggelsen, undersøgelsen og overvågningen af de nationale mellemfristede planer for finans- og strukturpolitiske tiltag for at fremme gældsholdbarhed</w:t>
            </w:r>
            <w:r w:rsidRPr="00B65D81">
              <w:rPr>
                <w:b/>
                <w:i/>
              </w:rPr>
              <w:t xml:space="preserve"> og</w:t>
            </w:r>
            <w:r w:rsidRPr="00B65D81">
              <w:t xml:space="preserve"> bæredygtig og inklusiv vækst i m</w:t>
            </w:r>
            <w:r w:rsidRPr="00B65D81">
              <w:t>edlemsstaterne samt forhindre, at der opstår uforholdsmæssigt store offentlige underskud gennem planlægning på mellemlang sigt.</w:t>
            </w:r>
          </w:p>
        </w:tc>
        <w:tc>
          <w:tcPr>
            <w:tcW w:w="4876" w:type="dxa"/>
            <w:hideMark/>
          </w:tcPr>
          <w:p w:rsidR="006B07BB" w:rsidRPr="00B65D81" w:rsidRDefault="00EE5C2C" w:rsidP="00420909">
            <w:pPr>
              <w:pStyle w:val="Normal6"/>
              <w:rPr>
                <w:szCs w:val="24"/>
              </w:rPr>
            </w:pPr>
            <w:r w:rsidRPr="00B65D81">
              <w:t>(8)</w:t>
            </w:r>
            <w:r w:rsidRPr="00B65D81">
              <w:tab/>
              <w:t>Der bør derfor fastlægges detaljerede regler vedrørende indholdet, forelæggelsen, undersøgelsen og overvågningen af de natio</w:t>
            </w:r>
            <w:r w:rsidRPr="00B65D81">
              <w:t>nale mellemfristede planer for finans- og strukturpolitiske tiltag for at fremme gældsholdbarhed</w:t>
            </w:r>
            <w:r w:rsidRPr="00B65D81">
              <w:rPr>
                <w:b/>
                <w:i/>
              </w:rPr>
              <w:t>,</w:t>
            </w:r>
            <w:r w:rsidRPr="00B65D81">
              <w:t xml:space="preserve"> bæredygtig og inklusiv vækst</w:t>
            </w:r>
            <w:r w:rsidRPr="00B65D81">
              <w:rPr>
                <w:b/>
                <w:i/>
              </w:rPr>
              <w:t xml:space="preserve"> og opadgående social konvergens</w:t>
            </w:r>
            <w:r w:rsidRPr="00B65D81">
              <w:t xml:space="preserve"> i medlemsstaterne samt forhindre, at der opstår uforholdsmæssigt store offentlige underskud genne</w:t>
            </w:r>
            <w:r w:rsidRPr="00B65D81">
              <w:t>m planlægning på mellemlang sigt.</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6</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9</w:t>
      </w:r>
      <w:r w:rsidRPr="00B65D8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(9)</w:t>
            </w:r>
            <w:r w:rsidRPr="00B65D81">
              <w:tab/>
              <w:t xml:space="preserve">De nationale mellemfristede planer for finans- </w:t>
            </w:r>
            <w:r w:rsidRPr="00B65D81">
              <w:t>og strukturpolitiske tiltag bør samle den enkelte medlemsstats finanspolitiske reformer, strukturreformer og investeringstilsagn, og de bør danne omdrejningspunktet for Unionens ramme for økonomisk styring. Hver medlemsstat bør forelægge en mellemfristet p</w:t>
            </w:r>
            <w:r w:rsidRPr="00B65D81">
              <w:t xml:space="preserve">lan, der fastlægger landets finanspolitiske kurs samt prioriterede reform- og investeringstilsagn, som tilsammen sikrer en vedvarende og gradvis gældsnedbringelse samt bæredygtig og inklusiv vækst, idet det undgås at føre en procyklisk finanspolitik, samt </w:t>
            </w:r>
            <w:r w:rsidRPr="00B65D81">
              <w:t>bredere reform- og investeringstilsagn, herunder relateret til den grønne og den digitale omstilling, social og økonomisk modstandsdygtighed og gennemførelsen af den europæiske søjle for sociale rettigheder. I genopretnings- og resiliensfacilitetens</w:t>
            </w:r>
            <w:r w:rsidRPr="00B65D81">
              <w:rPr>
                <w:b/>
                <w:i/>
                <w:vertAlign w:val="superscript"/>
              </w:rPr>
              <w:t>25</w:t>
            </w:r>
            <w:r w:rsidRPr="00B65D81">
              <w:t xml:space="preserve"> leve</w:t>
            </w:r>
            <w:r w:rsidRPr="00B65D81">
              <w:t xml:space="preserve">tid bør der tages behørigt hensyn til de tilsagn, der er givet i de nationale genopretnings- og </w:t>
            </w:r>
            <w:r w:rsidRPr="00B65D81">
              <w:lastRenderedPageBreak/>
              <w:t>resiliensplaner.</w:t>
            </w:r>
          </w:p>
        </w:tc>
        <w:tc>
          <w:tcPr>
            <w:tcW w:w="4876" w:type="dxa"/>
            <w:hideMark/>
          </w:tcPr>
          <w:p w:rsidR="006B07BB" w:rsidRPr="00B65D81" w:rsidRDefault="00EE5C2C" w:rsidP="00420909">
            <w:pPr>
              <w:pStyle w:val="Normal6"/>
              <w:rPr>
                <w:szCs w:val="24"/>
              </w:rPr>
            </w:pPr>
            <w:r w:rsidRPr="00B65D81">
              <w:lastRenderedPageBreak/>
              <w:t>(9)</w:t>
            </w:r>
            <w:r w:rsidRPr="00B65D81">
              <w:tab/>
              <w:t>De nationale mellemfristede planer for finans- og strukturpolitiske tiltag bør samle den enkelte medlemsstats finanspolitiske reformer, str</w:t>
            </w:r>
            <w:r w:rsidRPr="00B65D81">
              <w:t xml:space="preserve">ukturreformer og investeringstilsagn, og de bør danne omdrejningspunktet for Unionens ramme for økonomisk </w:t>
            </w:r>
            <w:r w:rsidRPr="00B65D81">
              <w:rPr>
                <w:b/>
                <w:i/>
              </w:rPr>
              <w:t xml:space="preserve">og social </w:t>
            </w:r>
            <w:r w:rsidRPr="00B65D81">
              <w:t xml:space="preserve">styring. Hver medlemsstat bør forelægge en mellemfristet plan, der fastlægger landets finanspolitiske kurs samt prioriterede reform- og </w:t>
            </w:r>
            <w:r w:rsidRPr="00B65D81">
              <w:t>investeringstilsagn, som tilsammen sikrer en vedvarende og gradvis gældsnedbringelse samt bæredygtig og inklusiv vækst, idet det undgås at føre en procyklisk finanspolitik, samt bredere reform- og investeringstilsagn, herunder relateret til den grønne og d</w:t>
            </w:r>
            <w:r w:rsidRPr="00B65D81">
              <w:t>en digitale omstilling, social og økonomisk modstandsdygtighed og gennemførelsen af den europæiske søjle for sociale rettigheder</w:t>
            </w:r>
            <w:r w:rsidRPr="00B65D81">
              <w:rPr>
                <w:b/>
                <w:i/>
              </w:rPr>
              <w:t>, herunder de relaterede målsætninger for beskæftigelse, færdigheder og fattigdomsbekæmpelse inden 2030</w:t>
            </w:r>
            <w:r w:rsidRPr="00B65D81">
              <w:rPr>
                <w:b/>
                <w:i/>
                <w:vertAlign w:val="superscript"/>
              </w:rPr>
              <w:t>1a</w:t>
            </w:r>
            <w:r w:rsidRPr="00B65D81">
              <w:t>. I genopretnings- og r</w:t>
            </w:r>
            <w:r w:rsidRPr="00B65D81">
              <w:t>esiliensfacilitetens levetid</w:t>
            </w:r>
            <w:r w:rsidRPr="00B65D81">
              <w:rPr>
                <w:b/>
                <w:i/>
                <w:vertAlign w:val="superscript"/>
              </w:rPr>
              <w:t>25</w:t>
            </w:r>
            <w:r w:rsidRPr="00B65D81">
              <w:t xml:space="preserve"> bør der tages </w:t>
            </w:r>
            <w:r w:rsidRPr="00B65D81">
              <w:lastRenderedPageBreak/>
              <w:t>behørigt hensyn til de tilsagn, der er givet i de nationale genopretnings- og resiliensplaner.</w:t>
            </w:r>
          </w:p>
        </w:tc>
      </w:tr>
      <w:tr w:rsidR="006E4784" w:rsidRPr="00B65D81" w:rsidTr="00420909">
        <w:trPr>
          <w:jc w:val="center"/>
        </w:trPr>
        <w:tc>
          <w:tcPr>
            <w:tcW w:w="4876" w:type="dxa"/>
            <w:hideMark/>
          </w:tcPr>
          <w:p w:rsidR="006B07BB" w:rsidRPr="00B65D81" w:rsidRDefault="00EE5C2C" w:rsidP="00420909">
            <w:pPr>
              <w:pStyle w:val="Normal6"/>
            </w:pPr>
            <w:r w:rsidRPr="00B65D81">
              <w:lastRenderedPageBreak/>
              <w:t>__________________</w:t>
            </w:r>
          </w:p>
        </w:tc>
        <w:tc>
          <w:tcPr>
            <w:tcW w:w="4876" w:type="dxa"/>
            <w:hideMark/>
          </w:tcPr>
          <w:p w:rsidR="006B07BB" w:rsidRPr="00B65D81" w:rsidRDefault="00EE5C2C" w:rsidP="00420909">
            <w:pPr>
              <w:pStyle w:val="Normal6"/>
              <w:rPr>
                <w:szCs w:val="24"/>
              </w:rPr>
            </w:pPr>
            <w:r w:rsidRPr="00B65D81">
              <w:t>__________________</w:t>
            </w:r>
          </w:p>
        </w:tc>
      </w:tr>
      <w:tr w:rsidR="006E4784" w:rsidRPr="00B65D81" w:rsidTr="00420909">
        <w:trPr>
          <w:jc w:val="center"/>
        </w:trPr>
        <w:tc>
          <w:tcPr>
            <w:tcW w:w="4876" w:type="dxa"/>
          </w:tcPr>
          <w:p w:rsidR="006B07BB" w:rsidRPr="00B65D81" w:rsidRDefault="006B07BB" w:rsidP="00420909">
            <w:pPr>
              <w:pStyle w:val="Normal6"/>
              <w:rPr>
                <w:vertAlign w:val="superscript"/>
              </w:rPr>
            </w:pPr>
          </w:p>
        </w:tc>
        <w:tc>
          <w:tcPr>
            <w:tcW w:w="4876" w:type="dxa"/>
          </w:tcPr>
          <w:p w:rsidR="006B07BB" w:rsidRPr="00B65D81" w:rsidRDefault="00EE5C2C" w:rsidP="00420909">
            <w:pPr>
              <w:pStyle w:val="Normal6"/>
              <w:rPr>
                <w:vertAlign w:val="superscript"/>
              </w:rPr>
            </w:pPr>
            <w:r w:rsidRPr="00B65D81">
              <w:rPr>
                <w:b/>
                <w:i/>
                <w:vertAlign w:val="superscript"/>
              </w:rPr>
              <w:t>25a</w:t>
            </w:r>
            <w:r w:rsidRPr="00B65D81">
              <w:rPr>
                <w:b/>
                <w:i/>
              </w:rPr>
              <w:t xml:space="preserve"> Kommissionens meddelelse til Europa-Parlamentet, Rådet, Det Europæiske Økonomiske og Sociale Udvalg og Regionsudvalget om handlingsplanen for den europæiske søjle for sociale rettigheder af 4. marts 2021 (COM(2021)0102).</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25</w:t>
            </w:r>
            <w:r w:rsidRPr="00B65D81">
              <w:t xml:space="preserve"> Europa-Parlamentets og Rådets </w:t>
            </w:r>
            <w:r w:rsidRPr="00B65D81">
              <w:t>forordning (EU) 2021/241 af 12. februar 2021 om oprettelse af genopretnings- og resiliensfaciliteten (EUT L 57 af 18.2.2021, s. 17).</w:t>
            </w:r>
          </w:p>
        </w:tc>
        <w:tc>
          <w:tcPr>
            <w:tcW w:w="4876" w:type="dxa"/>
            <w:hideMark/>
          </w:tcPr>
          <w:p w:rsidR="006B07BB" w:rsidRPr="00B65D81" w:rsidRDefault="00EE5C2C" w:rsidP="00420909">
            <w:pPr>
              <w:pStyle w:val="Normal6"/>
              <w:rPr>
                <w:szCs w:val="24"/>
              </w:rPr>
            </w:pPr>
            <w:r w:rsidRPr="00B65D81">
              <w:rPr>
                <w:vertAlign w:val="superscript"/>
              </w:rPr>
              <w:t>25</w:t>
            </w:r>
            <w:r w:rsidRPr="00B65D81">
              <w:t xml:space="preserve"> Europa-Parlamentets og Rådets forordning (EU) 2021/241 af 12. februar 2021 om oprettelse af genopretnings- og resiliensf</w:t>
            </w:r>
            <w:r w:rsidRPr="00B65D81">
              <w:t>aciliteten (EUT L 57 af 18.2.2021, s. 17).</w:t>
            </w:r>
          </w:p>
        </w:tc>
      </w:tr>
    </w:tbl>
    <w:p w:rsidR="006B07BB" w:rsidRPr="00B65D81" w:rsidRDefault="00EE5C2C" w:rsidP="006B07BB">
      <w:pPr>
        <w:rPr>
          <w:rFonts w:eastAsiaTheme="majorEastAsia"/>
        </w:rPr>
      </w:pPr>
      <w:r w:rsidRPr="00B65D81">
        <w:rPr>
          <w:rStyle w:val="HideTWBExt"/>
          <w:noProof w:val="0"/>
        </w:rPr>
        <w:t>&lt;/Amend&gt;</w:t>
      </w:r>
    </w:p>
    <w:p w:rsidR="006B07BB" w:rsidRPr="00B65D81" w:rsidRDefault="00EE5C2C" w:rsidP="006B07BB">
      <w:pPr>
        <w:pStyle w:val="AmNumberTabs"/>
      </w:pPr>
      <w:r w:rsidRPr="00B65D81">
        <w:rPr>
          <w:rStyle w:val="HideTWBExt"/>
          <w:noProof w:val="0"/>
        </w:rPr>
        <w:t>&lt;Amend&gt;</w:t>
      </w:r>
      <w:r w:rsidRPr="00B65D81">
        <w:t>Ændringsforslag</w:t>
      </w:r>
      <w:r w:rsidRPr="00B65D81">
        <w:tab/>
      </w:r>
      <w:r w:rsidRPr="00B65D81">
        <w:tab/>
      </w:r>
      <w:r w:rsidRPr="00B65D81">
        <w:rPr>
          <w:rStyle w:val="HideTWBExt"/>
          <w:b w:val="0"/>
          <w:noProof w:val="0"/>
        </w:rPr>
        <w:t>&lt;NumAm&gt;</w:t>
      </w:r>
      <w:r w:rsidRPr="00B65D81">
        <w:t>7</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10</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(10)</w:t>
            </w:r>
            <w:r w:rsidRPr="00B65D81">
              <w:tab/>
              <w:t>Midlerne under samhørighedspolitikken</w:t>
            </w:r>
            <w:r w:rsidRPr="00B65D81">
              <w:t xml:space="preserve"> er også synkroniseret med det europæiske semester. Disse udgør den langsigtede investeringspolitik under EU-budgettet, og der bør derfor også tages behørigt hensyn til investeringer og reformer under samhørighedspolitikken ved udarbejdelsen af de national</w:t>
            </w:r>
            <w:r w:rsidRPr="00B65D81">
              <w:t>e mellemfristede planer for finans- og strukturpolitiske tiltag. Hver medlemsstat bør desuden redegøre for, hvordan den nationale mellemfristede plan for finans- og strukturpolitiske tiltag vil sikre overensstemmelse med udgifterne til EU-programmer, der f</w:t>
            </w:r>
            <w:r w:rsidRPr="00B65D81">
              <w:t>uldt ud modsvares af EU-indtægter, og relevant national medfinansiering.</w:t>
            </w:r>
          </w:p>
        </w:tc>
        <w:tc>
          <w:tcPr>
            <w:tcW w:w="4876" w:type="dxa"/>
            <w:hideMark/>
          </w:tcPr>
          <w:p w:rsidR="006B07BB" w:rsidRPr="00B65D81" w:rsidRDefault="00EE5C2C" w:rsidP="00420909">
            <w:pPr>
              <w:pStyle w:val="Normal6"/>
              <w:rPr>
                <w:szCs w:val="24"/>
              </w:rPr>
            </w:pPr>
            <w:r w:rsidRPr="00B65D81">
              <w:t>(10)</w:t>
            </w:r>
            <w:r w:rsidRPr="00B65D81">
              <w:tab/>
              <w:t>Midlerne under samhørighedspolitikken er også synkroniseret med det europæiske semester. Disse udgør den langsigtede investeringspolitik under EU-budgettet, og der bør derfor ogs</w:t>
            </w:r>
            <w:r w:rsidRPr="00B65D81">
              <w:t xml:space="preserve">å tages behørigt hensyn til </w:t>
            </w:r>
            <w:r w:rsidRPr="00B65D81">
              <w:rPr>
                <w:b/>
                <w:i/>
              </w:rPr>
              <w:t xml:space="preserve">styrkelsen af økonomisk, social og territorial samhørighed samt </w:t>
            </w:r>
            <w:r w:rsidRPr="00B65D81">
              <w:t>investeringer og reformer under samhørighedspolitikken ved udarbejdelsen af de nationale mellemfristede planer for finans- og strukturpolitiske tiltag. Hver medlems</w:t>
            </w:r>
            <w:r w:rsidRPr="00B65D81">
              <w:t>stat bør desuden redegøre for, hvordan den nationale mellemfristede plan for finans- og strukturpolitiske tiltag vil sikre overensstemmelse med udgifterne til EU-programmer, der fuldt ud modsvares af EU-indtægter, og relevant national medfinansiering.</w:t>
            </w:r>
          </w:p>
        </w:tc>
      </w:tr>
    </w:tbl>
    <w:p w:rsidR="006B07BB" w:rsidRPr="00B65D81" w:rsidRDefault="00EE5C2C" w:rsidP="006B07BB">
      <w:r w:rsidRPr="00B65D81">
        <w:rPr>
          <w:rStyle w:val="HideTWBExt"/>
          <w:noProof w:val="0"/>
        </w:rPr>
        <w:t>&lt;/A</w:t>
      </w:r>
      <w:r w:rsidRPr="00B65D81">
        <w:rPr>
          <w:rStyle w:val="HideTWBExt"/>
          <w:noProof w:val="0"/>
        </w:rPr>
        <w:t>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8</w:t>
      </w:r>
      <w:r w:rsidRPr="00B65D81">
        <w:rPr>
          <w:rStyle w:val="HideTWBExt"/>
          <w:b w:val="0"/>
          <w:noProof w:val="0"/>
        </w:rPr>
        <w:t>&lt;/NumAm&gt;</w:t>
      </w:r>
    </w:p>
    <w:p w:rsidR="006B07BB" w:rsidRPr="00B65D81" w:rsidRDefault="006B07BB" w:rsidP="006B07BB">
      <w:pPr>
        <w:rPr>
          <w:b/>
        </w:rPr>
      </w:pPr>
    </w:p>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13</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(13)</w:t>
            </w:r>
            <w:r w:rsidRPr="00B65D81">
              <w:tab/>
              <w:t xml:space="preserve">For at vejlede medlemsstater i udarbejdelsen af deres mellemfristede plan for </w:t>
            </w:r>
            <w:r w:rsidRPr="00B65D81">
              <w:t>finans- og strukturpolitiske tiltag bør Kommissionen foreslå en teknisk kurs med udgangspunkt i den finanspolitiske minimumstilpasning, der bringer medlemsstatens gældsudvikling på en troværdigt nedadgående kurs eller fastholder den på et forsvarligt nivea</w:t>
            </w:r>
            <w:r w:rsidRPr="00B65D81">
              <w:t xml:space="preserve">u. Denne kurs bør også sikre, at den offentlige gældskvote ved udgangen af planlægningsperioden er faldet til under det niveau, den lå på året før starten af den tekniske kurs. </w:t>
            </w:r>
            <w:r w:rsidRPr="00B65D81">
              <w:rPr>
                <w:b/>
                <w:i/>
              </w:rPr>
              <w:t>Holdbarheden af denne gældsreduktion bør være resultatet af en hensigtsmæssig f</w:t>
            </w:r>
            <w:r w:rsidRPr="00B65D81">
              <w:rPr>
                <w:b/>
                <w:i/>
              </w:rPr>
              <w:t>inanspolitik.</w:t>
            </w:r>
          </w:p>
        </w:tc>
        <w:tc>
          <w:tcPr>
            <w:tcW w:w="4876" w:type="dxa"/>
            <w:hideMark/>
          </w:tcPr>
          <w:p w:rsidR="006B07BB" w:rsidRPr="00B65D81" w:rsidRDefault="00EE5C2C" w:rsidP="00420909">
            <w:pPr>
              <w:pStyle w:val="Normal6"/>
              <w:rPr>
                <w:szCs w:val="24"/>
              </w:rPr>
            </w:pPr>
            <w:r w:rsidRPr="00B65D81">
              <w:t>(13)</w:t>
            </w:r>
            <w:r w:rsidRPr="00B65D81">
              <w:tab/>
              <w:t>For at vejlede medlemsstater i udarbejdelsen af deres mellemfristede plan for finans- og strukturpolitiske tiltag bør Kommissionen foreslå en teknisk kurs med udgangspunkt i den finanspolitiske minimumstilpasning, der bringer medlemsstat</w:t>
            </w:r>
            <w:r w:rsidRPr="00B65D81">
              <w:t>ens gældsudvikling på en troværdigt nedadgående kurs eller fastholder den på et forsvarligt niveau</w:t>
            </w:r>
            <w:r w:rsidRPr="00B65D81">
              <w:rPr>
                <w:b/>
                <w:i/>
              </w:rPr>
              <w:t>, samtidig med at der tages hensyn til de målrettede investeringer, der er nødvendige for at opfylde Unionens generelle prioriteter</w:t>
            </w:r>
            <w:r w:rsidRPr="00B65D81">
              <w:t>. Denne kurs bør også sikre</w:t>
            </w:r>
            <w:r w:rsidRPr="00B65D81">
              <w:t>, at den offentlige gældskvote ved udgangen af planlægningsperioden er faldet til under det niveau, den lå på året før starten af den tekniske kurs.</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9</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Betragtning 22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(22)</w:t>
            </w:r>
            <w:r w:rsidRPr="00B65D81">
              <w:tab/>
              <w:t>For at sikre en mere gradvis gældsnedbringelse kan tilpasningsperioden forlænges med højst tre år, hvis medlemsstaten understøtter sin plan med et sæt verificerbare og tidsbestemte refo</w:t>
            </w:r>
            <w:r w:rsidRPr="00B65D81">
              <w:t>rmer og investeringer, der samlet set fremmer vækst, støtter finanspolitisk holdbarhed, understøtter Unionens generelle prioriteter, efterkommer relevante landespecifikke henstillinger, der er rettet til medlemsstaten inden for rammerne af det europæiske s</w:t>
            </w:r>
            <w:r w:rsidRPr="00B65D81">
              <w:t xml:space="preserve">emester, og efterkommer de landespecifikke investeringsprioriteter, uden at føre til nedskæringer i andre nationalt finansierede offentlige udgifter under tilpasningsperioden for at sikre, at investeringerne får makroøkonomisk </w:t>
            </w:r>
            <w:r w:rsidRPr="00B65D81">
              <w:lastRenderedPageBreak/>
              <w:t>virkning, og undgå at udelukk</w:t>
            </w:r>
            <w:r w:rsidRPr="00B65D81">
              <w:t>e andre investeringsprioriteter.</w:t>
            </w:r>
          </w:p>
        </w:tc>
        <w:tc>
          <w:tcPr>
            <w:tcW w:w="4876" w:type="dxa"/>
            <w:hideMark/>
          </w:tcPr>
          <w:p w:rsidR="006B07BB" w:rsidRPr="00B65D81" w:rsidRDefault="00EE5C2C" w:rsidP="00420909">
            <w:pPr>
              <w:pStyle w:val="Normal6"/>
              <w:rPr>
                <w:szCs w:val="24"/>
              </w:rPr>
            </w:pPr>
            <w:r w:rsidRPr="00B65D81">
              <w:lastRenderedPageBreak/>
              <w:t>(22)</w:t>
            </w:r>
            <w:r w:rsidRPr="00B65D81">
              <w:tab/>
              <w:t>For at sikre en mere gradvis gældsnedbringelse kan tilpasningsperioden forlænges med højst tre år, hvis medlemsstaten understøtter sin plan med et sæt verificerbare og tidsbestemte reformer og investeringer, der samlet</w:t>
            </w:r>
            <w:r w:rsidRPr="00B65D81">
              <w:t xml:space="preserve"> set fremmer </w:t>
            </w:r>
            <w:r w:rsidRPr="00B65D81">
              <w:rPr>
                <w:b/>
                <w:i/>
              </w:rPr>
              <w:t xml:space="preserve">bæredygtig og inklusiv </w:t>
            </w:r>
            <w:r w:rsidRPr="00B65D81">
              <w:t>vækst</w:t>
            </w:r>
            <w:r w:rsidRPr="00B65D81">
              <w:rPr>
                <w:b/>
                <w:i/>
              </w:rPr>
              <w:t>, fremmer opadgående social konvergens</w:t>
            </w:r>
            <w:r w:rsidRPr="00B65D81">
              <w:t xml:space="preserve">, støtter finanspolitisk holdbarhed, understøtter Unionens generelle prioriteter, efterkommer relevante landespecifikke henstillinger, der er rettet til medlemsstaten inden for </w:t>
            </w:r>
            <w:r w:rsidRPr="00B65D81">
              <w:t>rammerne af det europæiske semester, og efterkommer de landespecifikke investeringsprioriteter, uden at føre til nedskæringer i andre nationalt finansierede offentlige udgifter</w:t>
            </w:r>
            <w:r w:rsidRPr="00B65D81">
              <w:rPr>
                <w:b/>
                <w:i/>
              </w:rPr>
              <w:t xml:space="preserve">, </w:t>
            </w:r>
            <w:r w:rsidRPr="00B65D81">
              <w:rPr>
                <w:b/>
                <w:i/>
              </w:rPr>
              <w:lastRenderedPageBreak/>
              <w:t>herunder sociale investeringer,</w:t>
            </w:r>
            <w:r w:rsidRPr="00B65D81">
              <w:t xml:space="preserve"> under tilpasningsperioden for at sikre, at inv</w:t>
            </w:r>
            <w:r w:rsidRPr="00B65D81">
              <w:t>esteringerne får makroøkonomisk virkning, og undgå at udelukke andre investeringsprioriteter.</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rPr>
          <w:rStyle w:val="HideTWBExt"/>
          <w:b w:val="0"/>
          <w:noProof w:val="0"/>
        </w:rPr>
        <w:t>&lt;NumAm&gt;</w:t>
      </w:r>
      <w:r w:rsidRPr="00B65D81">
        <w:t>10</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Ved denne forordning fastsættes regler til at sikre en effektiv samordning af medlemsstaternes økonomiske politikker med henblik på at støtte opfyldelsen af Unionens målsætninger for vækst og beskæftigelse.</w:t>
            </w:r>
          </w:p>
        </w:tc>
        <w:tc>
          <w:tcPr>
            <w:tcW w:w="4876" w:type="dxa"/>
            <w:hideMark/>
          </w:tcPr>
          <w:p w:rsidR="006B07BB" w:rsidRPr="00B65D81" w:rsidRDefault="00EE5C2C" w:rsidP="00420909">
            <w:pPr>
              <w:pStyle w:val="Normal6"/>
              <w:rPr>
                <w:szCs w:val="24"/>
              </w:rPr>
            </w:pPr>
            <w:r w:rsidRPr="00B65D81">
              <w:t xml:space="preserve">Ved denne forordning fastsættes </w:t>
            </w:r>
            <w:r w:rsidRPr="00B65D81">
              <w:t xml:space="preserve">regler til at sikre en effektiv samordning af medlemsstaternes økonomiske politikker med henblik på at støtte opfyldelsen af Unionens målsætninger for </w:t>
            </w:r>
            <w:r w:rsidRPr="00B65D81">
              <w:rPr>
                <w:b/>
                <w:i/>
              </w:rPr>
              <w:t xml:space="preserve">bæredygtig og inklusiv </w:t>
            </w:r>
            <w:r w:rsidRPr="00B65D81">
              <w:t>vækst og beskæftigelse</w:t>
            </w:r>
            <w:r w:rsidRPr="00B65D81">
              <w:rPr>
                <w:b/>
                <w:i/>
              </w:rPr>
              <w:t xml:space="preserve"> af høj kvalitet</w:t>
            </w:r>
            <w:r w:rsidRPr="00B65D81">
              <w:t>.</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11</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 – stk. 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Der fastsættes detaljerede regler for indhold, forelæggelse, undersøgelse og overvågning af nationale mellemfristede plan</w:t>
            </w:r>
            <w:r w:rsidRPr="00B65D81">
              <w:t>er for finans- og strukturpolitiske tiltag som led i den multilaterale budgetovervågning, som Rådet og Kommissionen gennemfører for at fremme gældsholdbarhed og bæredygtig og inklusiv vækst i medlemsstaterne samt forhindre forekomsten af uforholdsmæssigt s</w:t>
            </w:r>
            <w:r w:rsidRPr="00B65D81">
              <w:t>tore offentlige underskud gennem planlægning på mellemlang sigt.</w:t>
            </w:r>
          </w:p>
        </w:tc>
        <w:tc>
          <w:tcPr>
            <w:tcW w:w="4876" w:type="dxa"/>
            <w:hideMark/>
          </w:tcPr>
          <w:p w:rsidR="006B07BB" w:rsidRPr="00B65D81" w:rsidRDefault="00EE5C2C" w:rsidP="00420909">
            <w:pPr>
              <w:pStyle w:val="Normal6"/>
              <w:rPr>
                <w:szCs w:val="24"/>
              </w:rPr>
            </w:pPr>
            <w:r w:rsidRPr="00B65D81">
              <w:t>Der fastsættes detaljerede regler for indhold, forelæggelse, undersøgelse og overvågning af nationale mellemfristede planer for finans- og strukturpolitiske tiltag som led i den multilaterale</w:t>
            </w:r>
            <w:r w:rsidRPr="00B65D81">
              <w:t xml:space="preserve"> budgetovervågning, som Rådet og Kommissionen gennemfører for at fremme gældsholdbarhed og bæredygtig og inklusiv vækst </w:t>
            </w:r>
            <w:r w:rsidRPr="00B65D81">
              <w:rPr>
                <w:b/>
                <w:i/>
              </w:rPr>
              <w:t xml:space="preserve">og opadgående social konvergens </w:t>
            </w:r>
            <w:r w:rsidRPr="00B65D81">
              <w:t>i medlemsstaterne samt forhindre forekomsten af uforholdsmæssigt store offentlige underskud gennem planl</w:t>
            </w:r>
            <w:r w:rsidRPr="00B65D81">
              <w:t>ægning på mellemlang sigt</w:t>
            </w:r>
            <w:r w:rsidRPr="00B65D81">
              <w:rPr>
                <w:b/>
                <w:i/>
              </w:rPr>
              <w:t>, samtidig med at der sikres de målrettede økonomiske og sociale investeringer i overensstemmelse med Unionens generelle prioriteter</w:t>
            </w:r>
            <w:r w:rsidRPr="00B65D81">
              <w:t>.</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lastRenderedPageBreak/>
        <w:t>&lt;Amend&gt;</w:t>
      </w:r>
      <w:r w:rsidRPr="00B65D81">
        <w:t>Ændringsforslag</w:t>
      </w:r>
      <w:r w:rsidRPr="00B65D81">
        <w:tab/>
      </w:r>
      <w:r w:rsidRPr="00B65D81">
        <w:tab/>
      </w:r>
      <w:r w:rsidRPr="00B65D81">
        <w:rPr>
          <w:rStyle w:val="HideTWBExt"/>
          <w:b w:val="0"/>
          <w:noProof w:val="0"/>
        </w:rPr>
        <w:t>&lt;NumAm&gt;</w:t>
      </w:r>
      <w:r w:rsidRPr="00B65D81">
        <w:t>12</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3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 xml:space="preserve">For at sikre en snævrere samordning af de økonomiske politikker og </w:t>
            </w:r>
            <w:r w:rsidRPr="00B65D81">
              <w:rPr>
                <w:b/>
                <w:i/>
              </w:rPr>
              <w:t>varig</w:t>
            </w:r>
            <w:r w:rsidRPr="00B65D81">
              <w:t xml:space="preserve"> konvergens mellem medlemsstaternes økonomiske og sociale resultater </w:t>
            </w:r>
            <w:r w:rsidRPr="00B65D81">
              <w:rPr>
                <w:b/>
                <w:i/>
              </w:rPr>
              <w:t>fortager</w:t>
            </w:r>
            <w:r w:rsidRPr="00B65D81">
              <w:t xml:space="preserve"> Rådet og Kommissionen multilateral overvågning inden for rammerne af det europæiske semester i overensstemmelse med målsætningerne og bestemmelserne i TEUF. Den multilaterale overvågning baseres på uafhængige statistikker af høj kvalitet, der er udarbejde</w:t>
            </w:r>
            <w:r w:rsidRPr="00B65D81">
              <w:t>t i overensstemmelse med principperne i Europa-Parlamentets og Rådets forordning (EF) nr. 223/2009.</w:t>
            </w:r>
          </w:p>
        </w:tc>
        <w:tc>
          <w:tcPr>
            <w:tcW w:w="4876" w:type="dxa"/>
            <w:hideMark/>
          </w:tcPr>
          <w:p w:rsidR="006B07BB" w:rsidRPr="00B65D81" w:rsidRDefault="00EE5C2C" w:rsidP="00420909">
            <w:pPr>
              <w:pStyle w:val="Normal6"/>
              <w:rPr>
                <w:szCs w:val="24"/>
              </w:rPr>
            </w:pPr>
            <w:r w:rsidRPr="00B65D81">
              <w:t xml:space="preserve">For at sikre en snævrere samordning af de økonomiske politikker og </w:t>
            </w:r>
            <w:r w:rsidRPr="00B65D81">
              <w:rPr>
                <w:b/>
                <w:i/>
              </w:rPr>
              <w:t>beskæftigelsespolitikkerne og opadgående</w:t>
            </w:r>
            <w:r w:rsidRPr="00B65D81">
              <w:t xml:space="preserve"> konvergens mellem medlemsstaternes økonomiske og</w:t>
            </w:r>
            <w:r w:rsidRPr="00B65D81">
              <w:t xml:space="preserve"> sociale resultater </w:t>
            </w:r>
            <w:r w:rsidRPr="00B65D81">
              <w:rPr>
                <w:b/>
                <w:i/>
              </w:rPr>
              <w:t>i overensstemmelse med Unionens generelle prioriteter foretager</w:t>
            </w:r>
            <w:r w:rsidRPr="00B65D81">
              <w:t xml:space="preserve"> Rådet og Kommissionen multilateral overvågning inden for rammerne af det europæiske semester i overensstemmelse med målsætningerne og bestemmelserne i TEUF. Den multilatera</w:t>
            </w:r>
            <w:r w:rsidRPr="00B65D81">
              <w:t>le overvågning baseres på uafhængige statistikker af høj kvalitet, der er udarbejdet i overensstemmelse med principperne i Europa-Parlamentets og Rådets forordning (EF) nr. 223/2009.</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13</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 xml:space="preserve">Forslag </w:t>
      </w:r>
      <w:r w:rsidRPr="00B65D81">
        <w:t>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3 – stk. 2 – litra b</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b)</w:t>
            </w:r>
            <w:r w:rsidRPr="00B65D81">
              <w:tab/>
              <w:t>udformning samt overvågning af gennemførelsen af de retningslinjer, som medlemsstaterne skal tage højde for i deres beskæftigelsespolitikk</w:t>
            </w:r>
            <w:r w:rsidRPr="00B65D81">
              <w:t xml:space="preserve">er i overensstemmelse med artikel 148, stk. 2, i TEUF, </w:t>
            </w:r>
            <w:r w:rsidRPr="00B65D81">
              <w:rPr>
                <w:b/>
                <w:i/>
              </w:rPr>
              <w:t>herunder</w:t>
            </w:r>
            <w:r w:rsidRPr="00B65D81">
              <w:t xml:space="preserve"> den europæiske søjle for sociale rettigheder, samt af de relaterede landespecifikke henstillinger</w:t>
            </w:r>
          </w:p>
        </w:tc>
        <w:tc>
          <w:tcPr>
            <w:tcW w:w="4876" w:type="dxa"/>
            <w:hideMark/>
          </w:tcPr>
          <w:p w:rsidR="006B07BB" w:rsidRPr="00B65D81" w:rsidRDefault="00EE5C2C" w:rsidP="00420909">
            <w:pPr>
              <w:pStyle w:val="Normal6"/>
              <w:rPr>
                <w:szCs w:val="24"/>
              </w:rPr>
            </w:pPr>
            <w:r w:rsidRPr="00B65D81">
              <w:t>b)</w:t>
            </w:r>
            <w:r w:rsidRPr="00B65D81">
              <w:tab/>
            </w:r>
            <w:r w:rsidRPr="00B65D81">
              <w:t xml:space="preserve">udformning samt overvågning af gennemførelsen af de retningslinjer, som medlemsstaterne skal tage højde for i deres beskæftigelsespolitikker i overensstemmelse med artikel 148, stk. 2, i TEUF, </w:t>
            </w:r>
            <w:r w:rsidRPr="00B65D81">
              <w:rPr>
                <w:b/>
                <w:i/>
              </w:rPr>
              <w:t>af</w:t>
            </w:r>
            <w:r w:rsidRPr="00B65D81">
              <w:t xml:space="preserve"> den europæiske søjle for sociale rettigheder</w:t>
            </w:r>
            <w:r w:rsidRPr="00B65D81">
              <w:rPr>
                <w:b/>
                <w:i/>
              </w:rPr>
              <w:t xml:space="preserve"> og dens overord</w:t>
            </w:r>
            <w:r w:rsidRPr="00B65D81">
              <w:rPr>
                <w:b/>
                <w:i/>
              </w:rPr>
              <w:t>nede mål</w:t>
            </w:r>
            <w:r w:rsidRPr="00B65D81">
              <w:t>, samt af de relaterede landespecifikke henstillinger</w:t>
            </w:r>
            <w:r w:rsidRPr="00B65D81">
              <w:rPr>
                <w:b/>
                <w:i/>
              </w:rPr>
              <w:t xml:space="preserve"> samt den sociale resultattavle og dens nøgleindikatorer og sekundære indikatorer og rammen for social konvergens for at forebygge og identificere risici i forbindelse med social konvergens.</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w:t>
      </w:r>
      <w:r w:rsidRPr="00B65D81">
        <w:rPr>
          <w:rStyle w:val="HideTWBExt"/>
          <w:noProof w:val="0"/>
        </w:rPr>
        <w:t>mend&gt;</w:t>
      </w:r>
    </w:p>
    <w:p w:rsidR="006B07BB" w:rsidRPr="00B65D81" w:rsidRDefault="00EE5C2C" w:rsidP="006B07BB">
      <w:pPr>
        <w:pStyle w:val="AmNumberTabs"/>
      </w:pPr>
      <w:r w:rsidRPr="00B65D81">
        <w:rPr>
          <w:rStyle w:val="HideTWBExt"/>
          <w:b w:val="0"/>
          <w:noProof w:val="0"/>
        </w:rPr>
        <w:lastRenderedPageBreak/>
        <w:t>&lt;Amend&gt;</w:t>
      </w:r>
      <w:r w:rsidRPr="00B65D81">
        <w:t>Ændringsforslag</w:t>
      </w:r>
      <w:r w:rsidRPr="00B65D81">
        <w:tab/>
      </w:r>
      <w:r w:rsidRPr="00B65D81">
        <w:tab/>
      </w:r>
      <w:r w:rsidRPr="00B65D81">
        <w:rPr>
          <w:rStyle w:val="HideTWBExt"/>
          <w:b w:val="0"/>
          <w:noProof w:val="0"/>
        </w:rPr>
        <w:t>&lt;NumAm&gt;</w:t>
      </w:r>
      <w:r w:rsidRPr="00B65D81">
        <w:t>14</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4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1.</w:t>
            </w:r>
            <w:r w:rsidRPr="00B65D81">
              <w:tab/>
              <w:t xml:space="preserve">Hvis det på grundlag af vurderingen i henhold til denne forordning af de </w:t>
            </w:r>
            <w:r w:rsidRPr="00B65D81">
              <w:t>mellemfristede planer for finans- og strukturpolitiske tiltag, de årlige statusrapporter og den socioøkonomiske situation i medlemsstaterne viser sig nødvendigt, retter Rådet på grundlag af en henstilling fra Kommissionen henstillinger til de pågældende me</w:t>
            </w:r>
            <w:r w:rsidRPr="00B65D81">
              <w:t>dlemsstater og gør uindskrænket brug af de retlige instrumenter, der er fastsat i artikel 121 og 148 i TEUF og relateret afledt ret.</w:t>
            </w:r>
          </w:p>
        </w:tc>
        <w:tc>
          <w:tcPr>
            <w:tcW w:w="4876" w:type="dxa"/>
            <w:hideMark/>
          </w:tcPr>
          <w:p w:rsidR="006B07BB" w:rsidRPr="00B65D81" w:rsidRDefault="00EE5C2C" w:rsidP="00420909">
            <w:pPr>
              <w:pStyle w:val="Normal6"/>
              <w:rPr>
                <w:szCs w:val="24"/>
              </w:rPr>
            </w:pPr>
            <w:r w:rsidRPr="00B65D81">
              <w:t>1.</w:t>
            </w:r>
            <w:r w:rsidRPr="00B65D81">
              <w:tab/>
            </w:r>
            <w:r w:rsidRPr="00B65D81">
              <w:t>Hvis det på grundlag af vurderingen i henhold til denne forordning af de mellemfristede planer for finans- og strukturpolitiske tiltag, de årlige statusrapporter og den socioøkonomiske situation i medlemsstaterne viser sig nødvendigt, retter Rådet på grund</w:t>
            </w:r>
            <w:r w:rsidRPr="00B65D81">
              <w:t xml:space="preserve">lag af en henstilling fra Kommissionen henstillinger til de pågældende medlemsstater og gør uindskrænket brug af </w:t>
            </w:r>
            <w:r w:rsidRPr="00B65D81">
              <w:rPr>
                <w:b/>
                <w:i/>
              </w:rPr>
              <w:t xml:space="preserve">den europæiske søjle for sociale rettigheder og af </w:t>
            </w:r>
            <w:r w:rsidRPr="00B65D81">
              <w:t>de retlige instrumenter, der er fastsat i artikel 121 og 148 i TEUF og relateret afledt ret.</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15</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4 – stk. 3 – litra b a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ba)</w:t>
            </w:r>
            <w:r w:rsidRPr="00B65D81">
              <w:rPr>
                <w:b/>
                <w:i/>
              </w:rPr>
              <w:tab/>
              <w:t xml:space="preserve">en henstilling fra Rådet på grundlag af et forslag fra </w:t>
            </w:r>
            <w:r w:rsidRPr="00B65D81">
              <w:rPr>
                <w:b/>
                <w:i/>
              </w:rPr>
              <w:t>Kommissionen i henhold til artikel 148, stk. 4, i TEUF eller gennemførelsen af principperne i den europæiske søjle for sociale rettigheder</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rPr>
          <w:rStyle w:val="HideTWBExt"/>
          <w:b w:val="0"/>
          <w:noProof w:val="0"/>
        </w:rPr>
        <w:t>&lt;NumAm&gt;</w:t>
      </w:r>
      <w:r w:rsidRPr="00B65D81">
        <w:t>16</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 xml:space="preserve">Artikel 7 – </w:t>
      </w:r>
      <w:r w:rsidRPr="00B65D81">
        <w:t>stk. 1 – litra b</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b)</w:t>
            </w:r>
            <w:r w:rsidRPr="00B65D81">
              <w:tab/>
              <w:t>dens makroøkonomiske prognoser og antagelser</w:t>
            </w:r>
          </w:p>
        </w:tc>
        <w:tc>
          <w:tcPr>
            <w:tcW w:w="4876" w:type="dxa"/>
            <w:hideMark/>
          </w:tcPr>
          <w:p w:rsidR="006B07BB" w:rsidRPr="00B65D81" w:rsidRDefault="00EE5C2C" w:rsidP="00420909">
            <w:pPr>
              <w:pStyle w:val="Normal6"/>
              <w:rPr>
                <w:szCs w:val="24"/>
              </w:rPr>
            </w:pPr>
            <w:r w:rsidRPr="00B65D81">
              <w:t>b)</w:t>
            </w:r>
            <w:r w:rsidRPr="00B65D81">
              <w:tab/>
              <w:t xml:space="preserve">dens makroøkonomiske prognoser og antagelser samt </w:t>
            </w:r>
            <w:r w:rsidRPr="00B65D81">
              <w:rPr>
                <w:b/>
                <w:i/>
              </w:rPr>
              <w:t>prognoser og antagelser vedrørende sociale risici</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lastRenderedPageBreak/>
        <w:t>&lt;Amend&gt;</w:t>
      </w:r>
      <w:r w:rsidRPr="00B65D81">
        <w:t>Ændringsforslag</w:t>
      </w:r>
      <w:r w:rsidRPr="00B65D81">
        <w:tab/>
      </w:r>
      <w:r w:rsidRPr="00B65D81">
        <w:tab/>
      </w:r>
      <w:r w:rsidRPr="00B65D81">
        <w:rPr>
          <w:rStyle w:val="HideTWBExt"/>
          <w:b w:val="0"/>
          <w:noProof w:val="0"/>
        </w:rPr>
        <w:t>&lt;NumAm&gt;</w:t>
      </w:r>
      <w:r w:rsidRPr="00B65D81">
        <w:t>17</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11 – stk. 1 – afsnit 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Den nationale mellemfristede plan for finans- og strukturpolitiske tiltag skal også indeholde en beskrivelse af de foranstaltninger, som den pågældende medlemsstat vil træffe for at efterkomme de landespecifikke henstillinger, herunder de henstillinger, de</w:t>
            </w:r>
            <w:r w:rsidRPr="00B65D81">
              <w:t xml:space="preserve">r er relevante i forbindelse med </w:t>
            </w:r>
            <w:r w:rsidRPr="00B65D81">
              <w:rPr>
                <w:b/>
                <w:i/>
              </w:rPr>
              <w:t>proceduren</w:t>
            </w:r>
            <w:r w:rsidRPr="00B65D81">
              <w:t xml:space="preserve"> i </w:t>
            </w:r>
            <w:r w:rsidRPr="00B65D81">
              <w:rPr>
                <w:b/>
                <w:i/>
              </w:rPr>
              <w:t>forbindelse med makroøkonomiske ubalancer</w:t>
            </w:r>
            <w:r w:rsidRPr="00B65D81">
              <w:t>, samt de advarsler eller de henstillinger, som Kommissionen henholdsvis Rådet eventuelt har rettet til den i henhold til artikel 121, stk. 4, i TEUF.</w:t>
            </w:r>
          </w:p>
        </w:tc>
        <w:tc>
          <w:tcPr>
            <w:tcW w:w="4876" w:type="dxa"/>
            <w:hideMark/>
          </w:tcPr>
          <w:p w:rsidR="006B07BB" w:rsidRPr="00B65D81" w:rsidRDefault="00EE5C2C" w:rsidP="00420909">
            <w:pPr>
              <w:pStyle w:val="Normal6"/>
              <w:rPr>
                <w:szCs w:val="24"/>
              </w:rPr>
            </w:pPr>
            <w:r w:rsidRPr="00B65D81">
              <w:t>Den nationale mell</w:t>
            </w:r>
            <w:r w:rsidRPr="00B65D81">
              <w:t xml:space="preserve">emfristede plan for finans- og strukturpolitiske tiltag skal også indeholde en beskrivelse af de foranstaltninger, som den pågældende medlemsstat vil træffe for at efterkomme de landespecifikke henstillinger, herunder de henstillinger, der er relevante </w:t>
            </w:r>
            <w:r w:rsidRPr="00B65D81">
              <w:rPr>
                <w:b/>
                <w:i/>
              </w:rPr>
              <w:t>for</w:t>
            </w:r>
            <w:r w:rsidRPr="00B65D81">
              <w:rPr>
                <w:b/>
                <w:i/>
              </w:rPr>
              <w:t xml:space="preserve"> proceduren </w:t>
            </w:r>
            <w:r w:rsidRPr="00B65D81">
              <w:t xml:space="preserve">i forbindelse med </w:t>
            </w:r>
            <w:r w:rsidRPr="00B65D81">
              <w:rPr>
                <w:b/>
                <w:i/>
              </w:rPr>
              <w:t>makroøkonomiske ubalancer, samt de udfordringer, der er identificeret i rapporterne om social konvergens inden for</w:t>
            </w:r>
            <w:r w:rsidRPr="00B65D81">
              <w:t xml:space="preserve"> </w:t>
            </w:r>
            <w:r w:rsidRPr="00B65D81">
              <w:rPr>
                <w:b/>
                <w:i/>
              </w:rPr>
              <w:t>rammen for social konvergens</w:t>
            </w:r>
            <w:r w:rsidRPr="00B65D81">
              <w:t>, samt de advarsler eller de henstillinger, som Kommissionen henholdsvis Rådet even</w:t>
            </w:r>
            <w:r w:rsidRPr="00B65D81">
              <w:t>tuelt har rettet til den i henhold til artikel 121</w:t>
            </w:r>
            <w:r w:rsidRPr="00B65D81">
              <w:rPr>
                <w:b/>
                <w:i/>
              </w:rPr>
              <w:t>, stk. 4, i TEUF og artikel 148</w:t>
            </w:r>
            <w:r w:rsidRPr="00B65D81">
              <w:t>, stk. 4, i TEUF.</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18</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12 – stk. 1 – litra b</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b)</w:t>
            </w:r>
            <w:r w:rsidRPr="00B65D81">
              <w:tab/>
              <w:t>indeholde en redegørelse for, hvordan det sikres, at reform- og investeringstiltagene efterkommer de vigtigste udfordringer, der er identificeret i de landespecifikke henstillinger inden for rammerne af det europæi</w:t>
            </w:r>
            <w:r w:rsidRPr="00B65D81">
              <w:t xml:space="preserve">ske semester, hvordan de makroøkonomiske ubalancer, der eventuelt er konstateret inden for rammerne af proceduren i forbindelse med makroøkonomiske ubalancer, korrigeres, og hvordan Unionens generelle prioriteter som anført i bilag VI </w:t>
            </w:r>
            <w:r w:rsidRPr="00B65D81">
              <w:rPr>
                <w:b/>
                <w:i/>
              </w:rPr>
              <w:t>til</w:t>
            </w:r>
            <w:r w:rsidRPr="00B65D81">
              <w:t xml:space="preserve"> denne forordning,</w:t>
            </w:r>
            <w:r w:rsidRPr="00B65D81">
              <w:t xml:space="preserve"> herunder den europæiske grønne pagt, den europæiske søjle for sociale rettigheder og det digitale årti, understøttes, samtidig med at de er i overensstemmelse med de </w:t>
            </w:r>
            <w:r w:rsidRPr="00B65D81">
              <w:lastRenderedPageBreak/>
              <w:t>ajourførte nationale energi- og klimaplaner og de nationale køreplaner for det digitale å</w:t>
            </w:r>
            <w:r w:rsidRPr="00B65D81">
              <w:t>rti</w:t>
            </w:r>
          </w:p>
        </w:tc>
        <w:tc>
          <w:tcPr>
            <w:tcW w:w="4876" w:type="dxa"/>
            <w:hideMark/>
          </w:tcPr>
          <w:p w:rsidR="006B07BB" w:rsidRPr="00B65D81" w:rsidRDefault="00EE5C2C" w:rsidP="00420909">
            <w:pPr>
              <w:pStyle w:val="Normal6"/>
              <w:rPr>
                <w:szCs w:val="24"/>
              </w:rPr>
            </w:pPr>
            <w:r w:rsidRPr="00B65D81">
              <w:lastRenderedPageBreak/>
              <w:t>b)</w:t>
            </w:r>
            <w:r w:rsidRPr="00B65D81">
              <w:tab/>
            </w:r>
            <w:r w:rsidRPr="00B65D81">
              <w:rPr>
                <w:b/>
                <w:i/>
              </w:rPr>
              <w:t>vurdere de nationale mangler i de offentlige investeringer for at nå de fælles prioriteter; på dette grundlag skal det fastsættes, at den planlagte finanspolitiske tilpasning giver mulighed for de nødvendige sociale investeringer til gennemførelse a</w:t>
            </w:r>
            <w:r w:rsidRPr="00B65D81">
              <w:rPr>
                <w:b/>
                <w:i/>
              </w:rPr>
              <w:t xml:space="preserve">f principperne i den europæiske søjle for sociale rettigheder. Derudover skal den </w:t>
            </w:r>
            <w:r w:rsidRPr="00B65D81">
              <w:t>indeholde en redegørelse for, hvordan det sikres, at reform- og investeringstiltagene efterkommer de vigtigste udfordringer, der er identificeret i de landespecifikke henstil</w:t>
            </w:r>
            <w:r w:rsidRPr="00B65D81">
              <w:t xml:space="preserve">linger inden for rammerne af det europæiske semester, hvordan de makroøkonomiske ubalancer, der eventuelt </w:t>
            </w:r>
            <w:r w:rsidRPr="00B65D81">
              <w:lastRenderedPageBreak/>
              <w:t xml:space="preserve">er konstateret inden for rammerne af proceduren i forbindelse med makroøkonomiske ubalancer, korrigeres, </w:t>
            </w:r>
            <w:r w:rsidRPr="00B65D81">
              <w:rPr>
                <w:b/>
                <w:i/>
              </w:rPr>
              <w:t xml:space="preserve">hvordan de risici for social konvergens, der </w:t>
            </w:r>
            <w:r w:rsidRPr="00B65D81">
              <w:rPr>
                <w:b/>
                <w:i/>
              </w:rPr>
              <w:t xml:space="preserve">eventuelt er konstateret inden for rammen for social konvergens, korrigeres, </w:t>
            </w:r>
            <w:r w:rsidRPr="00B65D81">
              <w:t xml:space="preserve">og hvordan Unionens generelle prioriteter som anført i Bilag VI </w:t>
            </w:r>
            <w:r w:rsidRPr="00B65D81">
              <w:rPr>
                <w:b/>
                <w:i/>
              </w:rPr>
              <w:t>i</w:t>
            </w:r>
            <w:r w:rsidRPr="00B65D81">
              <w:t xml:space="preserve"> denne forordning, herunder den europæiske grønne pagt, den europæiske søjle for sociale rettigheder</w:t>
            </w:r>
            <w:r w:rsidRPr="00B65D81">
              <w:rPr>
                <w:b/>
                <w:i/>
              </w:rPr>
              <w:t xml:space="preserve">, herunder de </w:t>
            </w:r>
            <w:r w:rsidRPr="00B65D81">
              <w:rPr>
                <w:b/>
                <w:i/>
              </w:rPr>
              <w:t>relaterede mål for beskæftigeles, uddannelse og fattigdomsbekæmpelse inden 2030,</w:t>
            </w:r>
            <w:r w:rsidRPr="00B65D81">
              <w:t xml:space="preserve"> og det digitale årti, understøttes, samtidig med at de er i overensstemmelse med de ajourførte nationale energi- og klimaplaner og de nationale køreplaner for det digitale årt</w:t>
            </w:r>
            <w:r w:rsidRPr="00B65D81">
              <w:t>i</w:t>
            </w:r>
            <w:r w:rsidRPr="00B65D81">
              <w:rPr>
                <w:b/>
                <w:i/>
              </w:rPr>
              <w:t xml:space="preserve">. Den skal desuden redegøre for, hvordan den bidrager til gennemførelsen af de overordnede retningslinjer for medlemsstaternes økonomiske politikker og til beskæftigelsesretningslinjerne i overensstemmelse med artikel 121, stk. 2, og artikel 148, stk. 2, </w:t>
            </w:r>
            <w:r w:rsidRPr="00B65D81">
              <w:rPr>
                <w:b/>
                <w:i/>
              </w:rPr>
              <w:t>i TEUF</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19</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12 – stk. 1 – litra d a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da)</w:t>
            </w:r>
            <w:r w:rsidRPr="00B65D81">
              <w:rPr>
                <w:b/>
                <w:i/>
              </w:rPr>
              <w:tab/>
              <w:t>redegøre for den høringsproces, der gennemføres i</w:t>
            </w:r>
            <w:r w:rsidRPr="00B65D81">
              <w:rPr>
                <w:b/>
                <w:i/>
              </w:rPr>
              <w:t xml:space="preserve"> overensstemmelse med de nationale retlige rammer af lokale og regionale myndigheder, arbejdsmarkedets parter, civilsamfundsorganisationer og andre relevante interessenter, og hvordan interessenternes input er afspejlet i planen og i gennemførelsesprocesse</w:t>
            </w:r>
            <w:r w:rsidRPr="00B65D81">
              <w:rPr>
                <w:b/>
                <w:i/>
              </w:rPr>
              <w:t>n, og</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20</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13 – stk. 2 – afsnit 2 – nr. iv</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iv)</w:t>
            </w:r>
            <w:r w:rsidRPr="00B65D81">
              <w:tab/>
              <w:t xml:space="preserve">efterkomme relevante landespecifikke </w:t>
            </w:r>
            <w:r w:rsidRPr="00B65D81">
              <w:t>henstillinger, der er rettet til den pågældende medlemsstat, herunder eventuelle henstillinger inden for rammerne af proceduren i forbindelse med makroøkonomiske ubalancer</w:t>
            </w:r>
          </w:p>
        </w:tc>
        <w:tc>
          <w:tcPr>
            <w:tcW w:w="4876" w:type="dxa"/>
            <w:hideMark/>
          </w:tcPr>
          <w:p w:rsidR="006B07BB" w:rsidRPr="00B65D81" w:rsidRDefault="00EE5C2C" w:rsidP="00420909">
            <w:pPr>
              <w:pStyle w:val="Normal6"/>
              <w:rPr>
                <w:szCs w:val="24"/>
              </w:rPr>
            </w:pPr>
            <w:r w:rsidRPr="00B65D81">
              <w:t>iv)</w:t>
            </w:r>
            <w:r w:rsidRPr="00B65D81">
              <w:tab/>
              <w:t>efterkomme relevante landespecifikke henstillinger, der er rettet til den pågæld</w:t>
            </w:r>
            <w:r w:rsidRPr="00B65D81">
              <w:t xml:space="preserve">ende medlemsstat, </w:t>
            </w:r>
            <w:r w:rsidRPr="00B65D81">
              <w:rPr>
                <w:b/>
                <w:i/>
              </w:rPr>
              <w:t xml:space="preserve">i henhold til artikel 121, stk. 4, og artikel 148, stk. 4, i TEUF, </w:t>
            </w:r>
            <w:r w:rsidRPr="00B65D81">
              <w:t>herunder eventuelle henstillinger inden for rammerne af proceduren i forbindelse med makroøkonomiske ubalancer</w:t>
            </w:r>
            <w:r w:rsidRPr="00B65D81">
              <w:rPr>
                <w:b/>
                <w:i/>
              </w:rPr>
              <w:t xml:space="preserve"> samt inden for rammen for social konvergens</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21</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16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Rådet vedtager på grundlag af en henstilling fra Kommissionen en henstilling, hvori det fastsætter en medlemsstats nettoudgiftskurs og, hvis det er relevant, godkender de reform- og investeringstilsagn, der er lagt til grund for en forlængelse af tilpasnin</w:t>
            </w:r>
            <w:r w:rsidRPr="00B65D81">
              <w:t xml:space="preserve">gsperioden i den nationale mellemfristede plan for finans- og strukturpolitiske tiltag, </w:t>
            </w:r>
            <w:r w:rsidRPr="00B65D81">
              <w:rPr>
                <w:b/>
                <w:i/>
              </w:rPr>
              <w:t>som hovedregel senest fire</w:t>
            </w:r>
            <w:r w:rsidRPr="00B65D81">
              <w:t xml:space="preserve"> uger </w:t>
            </w:r>
            <w:r w:rsidRPr="00B65D81">
              <w:rPr>
                <w:b/>
                <w:i/>
              </w:rPr>
              <w:t>efter</w:t>
            </w:r>
            <w:r w:rsidRPr="00B65D81">
              <w:t xml:space="preserve"> vedtagelsen af Kommissionens henstilling.</w:t>
            </w:r>
          </w:p>
        </w:tc>
        <w:tc>
          <w:tcPr>
            <w:tcW w:w="4876" w:type="dxa"/>
            <w:hideMark/>
          </w:tcPr>
          <w:p w:rsidR="006B07BB" w:rsidRPr="00B65D81" w:rsidRDefault="00EE5C2C" w:rsidP="00420909">
            <w:pPr>
              <w:pStyle w:val="Normal6"/>
              <w:rPr>
                <w:szCs w:val="24"/>
              </w:rPr>
            </w:pPr>
            <w:r w:rsidRPr="00B65D81">
              <w:t xml:space="preserve">Rådet vedtager på grundlag af en henstilling fra Kommissionen </w:t>
            </w:r>
            <w:r w:rsidRPr="00B65D81">
              <w:rPr>
                <w:b/>
                <w:i/>
              </w:rPr>
              <w:t>og efter at have hørt de r</w:t>
            </w:r>
            <w:r w:rsidRPr="00B65D81">
              <w:rPr>
                <w:b/>
                <w:i/>
              </w:rPr>
              <w:t xml:space="preserve">elevante rådgivende udvalg, jf. artikel 26, </w:t>
            </w:r>
            <w:r w:rsidRPr="00B65D81">
              <w:t>en henstilling, hvori det fastsætter en medlemsstats nettoudgiftskurs og, hvis det er relevant, godkender de reform- og investeringstilsagn, der er lagt til grund for en forlængelse af tilpasningsperioden i den n</w:t>
            </w:r>
            <w:r w:rsidRPr="00B65D81">
              <w:t xml:space="preserve">ationale mellemfristede plan for finans- og strukturpolitiske tiltag, som hovedregel </w:t>
            </w:r>
            <w:r w:rsidRPr="00B65D81">
              <w:rPr>
                <w:b/>
                <w:i/>
              </w:rPr>
              <w:t>mellem seks og ti</w:t>
            </w:r>
            <w:r w:rsidRPr="00B65D81">
              <w:t xml:space="preserve"> uger </w:t>
            </w:r>
            <w:r w:rsidRPr="00B65D81">
              <w:rPr>
                <w:b/>
                <w:i/>
              </w:rPr>
              <w:t>fra</w:t>
            </w:r>
            <w:r w:rsidRPr="00B65D81">
              <w:t xml:space="preserve"> vedtagelsen af Kommissionens henstilling.</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22</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w:t>
      </w:r>
      <w:r w:rsidRPr="00B65D81">
        <w:rPr>
          <w:rStyle w:val="HideTWBExt"/>
          <w:b w:val="0"/>
          <w:noProof w:val="0"/>
        </w:rPr>
        <w:t>cle&gt;</w:t>
      </w:r>
      <w:r w:rsidRPr="00B65D81">
        <w:t>Artikel 17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 xml:space="preserve">Finder Rådet, at planen ikke opfylder betingelserne i artikel 15, stk. 2 og stk. 3, litra a), henstiller det på grundlag af en henstilling fra Kommissionen, at den pågældende </w:t>
            </w:r>
            <w:r w:rsidRPr="00B65D81">
              <w:t xml:space="preserve">medlemsstat forelægger en </w:t>
            </w:r>
            <w:r w:rsidRPr="00B65D81">
              <w:lastRenderedPageBreak/>
              <w:t>revideret national mellemfristet plan for finans- og strukturpolitiske tiltag.</w:t>
            </w:r>
          </w:p>
        </w:tc>
        <w:tc>
          <w:tcPr>
            <w:tcW w:w="4876" w:type="dxa"/>
            <w:hideMark/>
          </w:tcPr>
          <w:p w:rsidR="006B07BB" w:rsidRPr="00B65D81" w:rsidRDefault="00EE5C2C" w:rsidP="00420909">
            <w:pPr>
              <w:pStyle w:val="Normal6"/>
              <w:rPr>
                <w:szCs w:val="24"/>
              </w:rPr>
            </w:pPr>
            <w:r w:rsidRPr="00B65D81">
              <w:lastRenderedPageBreak/>
              <w:t>Finder Rådet, at planen ikke opfylder betingelserne i artikel 15, stk. 2 og stk. 3, litra a)</w:t>
            </w:r>
            <w:r w:rsidRPr="00B65D81">
              <w:rPr>
                <w:b/>
                <w:i/>
              </w:rPr>
              <w:t xml:space="preserve"> og b)</w:t>
            </w:r>
            <w:r w:rsidRPr="00B65D81">
              <w:t>, henstiller det på grundlag af en henstilling fra Ko</w:t>
            </w:r>
            <w:r w:rsidRPr="00B65D81">
              <w:t>mmissionen</w:t>
            </w:r>
            <w:r w:rsidRPr="00B65D81">
              <w:rPr>
                <w:b/>
                <w:i/>
              </w:rPr>
              <w:t xml:space="preserve"> og efter at have hørt de relevante rådgivende </w:t>
            </w:r>
            <w:r w:rsidRPr="00B65D81">
              <w:rPr>
                <w:b/>
                <w:i/>
              </w:rPr>
              <w:lastRenderedPageBreak/>
              <w:t>udvalg, jf. artikel 26</w:t>
            </w:r>
            <w:r w:rsidRPr="00B65D81">
              <w:t>, at den pågældende medlemsstat forelægger en revideret national mellemfristet plan for finans- og strukturpolitiske tiltag.</w:t>
            </w:r>
          </w:p>
        </w:tc>
      </w:tr>
    </w:tbl>
    <w:p w:rsidR="006B07BB" w:rsidRPr="00B65D81" w:rsidRDefault="00EE5C2C" w:rsidP="006B07BB">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23</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20 – stk. 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2.</w:t>
            </w:r>
            <w:r w:rsidRPr="00B65D81">
              <w:tab/>
              <w:t xml:space="preserve">Den i stk. 1 omhandlede årlige statusrapport skal navnlig indeholde oplysninger om fremskridtene med gennemførelsen af </w:t>
            </w:r>
            <w:r w:rsidRPr="00B65D81">
              <w:t>nettoudgiftskursen, gennemførelsen af de bredere reform- og investeringstilsagn inden for rammerne af det europæiske semester samt, hvor det er relevant, gennemførelsen af de reform- og investeringstilsagn, der ligger til grund for en forlængelse af tilpas</w:t>
            </w:r>
            <w:r w:rsidRPr="00B65D81">
              <w:t>ningsperioden.</w:t>
            </w:r>
          </w:p>
        </w:tc>
        <w:tc>
          <w:tcPr>
            <w:tcW w:w="4876" w:type="dxa"/>
            <w:hideMark/>
          </w:tcPr>
          <w:p w:rsidR="006B07BB" w:rsidRPr="00B65D81" w:rsidRDefault="00EE5C2C" w:rsidP="00420909">
            <w:pPr>
              <w:pStyle w:val="Normal6"/>
              <w:rPr>
                <w:szCs w:val="24"/>
              </w:rPr>
            </w:pPr>
            <w:r w:rsidRPr="00B65D81">
              <w:t>2.</w:t>
            </w:r>
            <w:r w:rsidRPr="00B65D81">
              <w:tab/>
              <w:t>Den i stk. 1 omhandlede årlige statusrapport skal navnlig indeholde oplysninger om fremskridtene med gennemførelsen af nettoudgiftskursen, gennemførelsen af de bredere reform- og investeringstilsagn inden for rammerne af det europæiske se</w:t>
            </w:r>
            <w:r w:rsidRPr="00B65D81">
              <w:t>mester</w:t>
            </w:r>
            <w:r w:rsidRPr="00B65D81">
              <w:rPr>
                <w:b/>
                <w:i/>
              </w:rPr>
              <w:t>, herunder fremskridtene vedrørende Unionens og de nationale 2030-mål for beskæftigelse, uddannelse og fattigdomsbekæmpelse inden 2030 og, hvor det er relevant, Unionens generelle prioriteter omhandlet i Bilag VI,</w:t>
            </w:r>
            <w:r w:rsidRPr="00B65D81">
              <w:t xml:space="preserve"> samt, hvor det er relevant, gennemfø</w:t>
            </w:r>
            <w:r w:rsidRPr="00B65D81">
              <w:t>relsen af de reform- og investeringstilsagn, der ligger til grund for en forlængelse af tilpasningsperioden.</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24</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22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B65D81">
            <w:pPr>
              <w:pStyle w:val="Normal6"/>
            </w:pPr>
            <w:r w:rsidRPr="00B65D81">
              <w:t>Hver national uafhængig finanspolitisk institution, jf. artikel 8 i Rådets direktiv [...]</w:t>
            </w:r>
            <w:r w:rsidRPr="00B65D81">
              <w:rPr>
                <w:vertAlign w:val="superscript"/>
              </w:rPr>
              <w:t>32</w:t>
            </w:r>
            <w:r w:rsidRPr="00B65D81">
              <w:rPr>
                <w:b/>
                <w:i/>
              </w:rPr>
              <w:t xml:space="preserve"> </w:t>
            </w:r>
            <w:r w:rsidRPr="00B65D81">
              <w:t xml:space="preserve">[om de nationale budgetmæssige rammer], </w:t>
            </w:r>
            <w:r w:rsidRPr="00B65D81">
              <w:rPr>
                <w:b/>
                <w:i/>
              </w:rPr>
              <w:t>foretager en vurdering af, hvorvidt de budgetresultater, der indberettes i statusrap</w:t>
            </w:r>
            <w:r w:rsidRPr="00B65D81">
              <w:rPr>
                <w:b/>
                <w:i/>
              </w:rPr>
              <w:t>porten, jf. artikel 20, stemmer overens med nettoudgiftskursen.</w:t>
            </w:r>
            <w:r w:rsidRPr="00B65D81">
              <w:t xml:space="preserve"> </w:t>
            </w:r>
            <w:r w:rsidRPr="00B65D81">
              <w:rPr>
                <w:b/>
                <w:i/>
              </w:rPr>
              <w:t xml:space="preserve">Hvor det er relevant foretager hver uafhængig finanspolitisk institution ligeledes en analyse af de </w:t>
            </w:r>
            <w:r w:rsidRPr="00B65D81">
              <w:rPr>
                <w:b/>
                <w:i/>
              </w:rPr>
              <w:lastRenderedPageBreak/>
              <w:t>forhold, der ligger til grund for en afvigelse fra nettoudgiftskursen.</w:t>
            </w:r>
          </w:p>
        </w:tc>
        <w:tc>
          <w:tcPr>
            <w:tcW w:w="4876" w:type="dxa"/>
            <w:hideMark/>
          </w:tcPr>
          <w:p w:rsidR="006B07BB" w:rsidRPr="00B65D81" w:rsidRDefault="00EE5C2C" w:rsidP="00420909">
            <w:pPr>
              <w:pStyle w:val="Normal6"/>
              <w:rPr>
                <w:szCs w:val="24"/>
              </w:rPr>
            </w:pPr>
            <w:r w:rsidRPr="00B65D81">
              <w:lastRenderedPageBreak/>
              <w:t>H</w:t>
            </w:r>
            <w:r w:rsidRPr="00B65D81">
              <w:t>ver national uafhæn</w:t>
            </w:r>
            <w:r w:rsidRPr="00B65D81">
              <w:t>gig finanspolitisk institution, jf. artikel 8 i Rådets direktiv [...]</w:t>
            </w:r>
            <w:r w:rsidRPr="00B65D81">
              <w:rPr>
                <w:vertAlign w:val="superscript"/>
              </w:rPr>
              <w:t>32</w:t>
            </w:r>
            <w:r w:rsidRPr="00B65D81">
              <w:t xml:space="preserve"> [om de nationale budgetmæssige rammer], </w:t>
            </w:r>
            <w:r w:rsidRPr="00B65D81">
              <w:rPr>
                <w:b/>
                <w:i/>
              </w:rPr>
              <w:t>skal:</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a)</w:t>
            </w:r>
            <w:r w:rsidRPr="00B65D81">
              <w:t xml:space="preserve"> </w:t>
            </w:r>
            <w:r w:rsidRPr="00B65D81">
              <w:tab/>
            </w:r>
            <w:r w:rsidRPr="00B65D81">
              <w:rPr>
                <w:b/>
                <w:i/>
              </w:rPr>
              <w:t xml:space="preserve">foretage en vurdering af, hvorvidt de budgetresultater, der indberettes i statusrapporten, jf. artikel 20 i denne forordning, </w:t>
            </w:r>
            <w:r w:rsidRPr="00B65D81">
              <w:rPr>
                <w:b/>
                <w:i/>
              </w:rPr>
              <w:t>stemmer overens med nettoudgiftskursen</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b)</w:t>
            </w:r>
            <w:r w:rsidRPr="00B65D81">
              <w:t xml:space="preserve"> </w:t>
            </w:r>
            <w:r w:rsidRPr="00B65D81">
              <w:tab/>
            </w:r>
            <w:r w:rsidRPr="00B65D81">
              <w:rPr>
                <w:b/>
                <w:i/>
              </w:rPr>
              <w:t>hvor det er relevant foretage en analyse af de forhold, der ligger til grund for en afvigelse fra nettoudgiftskursen</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 xml:space="preserve">c) </w:t>
            </w:r>
            <w:r w:rsidRPr="00B65D81">
              <w:tab/>
            </w:r>
            <w:r w:rsidRPr="00B65D81">
              <w:rPr>
                <w:b/>
                <w:i/>
              </w:rPr>
              <w:t xml:space="preserve">foretage en vurdering af de sociale konsekvenser af valg vedrørende finanspolitisk </w:t>
            </w:r>
            <w:r w:rsidRPr="00B65D81">
              <w:rPr>
                <w:b/>
                <w:i/>
              </w:rPr>
              <w:t>tilpasning</w:t>
            </w:r>
          </w:p>
        </w:tc>
      </w:tr>
      <w:tr w:rsidR="006E4784" w:rsidRPr="00B65D81" w:rsidTr="00420909">
        <w:trPr>
          <w:jc w:val="center"/>
        </w:trPr>
        <w:tc>
          <w:tcPr>
            <w:tcW w:w="4876" w:type="dxa"/>
            <w:hideMark/>
          </w:tcPr>
          <w:p w:rsidR="006B07BB" w:rsidRPr="00B65D81" w:rsidRDefault="00EE5C2C" w:rsidP="00420909">
            <w:pPr>
              <w:pStyle w:val="Normal6"/>
            </w:pPr>
            <w:r w:rsidRPr="00B65D81">
              <w:t>__________________</w:t>
            </w:r>
          </w:p>
        </w:tc>
        <w:tc>
          <w:tcPr>
            <w:tcW w:w="4876" w:type="dxa"/>
            <w:hideMark/>
          </w:tcPr>
          <w:p w:rsidR="006B07BB" w:rsidRPr="00B65D81" w:rsidRDefault="00EE5C2C" w:rsidP="00420909">
            <w:pPr>
              <w:pStyle w:val="Normal6"/>
              <w:rPr>
                <w:szCs w:val="24"/>
              </w:rPr>
            </w:pPr>
            <w:r w:rsidRPr="00B65D81">
              <w:t>__________________</w:t>
            </w:r>
          </w:p>
        </w:tc>
      </w:tr>
      <w:tr w:rsidR="006E4784" w:rsidRPr="00B65D81" w:rsidTr="00420909">
        <w:trPr>
          <w:jc w:val="center"/>
        </w:trPr>
        <w:tc>
          <w:tcPr>
            <w:tcW w:w="4876" w:type="dxa"/>
            <w:hideMark/>
          </w:tcPr>
          <w:p w:rsidR="006B07BB" w:rsidRPr="00B65D81" w:rsidRDefault="00EE5C2C" w:rsidP="00420909">
            <w:pPr>
              <w:pStyle w:val="Normal6"/>
            </w:pPr>
            <w:r w:rsidRPr="00B65D81">
              <w:rPr>
                <w:vertAlign w:val="superscript"/>
              </w:rPr>
              <w:t>32</w:t>
            </w:r>
            <w:r w:rsidRPr="00B65D81">
              <w:t xml:space="preserve"> Rådets direktiv [...] af [...] [om ændring af Rådets direktiv 2011/85/EU om krav til medlemsstaternes budgetmæssige rammer] (EUT L … af ..., s. ...).</w:t>
            </w:r>
          </w:p>
        </w:tc>
        <w:tc>
          <w:tcPr>
            <w:tcW w:w="4876" w:type="dxa"/>
            <w:hideMark/>
          </w:tcPr>
          <w:p w:rsidR="006B07BB" w:rsidRPr="00B65D81" w:rsidRDefault="00EE5C2C" w:rsidP="00420909">
            <w:pPr>
              <w:pStyle w:val="Normal6"/>
              <w:rPr>
                <w:szCs w:val="24"/>
              </w:rPr>
            </w:pPr>
            <w:r w:rsidRPr="00B65D81">
              <w:rPr>
                <w:vertAlign w:val="superscript"/>
              </w:rPr>
              <w:t>32</w:t>
            </w:r>
            <w:r w:rsidRPr="00B65D81">
              <w:t xml:space="preserve"> Rådets direktiv [...] af [...] [om ændring af Råd</w:t>
            </w:r>
            <w:r w:rsidRPr="00B65D81">
              <w:t>ets direktiv 2011/85/EU om krav til medlemsstaternes budgetmæssige rammer] (EUT L … af ..., s. ...).</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25</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26 – stk.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 xml:space="preserve">Kommissionens </w:t>
            </w:r>
            <w:r w:rsidRPr="00B65D81">
              <w:t>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Europa-Parlamentet inddrages behørigt i det europæiske semester med henblik på at øge gennemsigtigheden af, ejerskabet til og ansvarligheden for de afgørelser, der træffes, navnlig gennem en økonomisk dialog. Det Økonomiske og Fina</w:t>
            </w:r>
            <w:r w:rsidRPr="00B65D81">
              <w:t>nsielle Udvalg, Udvalget for Økonomisk Politik, Beskæftigelsesudvalget og Udvalget for Social Beskyttelse høres inden for rammerne af det europæiske semester, når det er relevant. Relevante interessenter, især arbejdsmarkedets parter, inddrages inden for r</w:t>
            </w:r>
            <w:r w:rsidRPr="00B65D81">
              <w:t>ammerne af det europæiske semester i de væsentligste politiske spørgsmål, når det er relevant, i overensstemmelse med bestemmelserne i TEUF og de nationale retlige og politiske ordninger.</w:t>
            </w:r>
          </w:p>
        </w:tc>
        <w:tc>
          <w:tcPr>
            <w:tcW w:w="4876" w:type="dxa"/>
            <w:hideMark/>
          </w:tcPr>
          <w:p w:rsidR="006B07BB" w:rsidRPr="00B65D81" w:rsidRDefault="00EE5C2C" w:rsidP="00420909">
            <w:pPr>
              <w:pStyle w:val="Normal6"/>
              <w:rPr>
                <w:szCs w:val="24"/>
              </w:rPr>
            </w:pPr>
            <w:r w:rsidRPr="00B65D81">
              <w:t xml:space="preserve">Europa-Parlamentet inddrages behørigt i det europæiske semester med </w:t>
            </w:r>
            <w:r w:rsidRPr="00B65D81">
              <w:t xml:space="preserve">henblik på at øge gennemsigtigheden af, ejerskabet til og ansvarligheden for de afgørelser, der træffes, navnlig gennem en økonomisk </w:t>
            </w:r>
            <w:r w:rsidRPr="00B65D81">
              <w:rPr>
                <w:b/>
                <w:i/>
              </w:rPr>
              <w:t xml:space="preserve">og beskæftigelsesfokuseret </w:t>
            </w:r>
            <w:r w:rsidRPr="00B65D81">
              <w:t>dialog</w:t>
            </w:r>
            <w:r w:rsidRPr="00B65D81">
              <w:rPr>
                <w:b/>
                <w:i/>
              </w:rPr>
              <w:t xml:space="preserve"> samt med henblik på at fastlægge makroøkonomiske og socialpolitiske prioriteter</w:t>
            </w:r>
            <w:r w:rsidRPr="00B65D81">
              <w:t>. Det Økon</w:t>
            </w:r>
            <w:r w:rsidRPr="00B65D81">
              <w:t xml:space="preserve">omiske og Finansielle Udvalg, Udvalget for Økonomisk Politik, Beskæftigelsesudvalget og Udvalget for Social Beskyttelse høres inden for rammerne af det europæiske semester, når det er relevant. </w:t>
            </w:r>
            <w:r w:rsidRPr="00B65D81">
              <w:rPr>
                <w:b/>
                <w:i/>
              </w:rPr>
              <w:t>Det Europæiske Økonomiske og Sociale Udvalg og Regionsudvalget</w:t>
            </w:r>
            <w:r w:rsidRPr="00B65D81">
              <w:rPr>
                <w:b/>
                <w:i/>
              </w:rPr>
              <w:t xml:space="preserve"> høres også inden for rammerne af det europæiske semester, hvor det er relevant.</w:t>
            </w:r>
            <w:r w:rsidRPr="00B65D81">
              <w:t xml:space="preserve"> Relevante interessenter, især arbejdsmarkedets parter</w:t>
            </w:r>
            <w:r w:rsidRPr="00B65D81">
              <w:rPr>
                <w:b/>
                <w:i/>
              </w:rPr>
              <w:t xml:space="preserve"> </w:t>
            </w:r>
            <w:r w:rsidRPr="00B65D81">
              <w:rPr>
                <w:b/>
                <w:i/>
              </w:rPr>
              <w:lastRenderedPageBreak/>
              <w:t>og civilsamfundsorganisationer</w:t>
            </w:r>
            <w:r w:rsidRPr="00B65D81">
              <w:t>, inddrages inden for rammerne af det europæiske semester i de væsentligste politiske spørg</w:t>
            </w:r>
            <w:r w:rsidRPr="00B65D81">
              <w:t>smål, når det er relevant, i overensstemmelse med bestemmelserne i TEUF og de nationale retlige og politiske ordninger.</w:t>
            </w:r>
          </w:p>
        </w:tc>
      </w:tr>
    </w:tbl>
    <w:p w:rsidR="006B07BB" w:rsidRPr="00B65D81" w:rsidRDefault="00EE5C2C" w:rsidP="006B07BB">
      <w:pPr>
        <w:rPr>
          <w:rFonts w:eastAsiaTheme="majorEastAsia"/>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26</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26 – stk. 2</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For at fremme dialogen mellem EU-institutionerne, især Europa-Parlamentet, Rådet og Kommissionen, og for at sikre gennemsigtighed og ansvarlighed kan Europa-Parlamentet indbyde Rådets formand, Kommissionen og, i rel</w:t>
            </w:r>
            <w:r w:rsidRPr="00B65D81">
              <w:t>evant omfang, Det Europæiske Råds formand eller Eurogruppens formand til at give møde med henblik på at drøfte den politiske vejledning, som Kommissionen retter til medlemsstaterne, Det Europæiske Råds konklusioner og resultatet af den multilaterale overvå</w:t>
            </w:r>
            <w:r w:rsidRPr="00B65D81">
              <w:t>gning, der gennemføres efter denne forordning.</w:t>
            </w:r>
          </w:p>
        </w:tc>
        <w:tc>
          <w:tcPr>
            <w:tcW w:w="4876" w:type="dxa"/>
            <w:hideMark/>
          </w:tcPr>
          <w:p w:rsidR="006B07BB" w:rsidRPr="00B65D81" w:rsidRDefault="00EE5C2C" w:rsidP="00420909">
            <w:pPr>
              <w:pStyle w:val="Normal6"/>
              <w:rPr>
                <w:szCs w:val="24"/>
              </w:rPr>
            </w:pPr>
            <w:r w:rsidRPr="00B65D81">
              <w:t>For at fremme dialogen mellem EU-institutionerne, især Europa-Parlamentet, Rådet og Kommissionen, og for at sikre gennemsigtighed og ansvarlighed kan Europa-Parlamentet indbyde Rådets formand, Kommissionen og,</w:t>
            </w:r>
            <w:r w:rsidRPr="00B65D81">
              <w:t xml:space="preserve"> i relevant omfang, Det Europæiske Råds formand eller Eurogruppens formand til at give møde med henblik på at drøfte den politiske vejledning, som Kommissionen retter til medlemsstaterne, Det Europæiske Råds konklusioner og resultatet af den multilaterale </w:t>
            </w:r>
            <w:r w:rsidRPr="00B65D81">
              <w:t>overvågning, der gennemføres efter denne forordning</w:t>
            </w:r>
            <w:r w:rsidRPr="00B65D81">
              <w:rPr>
                <w:b/>
                <w:i/>
              </w:rPr>
              <w:t>, herunder systemer for tidlig varsling, der oprettes i henhold til artikel 121, stk. 4, og artikel 148 i TEUF</w:t>
            </w:r>
            <w:r w:rsidRPr="00B65D81">
              <w:t>.</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27</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Artikel 26 – stk. 3 a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Europa-Parlamentets kompetente udvalg kan indbyde Kommissionen til at drøfte følgende spørgsmål:</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a)</w:t>
            </w:r>
            <w:r w:rsidRPr="00B65D81">
              <w:rPr>
                <w:b/>
                <w:i/>
              </w:rPr>
              <w:tab/>
              <w:t xml:space="preserve">Kommissionens vurdering af de mellemfristede </w:t>
            </w:r>
            <w:r w:rsidRPr="00B65D81">
              <w:rPr>
                <w:b/>
                <w:i/>
              </w:rPr>
              <w:t xml:space="preserve">fremskrivninger af den offentlige gæld i de nationale </w:t>
            </w:r>
            <w:r w:rsidRPr="00B65D81">
              <w:rPr>
                <w:b/>
                <w:i/>
              </w:rPr>
              <w:lastRenderedPageBreak/>
              <w:t>mellemfristede planer for finans- og strukturpolitiske tiltag samt gældsholdbarhedsanalysen</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b)</w:t>
            </w:r>
            <w:r w:rsidRPr="00B65D81">
              <w:rPr>
                <w:b/>
                <w:i/>
              </w:rPr>
              <w:tab/>
              <w:t xml:space="preserve"> vurdering af de oplysninger, som medlemsstaterne har forelagt i de årlige statusrapporter</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c)</w:t>
            </w:r>
            <w:r w:rsidRPr="00B65D81">
              <w:rPr>
                <w:b/>
                <w:i/>
              </w:rPr>
              <w:tab/>
              <w:t>vurdering</w:t>
            </w:r>
            <w:r w:rsidRPr="00B65D81">
              <w:rPr>
                <w:b/>
                <w:i/>
              </w:rPr>
              <w:t xml:space="preserve"> af de reform- og investeringstilsagn, der ligger til grund for en forlængelse af tilpasningsperioden</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d) evaluering af de landespecifikke henstillinger og risici for den sociale konvergens, fremskridt hen imod gennemførelsen af principperne i den europæi</w:t>
            </w:r>
            <w:r w:rsidRPr="00B65D81">
              <w:rPr>
                <w:b/>
                <w:i/>
              </w:rPr>
              <w:t>ske søjle for sociale rettigheder.</w:t>
            </w:r>
          </w:p>
        </w:tc>
      </w:tr>
    </w:tbl>
    <w:p w:rsidR="006B07BB" w:rsidRPr="00B65D81" w:rsidRDefault="00EE5C2C" w:rsidP="006B07BB">
      <w:pPr>
        <w:rPr>
          <w:rStyle w:val="HideTWBExt"/>
          <w:rFonts w:eastAsiaTheme="majorEastAsia"/>
          <w:b/>
          <w:noProof w:val="0"/>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28</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d</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d)</w:t>
            </w:r>
            <w:r w:rsidRPr="00B65D81">
              <w:tab/>
            </w:r>
            <w:r w:rsidRPr="00B65D81">
              <w:t xml:space="preserve">oplysninger om implicitte forpligtelser </w:t>
            </w:r>
            <w:r w:rsidRPr="00B65D81">
              <w:rPr>
                <w:b/>
                <w:i/>
              </w:rPr>
              <w:t xml:space="preserve">relateret til aldring </w:t>
            </w:r>
            <w:r w:rsidRPr="00B65D81">
              <w:t>samt eventualforpligtelser med potentielt betydelige virkninger for de offentlige budgetter, herunder statsgarantier, misligholdte lån og forpligtelser i forbindelse med driften af offentlige se</w:t>
            </w:r>
            <w:r w:rsidRPr="00B65D81">
              <w:t>lskaber, herunder omfanget heraf, potentielle udgifter og forpligtelser som følge af retssager og, i videst muligt omfang, oplysninger om eventualforpligtelser i forbindelse med katastrofer og klimaændringer</w:t>
            </w:r>
          </w:p>
        </w:tc>
        <w:tc>
          <w:tcPr>
            <w:tcW w:w="4876" w:type="dxa"/>
            <w:hideMark/>
          </w:tcPr>
          <w:p w:rsidR="006B07BB" w:rsidRPr="00B65D81" w:rsidRDefault="00EE5C2C" w:rsidP="00420909">
            <w:pPr>
              <w:pStyle w:val="Normal6"/>
              <w:rPr>
                <w:szCs w:val="24"/>
              </w:rPr>
            </w:pPr>
            <w:r w:rsidRPr="00B65D81">
              <w:t>d)</w:t>
            </w:r>
            <w:r w:rsidRPr="00B65D81">
              <w:tab/>
              <w:t xml:space="preserve">oplysninger om implicitte forpligtelser samt </w:t>
            </w:r>
            <w:r w:rsidRPr="00B65D81">
              <w:t>eventualforpligtelser med potentielt betydelige virkninger for de offentlige budgetter, herunder statsgarantier, misligholdte lån og forpligtelser i forbindelse med driften af offentlige selskaber, herunder omfanget heraf, potentielle udgifter og forpligte</w:t>
            </w:r>
            <w:r w:rsidRPr="00B65D81">
              <w:t>lser som følge af retssager og, i videst muligt omfang, oplysninger om eventualforpligtelser i forbindelse med katastrofer og klimaændringer</w:t>
            </w:r>
          </w:p>
        </w:tc>
      </w:tr>
    </w:tbl>
    <w:p w:rsidR="006B07BB" w:rsidRPr="00B65D81" w:rsidRDefault="00EE5C2C" w:rsidP="006B07BB">
      <w:pPr>
        <w:pStyle w:val="AMNumberTabs0"/>
        <w:keepNext/>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29</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 xml:space="preserve">Bilag II </w:t>
      </w:r>
      <w:r w:rsidRPr="00B65D81">
        <w:t>– stk. 1 – litra f</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f)</w:t>
            </w:r>
            <w:r w:rsidRPr="00B65D81">
              <w:tab/>
              <w:t xml:space="preserve">hvis en medlemsstat anvender antagelser som omhandlet i nr. e), der </w:t>
            </w:r>
            <w:r w:rsidRPr="00B65D81">
              <w:lastRenderedPageBreak/>
              <w:t xml:space="preserve">adskiller sig fra Kommissionens antagelser vedrørende tilpasningsperioden i den nationale mellemfristede plan for </w:t>
            </w:r>
            <w:r w:rsidRPr="00B65D81">
              <w:t>finans- og strukturpolitiske tiltag og den efterfølgende 10-årsperiode i fravær af yderligere budgetmæssige foranstaltninger, skal medlemsstaten redegøre behørigt herfor og give en begrundelse for denne forskel med udgangspunkt i solide økonomiske argument</w:t>
            </w:r>
            <w:r w:rsidRPr="00B65D81">
              <w:t>er</w:t>
            </w:r>
          </w:p>
        </w:tc>
        <w:tc>
          <w:tcPr>
            <w:tcW w:w="4876" w:type="dxa"/>
            <w:hideMark/>
          </w:tcPr>
          <w:p w:rsidR="006B07BB" w:rsidRPr="00B65D81" w:rsidRDefault="00EE5C2C" w:rsidP="00420909">
            <w:pPr>
              <w:pStyle w:val="Normal6"/>
              <w:rPr>
                <w:szCs w:val="24"/>
              </w:rPr>
            </w:pPr>
            <w:r w:rsidRPr="00B65D81">
              <w:lastRenderedPageBreak/>
              <w:t>f)</w:t>
            </w:r>
            <w:r w:rsidRPr="00B65D81">
              <w:tab/>
              <w:t xml:space="preserve">hvis en medlemsstat anvender antagelser som omhandlet i nr. e), der </w:t>
            </w:r>
            <w:r w:rsidRPr="00B65D81">
              <w:lastRenderedPageBreak/>
              <w:t>adskiller sig fra Kommissionens antagelser vedrørende tilpasningsperioden i den nationale mellemfristede plan for finans- og strukturpolitiske tiltag og den efterfølgende 10-årsperio</w:t>
            </w:r>
            <w:r w:rsidRPr="00B65D81">
              <w:t xml:space="preserve">de i fravær af yderligere budgetmæssige foranstaltninger, skal medlemsstaten redegøre behørigt herfor og give en begrundelse for denne forskel med udgangspunkt i solide økonomiske </w:t>
            </w:r>
            <w:r w:rsidRPr="00B65D81">
              <w:rPr>
                <w:b/>
                <w:i/>
              </w:rPr>
              <w:t xml:space="preserve">og sociale </w:t>
            </w:r>
            <w:r w:rsidRPr="00B65D81">
              <w:t>argumenter.</w:t>
            </w:r>
          </w:p>
        </w:tc>
      </w:tr>
    </w:tbl>
    <w:p w:rsidR="006B07BB" w:rsidRPr="00B65D81" w:rsidRDefault="00EE5C2C" w:rsidP="006B07BB">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30</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 xml:space="preserve">Bilag II – </w:t>
      </w:r>
      <w:r w:rsidR="00B65D81">
        <w:t>stk.</w:t>
      </w:r>
      <w:r w:rsidRPr="00B65D81">
        <w:t xml:space="preserve"> 1 – litra g</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g)</w:t>
            </w:r>
            <w:r w:rsidRPr="00B65D81">
              <w:tab/>
              <w:t>en analyse af, hvordan ændringer i de vigtigste økonomiske antagelser vil påvirke medlemsstatens budget- og gældssti</w:t>
            </w:r>
            <w:r w:rsidRPr="00B65D81">
              <w:t>lling</w:t>
            </w:r>
          </w:p>
        </w:tc>
        <w:tc>
          <w:tcPr>
            <w:tcW w:w="4876" w:type="dxa"/>
            <w:hideMark/>
          </w:tcPr>
          <w:p w:rsidR="006B07BB" w:rsidRPr="00B65D81" w:rsidRDefault="00EE5C2C" w:rsidP="00420909">
            <w:pPr>
              <w:pStyle w:val="Normal6"/>
              <w:rPr>
                <w:szCs w:val="24"/>
              </w:rPr>
            </w:pPr>
            <w:r w:rsidRPr="00B65D81">
              <w:t>g)</w:t>
            </w:r>
            <w:r w:rsidRPr="00B65D81">
              <w:tab/>
              <w:t xml:space="preserve">en analyse af, hvordan ændringer i de vigtigste økonomiske </w:t>
            </w:r>
            <w:r w:rsidRPr="00B65D81">
              <w:rPr>
                <w:b/>
                <w:i/>
              </w:rPr>
              <w:t xml:space="preserve">og sociale </w:t>
            </w:r>
            <w:r w:rsidRPr="00B65D81">
              <w:t>antagelser vil påvirke medlemsstatens budget- og gældsstilling</w:t>
            </w:r>
            <w:r w:rsidRPr="00B65D81">
              <w:rPr>
                <w:b/>
                <w:i/>
              </w:rPr>
              <w:t xml:space="preserve"> samt opfyldelsen af de nationale mål, der er knyttet til de overordnede mål i den europæiske søjle for sociale ret</w:t>
            </w:r>
            <w:r w:rsidRPr="00B65D81">
              <w:rPr>
                <w:b/>
                <w:i/>
              </w:rPr>
              <w:t>tigheder og deres vigtigste sekundære indikatorer, og Unionens generelle prioriteter.</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31</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h</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h)</w:t>
            </w:r>
            <w:r w:rsidRPr="00B65D81">
              <w:tab/>
              <w:t>hvor det er relevant, en behørig begrundelse (med udgangspunkt i solide og verificerbare økonomiske argumenter) for en afvigelse fra den tekniske kurs, der er foreslået af Kommissionen</w:t>
            </w:r>
          </w:p>
        </w:tc>
        <w:tc>
          <w:tcPr>
            <w:tcW w:w="4876" w:type="dxa"/>
            <w:hideMark/>
          </w:tcPr>
          <w:p w:rsidR="006B07BB" w:rsidRPr="00B65D81" w:rsidRDefault="00EE5C2C" w:rsidP="00420909">
            <w:pPr>
              <w:pStyle w:val="Normal6"/>
              <w:rPr>
                <w:szCs w:val="24"/>
              </w:rPr>
            </w:pPr>
            <w:r w:rsidRPr="00B65D81">
              <w:t>h)</w:t>
            </w:r>
            <w:r w:rsidRPr="00B65D81">
              <w:tab/>
              <w:t>hvor det er relevant, en behørig begrundelse (me</w:t>
            </w:r>
            <w:r w:rsidRPr="00B65D81">
              <w:t xml:space="preserve">d udgangspunkt i solide og verificerbare økonomiske </w:t>
            </w:r>
            <w:r w:rsidRPr="00B65D81">
              <w:rPr>
                <w:b/>
                <w:i/>
              </w:rPr>
              <w:t xml:space="preserve">og sociale </w:t>
            </w:r>
            <w:r w:rsidRPr="00B65D81">
              <w:t>argumenter) for en afvigelse fra den tekniske kurs, der er foreslået af Kommissionen</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32</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lastRenderedPageBreak/>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j</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j)</w:t>
            </w:r>
            <w:r w:rsidRPr="00B65D81">
              <w:tab/>
              <w:t xml:space="preserve">de samlede offentlige investeringsudgifter samt udgifter i forbindelse med reformer og investeringer til understøttelse af Unionens generelle prioriteter som fastsat i bilag </w:t>
            </w:r>
            <w:r w:rsidRPr="00B65D81">
              <w:t>VI</w:t>
            </w:r>
          </w:p>
        </w:tc>
        <w:tc>
          <w:tcPr>
            <w:tcW w:w="4876" w:type="dxa"/>
            <w:hideMark/>
          </w:tcPr>
          <w:p w:rsidR="006B07BB" w:rsidRPr="00B65D81" w:rsidRDefault="00EE5C2C" w:rsidP="00420909">
            <w:pPr>
              <w:pStyle w:val="Normal6"/>
              <w:rPr>
                <w:szCs w:val="24"/>
              </w:rPr>
            </w:pPr>
            <w:r w:rsidRPr="00B65D81">
              <w:t>j)</w:t>
            </w:r>
            <w:r w:rsidRPr="00B65D81">
              <w:tab/>
              <w:t xml:space="preserve">de samlede offentlige investeringsudgifter samt udgifter i forbindelse med reformer og investeringer til understøttelse af </w:t>
            </w:r>
            <w:r w:rsidRPr="00B65D81">
              <w:rPr>
                <w:b/>
                <w:i/>
              </w:rPr>
              <w:t xml:space="preserve">hver enkelt af </w:t>
            </w:r>
            <w:r w:rsidRPr="00B65D81">
              <w:t>Unionens generelle prioriteter som fastsat i bilag VI</w:t>
            </w:r>
          </w:p>
        </w:tc>
      </w:tr>
    </w:tbl>
    <w:p w:rsidR="006B07BB" w:rsidRPr="00B65D81" w:rsidRDefault="00EE5C2C" w:rsidP="006B07BB">
      <w:pPr>
        <w:rPr>
          <w:rFonts w:eastAsiaTheme="majorEastAsia"/>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33</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k</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k)</w:t>
            </w:r>
            <w:r w:rsidRPr="00B65D81">
              <w:tab/>
              <w:t>hvor det er relevant, oplysninger om et specifikt, tidsbundet og verificerbart sæt reform- og investeringstilsagn, der læ</w:t>
            </w:r>
            <w:r w:rsidRPr="00B65D81">
              <w:t>gges til grund for en forlængelse af tilpasningsperioden, jf. artikel 13, en tidsplan for gennemførelsen heraf samt solide økonomiske argumenter for, at de pågældende reform- og investeringstilsagn opfylder kriterierne i artikel 13 under hensyn til vurderi</w:t>
            </w:r>
            <w:r w:rsidRPr="00B65D81">
              <w:t>ngskriterierne i bilag VII</w:t>
            </w:r>
          </w:p>
        </w:tc>
        <w:tc>
          <w:tcPr>
            <w:tcW w:w="4876" w:type="dxa"/>
            <w:hideMark/>
          </w:tcPr>
          <w:p w:rsidR="006B07BB" w:rsidRPr="00B65D81" w:rsidRDefault="00EE5C2C" w:rsidP="00420909">
            <w:pPr>
              <w:pStyle w:val="Normal6"/>
              <w:rPr>
                <w:szCs w:val="24"/>
              </w:rPr>
            </w:pPr>
            <w:r w:rsidRPr="00B65D81">
              <w:t>k)</w:t>
            </w:r>
            <w:r w:rsidRPr="00B65D81">
              <w:tab/>
              <w:t xml:space="preserve">hvor det er relevant, oplysninger om et specifikt, tidsbundet og verificerbart sæt reform- og investeringstilsagn, der lægges til grund for en forlængelse af tilpasningsperioden, jf. artikel 13, en tidsplan for gennemførelsen </w:t>
            </w:r>
            <w:r w:rsidRPr="00B65D81">
              <w:t xml:space="preserve">heraf samt solide økonomiske </w:t>
            </w:r>
            <w:r w:rsidRPr="00B65D81">
              <w:rPr>
                <w:b/>
                <w:i/>
              </w:rPr>
              <w:t xml:space="preserve">og sociale </w:t>
            </w:r>
            <w:r w:rsidRPr="00B65D81">
              <w:t>argumenter for, at de pågældende reform- og investeringstilsagn opfylder kriterierne i artikel 13 under hensyn til vurderingskriterierne i bilag VII</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34</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l</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l)</w:t>
            </w:r>
            <w:r w:rsidRPr="00B65D81">
              <w:tab/>
              <w:t>en så præcis kvantificering som muligt af den indvirkning, som de i nr. k) omhandlede reformer og investeringer forventes at have p</w:t>
            </w:r>
            <w:r w:rsidRPr="00B65D81">
              <w:t xml:space="preserve">å den finanspolitiske holdbarhed, </w:t>
            </w:r>
            <w:r w:rsidRPr="00B65D81">
              <w:rPr>
                <w:b/>
                <w:i/>
              </w:rPr>
              <w:t>væksten</w:t>
            </w:r>
            <w:r w:rsidRPr="00B65D81">
              <w:t xml:space="preserve"> og </w:t>
            </w:r>
            <w:r w:rsidRPr="00B65D81">
              <w:rPr>
                <w:b/>
                <w:i/>
              </w:rPr>
              <w:t>beskæftigelsen</w:t>
            </w:r>
            <w:r w:rsidRPr="00B65D81">
              <w:t>, hvor det er relevant i overensstemmelse med i fællesskab aftalte metoder</w:t>
            </w:r>
          </w:p>
        </w:tc>
        <w:tc>
          <w:tcPr>
            <w:tcW w:w="4876" w:type="dxa"/>
            <w:hideMark/>
          </w:tcPr>
          <w:p w:rsidR="006B07BB" w:rsidRPr="00B65D81" w:rsidRDefault="00EE5C2C" w:rsidP="00420909">
            <w:pPr>
              <w:pStyle w:val="Normal6"/>
              <w:rPr>
                <w:szCs w:val="24"/>
              </w:rPr>
            </w:pPr>
            <w:r w:rsidRPr="00B65D81">
              <w:t>l)</w:t>
            </w:r>
            <w:r w:rsidRPr="00B65D81">
              <w:tab/>
            </w:r>
            <w:r w:rsidRPr="00B65D81">
              <w:t xml:space="preserve">en så præcis kvantificering som muligt af den indvirkning, som de i nr. k) omhandlede reformer og investeringer forventes at have på den finanspolitiske holdbarhed, </w:t>
            </w:r>
            <w:r w:rsidRPr="00B65D81">
              <w:rPr>
                <w:b/>
                <w:i/>
              </w:rPr>
              <w:t>bæredygtig og inklusiv vækst</w:t>
            </w:r>
            <w:r w:rsidRPr="00B65D81">
              <w:t xml:space="preserve"> og </w:t>
            </w:r>
            <w:r w:rsidRPr="00B65D81">
              <w:rPr>
                <w:b/>
                <w:i/>
              </w:rPr>
              <w:t>konkurrenceevne, kvalitetsbeskæftigelse samt opadgående soc</w:t>
            </w:r>
            <w:r w:rsidRPr="00B65D81">
              <w:rPr>
                <w:b/>
                <w:i/>
              </w:rPr>
              <w:t>ial konvergens</w:t>
            </w:r>
            <w:r w:rsidRPr="00B65D81">
              <w:t xml:space="preserve">, hvor det er relevant i </w:t>
            </w:r>
            <w:r w:rsidRPr="00B65D81">
              <w:lastRenderedPageBreak/>
              <w:t>overensstemmelse med i fællesskab aftalte metoder</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35</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n a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w:t>
            </w:r>
            <w:r w:rsidRPr="00B65D81">
              <w:t xml:space="preserve">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na)</w:t>
            </w:r>
            <w:r w:rsidRPr="00B65D81">
              <w:rPr>
                <w:b/>
                <w:i/>
              </w:rPr>
              <w:tab/>
              <w:t>hvor det er relevant, reformer og investeringer for at korrigere de identificerede risici for den sociale konvergens inden for rammen for social konvergens.</w:t>
            </w:r>
          </w:p>
        </w:tc>
      </w:tr>
    </w:tbl>
    <w:p w:rsidR="006B07BB" w:rsidRPr="00B65D81" w:rsidRDefault="00EE5C2C" w:rsidP="006B07BB">
      <w:pPr>
        <w:rPr>
          <w:rFonts w:eastAsiaTheme="majorEastAsia"/>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36</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p</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p)</w:t>
            </w:r>
            <w:r w:rsidRPr="00B65D81">
              <w:tab/>
              <w:t>for medlemsstater med mindre udfordringer relateret til offentlig gæld, men betydelige implicitte forpligtelser</w:t>
            </w:r>
            <w:r w:rsidRPr="00B65D81">
              <w:rPr>
                <w:b/>
                <w:i/>
              </w:rPr>
              <w:t xml:space="preserve"> som følge af befolkningens aldring</w:t>
            </w:r>
            <w:r w:rsidRPr="00B65D81">
              <w:t>, bør den nationale nettoudgiftskurs og reformerne i den nationale mellemfristede plan for finans- og strukturpolitiske tiltag tage behørigt hensyn til udfordringerne med at sikre de offentlige finansers holdbarhed på lan</w:t>
            </w:r>
            <w:r w:rsidRPr="00B65D81">
              <w:t>g sigt</w:t>
            </w:r>
          </w:p>
        </w:tc>
        <w:tc>
          <w:tcPr>
            <w:tcW w:w="4876" w:type="dxa"/>
            <w:hideMark/>
          </w:tcPr>
          <w:p w:rsidR="006B07BB" w:rsidRPr="00B65D81" w:rsidRDefault="00EE5C2C" w:rsidP="00420909">
            <w:pPr>
              <w:pStyle w:val="Normal6"/>
              <w:rPr>
                <w:szCs w:val="24"/>
              </w:rPr>
            </w:pPr>
            <w:r w:rsidRPr="00B65D81">
              <w:t>p)</w:t>
            </w:r>
            <w:r w:rsidRPr="00B65D81">
              <w:tab/>
              <w:t>for medlemsstater med mindre udfordringer relateret til offentlig gæld, men betydelige implicitte forpligtelser, bør den nationale nettoudgiftskurs og reformerne i den nationale mellemfristede plan for finans- og strukturpolitiske tiltag tage beh</w:t>
            </w:r>
            <w:r w:rsidRPr="00B65D81">
              <w:t>ørigt hensyn til udfordringerne med at sikre de offentlige finansers holdbarhed på lang sigt</w:t>
            </w:r>
            <w:r w:rsidRPr="00B65D81">
              <w:rPr>
                <w:b/>
                <w:i/>
              </w:rPr>
              <w:t xml:space="preserve"> samt risiciene for den sociale konvergens som fastsat i den seneste overvågning</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37</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w:t>
      </w:r>
      <w:r w:rsidRPr="00B65D81">
        <w:t>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 – stk. 1 – litra q</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q)</w:t>
            </w:r>
            <w:r w:rsidRPr="00B65D81">
              <w:tab/>
              <w:t xml:space="preserve">oplysninger om høringer af arbejdsmarkedets parter, civilsamfundsorganisationer og andre </w:t>
            </w:r>
            <w:r w:rsidRPr="00B65D81">
              <w:lastRenderedPageBreak/>
              <w:t xml:space="preserve">relevante interessenter i forbindelse med udarbejdelsen af </w:t>
            </w:r>
            <w:r w:rsidRPr="00B65D81">
              <w:t>planen.</w:t>
            </w:r>
          </w:p>
        </w:tc>
        <w:tc>
          <w:tcPr>
            <w:tcW w:w="4876" w:type="dxa"/>
            <w:hideMark/>
          </w:tcPr>
          <w:p w:rsidR="006B07BB" w:rsidRPr="00B65D81" w:rsidRDefault="00EE5C2C" w:rsidP="00420909">
            <w:pPr>
              <w:pStyle w:val="Normal6"/>
              <w:rPr>
                <w:szCs w:val="24"/>
              </w:rPr>
            </w:pPr>
            <w:r w:rsidRPr="00B65D81">
              <w:lastRenderedPageBreak/>
              <w:t>q)</w:t>
            </w:r>
            <w:r w:rsidRPr="00B65D81">
              <w:tab/>
              <w:t xml:space="preserve">oplysninger om </w:t>
            </w:r>
            <w:r w:rsidRPr="00B65D81">
              <w:rPr>
                <w:b/>
                <w:i/>
              </w:rPr>
              <w:t xml:space="preserve">effektive </w:t>
            </w:r>
            <w:r w:rsidRPr="00B65D81">
              <w:t xml:space="preserve">høringer af arbejdsmarkedets parter, civilsamfundsorganisationer og andre </w:t>
            </w:r>
            <w:r w:rsidRPr="00B65D81">
              <w:lastRenderedPageBreak/>
              <w:t>relevante interessenter i forbindelse med udarbejdelsen af planen.</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lastRenderedPageBreak/>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38</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w:t>
      </w:r>
      <w:r w:rsidRPr="00B65D81">
        <w:t>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III – stk. 1 – litra b</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b)</w:t>
            </w:r>
            <w:r w:rsidRPr="00B65D81">
              <w:tab/>
              <w:t xml:space="preserve">en sammenligning, som løber fra starten af den nationale mellemfristede plan for finans- og strukturpolitiske tiltag, mellem fremskrivningerne af </w:t>
            </w:r>
            <w:r w:rsidRPr="00B65D81">
              <w:t>de væsentligste økonomiske variable, der fremgår af planen, og de endelige data for de pågældende variable, samt konsekvenserne heraf for overholdelsen af den af Rådet fastsatte nettoudgiftskurs og for den forventede udvikling i den offentlige gældskvote s</w:t>
            </w:r>
            <w:r w:rsidRPr="00B65D81">
              <w:t>om anført i planen</w:t>
            </w:r>
          </w:p>
        </w:tc>
        <w:tc>
          <w:tcPr>
            <w:tcW w:w="4876" w:type="dxa"/>
            <w:hideMark/>
          </w:tcPr>
          <w:p w:rsidR="006B07BB" w:rsidRPr="00B65D81" w:rsidRDefault="00EE5C2C" w:rsidP="00420909">
            <w:pPr>
              <w:pStyle w:val="Normal6"/>
              <w:rPr>
                <w:szCs w:val="24"/>
              </w:rPr>
            </w:pPr>
            <w:r w:rsidRPr="00B65D81">
              <w:t>b)</w:t>
            </w:r>
            <w:r w:rsidRPr="00B65D81">
              <w:tab/>
              <w:t xml:space="preserve">en sammenligning, som løber fra starten af den nationale mellemfristede plan for finans- og strukturpolitiske tiltag, mellem fremskrivningerne af de væsentligste økonomiske </w:t>
            </w:r>
            <w:r w:rsidRPr="00B65D81">
              <w:rPr>
                <w:b/>
                <w:i/>
              </w:rPr>
              <w:t xml:space="preserve">og sociale </w:t>
            </w:r>
            <w:r w:rsidRPr="00B65D81">
              <w:t>variable, der fremgår af planen, og de endelige da</w:t>
            </w:r>
            <w:r w:rsidRPr="00B65D81">
              <w:t>ta for de pågældende variable, samt konsekvenserne heraf for overholdelsen af den af Rådet fastsatte nettoudgiftskurs og for den forventede udvikling i den offentlige gældskvote som anført i planen</w:t>
            </w:r>
            <w:r w:rsidRPr="00B65D81">
              <w:rPr>
                <w:b/>
                <w:i/>
              </w:rPr>
              <w:t xml:space="preserve"> samt tilstræbelse af opfyldelsen af de nationale mål, der </w:t>
            </w:r>
            <w:r w:rsidRPr="00B65D81">
              <w:rPr>
                <w:b/>
                <w:i/>
              </w:rPr>
              <w:t>er knyttet til de overordnede mål i den europæiske søjle for sociale rettigheder.</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39</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III – stk. 1 – litra h</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h)</w:t>
            </w:r>
            <w:r w:rsidRPr="00B65D81">
              <w:tab/>
              <w:t>de vigtigste antagelser vedrørende den forventede økonomiske udvikling og de væsentligste økonomiske variable i de følgende år i tilpasningsperioden, herunder den offentlige gældskvote</w:t>
            </w:r>
          </w:p>
        </w:tc>
        <w:tc>
          <w:tcPr>
            <w:tcW w:w="4876" w:type="dxa"/>
            <w:hideMark/>
          </w:tcPr>
          <w:p w:rsidR="006B07BB" w:rsidRPr="00B65D81" w:rsidRDefault="00EE5C2C" w:rsidP="00420909">
            <w:pPr>
              <w:pStyle w:val="Normal6"/>
              <w:rPr>
                <w:szCs w:val="24"/>
              </w:rPr>
            </w:pPr>
            <w:r w:rsidRPr="00B65D81">
              <w:t>h)</w:t>
            </w:r>
            <w:r w:rsidRPr="00B65D81">
              <w:tab/>
            </w:r>
            <w:r w:rsidRPr="00B65D81">
              <w:t xml:space="preserve">de vigtigste antagelser vedrørende den forventede økonomiske </w:t>
            </w:r>
            <w:r w:rsidRPr="00B65D81">
              <w:rPr>
                <w:b/>
                <w:i/>
              </w:rPr>
              <w:t xml:space="preserve">og sociale </w:t>
            </w:r>
            <w:r w:rsidRPr="00B65D81">
              <w:t>udvikling og de væsentligste økonomiske</w:t>
            </w:r>
            <w:r w:rsidRPr="00B65D81">
              <w:rPr>
                <w:b/>
                <w:i/>
              </w:rPr>
              <w:t xml:space="preserve"> og sociale</w:t>
            </w:r>
            <w:r w:rsidRPr="00B65D81">
              <w:t xml:space="preserve"> variable i de følgende år i tilpasningsperioden, herunder den offentlige gældskvote</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40</w:t>
      </w:r>
      <w:r w:rsidRPr="00B65D81">
        <w:rPr>
          <w:rStyle w:val="HideTWBExt"/>
          <w:b w:val="0"/>
          <w:noProof w:val="0"/>
        </w:rPr>
        <w:t>&lt;/NumA</w:t>
      </w:r>
      <w:r w:rsidRPr="00B65D81">
        <w:rPr>
          <w:rStyle w:val="HideTWBExt"/>
          <w:b w:val="0"/>
          <w:noProof w:val="0"/>
        </w:rPr>
        <w:t>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III – stk. 1 – litra l</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l)</w:t>
            </w:r>
            <w:r w:rsidRPr="00B65D81">
              <w:tab/>
              <w:t xml:space="preserve">en analyse af udviklingen i de makroøkonomiske ubalancer, der er konstateret under proceduren i forbindelse med </w:t>
            </w:r>
            <w:r w:rsidRPr="00B65D81">
              <w:t>makroøkonomiske ubalancer, og hvordan ubalancerne påvirkes af gennemførelsen af de relevante reform- og investeringstilsagn, der er fastlagt i den nationale mellemfristede plan for finans- og strukturpolitiske tiltag i overensstemmelse med bilag II, nr. n)</w:t>
            </w:r>
            <w:r w:rsidRPr="00B65D81">
              <w:rPr>
                <w:b/>
                <w:i/>
              </w:rPr>
              <w:t xml:space="preserve">, </w:t>
            </w:r>
            <w:r w:rsidRPr="00B65D81">
              <w:t>hvor det er relevant</w:t>
            </w:r>
          </w:p>
        </w:tc>
        <w:tc>
          <w:tcPr>
            <w:tcW w:w="4876" w:type="dxa"/>
            <w:hideMark/>
          </w:tcPr>
          <w:p w:rsidR="006B07BB" w:rsidRPr="00B65D81" w:rsidRDefault="00EE5C2C" w:rsidP="00420909">
            <w:pPr>
              <w:pStyle w:val="Normal6"/>
              <w:rPr>
                <w:szCs w:val="24"/>
              </w:rPr>
            </w:pPr>
            <w:r w:rsidRPr="00B65D81">
              <w:t>l)</w:t>
            </w:r>
            <w:r w:rsidRPr="00B65D81">
              <w:tab/>
              <w:t>en analyse af udviklingen i de makroøkonomiske ubalancer, der er konstateret under proceduren i forbindelse med makroøkonomiske ubalancer</w:t>
            </w:r>
            <w:r w:rsidRPr="00B65D81">
              <w:rPr>
                <w:b/>
                <w:i/>
              </w:rPr>
              <w:t xml:space="preserve"> samt de risici for den sociale konvergens, der er konstateret inden for rammen for social ko</w:t>
            </w:r>
            <w:r w:rsidRPr="00B65D81">
              <w:rPr>
                <w:b/>
                <w:i/>
              </w:rPr>
              <w:t>nvergens</w:t>
            </w:r>
            <w:r w:rsidRPr="00B65D81">
              <w:t>, og hvordan ubalancerne påvirkes af gennemførelsen af de relevante reform- og investeringstilsagn, der er fastlagt i den nationale mellemfristede plan for finans- og strukturpolitiske tiltag i overensstemmelse med bilag II, nr. n)</w:t>
            </w:r>
            <w:r w:rsidRPr="00B65D81">
              <w:rPr>
                <w:b/>
                <w:i/>
              </w:rPr>
              <w:t xml:space="preserve"> og o),</w:t>
            </w:r>
            <w:r w:rsidRPr="00B65D81">
              <w:t>hvor det e</w:t>
            </w:r>
            <w:r w:rsidRPr="00B65D81">
              <w:t>r relevant.</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41</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III – stk. 1 – litra n</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n)</w:t>
            </w:r>
            <w:r w:rsidRPr="00B65D81">
              <w:tab/>
              <w:t xml:space="preserve">oplysninger om udviklingen på arbejdsmarkedet samt </w:t>
            </w:r>
            <w:r w:rsidRPr="00B65D81">
              <w:t>inden for færdigheder og socialpolitik og om gennemførelsen af de politiske foranstaltninger, der er truffet for at fremme opadgående social konvergens mellem medlemsstaterne for at skabe bedre arbejds- og levevilkår i overensstemmelse med principperne i d</w:t>
            </w:r>
            <w:r w:rsidRPr="00B65D81">
              <w:t>en europæiske søjle for sociale rettigheder og retningslinjerne vedrørende beskæftigelsen, jf. artikel 148 i TEUF. Det omfatter den virkning, som foranstaltningerne ventes at have på fremskridtene med de nationale 2030-mål for beskæftigelse, færdigheder og</w:t>
            </w:r>
            <w:r w:rsidRPr="00B65D81">
              <w:t xml:space="preserve"> fattigdomsbekæmpelse</w:t>
            </w:r>
          </w:p>
        </w:tc>
        <w:tc>
          <w:tcPr>
            <w:tcW w:w="4876" w:type="dxa"/>
            <w:hideMark/>
          </w:tcPr>
          <w:p w:rsidR="006B07BB" w:rsidRPr="00B65D81" w:rsidRDefault="00EE5C2C" w:rsidP="00420909">
            <w:pPr>
              <w:pStyle w:val="Normal6"/>
              <w:rPr>
                <w:szCs w:val="24"/>
              </w:rPr>
            </w:pPr>
            <w:r w:rsidRPr="00B65D81">
              <w:t>n)</w:t>
            </w:r>
            <w:r w:rsidRPr="00B65D81">
              <w:tab/>
              <w:t>oplysninger om udviklingen på arbejdsmarkedet samt inden for færdigheder og socialpolitik og om gennemførelsen af de politiske foranstaltninger, der er truffet for at fremme opadgående social konvergens mellem medlemsstaterne for a</w:t>
            </w:r>
            <w:r w:rsidRPr="00B65D81">
              <w:t>t skabe bedre arbejds- og levevilkår i overensstemmelse med principperne i den europæiske søjle for sociale rettigheder og retningslinjerne vedrørende beskæftigelsen, jf. artikel 148 i TEUF</w:t>
            </w:r>
            <w:r w:rsidRPr="00B65D81">
              <w:rPr>
                <w:b/>
                <w:i/>
              </w:rPr>
              <w:t xml:space="preserve"> og rammen for social konvergens</w:t>
            </w:r>
            <w:r w:rsidRPr="00B65D81">
              <w:t>. Det omfatter den virkning, som fo</w:t>
            </w:r>
            <w:r w:rsidRPr="00B65D81">
              <w:t>ranstaltningerne ventes at have på fremskridtene med de nationale 2030-mål for beskæftigelse, færdigheder og fattigdomsbekæmpelse</w:t>
            </w:r>
            <w:r w:rsidRPr="00B65D81">
              <w:rPr>
                <w:b/>
                <w:i/>
              </w:rPr>
              <w:t xml:space="preserve"> inden 2030, og hvor det er relevant, den forventede virkning af foranstaltninger til at korrigere konstaterede risici for den </w:t>
            </w:r>
            <w:r w:rsidRPr="00B65D81">
              <w:rPr>
                <w:b/>
                <w:i/>
              </w:rPr>
              <w:t>sociale konvergens inden for rammen for social konvergens.</w:t>
            </w:r>
          </w:p>
        </w:tc>
      </w:tr>
    </w:tbl>
    <w:p w:rsidR="006B07BB" w:rsidRPr="00B65D81" w:rsidRDefault="00EE5C2C" w:rsidP="006B07BB">
      <w:r w:rsidRPr="00B65D81">
        <w:rPr>
          <w:rStyle w:val="HideTWBExt"/>
          <w:noProof w:val="0"/>
        </w:rPr>
        <w:t>&lt;/Amend&gt;</w:t>
      </w:r>
    </w:p>
    <w:p w:rsidR="006B07BB" w:rsidRPr="00B65D81" w:rsidRDefault="00EE5C2C" w:rsidP="006B07BB">
      <w:pPr>
        <w:pStyle w:val="AmNumberTabs"/>
      </w:pPr>
      <w:r w:rsidRPr="00B65D81">
        <w:rPr>
          <w:rStyle w:val="HideTWBExt"/>
          <w:b w:val="0"/>
          <w:noProof w:val="0"/>
        </w:rPr>
        <w:lastRenderedPageBreak/>
        <w:t>&lt;Amend&gt;</w:t>
      </w:r>
      <w:r w:rsidRPr="00B65D81">
        <w:t>Ændringsforslag</w:t>
      </w:r>
      <w:r w:rsidRPr="00B65D81">
        <w:tab/>
      </w:r>
      <w:r w:rsidRPr="00B65D81">
        <w:tab/>
      </w:r>
      <w:r w:rsidRPr="00B65D81">
        <w:rPr>
          <w:rStyle w:val="HideTWBExt"/>
          <w:b w:val="0"/>
          <w:noProof w:val="0"/>
        </w:rPr>
        <w:t>&lt;NumAm&gt;</w:t>
      </w:r>
      <w:r w:rsidRPr="00B65D81">
        <w:t>42</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 xml:space="preserve">Bilag III – stk. 1 – litra </w:t>
      </w:r>
      <w:r w:rsidR="00B65D81" w:rsidRPr="00B65D81">
        <w:t>o</w:t>
      </w:r>
      <w:r w:rsidR="00B65D81">
        <w:t xml:space="preserve"> </w:t>
      </w:r>
      <w:r w:rsidR="00B65D81" w:rsidRPr="00B65D81">
        <w:t>a</w:t>
      </w:r>
      <w:r w:rsidRPr="00B65D81">
        <w:t xml:space="preserve">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oa)</w:t>
            </w:r>
            <w:r w:rsidRPr="00B65D81">
              <w:tab/>
            </w:r>
            <w:r w:rsidRPr="00B65D81">
              <w:rPr>
                <w:b/>
                <w:i/>
              </w:rPr>
              <w:t>oplysninger om høringer af arbejdsmarkedets parter, civilsamfundsorganisationer og andre relevante interessenter i forbindelse med udarbejdelsen af planen.</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43</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VII – litra 2 – stk. 2 – nr. 2.1 – indledning</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2.1</w:t>
            </w:r>
            <w:r w:rsidRPr="00B65D81">
              <w:tab/>
              <w:t>Reform- og investeringstilsagnene fremmer vækst</w:t>
            </w:r>
          </w:p>
        </w:tc>
        <w:tc>
          <w:tcPr>
            <w:tcW w:w="4876" w:type="dxa"/>
            <w:hideMark/>
          </w:tcPr>
          <w:p w:rsidR="006B07BB" w:rsidRPr="00B65D81" w:rsidRDefault="00EE5C2C" w:rsidP="00420909">
            <w:pPr>
              <w:pStyle w:val="Normal6"/>
              <w:rPr>
                <w:szCs w:val="24"/>
              </w:rPr>
            </w:pPr>
            <w:r w:rsidRPr="00B65D81">
              <w:t>2.1</w:t>
            </w:r>
            <w:r w:rsidRPr="00B65D81">
              <w:tab/>
              <w:t xml:space="preserve">Reform- og investeringstilsagnene fremmer </w:t>
            </w:r>
            <w:r w:rsidRPr="00B65D81">
              <w:rPr>
                <w:b/>
                <w:i/>
              </w:rPr>
              <w:t xml:space="preserve">bæredygtig </w:t>
            </w:r>
            <w:r w:rsidRPr="00B65D81">
              <w:t xml:space="preserve">vækst </w:t>
            </w:r>
            <w:r w:rsidRPr="00B65D81">
              <w:rPr>
                <w:b/>
                <w:i/>
              </w:rPr>
              <w:t>Reform- og investeringstilsag</w:t>
            </w:r>
            <w:r w:rsidRPr="00B65D81">
              <w:rPr>
                <w:b/>
                <w:i/>
              </w:rPr>
              <w:t>nene forventes at medføre tilstrækkelige fremskridt hen imod de nationale mål, der er knyttet til de overordnede mål i den europæiske søjle for sociale rettigheder og deres vigtigste og sekundære indikatorer.</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44</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VII – nr. 2 – stk. 2 – nr. 2.2 a (nyt)</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tcPr>
          <w:p w:rsidR="006B07BB" w:rsidRPr="00B65D81" w:rsidRDefault="006B07BB" w:rsidP="00420909">
            <w:pPr>
              <w:pStyle w:val="Normal6"/>
            </w:pPr>
          </w:p>
        </w:tc>
        <w:tc>
          <w:tcPr>
            <w:tcW w:w="4876" w:type="dxa"/>
            <w:hideMark/>
          </w:tcPr>
          <w:p w:rsidR="006B07BB" w:rsidRPr="00B65D81" w:rsidRDefault="00EE5C2C" w:rsidP="00420909">
            <w:pPr>
              <w:pStyle w:val="Normal6"/>
              <w:rPr>
                <w:szCs w:val="24"/>
              </w:rPr>
            </w:pPr>
            <w:r w:rsidRPr="00B65D81">
              <w:rPr>
                <w:b/>
                <w:i/>
              </w:rPr>
              <w:t>2.2a</w:t>
            </w:r>
            <w:r w:rsidRPr="00B65D81">
              <w:rPr>
                <w:b/>
                <w:i/>
              </w:rPr>
              <w:tab/>
              <w:t>Reform- og investeringstilsagnene støtter opadgående social konvergens</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45</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VII – nr. 2 – stk. 2 – nr. 2.4 – indledning</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2.4</w:t>
            </w:r>
            <w:r w:rsidRPr="00B65D81">
              <w:tab/>
              <w:t xml:space="preserve">Reform- og investeringstilsagnene efterkommer tilsammen de </w:t>
            </w:r>
            <w:r w:rsidRPr="00B65D81">
              <w:t>relevante landespecifikke henstillinger, herunder, hvor det er relevant, henstillinger udstedt som led i proceduren i forbindelse med makroøkonomiske ubalancer</w:t>
            </w:r>
          </w:p>
        </w:tc>
        <w:tc>
          <w:tcPr>
            <w:tcW w:w="4876" w:type="dxa"/>
            <w:hideMark/>
          </w:tcPr>
          <w:p w:rsidR="006B07BB" w:rsidRPr="00B65D81" w:rsidRDefault="00EE5C2C" w:rsidP="00420909">
            <w:pPr>
              <w:pStyle w:val="Normal6"/>
              <w:rPr>
                <w:szCs w:val="24"/>
              </w:rPr>
            </w:pPr>
            <w:r w:rsidRPr="00B65D81">
              <w:t>2.4</w:t>
            </w:r>
            <w:r w:rsidRPr="00B65D81">
              <w:tab/>
              <w:t>Reform- og investeringstilsagnene efterkommer tilsammen de relevante landespecifikke henstil</w:t>
            </w:r>
            <w:r w:rsidRPr="00B65D81">
              <w:t>linger</w:t>
            </w:r>
            <w:r w:rsidRPr="00B65D81">
              <w:rPr>
                <w:b/>
                <w:i/>
              </w:rPr>
              <w:t xml:space="preserve"> i henhold til artikel 121, stk. 4, og artikel 148, stk. 4, i TEUF</w:t>
            </w:r>
            <w:r w:rsidRPr="00B65D81">
              <w:t>, herunder, hvor det er relevant, henstillinger udstedt som led i proceduren i forbindelse med makroøkonomiske ubalancer</w:t>
            </w:r>
          </w:p>
        </w:tc>
      </w:tr>
    </w:tbl>
    <w:p w:rsidR="006B07BB" w:rsidRPr="00B65D81" w:rsidRDefault="00EE5C2C" w:rsidP="006B07BB">
      <w:pPr>
        <w:rPr>
          <w:rStyle w:val="HideTWBExt"/>
          <w:rFonts w:ascii="Times New Roman" w:hAnsi="Times New Roman" w:cs="Times New Roman"/>
          <w:noProof w:val="0"/>
          <w:vanish w:val="0"/>
          <w:color w:val="auto"/>
          <w:sz w:val="24"/>
        </w:rPr>
      </w:pPr>
      <w:r w:rsidRPr="00B65D81">
        <w:rPr>
          <w:rStyle w:val="HideTWBExt"/>
          <w:noProof w:val="0"/>
        </w:rPr>
        <w:t>&lt;/Amend&gt;</w:t>
      </w:r>
    </w:p>
    <w:p w:rsidR="006B07BB" w:rsidRPr="00B65D81" w:rsidRDefault="006B07BB" w:rsidP="006B07BB">
      <w:pPr>
        <w:rPr>
          <w:rStyle w:val="HideTWBExt"/>
          <w:noProof w:val="0"/>
        </w:rPr>
      </w:pPr>
    </w:p>
    <w:p w:rsidR="006B07BB" w:rsidRPr="00B65D81" w:rsidRDefault="00EE5C2C" w:rsidP="006B07BB">
      <w:pPr>
        <w:pStyle w:val="AmNumberTabs"/>
      </w:pPr>
      <w:r w:rsidRPr="00B65D81">
        <w:rPr>
          <w:rStyle w:val="HideTWBExt"/>
          <w:b w:val="0"/>
          <w:noProof w:val="0"/>
        </w:rPr>
        <w:t>&lt;Amend&gt;</w:t>
      </w:r>
      <w:r w:rsidRPr="00B65D81">
        <w:t>Ændringsforslag</w:t>
      </w:r>
      <w:r w:rsidRPr="00B65D81">
        <w:tab/>
      </w:r>
      <w:r w:rsidRPr="00B65D81">
        <w:tab/>
      </w:r>
      <w:r w:rsidRPr="00B65D81">
        <w:rPr>
          <w:rStyle w:val="HideTWBExt"/>
          <w:b w:val="0"/>
          <w:noProof w:val="0"/>
        </w:rPr>
        <w:t>&lt;NumAm&gt;</w:t>
      </w:r>
      <w:r w:rsidRPr="00B65D81">
        <w:t>46</w:t>
      </w:r>
      <w:r w:rsidRPr="00B65D81">
        <w:rPr>
          <w:rStyle w:val="HideTWBExt"/>
          <w:b w:val="0"/>
          <w:noProof w:val="0"/>
        </w:rPr>
        <w:t>&lt;/NumAm&gt;</w:t>
      </w:r>
    </w:p>
    <w:p w:rsidR="006B07BB" w:rsidRPr="00B65D81" w:rsidRDefault="006B07BB" w:rsidP="006B07BB"/>
    <w:p w:rsidR="006B07BB" w:rsidRPr="00B65D81" w:rsidRDefault="00EE5C2C" w:rsidP="006B07BB">
      <w:pPr>
        <w:pStyle w:val="NormalBold"/>
        <w:keepNext/>
      </w:pPr>
      <w:r w:rsidRPr="00B65D81">
        <w:rPr>
          <w:rStyle w:val="HideTWBExt"/>
          <w:b w:val="0"/>
          <w:noProof w:val="0"/>
        </w:rPr>
        <w:t>&lt;DocAmend</w:t>
      </w:r>
      <w:r w:rsidRPr="00B65D81">
        <w:rPr>
          <w:rStyle w:val="HideTWBExt"/>
          <w:b w:val="0"/>
          <w:noProof w:val="0"/>
        </w:rPr>
        <w:t>&gt;</w:t>
      </w:r>
      <w:r w:rsidRPr="00B65D81">
        <w:t>Forslag til forordning</w:t>
      </w:r>
      <w:r w:rsidRPr="00B65D81">
        <w:rPr>
          <w:rStyle w:val="HideTWBExt"/>
          <w:b w:val="0"/>
          <w:noProof w:val="0"/>
        </w:rPr>
        <w:t>&lt;/DocAmend&gt;</w:t>
      </w:r>
    </w:p>
    <w:p w:rsidR="006B07BB" w:rsidRPr="00B65D81" w:rsidRDefault="00EE5C2C" w:rsidP="006B07BB">
      <w:pPr>
        <w:pStyle w:val="NormalBold"/>
      </w:pPr>
      <w:r w:rsidRPr="00B65D81">
        <w:rPr>
          <w:rStyle w:val="HideTWBExt"/>
          <w:b w:val="0"/>
          <w:noProof w:val="0"/>
        </w:rPr>
        <w:t>&lt;Article&gt;</w:t>
      </w:r>
      <w:r w:rsidRPr="00B65D81">
        <w:t>Bilag VII – nr. 2 – stk. 2 – nr. 2.4 – led 1</w:t>
      </w:r>
      <w:r w:rsidRPr="00B65D8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784" w:rsidRPr="00B65D81" w:rsidTr="00420909">
        <w:trPr>
          <w:jc w:val="center"/>
        </w:trPr>
        <w:tc>
          <w:tcPr>
            <w:tcW w:w="9752" w:type="dxa"/>
            <w:gridSpan w:val="2"/>
          </w:tcPr>
          <w:p w:rsidR="006B07BB" w:rsidRPr="00B65D81" w:rsidRDefault="006B07BB" w:rsidP="00420909">
            <w:pPr>
              <w:keepNext/>
            </w:pPr>
          </w:p>
        </w:tc>
      </w:tr>
      <w:tr w:rsidR="006E4784" w:rsidRPr="00B65D81" w:rsidTr="00420909">
        <w:trPr>
          <w:jc w:val="center"/>
        </w:trPr>
        <w:tc>
          <w:tcPr>
            <w:tcW w:w="4876" w:type="dxa"/>
            <w:hideMark/>
          </w:tcPr>
          <w:p w:rsidR="006B07BB" w:rsidRPr="00B65D81" w:rsidRDefault="00EE5C2C" w:rsidP="00420909">
            <w:pPr>
              <w:pStyle w:val="ColumnHeading"/>
              <w:keepNext/>
            </w:pPr>
            <w:r w:rsidRPr="00B65D81">
              <w:t>Kommissionens forslag</w:t>
            </w:r>
          </w:p>
        </w:tc>
        <w:tc>
          <w:tcPr>
            <w:tcW w:w="4876" w:type="dxa"/>
            <w:hideMark/>
          </w:tcPr>
          <w:p w:rsidR="006B07BB" w:rsidRPr="00B65D81" w:rsidRDefault="00EE5C2C" w:rsidP="00420909">
            <w:pPr>
              <w:pStyle w:val="ColumnHeading"/>
              <w:keepNext/>
            </w:pPr>
            <w:r w:rsidRPr="00B65D81">
              <w:t>Ændringsforslag</w:t>
            </w:r>
          </w:p>
        </w:tc>
      </w:tr>
      <w:tr w:rsidR="006E4784" w:rsidRPr="00B65D81" w:rsidTr="00420909">
        <w:trPr>
          <w:jc w:val="center"/>
        </w:trPr>
        <w:tc>
          <w:tcPr>
            <w:tcW w:w="4876" w:type="dxa"/>
            <w:hideMark/>
          </w:tcPr>
          <w:p w:rsidR="006B07BB" w:rsidRPr="00B65D81" w:rsidRDefault="00EE5C2C" w:rsidP="00420909">
            <w:pPr>
              <w:pStyle w:val="Normal6"/>
            </w:pPr>
            <w:r w:rsidRPr="00B65D81">
              <w:t>–</w:t>
            </w:r>
            <w:r w:rsidRPr="00B65D81">
              <w:tab/>
              <w:t xml:space="preserve">De reform- og investeringstilsagn, der lægges til grund for en forlængelse af tilpasningsperioden, forventes </w:t>
            </w:r>
            <w:r w:rsidRPr="00B65D81">
              <w:t>samlet set at tackle de udfordringer, der er identificeret i de relevante landespecifikke henstillinger, herunder, hvor det er relevant, henstillinger udstedt som led i proceduren i forbindelse med makroøkonomiske ubalancer, idet der tages hensyn til omfan</w:t>
            </w:r>
            <w:r w:rsidRPr="00B65D81">
              <w:t>get og alvoren af de landespecifikke udfordringer samt eventuelt de tilsagn, der er afgivet i genopretnings- og resiliensplanerne.</w:t>
            </w:r>
          </w:p>
        </w:tc>
        <w:tc>
          <w:tcPr>
            <w:tcW w:w="4876" w:type="dxa"/>
            <w:hideMark/>
          </w:tcPr>
          <w:p w:rsidR="006B07BB" w:rsidRPr="00B65D81" w:rsidRDefault="00EE5C2C" w:rsidP="00420909">
            <w:pPr>
              <w:pStyle w:val="Normal6"/>
              <w:rPr>
                <w:szCs w:val="24"/>
              </w:rPr>
            </w:pPr>
            <w:r w:rsidRPr="00B65D81">
              <w:t>–</w:t>
            </w:r>
            <w:r w:rsidRPr="00B65D81">
              <w:tab/>
              <w:t xml:space="preserve">De reform- og investeringstilsagn, der lægges til grund for en forlængelse af tilpasningsperioden, forventes samlet set at </w:t>
            </w:r>
            <w:r w:rsidRPr="00B65D81">
              <w:t>tackle de udfordringer, der er identificeret i de relevante landespecifikke henstillinger, herunder, hvor det er relevant, henstillinger udstedt som led i proceduren i forbindelse med makroøkonomiske ubalancer</w:t>
            </w:r>
            <w:r w:rsidRPr="00B65D81">
              <w:rPr>
                <w:b/>
                <w:i/>
              </w:rPr>
              <w:t xml:space="preserve"> og henstillinger udstedt i henhold til artikel</w:t>
            </w:r>
            <w:r w:rsidRPr="00B65D81">
              <w:rPr>
                <w:b/>
                <w:i/>
              </w:rPr>
              <w:t xml:space="preserve"> 148, stk. 4, i TEUF</w:t>
            </w:r>
            <w:r w:rsidRPr="00B65D81">
              <w:t>, idet der tages hensyn til omfanget og alvoren af de landespecifikke udfordringer samt eventuelt de tilsagn, der er afgivet i genopretnings- og resiliensplanerne.</w:t>
            </w:r>
          </w:p>
        </w:tc>
      </w:tr>
    </w:tbl>
    <w:p w:rsidR="006B07BB" w:rsidRPr="00B65D81" w:rsidRDefault="00EE5C2C" w:rsidP="006B07BB">
      <w:pPr>
        <w:rPr>
          <w:rStyle w:val="HideTWBExt"/>
          <w:noProof w:val="0"/>
        </w:rPr>
      </w:pPr>
      <w:r w:rsidRPr="00B65D81">
        <w:rPr>
          <w:rStyle w:val="HideTWBExt"/>
          <w:noProof w:val="0"/>
        </w:rPr>
        <w:t>&lt;/Amend&gt;</w:t>
      </w:r>
    </w:p>
    <w:p w:rsidR="006B07BB" w:rsidRPr="00B65D81" w:rsidRDefault="00EE5C2C" w:rsidP="006B07BB">
      <w:pPr>
        <w:rPr>
          <w:rStyle w:val="HideTWBExt"/>
          <w:noProof w:val="0"/>
          <w:szCs w:val="20"/>
        </w:rPr>
      </w:pPr>
      <w:r w:rsidRPr="00B65D81">
        <w:rPr>
          <w:rStyle w:val="HideTWBExt"/>
          <w:noProof w:val="0"/>
        </w:rPr>
        <w:t>&lt;/RepeatBlock-Amend&gt;</w:t>
      </w:r>
    </w:p>
    <w:p w:rsidR="006B07BB" w:rsidRPr="00B65D81" w:rsidRDefault="00EE5C2C" w:rsidP="006B07BB">
      <w:r w:rsidRPr="00B65D81">
        <w:br w:type="page"/>
      </w:r>
    </w:p>
    <w:p w:rsidR="002932DB" w:rsidRPr="00B65D81" w:rsidRDefault="00EE5C2C" w:rsidP="002932DB">
      <w:pPr>
        <w:pStyle w:val="PageHeadingNotTOC"/>
      </w:pPr>
      <w:r w:rsidRPr="00B65D81">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Eff</w:t>
            </w:r>
            <w:r w:rsidRPr="00B65D81">
              <w:rPr>
                <w:color w:val="000000"/>
                <w:sz w:val="20"/>
              </w:rPr>
              <w:t>ektiv samordning af de økonomiske politikker og multilateral overvågning og ophævelse af Rådets forordning (EF) nr. 1466/97</w:t>
            </w:r>
          </w:p>
        </w:tc>
      </w:tr>
      <w:tr w:rsidR="006E4784" w:rsidRPr="00B65D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COM(2023)0240 – C9-0150/2023 – 2023/0138(COD)</w:t>
            </w: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Korresponderende udvalg</w:t>
            </w:r>
          </w:p>
          <w:p w:rsidR="002932DB" w:rsidRPr="00B65D81" w:rsidRDefault="00EE5C2C">
            <w:pPr>
              <w:autoSpaceDE w:val="0"/>
              <w:autoSpaceDN w:val="0"/>
              <w:adjustRightInd w:val="0"/>
              <w:rPr>
                <w:color w:val="000000"/>
                <w:sz w:val="20"/>
                <w:szCs w:val="20"/>
              </w:rPr>
            </w:pPr>
            <w:r w:rsidRPr="00B65D81">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ECON</w:t>
            </w:r>
          </w:p>
          <w:p w:rsidR="002932DB" w:rsidRPr="00B65D81" w:rsidRDefault="00EE5C2C">
            <w:pPr>
              <w:autoSpaceDE w:val="0"/>
              <w:autoSpaceDN w:val="0"/>
              <w:adjustRightInd w:val="0"/>
              <w:rPr>
                <w:color w:val="000000"/>
                <w:sz w:val="20"/>
                <w:szCs w:val="20"/>
              </w:rPr>
            </w:pPr>
            <w:r w:rsidRPr="00B65D81">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Udtalelse fra</w:t>
            </w:r>
          </w:p>
          <w:p w:rsidR="002932DB" w:rsidRPr="00B65D81" w:rsidRDefault="00EE5C2C">
            <w:pPr>
              <w:autoSpaceDE w:val="0"/>
              <w:autoSpaceDN w:val="0"/>
              <w:adjustRightInd w:val="0"/>
              <w:rPr>
                <w:color w:val="000000"/>
                <w:sz w:val="20"/>
                <w:szCs w:val="20"/>
              </w:rPr>
            </w:pPr>
            <w:r w:rsidRPr="00B65D81">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EMPL</w:t>
            </w:r>
          </w:p>
          <w:p w:rsidR="002932DB" w:rsidRPr="00B65D81" w:rsidRDefault="00EE5C2C">
            <w:pPr>
              <w:autoSpaceDE w:val="0"/>
              <w:autoSpaceDN w:val="0"/>
              <w:adjustRightInd w:val="0"/>
              <w:rPr>
                <w:color w:val="000000"/>
                <w:sz w:val="20"/>
                <w:szCs w:val="20"/>
              </w:rPr>
            </w:pPr>
            <w:r w:rsidRPr="00B65D81">
              <w:rPr>
                <w:color w:val="000000"/>
                <w:sz w:val="20"/>
              </w:rPr>
              <w:t>12.6.2023</w:t>
            </w:r>
          </w:p>
        </w:tc>
      </w:tr>
      <w:tr w:rsidR="006E4784" w:rsidRPr="00B65D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14.9.2023</w:t>
            </w: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Ordfører for udtalelse</w:t>
            </w:r>
          </w:p>
          <w:p w:rsidR="002932DB" w:rsidRPr="00B65D81" w:rsidRDefault="00EE5C2C">
            <w:pPr>
              <w:autoSpaceDE w:val="0"/>
              <w:autoSpaceDN w:val="0"/>
              <w:adjustRightInd w:val="0"/>
              <w:rPr>
                <w:color w:val="000000"/>
                <w:sz w:val="20"/>
                <w:szCs w:val="20"/>
              </w:rPr>
            </w:pPr>
            <w:r w:rsidRPr="00B65D81">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Gabriele Bischoff</w:t>
            </w:r>
          </w:p>
          <w:p w:rsidR="002932DB" w:rsidRPr="00B65D81" w:rsidRDefault="00EE5C2C">
            <w:pPr>
              <w:autoSpaceDE w:val="0"/>
              <w:autoSpaceDN w:val="0"/>
              <w:adjustRightInd w:val="0"/>
              <w:rPr>
                <w:color w:val="000000"/>
                <w:sz w:val="20"/>
                <w:szCs w:val="20"/>
              </w:rPr>
            </w:pPr>
            <w:r w:rsidRPr="00B65D81">
              <w:rPr>
                <w:color w:val="000000"/>
                <w:sz w:val="20"/>
              </w:rPr>
              <w:t>29.6.2023</w:t>
            </w: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r>
      <w:tr w:rsidR="006E4784" w:rsidRPr="00B65D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932DB" w:rsidRPr="00B65D81" w:rsidRDefault="002932DB">
            <w:pPr>
              <w:autoSpaceDE w:val="0"/>
              <w:autoSpaceDN w:val="0"/>
              <w:adjustRightInd w:val="0"/>
              <w:rPr>
                <w:rFonts w:ascii="sans-serif" w:hAnsi="sans-serif" w:cs="sans-serif"/>
                <w:color w:val="000000"/>
              </w:rPr>
            </w:pP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w:t>
            </w:r>
          </w:p>
          <w:p w:rsidR="002932DB" w:rsidRPr="00B65D81" w:rsidRDefault="00EE5C2C">
            <w:pPr>
              <w:autoSpaceDE w:val="0"/>
              <w:autoSpaceDN w:val="0"/>
              <w:adjustRightInd w:val="0"/>
              <w:rPr>
                <w:color w:val="000000"/>
                <w:sz w:val="20"/>
                <w:szCs w:val="20"/>
              </w:rPr>
            </w:pPr>
            <w:r w:rsidRPr="00B65D81">
              <w:rPr>
                <w:color w:val="000000"/>
                <w:sz w:val="20"/>
              </w:rPr>
              <w:t>–:</w:t>
            </w:r>
          </w:p>
          <w:p w:rsidR="002932DB" w:rsidRPr="00B65D81" w:rsidRDefault="00EE5C2C">
            <w:pPr>
              <w:autoSpaceDE w:val="0"/>
              <w:autoSpaceDN w:val="0"/>
              <w:adjustRightInd w:val="0"/>
              <w:rPr>
                <w:color w:val="000000"/>
                <w:sz w:val="20"/>
                <w:szCs w:val="20"/>
              </w:rPr>
            </w:pPr>
            <w:r w:rsidRPr="00B65D8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29</w:t>
            </w:r>
          </w:p>
          <w:p w:rsidR="002932DB" w:rsidRPr="00B65D81" w:rsidRDefault="00EE5C2C">
            <w:pPr>
              <w:autoSpaceDE w:val="0"/>
              <w:autoSpaceDN w:val="0"/>
              <w:adjustRightInd w:val="0"/>
              <w:rPr>
                <w:color w:val="000000"/>
                <w:sz w:val="20"/>
                <w:szCs w:val="20"/>
              </w:rPr>
            </w:pPr>
            <w:r w:rsidRPr="00B65D81">
              <w:rPr>
                <w:color w:val="000000"/>
                <w:sz w:val="20"/>
              </w:rPr>
              <w:t>4</w:t>
            </w:r>
          </w:p>
          <w:p w:rsidR="002932DB" w:rsidRPr="00B65D81" w:rsidRDefault="00EE5C2C">
            <w:pPr>
              <w:autoSpaceDE w:val="0"/>
              <w:autoSpaceDN w:val="0"/>
              <w:adjustRightInd w:val="0"/>
              <w:rPr>
                <w:color w:val="000000"/>
                <w:sz w:val="20"/>
                <w:szCs w:val="20"/>
              </w:rPr>
            </w:pPr>
            <w:r w:rsidRPr="00B65D81">
              <w:rPr>
                <w:color w:val="000000"/>
                <w:sz w:val="20"/>
              </w:rPr>
              <w:t>10</w:t>
            </w:r>
          </w:p>
        </w:tc>
      </w:tr>
      <w:tr w:rsidR="006E4784" w:rsidRPr="00B65D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 xml:space="preserve">João Albuquerque, Marc Angel, Dominique Bilde, Gabriele Bischoff, Milan Brglez, Jordi Cañas, David Casa, Ilan De </w:t>
            </w:r>
            <w:r w:rsidRPr="00B65D81">
              <w:rPr>
                <w:color w:val="000000"/>
                <w:sz w:val="20"/>
              </w:rPr>
              <w:t>Basso, Margarita de la Pisa Carrión, Özlem Demirel, Klára Dobrev, Jarosław Duda, Estrella Durá Ferrandis, Lucia Ďuriš Nicholsonová, Loucas Fourlas, Cindy Franssen, Chiara Gemma, Helmut Geuking, Elisabetta Gualmini, Alicia Homs Ginel, Agnes Jongerius, Steli</w:t>
            </w:r>
            <w:r w:rsidRPr="00B65D81">
              <w:rPr>
                <w:color w:val="000000"/>
                <w:sz w:val="20"/>
              </w:rPr>
              <w:t>os Kympouropoulos, Katrin Langensiepen, Miriam Lexmann, Elena Lizzi, Sara Matthieu, Max Orville, Kira Marie Peter-Hansen, Dragoş Pîslaru, Elżbieta Rafalska, Daniela Rondinelli, Pirkko Ruohonen-Lerner, Monica Semedo, Romana Tomc, Nikolaj Villumsen, Marianne</w:t>
            </w:r>
            <w:r w:rsidRPr="00B65D81">
              <w:rPr>
                <w:color w:val="000000"/>
                <w:sz w:val="20"/>
              </w:rPr>
              <w:t xml:space="preserve"> Vind, Maria Walsh, Tomáš Zdechovský</w:t>
            </w:r>
          </w:p>
        </w:tc>
      </w:tr>
      <w:tr w:rsidR="006E4784" w:rsidRPr="00B65D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Alexander Alexandrov Yordanov, Aurore Lalucq, Eugenia Rodríguez Palop</w:t>
            </w:r>
          </w:p>
        </w:tc>
      </w:tr>
      <w:tr w:rsidR="006E4784" w:rsidRPr="00B65D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b/>
                <w:bCs/>
                <w:color w:val="000000"/>
                <w:sz w:val="20"/>
                <w:szCs w:val="20"/>
              </w:rPr>
            </w:pPr>
            <w:r w:rsidRPr="00B65D81">
              <w:rPr>
                <w:b/>
                <w:color w:val="000000"/>
                <w:sz w:val="20"/>
              </w:rPr>
              <w:t xml:space="preserve">Til stede ved den endelige afstemning – stedfortrædere (forretningsordenens art. 209, stk. </w:t>
            </w:r>
            <w:r w:rsidRPr="00B65D81">
              <w:rPr>
                <w:b/>
                <w:color w:val="000000"/>
                <w:sz w:val="20"/>
              </w:rPr>
              <w:t>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932DB" w:rsidRPr="00B65D81" w:rsidRDefault="00EE5C2C">
            <w:pPr>
              <w:autoSpaceDE w:val="0"/>
              <w:autoSpaceDN w:val="0"/>
              <w:adjustRightInd w:val="0"/>
              <w:rPr>
                <w:color w:val="000000"/>
                <w:sz w:val="20"/>
                <w:szCs w:val="20"/>
              </w:rPr>
            </w:pPr>
            <w:r w:rsidRPr="00B65D81">
              <w:rPr>
                <w:color w:val="000000"/>
                <w:sz w:val="20"/>
              </w:rPr>
              <w:t>Sirpa Pietikäinen, Caroline Roose</w:t>
            </w:r>
          </w:p>
        </w:tc>
      </w:tr>
    </w:tbl>
    <w:p w:rsidR="002932DB" w:rsidRPr="00B65D81" w:rsidRDefault="002932DB" w:rsidP="006B07BB"/>
    <w:bookmarkEnd w:id="1"/>
    <w:p w:rsidR="006B07BB" w:rsidRPr="00B65D81" w:rsidRDefault="006B07BB" w:rsidP="006B07BB">
      <w:pPr>
        <w:sectPr w:rsidR="006B07BB" w:rsidRPr="00B65D81" w:rsidSect="006B07B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B07BB" w:rsidRPr="00B65D81" w:rsidRDefault="00EE5C2C" w:rsidP="00C36610">
      <w:pPr>
        <w:pStyle w:val="PageHeadingNotTOC"/>
      </w:pPr>
      <w:bookmarkStart w:id="2" w:name="RollCallPageAD"/>
      <w:r w:rsidRPr="00B65D81">
        <w:lastRenderedPageBreak/>
        <w:t>ENDELIG AFSTEMNING VED NAVNEOPRÅB</w:t>
      </w:r>
      <w:r w:rsidRPr="00B65D81">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784" w:rsidRPr="00B65D81" w:rsidTr="00420909">
        <w:trPr>
          <w:cantSplit/>
        </w:trPr>
        <w:tc>
          <w:tcPr>
            <w:tcW w:w="1701" w:type="dxa"/>
            <w:shd w:val="pct10" w:color="000000" w:fill="FFFFFF"/>
            <w:vAlign w:val="center"/>
          </w:tcPr>
          <w:p w:rsidR="006B07BB" w:rsidRPr="00B65D81" w:rsidRDefault="00EE5C2C" w:rsidP="00420909">
            <w:pPr>
              <w:pStyle w:val="RollCallVotes"/>
            </w:pPr>
            <w:r w:rsidRPr="00B65D81">
              <w:t>29</w:t>
            </w:r>
          </w:p>
        </w:tc>
        <w:tc>
          <w:tcPr>
            <w:tcW w:w="7371" w:type="dxa"/>
            <w:shd w:val="pct10" w:color="000000" w:fill="FFFFFF"/>
          </w:tcPr>
          <w:p w:rsidR="006B07BB" w:rsidRPr="00B65D81" w:rsidRDefault="00EE5C2C" w:rsidP="00420909">
            <w:pPr>
              <w:pStyle w:val="RollCallSymbols14pt"/>
            </w:pPr>
            <w:r w:rsidRPr="00B65D81">
              <w:t>+</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PPE</w:t>
            </w:r>
          </w:p>
        </w:tc>
        <w:tc>
          <w:tcPr>
            <w:tcW w:w="7371" w:type="dxa"/>
            <w:shd w:val="clear" w:color="auto" w:fill="FFFFFF"/>
          </w:tcPr>
          <w:p w:rsidR="006B07BB" w:rsidRPr="00B65D81" w:rsidRDefault="00EE5C2C" w:rsidP="00420909">
            <w:pPr>
              <w:pStyle w:val="RollCallTable"/>
            </w:pPr>
            <w:r w:rsidRPr="00B65D81">
              <w:t>David Casa, Loucas Fourlas, Cindy Franssen, Stelios Kympouropoulos, Sirpa Pietikäinen, Maria Walsh</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Renew</w:t>
            </w:r>
          </w:p>
        </w:tc>
        <w:tc>
          <w:tcPr>
            <w:tcW w:w="7371" w:type="dxa"/>
            <w:shd w:val="clear" w:color="auto" w:fill="FFFFFF"/>
          </w:tcPr>
          <w:p w:rsidR="006B07BB" w:rsidRPr="00B65D81" w:rsidRDefault="00EE5C2C" w:rsidP="00420909">
            <w:pPr>
              <w:pStyle w:val="RollCallTable"/>
            </w:pPr>
            <w:r w:rsidRPr="00B65D81">
              <w:t xml:space="preserve">Jordi Cañas, Lucia Ďuriš Nicholsonová, </w:t>
            </w:r>
            <w:r w:rsidRPr="00B65D81">
              <w:t>Max Orville, Dragoş Pîslaru, Monica Semedo</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S&amp;D</w:t>
            </w:r>
          </w:p>
        </w:tc>
        <w:tc>
          <w:tcPr>
            <w:tcW w:w="7371" w:type="dxa"/>
            <w:shd w:val="clear" w:color="auto" w:fill="FFFFFF"/>
          </w:tcPr>
          <w:p w:rsidR="006B07BB" w:rsidRPr="00B65D81" w:rsidRDefault="00EE5C2C" w:rsidP="00420909">
            <w:pPr>
              <w:pStyle w:val="RollCallTable"/>
            </w:pPr>
            <w:r w:rsidRPr="00B65D81">
              <w:t>João Albuquerque, Marc Angel, Gabriele Bischoff, Milan Brglez, Klára Dobrev, Estrella Durá Ferrandis, Elisabetta Gualmini, Alicia Homs Ginel, Agnes Jongerius, Aurore Lalucq, Daniela Rondinelli, Marianne Vind</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The Left</w:t>
            </w:r>
          </w:p>
        </w:tc>
        <w:tc>
          <w:tcPr>
            <w:tcW w:w="7371" w:type="dxa"/>
            <w:shd w:val="clear" w:color="auto" w:fill="FFFFFF"/>
          </w:tcPr>
          <w:p w:rsidR="006B07BB" w:rsidRPr="00B65D81" w:rsidRDefault="00EE5C2C" w:rsidP="00420909">
            <w:pPr>
              <w:pStyle w:val="RollCallTable"/>
            </w:pPr>
            <w:r w:rsidRPr="00B65D81">
              <w:t>Eugenia Rodríguez Palop, Nikolaj Villumsen</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Verts/ALE</w:t>
            </w:r>
          </w:p>
        </w:tc>
        <w:tc>
          <w:tcPr>
            <w:tcW w:w="7371" w:type="dxa"/>
            <w:shd w:val="clear" w:color="auto" w:fill="FFFFFF"/>
          </w:tcPr>
          <w:p w:rsidR="006B07BB" w:rsidRPr="00B65D81" w:rsidRDefault="00EE5C2C" w:rsidP="00420909">
            <w:pPr>
              <w:pStyle w:val="RollCallTable"/>
            </w:pPr>
            <w:r w:rsidRPr="00B65D81">
              <w:t>Katrin Langensiepen, Sara Matthieu, Kira Marie Peter-Hansen, Caroline Roose</w:t>
            </w:r>
          </w:p>
        </w:tc>
      </w:tr>
    </w:tbl>
    <w:p w:rsidR="006B07BB" w:rsidRPr="00B65D81" w:rsidRDefault="006B07BB" w:rsidP="006B07B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784" w:rsidRPr="00B65D81" w:rsidTr="00420909">
        <w:trPr>
          <w:cantSplit/>
        </w:trPr>
        <w:tc>
          <w:tcPr>
            <w:tcW w:w="1701" w:type="dxa"/>
            <w:shd w:val="pct10" w:color="000000" w:fill="FFFFFF"/>
            <w:vAlign w:val="center"/>
          </w:tcPr>
          <w:p w:rsidR="006B07BB" w:rsidRPr="00B65D81" w:rsidRDefault="00EE5C2C" w:rsidP="00420909">
            <w:pPr>
              <w:pStyle w:val="RollCallVotes"/>
            </w:pPr>
            <w:r w:rsidRPr="00B65D81">
              <w:t>4</w:t>
            </w:r>
          </w:p>
        </w:tc>
        <w:tc>
          <w:tcPr>
            <w:tcW w:w="7371" w:type="dxa"/>
            <w:shd w:val="pct10" w:color="000000" w:fill="FFFFFF"/>
          </w:tcPr>
          <w:p w:rsidR="006B07BB" w:rsidRPr="00B65D81" w:rsidRDefault="00EE5C2C" w:rsidP="00420909">
            <w:pPr>
              <w:pStyle w:val="RollCallSymbols14pt"/>
            </w:pPr>
            <w:r w:rsidRPr="00B65D81">
              <w:t>-</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ECR</w:t>
            </w:r>
          </w:p>
        </w:tc>
        <w:tc>
          <w:tcPr>
            <w:tcW w:w="7371" w:type="dxa"/>
            <w:shd w:val="clear" w:color="auto" w:fill="FFFFFF"/>
          </w:tcPr>
          <w:p w:rsidR="006B07BB" w:rsidRPr="00B65D81" w:rsidRDefault="00EE5C2C" w:rsidP="00420909">
            <w:pPr>
              <w:pStyle w:val="RollCallTable"/>
            </w:pPr>
            <w:r w:rsidRPr="00B65D81">
              <w:t>Margarita de la Pisa Carrión, Elżbieta Rafalska, Pirkko Ruohonen-Lerner</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ID</w:t>
            </w:r>
          </w:p>
        </w:tc>
        <w:tc>
          <w:tcPr>
            <w:tcW w:w="7371" w:type="dxa"/>
            <w:shd w:val="clear" w:color="auto" w:fill="FFFFFF"/>
          </w:tcPr>
          <w:p w:rsidR="006B07BB" w:rsidRPr="00B65D81" w:rsidRDefault="00EE5C2C" w:rsidP="00420909">
            <w:pPr>
              <w:pStyle w:val="RollCallTable"/>
            </w:pPr>
            <w:r w:rsidRPr="00B65D81">
              <w:t>Dominique Bilde</w:t>
            </w:r>
          </w:p>
        </w:tc>
      </w:tr>
    </w:tbl>
    <w:p w:rsidR="006B07BB" w:rsidRPr="00B65D81" w:rsidRDefault="006B07BB" w:rsidP="006B07B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E4784" w:rsidRPr="00B65D81" w:rsidTr="00420909">
        <w:trPr>
          <w:cantSplit/>
        </w:trPr>
        <w:tc>
          <w:tcPr>
            <w:tcW w:w="1701" w:type="dxa"/>
            <w:shd w:val="pct10" w:color="000000" w:fill="FFFFFF"/>
            <w:vAlign w:val="center"/>
          </w:tcPr>
          <w:p w:rsidR="006B07BB" w:rsidRPr="00B65D81" w:rsidRDefault="00EE5C2C" w:rsidP="00420909">
            <w:pPr>
              <w:pStyle w:val="RollCallVotes"/>
            </w:pPr>
            <w:r w:rsidRPr="00B65D81">
              <w:t>10</w:t>
            </w:r>
          </w:p>
        </w:tc>
        <w:tc>
          <w:tcPr>
            <w:tcW w:w="7371" w:type="dxa"/>
            <w:shd w:val="pct10" w:color="000000" w:fill="FFFFFF"/>
          </w:tcPr>
          <w:p w:rsidR="006B07BB" w:rsidRPr="00B65D81" w:rsidRDefault="00EE5C2C" w:rsidP="00420909">
            <w:pPr>
              <w:pStyle w:val="RollCallSymbols14pt"/>
            </w:pPr>
            <w:r w:rsidRPr="00B65D81">
              <w:t>0</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ECR</w:t>
            </w:r>
          </w:p>
        </w:tc>
        <w:tc>
          <w:tcPr>
            <w:tcW w:w="7371" w:type="dxa"/>
            <w:shd w:val="clear" w:color="auto" w:fill="FFFFFF"/>
          </w:tcPr>
          <w:p w:rsidR="006B07BB" w:rsidRPr="00B65D81" w:rsidRDefault="00EE5C2C" w:rsidP="00420909">
            <w:pPr>
              <w:pStyle w:val="RollCallTable"/>
            </w:pPr>
            <w:r w:rsidRPr="00B65D81">
              <w:t>Chiara Gemma</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ID</w:t>
            </w:r>
          </w:p>
        </w:tc>
        <w:tc>
          <w:tcPr>
            <w:tcW w:w="7371" w:type="dxa"/>
            <w:shd w:val="clear" w:color="auto" w:fill="FFFFFF"/>
          </w:tcPr>
          <w:p w:rsidR="006B07BB" w:rsidRPr="00B65D81" w:rsidRDefault="00EE5C2C" w:rsidP="00420909">
            <w:pPr>
              <w:pStyle w:val="RollCallTable"/>
            </w:pPr>
            <w:r w:rsidRPr="00B65D81">
              <w:t>Elena Lizzi</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PPE</w:t>
            </w:r>
          </w:p>
        </w:tc>
        <w:tc>
          <w:tcPr>
            <w:tcW w:w="7371" w:type="dxa"/>
            <w:shd w:val="clear" w:color="auto" w:fill="FFFFFF"/>
          </w:tcPr>
          <w:p w:rsidR="006B07BB" w:rsidRPr="00B65D81" w:rsidRDefault="00EE5C2C" w:rsidP="00420909">
            <w:pPr>
              <w:pStyle w:val="RollCallTable"/>
            </w:pPr>
            <w:r w:rsidRPr="00B65D81">
              <w:t>Alexander Alexandrov Yordanov, Jarosław Duda, Helmut Geuking, Miriam Lexmann, Romana Tomc, Tomáš Zdechovský</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S&amp;D</w:t>
            </w:r>
          </w:p>
        </w:tc>
        <w:tc>
          <w:tcPr>
            <w:tcW w:w="7371" w:type="dxa"/>
            <w:shd w:val="clear" w:color="auto" w:fill="FFFFFF"/>
          </w:tcPr>
          <w:p w:rsidR="006B07BB" w:rsidRPr="00B65D81" w:rsidRDefault="00EE5C2C" w:rsidP="00420909">
            <w:pPr>
              <w:pStyle w:val="RollCallTable"/>
            </w:pPr>
            <w:r w:rsidRPr="00B65D81">
              <w:t>Ilan De Basso</w:t>
            </w:r>
          </w:p>
        </w:tc>
      </w:tr>
      <w:tr w:rsidR="006E4784" w:rsidRPr="00B65D81" w:rsidTr="00420909">
        <w:trPr>
          <w:cantSplit/>
        </w:trPr>
        <w:tc>
          <w:tcPr>
            <w:tcW w:w="1701" w:type="dxa"/>
            <w:shd w:val="clear" w:color="auto" w:fill="FFFFFF"/>
          </w:tcPr>
          <w:p w:rsidR="006B07BB" w:rsidRPr="00B65D81" w:rsidRDefault="00EE5C2C" w:rsidP="00420909">
            <w:pPr>
              <w:pStyle w:val="RollCallTable"/>
            </w:pPr>
            <w:r w:rsidRPr="00B65D81">
              <w:t>The Left</w:t>
            </w:r>
          </w:p>
        </w:tc>
        <w:tc>
          <w:tcPr>
            <w:tcW w:w="7371" w:type="dxa"/>
            <w:shd w:val="clear" w:color="auto" w:fill="FFFFFF"/>
          </w:tcPr>
          <w:p w:rsidR="006B07BB" w:rsidRPr="00B65D81" w:rsidRDefault="00EE5C2C" w:rsidP="00420909">
            <w:pPr>
              <w:pStyle w:val="RollCallTable"/>
            </w:pPr>
            <w:r w:rsidRPr="00B65D81">
              <w:t>Özlem Demirel</w:t>
            </w:r>
          </w:p>
        </w:tc>
      </w:tr>
    </w:tbl>
    <w:p w:rsidR="006B07BB" w:rsidRPr="00B65D81" w:rsidRDefault="006B07BB" w:rsidP="00147FBF">
      <w:pPr>
        <w:pStyle w:val="Normal12a"/>
      </w:pPr>
    </w:p>
    <w:p w:rsidR="006B07BB" w:rsidRPr="00B65D81" w:rsidRDefault="00EE5C2C" w:rsidP="00B735E3">
      <w:r w:rsidRPr="00B65D81">
        <w:t>Tegnforklaring:</w:t>
      </w:r>
    </w:p>
    <w:p w:rsidR="006B07BB" w:rsidRPr="00B65D81" w:rsidRDefault="00EE5C2C" w:rsidP="003858C5">
      <w:pPr>
        <w:pStyle w:val="RollCallTabs"/>
      </w:pPr>
      <w:r w:rsidRPr="00B65D81">
        <w:t>+</w:t>
      </w:r>
      <w:r w:rsidRPr="00B65D81">
        <w:tab/>
        <w:t>:</w:t>
      </w:r>
      <w:r w:rsidRPr="00B65D81">
        <w:tab/>
        <w:t>for</w:t>
      </w:r>
    </w:p>
    <w:p w:rsidR="006B07BB" w:rsidRPr="00B65D81" w:rsidRDefault="00EE5C2C" w:rsidP="003858C5">
      <w:pPr>
        <w:pStyle w:val="RollCallTabs"/>
      </w:pPr>
      <w:r w:rsidRPr="00B65D81">
        <w:t>-</w:t>
      </w:r>
      <w:r w:rsidRPr="00B65D81">
        <w:tab/>
        <w:t>:</w:t>
      </w:r>
      <w:r w:rsidRPr="00B65D81">
        <w:tab/>
        <w:t>imod</w:t>
      </w:r>
    </w:p>
    <w:p w:rsidR="006B07BB" w:rsidRPr="00B65D81" w:rsidRDefault="00EE5C2C" w:rsidP="003858C5">
      <w:pPr>
        <w:pStyle w:val="RollCallTabs"/>
      </w:pPr>
      <w:r w:rsidRPr="00B65D81">
        <w:t>0</w:t>
      </w:r>
      <w:r w:rsidRPr="00B65D81">
        <w:tab/>
        <w:t>:</w:t>
      </w:r>
      <w:r w:rsidRPr="00B65D81">
        <w:tab/>
        <w:t>hverken/eller</w:t>
      </w:r>
    </w:p>
    <w:p w:rsidR="006B07BB" w:rsidRPr="00B65D81" w:rsidRDefault="006B07BB" w:rsidP="00207509"/>
    <w:p w:rsidR="00DB56E4" w:rsidRPr="00B65D81" w:rsidRDefault="00DB56E4" w:rsidP="006B07BB">
      <w:bookmarkStart w:id="3" w:name="_GoBack"/>
      <w:bookmarkEnd w:id="2"/>
      <w:bookmarkEnd w:id="3"/>
    </w:p>
    <w:sectPr w:rsidR="00DB56E4" w:rsidRPr="00B65D81" w:rsidSect="006B07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E5C2C">
      <w:r>
        <w:separator/>
      </w:r>
    </w:p>
  </w:endnote>
  <w:endnote w:type="continuationSeparator" w:id="0">
    <w:p w:rsidR="00000000" w:rsidRDefault="00EE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2DB" w:rsidRDefault="00EE5C2C" w:rsidP="002932DB">
    <w:pPr>
      <w:pStyle w:val="EPFooter"/>
    </w:pPr>
    <w:r>
      <w:t>PE</w:t>
    </w:r>
    <w:r w:rsidRPr="002932DB">
      <w:rPr>
        <w:rStyle w:val="HideTWBExt"/>
      </w:rPr>
      <w:t>&lt;NoPE&gt;</w:t>
    </w:r>
    <w:r>
      <w:t>752.621</w:t>
    </w:r>
    <w:r w:rsidRPr="002932DB">
      <w:rPr>
        <w:rStyle w:val="HideTWBExt"/>
      </w:rPr>
      <w:t>&lt;/NoPE&gt;&lt;Version&gt;</w:t>
    </w:r>
    <w:r>
      <w:t>v02-00</w:t>
    </w:r>
    <w:r w:rsidRPr="002932DB">
      <w:rPr>
        <w:rStyle w:val="HideTWBExt"/>
      </w:rPr>
      <w:t>&lt;/Version&gt;</w:t>
    </w:r>
    <w:r>
      <w:tab/>
    </w:r>
    <w:r>
      <w:fldChar w:fldCharType="begin"/>
    </w:r>
    <w:r>
      <w:instrText xml:space="preserve"> PAGE  \* MERGEFORMAT </w:instrText>
    </w:r>
    <w:r>
      <w:fldChar w:fldCharType="separate"/>
    </w:r>
    <w:r>
      <w:rPr>
        <w:noProof/>
      </w:rPr>
      <w:t>28</w:t>
    </w:r>
    <w:r>
      <w:fldChar w:fldCharType="end"/>
    </w:r>
    <w:r>
      <w:t>/</w:t>
    </w:r>
    <w:r w:rsidR="006B07BB">
      <w:fldChar w:fldCharType="begin"/>
    </w:r>
    <w:r>
      <w:instrText xml:space="preserve"> NUMPAGES  \* MERGEFORMAT </w:instrText>
    </w:r>
    <w:r w:rsidR="006B07BB">
      <w:fldChar w:fldCharType="separate"/>
    </w:r>
    <w:r>
      <w:rPr>
        <w:noProof/>
      </w:rPr>
      <w:t>28</w:t>
    </w:r>
    <w:r w:rsidR="006B07BB">
      <w:rPr>
        <w:noProof/>
      </w:rPr>
      <w:fldChar w:fldCharType="end"/>
    </w:r>
    <w:r>
      <w:tab/>
    </w:r>
    <w:r w:rsidRPr="002932DB">
      <w:rPr>
        <w:rStyle w:val="HideTWBExt"/>
      </w:rPr>
      <w:t>&lt;PathFdR&gt;</w:t>
    </w:r>
    <w:r>
      <w:t>AD\1288324DA.docx</w:t>
    </w:r>
    <w:r w:rsidRPr="002932DB">
      <w:rPr>
        <w:rStyle w:val="HideTWBExt"/>
      </w:rPr>
      <w:t>&lt;/PathFdR&gt;</w:t>
    </w:r>
  </w:p>
  <w:p w:rsidR="00E34A5C" w:rsidRPr="00921659" w:rsidRDefault="00EE5C2C" w:rsidP="002932DB">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2DB" w:rsidRDefault="00EE5C2C" w:rsidP="002932DB">
    <w:pPr>
      <w:pStyle w:val="EPFooter"/>
    </w:pPr>
    <w:r w:rsidRPr="002932DB">
      <w:rPr>
        <w:rStyle w:val="HideTWBExt"/>
      </w:rPr>
      <w:t>&lt;PathFdR&gt;</w:t>
    </w:r>
    <w:r>
      <w:t>AD\1288324DA.docx</w:t>
    </w:r>
    <w:r w:rsidRPr="002932DB">
      <w:rPr>
        <w:rStyle w:val="HideTWBExt"/>
      </w:rPr>
      <w:t>&lt;/PathFdR&gt;</w:t>
    </w:r>
    <w:r>
      <w:tab/>
    </w:r>
    <w:r>
      <w:fldChar w:fldCharType="begin"/>
    </w:r>
    <w:r>
      <w:instrText xml:space="preserve"> PAGE  \* MERGEFORMAT </w:instrText>
    </w:r>
    <w:r>
      <w:fldChar w:fldCharType="separate"/>
    </w:r>
    <w:r>
      <w:rPr>
        <w:noProof/>
      </w:rPr>
      <w:t>27</w:t>
    </w:r>
    <w:r>
      <w:fldChar w:fldCharType="end"/>
    </w:r>
    <w:r>
      <w:t>/</w:t>
    </w:r>
    <w:r w:rsidR="006B07BB">
      <w:fldChar w:fldCharType="begin"/>
    </w:r>
    <w:r>
      <w:instrText xml:space="preserve"> NUMPAGES  \* MERGEFORMAT </w:instrText>
    </w:r>
    <w:r w:rsidR="006B07BB">
      <w:fldChar w:fldCharType="separate"/>
    </w:r>
    <w:r>
      <w:rPr>
        <w:noProof/>
      </w:rPr>
      <w:t>28</w:t>
    </w:r>
    <w:r w:rsidR="006B07BB">
      <w:rPr>
        <w:noProof/>
      </w:rPr>
      <w:fldChar w:fldCharType="end"/>
    </w:r>
    <w:r>
      <w:tab/>
      <w:t>PE</w:t>
    </w:r>
    <w:r w:rsidRPr="002932DB">
      <w:rPr>
        <w:rStyle w:val="HideTWBExt"/>
      </w:rPr>
      <w:t>&lt;NoPE&gt;</w:t>
    </w:r>
    <w:r>
      <w:t>752.621</w:t>
    </w:r>
    <w:r w:rsidRPr="002932DB">
      <w:rPr>
        <w:rStyle w:val="HideTWBExt"/>
      </w:rPr>
      <w:t>&lt;/NoPE&gt;&lt;Version&gt;</w:t>
    </w:r>
    <w:r>
      <w:t>v02-00</w:t>
    </w:r>
    <w:r w:rsidRPr="002932DB">
      <w:rPr>
        <w:rStyle w:val="HideTWBExt"/>
      </w:rPr>
      <w:t>&lt;/Version&gt;</w:t>
    </w:r>
  </w:p>
  <w:p w:rsidR="00E34A5C" w:rsidRPr="00921659" w:rsidRDefault="00EE5C2C" w:rsidP="002932DB">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2DB" w:rsidRDefault="00EE5C2C" w:rsidP="002932DB">
    <w:pPr>
      <w:pStyle w:val="EPFooter"/>
    </w:pPr>
    <w:r w:rsidRPr="002932DB">
      <w:rPr>
        <w:rStyle w:val="HideTWBExt"/>
      </w:rPr>
      <w:t>&lt;PathFdR&gt;</w:t>
    </w:r>
    <w:r>
      <w:t>AD\1288324DA.docx</w:t>
    </w:r>
    <w:r w:rsidRPr="002932DB">
      <w:rPr>
        <w:rStyle w:val="HideTWBExt"/>
      </w:rPr>
      <w:t>&lt;/PathFdR&gt;</w:t>
    </w:r>
    <w:r>
      <w:tab/>
    </w:r>
    <w:r>
      <w:tab/>
      <w:t>PE</w:t>
    </w:r>
    <w:r w:rsidRPr="002932DB">
      <w:rPr>
        <w:rStyle w:val="HideTWBExt"/>
      </w:rPr>
      <w:t>&lt;NoPE&gt;</w:t>
    </w:r>
    <w:r>
      <w:t>752.621</w:t>
    </w:r>
    <w:r w:rsidRPr="002932DB">
      <w:rPr>
        <w:rStyle w:val="HideTWBExt"/>
      </w:rPr>
      <w:t>&lt;/NoPE&gt;&lt;Version&gt;</w:t>
    </w:r>
    <w:r>
      <w:t>v02-00</w:t>
    </w:r>
    <w:r w:rsidRPr="002932DB">
      <w:rPr>
        <w:rStyle w:val="HideTWBExt"/>
      </w:rPr>
      <w:t>&lt;/Version&gt;</w:t>
    </w:r>
  </w:p>
  <w:p w:rsidR="00E34A5C" w:rsidRPr="00921659" w:rsidRDefault="00EE5C2C" w:rsidP="002932DB">
    <w:pPr>
      <w:pStyle w:val="EPFooter2"/>
    </w:pPr>
    <w:r>
      <w:t>DA</w:t>
    </w:r>
    <w:r>
      <w:tab/>
    </w:r>
    <w:r w:rsidRPr="002932DB">
      <w:rPr>
        <w:b w:val="0"/>
        <w:i/>
        <w:color w:val="C0C0C0"/>
        <w:sz w:val="22"/>
      </w:rPr>
      <w:t xml:space="preserve">Forenet i </w:t>
    </w:r>
    <w:r w:rsidRPr="002932DB">
      <w:rPr>
        <w:b w:val="0"/>
        <w:i/>
        <w:color w:val="C0C0C0"/>
        <w:sz w:val="22"/>
      </w:rPr>
      <w:t>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E5C2C">
      <w:r>
        <w:separator/>
      </w:r>
    </w:p>
  </w:footnote>
  <w:footnote w:type="continuationSeparator" w:id="0">
    <w:p w:rsidR="00000000" w:rsidRDefault="00EE5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BB" w:rsidRDefault="006B0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BB" w:rsidRDefault="006B0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BB" w:rsidRDefault="006B07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52\fbidi \froman\fcharset238\fprq2 Times New Roman CE;}{\f353\fbidi \froman\fcharset204\fprq2 Times New Roman Cyr;}_x000d__x000a_{\f355\fbidi \froman\fcharset161\fprq2 Times New Roman Greek;}{\f356\fbidi \froman\fcharset162\fprq2 Times New Roman Tur;}{\f357\fbidi \froman\fcharset177\fprq2 Times New Roman (Hebrew);}{\f358\fbidi \froman\fcharset178\fprq2 Times New Roman (Arabic);}_x000d__x000a_{\f359\fbidi \froman\fcharset186\fprq2 Times New Roman Baltic;}{\f360\fbidi \froman\fcharset163\fprq2 Times New Roman (Vietnamese);}{\f362\fbidi \fswiss\fcharset238\fprq2 Arial CE;}{\f363\fbidi \fswiss\fcharset204\fprq2 Arial Cyr;}_x000d__x000a_{\f365\fbidi \fswiss\fcharset161\fprq2 Arial Greek;}{\f366\fbidi \fswiss\fcharset162\fprq2 Arial Tur;}{\f367\fbidi \fswiss\fcharset177\fprq2 Arial (Hebrew);}{\f368\fbidi \fswiss\fcharset178\fprq2 Arial (Arabic);}_x000d__x000a_{\f369\fbidi \fswiss\fcharset186\fprq2 Arial Baltic;}{\f370\fbidi \fswiss\fcharset163\fprq2 Arial (Vietnamese);}{\f692\fbidi \froman\fcharset238\fprq2 Cambria Math CE;}{\f693\fbidi \froman\fcharset204\fprq2 Cambria Math Cyr;}_x000d__x000a_{\f695\fbidi \froman\fcharset161\fprq2 Cambria Math Greek;}{\f696\fbidi \froman\fcharset162\fprq2 Cambria Math Tur;}{\f699\fbidi \froman\fcharset186\fprq2 Cambria Math Baltic;}{\f7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551558 HideTWBExt;}{_x000d__x000a_\s18\ql \li0\ri0\sa120\nowidctlpar\wrapdefault\aspalpha\aspnum\faauto\adjustright\rin0\lin0\itap0 \rtlch\fcs1 \af0\afs20\alang1025 \ltrch\fcs0 \fs24\lang2057\langfe2057\cgrid\langnp2057\langfenp2057 \sbasedon0 \snext18 \spriority0 \styrsid11551558 _x000d__x000a_Normal6a;}{\s19\ql \li0\ri0\nowidctlpar\wrapdefault\aspalpha\aspnum\faauto\adjustright\rin0\lin0\itap0 \rtlch\fcs1 \af0\afs20\alang1025 \ltrch\fcs0 \b\fs24\lang2057\langfe2057\cgrid\langnp2057\langfenp2057 \sbasedon0 \snext19 \spriority0 \styrsid11551558 _x000d__x000a_NormalBold;}{\*\cs20 \additive \v\f1\fs20\cf15 \spriority0 \styrsid11551558 HideTWBInt;}{\s21\qc \li0\ri0\sa240\nowidctlpar\wrapdefault\aspalpha\aspnum\faauto\adjustright\rin0\lin0\itap0 \rtlch\fcs1 \af0\afs20\alang1025 \ltrch\fcs0 _x000d__x000a_\i\fs24\lang2057\langfe2057\cgrid\langnp2057\langfenp2057 \sbasedon0 \snext21 \spriority0 \styrsid11551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1551558 AmNumberTabs;}{\s23\ql \li0\ri0\sb240\nowidctlpar\wrapdefault\aspalpha\aspnum\faauto\adjustright\rin0\lin0\itap0 \rtlch\fcs1 _x000d__x000a_\af0\afs20\alang1025 \ltrch\fcs0 \b\fs24\lang2057\langfe2057\cgrid\langnp2057\langfenp2057 \sbasedon0 \snext23 \spriority0 \styrsid11551558 NormalBold12b;}}{\*\rsidtbl \rsid24658\rsid223860\rsid735077\rsid1718133\rsid2892074\rsid3565327\rsid4666813_x000d__x000a_\rsid6641733\rsid7823322\rsid8737778\rsid9636012\rsid10377208\rsid11215221\rsid11549030\rsid11551558\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11\dy3\hr11\min33}{\revtim\yr2023\mo11\dy3\hr11\min33}{\version1}{\edmins0}{\nofpages1}_x000d__x000a_{\nofwords27}{\nofchars179}{\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51558\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8737778 \chftnsep _x000d__x000a_\par }}{\*\ftnsepc \ltrpar \pard\plain \ltrpar\ql \li0\ri0\widctlpar\wrapdefault\aspalpha\aspnum\faauto\adjustright\rin0\lin0\itap0 \rtlch\fcs1 \af0\afs20\alang1025 \ltrch\fcs0 \fs24\lang2057\langfe2057\cgrid\langnp2057\langfenp2057 {\rtlch\fcs1 \af0 _x000d__x000a_\ltrch\fcs0 \insrsid8737778 \chftnsepc _x000d__x000a_\par }}{\*\aftnsep \ltrpar \pard\plain \ltrpar\ql \li0\ri0\widctlpar\wrapdefault\aspalpha\aspnum\faauto\adjustright\rin0\lin0\itap0 \rtlch\fcs1 \af0\afs20\alang1025 \ltrch\fcs0 \fs24\lang2057\langfe2057\cgrid\langnp2057\langfenp2057 {\rtlch\fcs1 \af0 _x000d__x000a_\ltrch\fcs0 \insrsid8737778 \chftnsep _x000d__x000a_\par }}{\*\aftnsepc \ltrpar \pard\plain \ltrpar\ql \li0\ri0\widctlpar\wrapdefault\aspalpha\aspnum\faauto\adjustright\rin0\lin0\itap0 \rtlch\fcs1 \af0\afs20\alang1025 \ltrch\fcs0 \fs24\lang2057\langfe2057\cgrid\langnp2057\langfenp2057 {\rtlch\fcs1 \af0 _x000d__x000a_\ltrch\fcs0 \insrsid873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551558 \rtlch\fcs1 _x000d__x000a_\af0\afs20\alang1025 \ltrch\fcs0 \b\fs24\lang2057\langfe2057\cgrid\langnp2057\langfenp2057 {\rtlch\fcs1 \af0 \ltrch\fcs0 \cs17\b0\v\fs20\cf9\lang1024\langfe1024\loch\af1\hich\af1\dbch\af31501\noproof\insrsid11551558\charrsid7612140 {\*\bkmkstart restartA}_x000d__x000a_\hich\af1\dbch\af31501\loch\f1 &lt;AmendA&gt;}{\rtlch\fcs1 \af0 \ltrch\fcs0 \insrsid11551558\charrsid7612140 Amendment\tab \tab }{\rtlch\fcs1 \af0 \ltrch\fcs0 _x000d__x000a_\cs17\b0\v\fs20\cf9\lang1024\langfe1024\loch\af1\hich\af1\dbch\af31501\noproof\insrsid11551558\charrsid7612140 \hich\af1\dbch\af31501\loch\f1 &lt;NumAmA&gt;}{\rtlch\fcs1 \af0 \ltrch\fcs0 \insrsid11551558\charrsid7612140 #}{\rtlch\fcs1 \af1 \ltrch\fcs0 _x000d__x000a_\cs20\v\f1\fs20\cf15\insrsid11551558\charrsid7612140 ENMIENDA@NRAM@}{\rtlch\fcs1 \af0 \ltrch\fcs0 \insrsid11551558\charrsid7612140 #}{\rtlch\fcs1 \af0 \ltrch\fcs0 _x000d__x000a_\cs17\b0\v\fs20\cf9\lang1024\langfe1024\loch\af1\hich\af1\dbch\af31501\noproof\insrsid11551558\charrsid7612140 \hich\af1\dbch\af31501\loch\f1 &lt;/NumAmA&gt;}{\rtlch\fcs1 \af0 \ltrch\fcs0 \insrsid11551558\charrsid7612140 _x000d__x000a_\par }\pard\plain \ltrpar\s23\ql \li0\ri0\sb240\keepn\nowidctlpar\wrapdefault\aspalpha\aspnum\faauto\adjustright\rin0\lin0\itap0\pararsid11551558 \rtlch\fcs1 \af0\afs20\alang1025 \ltrch\fcs0 \b\fs24\lang2057\langfe2057\cgrid\langnp2057\langfenp2057 {_x000d__x000a_\rtlch\fcs1 \af0 \ltrch\fcs0 \cs17\b0\v\fs20\cf9\lang1024\langfe1024\loch\af1\hich\af1\dbch\af31501\noproof\insrsid11551558\charrsid7612140 \hich\af1\dbch\af31501\loch\f1 &lt;DocAmend&gt;}{\rtlch\fcs1 \af0 \ltrch\fcs0 \insrsid11551558\charrsid7612140 _x000d__x000a_Draft legislative resolution}{\rtlch\fcs1 \af0 \ltrch\fcs0 \cs17\b0\v\fs20\cf9\lang1024\langfe1024\loch\af1\hich\af1\dbch\af31501\noproof\insrsid11551558\charrsid7612140 \hich\af1\dbch\af31501\loch\f1 &lt;/DocAmend&gt;}{\rtlch\fcs1 \af0 \ltrch\fcs0 _x000d__x000a_\insrsid11551558\charrsid7612140 _x000d__x000a_\par }\pard\plain \ltrpar\s19\ql \li0\ri0\nowidctlpar\wrapdefault\aspalpha\aspnum\faauto\adjustright\rin0\lin0\itap0\pararsid11551558 \rtlch\fcs1 \af0\afs20\alang1025 \ltrch\fcs0 \b\fs24\lang2057\langfe2057\cgrid\langnp2057\langfenp2057 {\rtlch\fcs1 \af0 _x000d__x000a_\ltrch\fcs0 \cs17\b0\v\fs20\cf9\lang1024\langfe1024\loch\af1\hich\af1\dbch\af31501\noproof\insrsid11551558\charrsid7612140 \hich\af1\dbch\af31501\loch\f1 &lt;Article&gt;}{\rtlch\fcs1 \af0 \ltrch\fcs0 \cf10\insrsid11551558\charrsid14626516 \u9668\'3f}{_x000d__x000a_\rtlch\fcs1 \af0 \ltrch\fcs0 \insrsid11551558\charrsid7612140 #}{\rtlch\fcs1 \af1 \ltrch\fcs0 \cs20\v\f1\fs20\cf15\insrsid11551558\charrsid7612140 TVTRESPART@RESPART@}{\rtlch\fcs1 \af0 \ltrch\fcs0 \insrsid11551558\charrsid7612140 #}{\rtlch\fcs1 \af0 _x000d__x000a_\ltrch\fcs0 \cf10\insrsid11551558\charrsid14626516 \u9658\'3f}{\rtlch\fcs1 \af0 \ltrch\fcs0 \cs17\b0\v\fs20\cf9\lang1024\langfe1024\loch\af1\hich\af1\dbch\af31501\noproof\insrsid11551558\charrsid7612140 \hich\af1\dbch\af31501\loch\f1 &lt;/Article&gt;}{_x000d__x000a_\rtlch\fcs1 \af0 \ltrch\fcs0 \insrsid11551558\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1551558\charrsid7612140 \cell }\pard \ltrpar\ql \li0\ri0\widctlpar\intbl\wrapdefault\aspalpha\aspnum\faauto\adjustright\rin0\lin0 {\rtlch\fcs1 \af0 \ltrch\fcs0 _x000d__x000a_\insrsid11551558\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11551558\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11551558\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551558\charrsid7612140 ##\cell ##}{\rtlch\fcs1 \af0\afs24 \ltrch\fcs0 \insrsid11551558\charrsid7612140 \cell }\pard\plain \ltrpar\ql \li0\ri0\widctlpar\intbl\wrapdefault\aspalpha\aspnum\faauto\adjustright\rin0\lin0 \rtlch\fcs1 _x000d__x000a_\af0\afs20\alang1025 \ltrch\fcs0 \fs24\lang2057\langfe2057\cgrid\langnp2057\langfenp2057 {\rtlch\fcs1 \af0 \ltrch\fcs0 \insrsid11551558\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551558 {\rtlch\fcs1 \af0 \ltrch\fcs0 \cs17\v\fs20\cf9\lang1024\langfe1024\loch\af1\hich\af1\dbch\af31501\noproof\insrsid11551558\charrsid7612140 _x000d__x000a_\hich\af1\dbch\af31501\loch\f1 &lt;/AmendA&gt;}{\rtlch\fcs1 \af0 \ltrch\fcs0 \insrsid1155155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6_x000d__x000a_3d2341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52\fbidi \froman\fcharset238\fprq2 Times New Roman CE;}{\f353\fbidi \froman\fcharset204\fprq2 Times New Roman Cyr;}_x000d__x000a_{\f355\fbidi \froman\fcharset161\fprq2 Times New Roman Greek;}{\f356\fbidi \froman\fcharset162\fprq2 Times New Roman Tur;}{\f357\fbidi \froman\fcharset177\fprq2 Times New Roman (Hebrew);}{\f358\fbidi \froman\fcharset178\fprq2 Times New Roman (Arabic);}_x000d__x000a_{\f359\fbidi \froman\fcharset186\fprq2 Times New Roman Baltic;}{\f360\fbidi \froman\fcharset163\fprq2 Times New Roman (Vietnamese);}{\f362\fbidi \fswiss\fcharset238\fprq2 Arial CE;}{\f363\fbidi \fswiss\fcharset204\fprq2 Arial Cyr;}_x000d__x000a_{\f365\fbidi \fswiss\fcharset161\fprq2 Arial Greek;}{\f366\fbidi \fswiss\fcharset162\fprq2 Arial Tur;}{\f367\fbidi \fswiss\fcharset177\fprq2 Arial (Hebrew);}{\f368\fbidi \fswiss\fcharset178\fprq2 Arial (Arabic);}_x000d__x000a_{\f369\fbidi \fswiss\fcharset186\fprq2 Arial Baltic;}{\f370\fbidi \fswiss\fcharset163\fprq2 Arial (Vietnamese);}{\f692\fbidi \froman\fcharset238\fprq2 Cambria Math CE;}{\f693\fbidi \froman\fcharset204\fprq2 Cambria Math Cyr;}_x000d__x000a_{\f695\fbidi \froman\fcharset161\fprq2 Cambria Math Greek;}{\f696\fbidi \froman\fcharset162\fprq2 Cambria Math Tur;}{\f699\fbidi \froman\fcharset186\fprq2 Cambria Math Baltic;}{\f7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34296 HideTWBExt;}{_x000d__x000a_\s18\ql \li0\ri0\sa120\nowidctlpar\wrapdefault\aspalpha\aspnum\faauto\adjustright\rin0\lin0\itap0 \rtlch\fcs1 \af0\afs20\alang1025 \ltrch\fcs0 \fs24\lang2057\langfe2057\cgrid\langnp2057\langfenp2057 \sbasedon0 \snext18 \spriority0 \styrsid7734296 _x000d__x000a_Normal6a;}{\s19\ql \li0\ri0\nowidctlpar\wrapdefault\aspalpha\aspnum\faauto\adjustright\rin0\lin0\itap0 \rtlch\fcs1 \af0\afs20\alang1025 \ltrch\fcs0 \b\fs24\lang2057\langfe2057\cgrid\langnp2057\langfenp2057 \sbasedon0 \snext19 \spriority0 \styrsid7734296 _x000d__x000a_NormalBold;}{\s20\ql \li0\ri0\sa240\nowidctlpar\wrapdefault\aspalpha\aspnum\faauto\adjustright\rin0\lin0\itap0 \rtlch\fcs1 \af0\afs20\alang1025 \ltrch\fcs0 \i\fs24\lang2057\langfe2057\cgrid\langnp2057\langfenp2057 _x000d__x000a_\sbasedon0 \snext20 \spriority0 \styrsid7734296 AmJustText;}{\s21\qc \li0\ri0\sb240\sa240\nowidctlpar\wrapdefault\aspalpha\aspnum\faauto\adjustright\rin0\lin0\itap0 \rtlch\fcs1 \af0\afs20\alang1025 \ltrch\fcs0 _x000d__x000a_\i\fs24\lang2057\langfe2057\cgrid\langnp2057\langfenp2057 \sbasedon0 \snext21 \spriority0 \styrsid7734296 AmCrossRef;}{\*\cs22 \additive \v\f1\fs20\cf15 \spriority0 \styrsid7734296 HideTWBInt;}{_x000d__x000a_\s23\qc \li0\ri0\sb240\sa240\keepn\nowidctlpar\wrapdefault\aspalpha\aspnum\faauto\adjustright\rin0\lin0\itap0 \rtlch\fcs1 \af0\afs20\alang1025 \ltrch\fcs0 \i\fs24\lang2057\langfe2057\cgrid\langnp2057\langfenp2057 _x000d__x000a_\sbasedon0 \snext20 \spriority0 \styrsid7734296 AmJustTitle;}{\s24\qc \li0\ri0\sa240\nowidctlpar\wrapdefault\aspalpha\aspnum\faauto\adjustright\rin0\lin0\itap0 \rtlch\fcs1 \af0\afs20\alang1025 \ltrch\fcs0 _x000d__x000a_\i\fs24\lang2057\langfe2057\cgrid\langnp2057\langfenp2057 \sbasedon0 \snext24 \spriority0 \styrsid773429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7734296 AmNumberTabs;}{\s26\ql \li0\ri0\sb240\nowidctlpar\wrapdefault\aspalpha\aspnum\faauto\adjustright\rin0\lin0\itap0 \rtlch\fcs1 _x000d__x000a_\af0\afs20\alang1025 \ltrch\fcs0 \b\fs24\lang2057\langfe2057\cgrid\langnp2057\langfenp2057 \sbasedon0 \snext26 \spriority0 \styrsid7734296 NormalBold12b;}}{\*\rsidtbl \rsid24658\rsid223860\rsid735077\rsid1718133\rsid2892074\rsid3565327\rsid4666813_x000d__x000a_\rsid6641733\rsid7734296\rsid7823322\rsid9636012\rsid10377208\rsid11215221\rsid11235386\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11\dy3\hr11\min33}{\revtim\yr2023\mo11\dy3\hr11\min33}{\version1}{\edmins0}{\nofpages1}_x000d__x000a_{\nofwords90}{\nofchars576}{\nofcharsws65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734296\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1235386 \chftnsep _x000d__x000a_\par }}{\*\ftnsepc \ltrpar \pard\plain \ltrpar\ql \li0\ri0\widctlpar\wrapdefault\aspalpha\aspnum\faauto\adjustright\rin0\lin0\itap0 \rtlch\fcs1 \af0\afs20\alang1025 \ltrch\fcs0 \fs24\lang2057\langfe2057\cgrid\langnp2057\langfenp2057 {\rtlch\fcs1 \af0 _x000d__x000a_\ltrch\fcs0 \insrsid11235386 \chftnsepc _x000d__x000a_\par }}{\*\aftnsep \ltrpar \pard\plain \ltrpar\ql \li0\ri0\widctlpar\wrapdefault\aspalpha\aspnum\faauto\adjustright\rin0\lin0\itap0 \rtlch\fcs1 \af0\afs20\alang1025 \ltrch\fcs0 \fs24\lang2057\langfe2057\cgrid\langnp2057\langfenp2057 {\rtlch\fcs1 \af0 _x000d__x000a_\ltrch\fcs0 \insrsid11235386 \chftnsep _x000d__x000a_\par }}{\*\aftnsepc \ltrpar \pard\plain \ltrpar\ql \li0\ri0\widctlpar\wrapdefault\aspalpha\aspnum\faauto\adjustright\rin0\lin0\itap0 \rtlch\fcs1 \af0\afs20\alang1025 \ltrch\fcs0 \fs24\lang2057\langfe2057\cgrid\langnp2057\langfenp2057 {\rtlch\fcs1 \af0 _x000d__x000a_\ltrch\fcs0 \insrsid112353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7734296 \rtlch\fcs1 _x000d__x000a_\af0\afs20\alang1025 \ltrch\fcs0 \b\fs24\lang2057\langfe2057\cgrid\langnp2057\langfenp2057 {\rtlch\fcs1 \af0 \ltrch\fcs0 \cs17\b0\v\fs20\cf9\lang1024\langfe1024\loch\af1\hich\af1\dbch\af31501\noproof\insrsid7734296\charrsid7612140 {\*\bkmkstart restartB}_x000d__x000a_\hich\af1\dbch\af31501\loch\f1 &lt;AmendB&gt;}{\rtlch\fcs1 \af0 \ltrch\fcs0 \insrsid7734296\charrsid7612140 Amendment\tab \tab }{\rtlch\fcs1 \af0 \ltrch\fcs0 _x000d__x000a_\cs17\b0\v\fs20\cf9\lang1024\langfe1024\loch\af1\hich\af1\dbch\af31501\noproof\insrsid7734296\charrsid7612140 \hich\af1\dbch\af31501\loch\f1 &lt;NumAmB&gt;}{\rtlch\fcs1 \af0 \ltrch\fcs0 \insrsid7734296\charrsid7612140 #}{\rtlch\fcs1 \af1 \ltrch\fcs0 _x000d__x000a_\cs22\v\f1\fs20\cf15\insrsid7734296\charrsid7612140 ENMIENDA@NRAM@}{\rtlch\fcs1 \af0 \ltrch\fcs0 \insrsid7734296\charrsid7612140 #}{\rtlch\fcs1 \af0 \ltrch\fcs0 _x000d__x000a_\cs17\b0\v\fs20\cf9\lang1024\langfe1024\loch\af1\hich\af1\dbch\af31501\noproof\insrsid7734296\charrsid7612140 \hich\af1\dbch\af31501\loch\f1 &lt;/NumAmB&gt;}{\rtlch\fcs1 \af0 \ltrch\fcs0 \insrsid7734296\charrsid7612140 _x000d__x000a_\par }\pard\plain \ltrpar\s26\ql \li0\ri0\sb240\keepn\nowidctlpar\wrapdefault\aspalpha\aspnum\faauto\adjustright\rin0\lin0\itap0\pararsid7734296 \rtlch\fcs1 \af0\afs20\alang1025 \ltrch\fcs0 \b\fs24\lang2057\langfe2057\cgrid\langnp2057\langfenp2057 {_x000d__x000a_\rtlch\fcs1 \af0 \ltrch\fcs0 \cs17\b0\v\fs20\cf9\lang1024\langfe1024\loch\af1\hich\af1\dbch\af31501\noproof\insrsid7734296\charrsid7612140 \hich\af1\dbch\af31501\loch\f1 &lt;DocAmend&gt;}{\rtlch\fcs1 \af0 \ltrch\fcs0 \insrsid7734296\charrsid7612140 #}{_x000d__x000a_\rtlch\fcs1 \af1 \ltrch\fcs0 \cs22\v\f1\fs20\cf15\insrsid7734296\charrsid7612140 MNU[OPTPROPOSALCOD][OPTPROPOSALCNS][OPTPROPOSALNLE][OPTPROPOSALINL]@CHOICE@CODEMNU}{\rtlch\fcs1 \af0 \ltrch\fcs0 \insrsid7734296\charrsid7612140 ##}{\rtlch\fcs1 \af1 _x000d__x000a_\ltrch\fcs0 \cs22\v\f1\fs20\cf15\insrsid7734296\charrsid7612140 MNU[AMACTYES][NOTAPP]@CHOICE@AMACTMNU}{\rtlch\fcs1 \af0 \ltrch\fcs0 \insrsid7734296\charrsid7612140 #}{\rtlch\fcs1 \af0 \ltrch\fcs0 _x000d__x000a_\cs17\b0\v\fs20\cf9\lang1024\langfe1024\loch\af1\hich\af1\dbch\af31501\noproof\insrsid7734296\charrsid7612140 \hich\af1\dbch\af31501\loch\f1 &lt;/DocAmend&gt;}{\rtlch\fcs1 \af0 \ltrch\fcs0 \insrsid7734296\charrsid7612140 _x000d__x000a_\par }\pard\plain \ltrpar\s19\ql \li0\ri0\keepn\nowidctlpar\wrapdefault\aspalpha\aspnum\faauto\adjustright\rin0\lin0\itap0\pararsid7734296 \rtlch\fcs1 \af0\afs20\alang1025 \ltrch\fcs0 \b\fs24\lang2057\langfe2057\cgrid\langnp2057\langfenp2057 {\rtlch\fcs1 \af0 _x000d__x000a_\ltrch\fcs0 \cs17\b0\v\fs20\cf9\lang1024\langfe1024\loch\af1\hich\af1\dbch\af31501\noproof\insrsid7734296\charrsid7612140 \hich\af1\dbch\af31501\loch\f1 &lt;Article&gt;}{\rtlch\fcs1 \af0 \ltrch\fcs0 \insrsid7734296\charrsid7612140 #}{\rtlch\fcs1 \af1 _x000d__x000a_\ltrch\fcs0 \cs22\v\f1\fs20\cf15\insrsid7734296\charrsid7612140 MNU[AMACTPARTYES][AMACTPARTNO]@CHOICE@AMACTMNU}{\rtlch\fcs1 \af0 \ltrch\fcs0 \insrsid7734296\charrsid7612140 #}{\rtlch\fcs1 \af0 \ltrch\fcs0 _x000d__x000a_\cs17\b0\v\fs20\cf9\lang1024\langfe1024\loch\af1\hich\af1\dbch\af31501\noproof\insrsid7734296\charrsid7612140 \hich\af1\dbch\af31501\loch\f1 &lt;/Article&gt;}{\rtlch\fcs1 \af0 \ltrch\fcs0 \insrsid7734296\charrsid7612140 _x000d__x000a_\par }\pard\plain \ltrpar\ql \li0\ri0\keepn\widctlpar\wrapdefault\aspalpha\aspnum\faauto\adjustright\rin0\lin0\itap0\pararsid7734296 \rtlch\fcs1 \af0\afs20\alang1025 \ltrch\fcs0 \fs24\lang2057\langfe2057\cgrid\langnp2057\langfenp2057 {\rtlch\fcs1 \af0 _x000d__x000a_\ltrch\fcs0 \cs17\v\fs20\cf9\lang1024\langfe1024\loch\af1\hich\af1\dbch\af31501\noproof\insrsid7734296\charrsid7612140 \hich\af1\dbch\af31501\loch\f1 &lt;DocAmend\hich\af1\dbch\af31501\loch\f1 2&gt;&lt;OptDel&gt;}{\rtlch\fcs1 \af0 \ltrch\fcs0 _x000d__x000a_\insrsid7734296\charrsid7612140 #}{\rtlch\fcs1 \af1 \ltrch\fcs0 \cs22\v\f1\fs20\cf15\insrsid7734296\charrsid7612140 MNU[OPTNRACTYES][NOTAPP]@CHOICE@AMACTMNU}{\rtlch\fcs1 \af0 \ltrch\fcs0 \insrsid7734296\charrsid7612140 #}{\rtlch\fcs1 \af0 \ltrch\fcs0 _x000d__x000a_\cs17\v\fs20\cf9\lang1024\langfe1024\loch\af1\hich\af1\dbch\af31501\noproof\insrsid7734296\charrsid7612140 \hich\af1\dbch\af31501\loch\f1 &lt;/OptDel&gt;&lt;/DocAmend2&gt;}{\rtlch\fcs1 \af0 \ltrch\fcs0 \insrsid7734296\charrsid7612140 _x000d__x000a_\par }\pard \ltrpar\ql \li0\ri0\widctlpar\wrapdefault\aspalpha\aspnum\faauto\adjustright\rin0\lin0\itap0\pararsid7734296 {\rtlch\fcs1 \af0 \ltrch\fcs0 \cs17\v\fs20\cf9\lang1024\langfe1024\loch\af1\hich\af1\dbch\af31501\noproof\insrsid7734296\charrsid7612140 _x000d__x000a_\hich\af1\dbch\af31501\loch\f1 &lt;Article2&gt;&lt;OptDel&gt;}{\rtlch\fcs1 \af0 \ltrch\fcs0 \insrsid7734296\charrsid7612140 #}{\rtlch\fcs1 \af1 \ltrch\fcs0 \cs22\v\f1\fs20\cf15\insrsid7734296\charrsid7612140 MNU[OPTACTPARTYES][NOTAPP]@CHOICE@AMACTMNU}{\rtlch\fcs1 _x000d__x000a_\af0 \ltrch\fcs0 \insrsid7734296\charrsid7612140 #}{\rtlch\fcs1 \af0 \ltrch\fcs0 \cs17\v\fs20\cf9\lang1024\langfe1024\loch\af1\hich\af1\dbch\af31501\noproof\insrsid7734296\charrsid7612140 \hich\af1\dbch\af31501\loch\f1 &lt;/OptDel&gt;&lt;/Article2&gt;}{\rtlch\fcs1 _x000d__x000a_\af0 \ltrch\fcs0 \insrsid7734296\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7734296\charrsid7612140 \cell }\pard \ltrpar\ql \li0\ri0\widctlpar\intbl\wrapdefault\aspalpha\aspnum\faauto\adjustright\rin0\lin0 {\rtlch\fcs1 \af0 \ltrch\fcs0 \insrsid7734296\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7734296\charrsid7612140 #}{\rtlch\fcs1 \af1 \ltrch\fcs0 \cs22\v\f1\fs20\cf15\insrsid7734296\charrsid7612140 MNU[OPTLEFTAMACT][LEFTPROP]@CHOICE@AMACTMNU}{\rtlch\fcs1 \af0 \ltrch\fcs0 \insrsid7734296\charrsid7612140 #\cell Amendment\cell _x000d__x000a_}\pard\plain \ltrpar\ql \li0\ri0\widctlpar\intbl\wrapdefault\aspalpha\aspnum\faauto\adjustright\rin0\lin0 \rtlch\fcs1 \af0\afs20\alang1025 \ltrch\fcs0 \fs24\lang2057\langfe2057\cgrid\langnp2057\langfenp2057 {\rtlch\fcs1 \af0 \ltrch\fcs0 _x000d__x000a_\insrsid7734296\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734296\charrsid7612140 ##\cell ##}{\rtlch\fcs1 \af0\afs24 \ltrch\fcs0 \insrsid7734296\charrsid7612140 \cell }\pard\plain \ltrpar\ql \li0\ri0\widctlpar\intbl\wrapdefault\aspalpha\aspnum\faauto\adjustright\rin0\lin0 _x000d__x000a_\rtlch\fcs1 \af0\afs20\alang1025 \ltrch\fcs0 \fs24\lang2057\langfe2057\cgrid\langnp2057\langfenp2057 {\rtlch\fcs1 \af0 \ltrch\fcs0 \insrsid7734296\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734296 \rtlch\fcs1 \af0\afs20\alang1025 \ltrch\fcs0 \i\fs24\lang2057\langfe2057\cgrid\langnp2057\langfenp2057 {\rtlch\fcs1 \af0 \ltrch\fcs0 _x000d__x000a_\cs17\i0\v\fs20\cf9\lang1024\langfe1024\loch\af1\hich\af1\dbch\af31501\noproof\insrsid7734296\charrsid7612140 \hich\af1\dbch\af31501\loch\f1 &lt;OptDel&gt;}{\rtlch\fcs1 \af0 \ltrch\fcs0 \insrsid7734296\charrsid7612140 #}{\rtlch\fcs1 \af1 \ltrch\fcs0 _x000d__x000a_\cs22\v\f1\fs20\cf15\insrsid7734296\charrsid7612140 MNU[CROSSREFNO][CROSSREFYES]@CHOICE@}{\rtlch\fcs1 \af0 \ltrch\fcs0 \insrsid7734296\charrsid7612140 #}{\rtlch\fcs1 \af0 \ltrch\fcs0 _x000d__x000a_\cs17\i0\v\fs20\cf9\lang1024\langfe1024\loch\af1\hich\af1\dbch\af31501\noproof\insrsid7734296\charrsid7612140 \hich\af1\dbch\af31501\loch\f1 &lt;/OptDel&gt;}{\rtlch\fcs1 \af0 \ltrch\fcs0 \insrsid7734296\charrsid7612140 _x000d__x000a_\par }\pard\plain \ltrpar\s23\qc \li0\ri0\sb240\sa240\keepn\nowidctlpar\wrapdefault\aspalpha\aspnum\faauto\adjustright\rin0\lin0\itap0\pararsid7734296 \rtlch\fcs1 \af0\afs20\alang1025 \ltrch\fcs0 \i\fs24\lang2057\langfe2057\cgrid\langnp2057\langfenp2057 {_x000d__x000a_\rtlch\fcs1 \af0 \ltrch\fcs0 \cs17\i0\v\fs20\cf9\lang1024\langfe1024\loch\af1\hich\af1\dbch\af31501\noproof\insrsid7734296\charrsid7612140 \hich\af1\dbch\af31501\loch\f1 &lt;TitreJust&gt;}{\rtlch\fcs1 \af0 \ltrch\fcs0 \insrsid7734296\charrsid7612140 _x000d__x000a_Justification}{\rtlch\fcs1 \af0 \ltrch\fcs0 \cs17\i0\v\fs20\cf9\lang1024\langfe1024\loch\af1\hich\af1\dbch\af31501\noproof\insrsid7734296\charrsid7612140 \hich\af1\dbch\af31501\loch\f1 &lt;/TitreJust&gt;}{\rtlch\fcs1 \af0 \ltrch\fcs0 _x000d__x000a_\insrsid7734296\charrsid7612140 _x000d__x000a_\par }\pard\plain \ltrpar\s20\ql \li0\ri0\sa240\nowidctlpar\wrapdefault\aspalpha\aspnum\faauto\adjustright\rin0\lin0\itap0\pararsid7734296 \rtlch\fcs1 \af0\afs20\alang1025 \ltrch\fcs0 \i\fs24\lang2057\langfe2057\cgrid\langnp2057\langfenp2057 {\rtlch\fcs1 \af0 _x000d__x000a_\ltrch\fcs0 \cs17\i0\v\fs20\cf9\lang1024\langfe1024\loch\af1\hich\af1\dbch\af31501\noproof\insrsid7734296\charrsid7612140 \hich\af1\dbch\af31501\loch\f1 &lt;OptDelPrev&gt;}{\rtlch\fcs1 \af0 \ltrch\fcs0 \insrsid7734296\charrsid7612140 #}{\rtlch\fcs1 \af1 _x000d__x000a_\ltrch\fcs0 \cs22\v\f1\fs20\cf15\insrsid7734296\charrsid7612140 MNU[TEXTJUSTYES][TEXTJUSTNO]@CHOICE@}{\rtlch\fcs1 \af0 \ltrch\fcs0 \insrsid7734296\charrsid7612140 #}{\rtlch\fcs1 \af0 \ltrch\fcs0 _x000d__x000a_\cs17\i0\v\fs20\cf9\lang1024\langfe1024\loch\af1\hich\af1\dbch\af31501\noproof\insrsid7734296\charrsid7612140 \hich\af1\dbch\af31501\loch\f1 &lt;/OptDelPrev&gt;}{\rtlch\fcs1 \af0 \ltrch\fcs0 \insrsid7734296\charrsid7612140 _x000d__x000a_\par }\pard\plain \ltrpar\ql \li0\ri0\widctlpar\wrapdefault\aspalpha\aspnum\faauto\adjustright\rin0\lin0\itap0\pararsid7734296 \rtlch\fcs1 \af0\afs20\alang1025 \ltrch\fcs0 \fs24\lang2057\langfe2057\cgrid\langnp2057\langfenp2057 {\rtlch\fcs1 \af0 \ltrch\fcs0 _x000d__x000a_\cs17\v\fs20\cf9\lang1024\langfe1024\loch\af1\hich\af1\dbch\af31501\noproof\insrsid7734296\charrsid7612140 \hich\af1\dbch\af31501\loch\f1 &lt;/AmendB&gt;}{\rtlch\fcs1 \af0 \ltrch\fcs0 \insrsid77342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e_x000d__x000a_5b2541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52\fbidi \froman\fcharset238\fprq2 Times New Roman CE;}{\f353\fbidi \froman\fcharset204\fprq2 Times New Roman Cyr;}_x000d__x000a_{\f355\fbidi \froman\fcharset161\fprq2 Times New Roman Greek;}{\f356\fbidi \froman\fcharset162\fprq2 Times New Roman Tur;}{\f357\fbidi \froman\fcharset177\fprq2 Times New Roman (Hebrew);}{\f358\fbidi \froman\fcharset178\fprq2 Times New Roman (Arabic);}_x000d__x000a_{\f359\fbidi \froman\fcharset186\fprq2 Times New Roman Baltic;}{\f360\fbidi \froman\fcharset163\fprq2 Times New Roman (Vietnamese);}{\f362\fbidi \fswiss\fcharset238\fprq2 Arial CE;}{\f363\fbidi \fswiss\fcharset204\fprq2 Arial Cyr;}_x000d__x000a_{\f365\fbidi \fswiss\fcharset161\fprq2 Arial Greek;}{\f366\fbidi \fswiss\fcharset162\fprq2 Arial Tur;}{\f367\fbidi \fswiss\fcharset177\fprq2 Arial (Hebrew);}{\f368\fbidi \fswiss\fcharset178\fprq2 Arial (Arabic);}_x000d__x000a_{\f369\fbidi \fswiss\fcharset186\fprq2 Arial Baltic;}{\f370\fbidi \fswiss\fcharset163\fprq2 Arial (Vietnamese);}{\f692\fbidi \froman\fcharset238\fprq2 Cambria Math CE;}{\f693\fbidi \froman\fcharset204\fprq2 Cambria Math Cyr;}_x000d__x000a_{\f695\fbidi \froman\fcharset161\fprq2 Cambria Math Greek;}{\f696\fbidi \froman\fcharset162\fprq2 Cambria Math Tur;}{\f699\fbidi \froman\fcharset186\fprq2 Cambria Math Baltic;}{\f7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62718 HideTWBExt;}{_x000d__x000a_\s18\ql \li0\ri0\sa120\nowidctlpar\wrapdefault\aspalpha\aspnum\faauto\adjustright\rin0\lin0\itap0 \rtlch\fcs1 \af0\afs20\alang1025 \ltrch\fcs0 \fs24\lang2057\langfe2057\cgrid\langnp2057\langfenp2057 \sbasedon0 \snext18 \spriority0 \styrsid5262718 _x000d__x000a_Normal6a;}{\s19\ql \li0\ri0\nowidctlpar\wrapdefault\aspalpha\aspnum\faauto\adjustright\rin0\lin0\itap0 \rtlch\fcs1 \af0\afs20\alang1025 \ltrch\fcs0 \b\fs24\lang2057\langfe2057\cgrid\langnp2057\langfenp2057 \sbasedon0 \snext19 \spriority0 \styrsid5262718 _x000d__x000a_NormalBold;}{\s20\qc \li0\ri0\sa240\nowidctlpar\wrapdefault\aspalpha\aspnum\faauto\adjustright\rin0\lin0\itap0 \rtlch\fcs1 \af0\afs20\alang1025 \ltrch\fcs0 \i\fs24\lang2057\langfe2057\cgrid\langnp2057\langfenp2057 _x000d__x000a_\sbasedon0 \snext20 \spriority0 \styrsid526271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262718 AmNumberTabs;}{\s22\ql \li0\ri0\sb240\nowidctlpar\wrapdefault\aspalpha\aspnum\faauto\adjustright\rin0\lin0\itap0 \rtlch\fcs1 _x000d__x000a_\af0\afs20\alang1025 \ltrch\fcs0 \b\fs24\lang2057\langfe2057\cgrid\langnp2057\langfenp2057 \sbasedon0 \snext22 \spriority0 \styrsid5262718 NormalBold12b;}}{\*\rsidtbl \rsid24658\rsid223860\rsid735077\rsid1718133\rsid2892074\rsid3565327\rsid4666813_x000d__x000a_\rsid5262718\rsid6641733\rsid7823322\rsid9636012\rsid10377208\rsid11215221\rsid11549030\rsid12154954\rsid14382809\rsid14424199\rsid15204470\rsid15285974\rsid15338960\rsid15950462\rsid16324206\rsid16662270}{\mmathPr\mmathFont34\mbrkBin0\mbrkBinSub0_x000d__x000a_\msmallFrac0\mdispDef1\mlMargin0\mrMargin0\mdefJc1\mwrapIndent1440\mintLim0\mnaryLim1}{\info{\author RUDOLPH Lene}{\operator RUDOLPH Lene}{\creatim\yr2023\mo11\dy3\hr11\min33}{\revtim\yr2023\mo11\dy3\hr11\min33}{\version1}{\edmins0}{\nofpages1}_x000d__x000a_{\nofwords22}{\nofchars141}{\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62718\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5338960 \chftnsep _x000d__x000a_\par }}{\*\ftnsepc \ltrpar \pard\plain \ltrpar\ql \li0\ri0\widctlpar\wrapdefault\aspalpha\aspnum\faauto\adjustright\rin0\lin0\itap0 \rtlch\fcs1 \af0\afs20\alang1025 \ltrch\fcs0 \fs24\lang2057\langfe2057\cgrid\langnp2057\langfenp2057 {\rtlch\fcs1 \af0 _x000d__x000a_\ltrch\fcs0 \insrsid15338960 \chftnsepc _x000d__x000a_\par }}{\*\aftnsep \ltrpar \pard\plain \ltrpar\ql \li0\ri0\widctlpar\wrapdefault\aspalpha\aspnum\faauto\adjustright\rin0\lin0\itap0 \rtlch\fcs1 \af0\afs20\alang1025 \ltrch\fcs0 \fs24\lang2057\langfe2057\cgrid\langnp2057\langfenp2057 {\rtlch\fcs1 \af0 _x000d__x000a_\ltrch\fcs0 \insrsid15338960 \chftnsep _x000d__x000a_\par }}{\*\aftnsepc \ltrpar \pard\plain \ltrpar\ql \li0\ri0\widctlpar\wrapdefault\aspalpha\aspnum\faauto\adjustright\rin0\lin0\itap0 \rtlch\fcs1 \af0\afs20\alang1025 \ltrch\fcs0 \fs24\lang2057\langfe2057\cgrid\langnp2057\langfenp2057 {\rtlch\fcs1 \af0 _x000d__x000a_\ltrch\fcs0 \insrsid153389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262718 \rtlch\fcs1 _x000d__x000a_\af0\afs20\alang1025 \ltrch\fcs0 \b\fs24\lang2057\langfe2057\cgrid\langnp2057\langfenp2057 {\rtlch\fcs1 \af0 \ltrch\fcs0 \cs17\b0\v\fs20\cf9\lang1024\langfe1024\loch\af1\hich\af1\dbch\af31501\noproof\insrsid5262718\charrsid15879488 {\*\bkmkstart restartA}_x000d__x000a_\hich\af1\dbch\af31501\loch\f1 &lt;AmendA&gt;}{\rtlch\fcs1 \af0 \ltrch\fcs0 \insrsid5262718\charrsid15879488 [ZAMENDMENT]\tab \tab }{\rtlch\fcs1 \af0 \ltrch\fcs0 _x000d__x000a_\cs17\b0\v\fs20\cf9\lang1024\langfe1024\loch\af1\hich\af1\dbch\af31501\noproof\insrsid5262718\charrsid15879488 \hich\af1\dbch\af31501\loch\f1 &lt;NumAmA&gt;}{\rtlch\fcs1 \af0 \ltrch\fcs0 \insrsid5262718\charrsid15879488 [ZNRAM]}{\rtlch\fcs1 \af0 \ltrch\fcs0 _x000d__x000a_\cs17\b0\v\fs20\cf9\lang1024\langfe1024\loch\af1\hich\af1\dbch\af31501\noproof\insrsid5262718\charrsid15879488 \hich\af1\dbch\af31501\loch\f1 &lt;/NumAmA&gt;}{\rtlch\fcs1 \af0 \ltrch\fcs0 \insrsid5262718\charrsid15879488 _x000d__x000a_\par }\pard\plain \ltrpar\s22\ql \li0\ri0\sb240\keepn\nowidctlpar\wrapdefault\aspalpha\aspnum\faauto\adjustright\rin0\lin0\itap0\pararsid5262718 \rtlch\fcs1 \af0\afs20\alang1025 \ltrch\fcs0 \b\fs24\lang2057\langfe2057\cgrid\langnp2057\langfenp2057 {_x000d__x000a_\rtlch\fcs1 \af0 \ltrch\fcs0 \cs17\b0\v\fs20\cf9\lang1024\langfe1024\loch\af1\hich\af1\dbch\af31501\noproof\langnp1036\insrsid5262718\charrsid11356624 \hich\af1\dbch\af31501\loch\f1 &lt;DocAmend&gt;}{\rtlch\fcs1 \af0 \ltrch\fcs0 _x000d__x000a_\lang1036\langfe2057\langnp1036\insrsid5262718\charrsid11356624 [ZRESOLUTION]}{\rtlch\fcs1 \af0 \ltrch\fcs0 \cs17\b0\v\fs20\cf9\lang1024\langfe1024\loch\af1\hich\af1\dbch\af31501\noproof\langnp1036\insrsid5262718\charrsid11356624 _x000d__x000a_\hich\af1\dbch\af31501\loch\f1 &lt;/DocAmend&gt;}{\rtlch\fcs1 \af0 \ltrch\fcs0 \lang1036\langfe2057\langnp1036\insrsid5262718\charrsid11356624 _x000d__x000a_\par }\pard\plain \ltrpar\s19\ql \li0\ri0\nowidctlpar\wrapdefault\aspalpha\aspnum\faauto\adjustright\rin0\lin0\itap0\pararsid5262718 \rtlch\fcs1 \af0\afs20\alang1025 \ltrch\fcs0 \b\fs24\lang2057\langfe2057\cgrid\langnp2057\langfenp2057 {\rtlch\fcs1 \af0 _x000d__x000a_\ltrch\fcs0 \cs17\b0\v\fs20\cf9\lang1024\langfe1024\loch\af1\hich\af1\dbch\af31501\noproof\langnp1036\insrsid5262718\charrsid11356624 \hich\af1\dbch\af31501\loch\f1 &lt;Article&gt;}{\rtlch\fcs1 \af0 \ltrch\fcs0 _x000d__x000a_\lang1036\langfe2057\langnp1036\insrsid5262718\charrsid11356624 [ZRESPART]}{\rtlch\fcs1 \af0 \ltrch\fcs0 \cs17\b0\v\fs20\cf9\lang1024\langfe1024\loch\af1\hich\af1\dbch\af31501\noproof\langnp1036\insrsid5262718\charrsid11356624 _x000d__x000a_\hich\af1\dbch\af31501\loch\f1 &lt;/Article&gt;}{\rtlch\fcs1 \af0 \ltrch\fcs0 \lang1036\langfe2057\langnp1036\insrsid526271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262718\charrsid11356624 \cell }\pard \ltrpar_x000d__x000a_\ql \li0\ri0\widctlpar\intbl\wrapdefault\aspalpha\aspnum\faauto\adjustright\rin0\lin0 {\rtlch\fcs1 \af0 \ltrch\fcs0 \insrsid526271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5262718\charrsid15879488 [ZLEFTA]\cell [ZRIGHT]\cell }\pard\plain \ltrpar\ql \li0\ri0\widctlpar\intbl\wrapdefault\aspalpha\aspnum\faauto\adjustright\rin0\lin0 _x000d__x000a_\rtlch\fcs1 \af0\afs20\alang1025 \ltrch\fcs0 \fs24\lang2057\langfe2057\cgrid\langnp2057\langfenp2057 {\rtlch\fcs1 \af0 \ltrch\fcs0 \insrsid526271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262718\charrsid15879488 [ZTEXTL]\cell [ZTEXTR]}{\rtlch\fcs1 \af0\afs24 \ltrch\fcs0 \insrsid5262718\charrsid15879488 \cell }\pard\plain \ltrpar\ql \li0\ri0\widctlpar\intbl\wrapdefault\aspalpha\aspnum\faauto\adjustright\rin0\lin0 \rtlch\fcs1 _x000d__x000a_\af0\afs20\alang1025 \ltrch\fcs0 \fs24\lang2057\langfe2057\cgrid\langnp2057\langfenp2057 {\rtlch\fcs1 \af0 \ltrch\fcs0 \insrsid526271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262718 {\rtlch\fcs1 \af0 \ltrch\fcs0 \cs17\v\fs20\cf9\lang1024\langfe1024\loch\af1\hich\af1\dbch\af31501\noproof\insrsid5262718\charrsid15879488 _x000d__x000a_\hich\af1\dbch\af31501\loch\f1 &lt;/AmendA&gt;}{\rtlch\fcs1 \af0 \ltrch\fcs0 \insrsid526271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2_x000d__x000a_a02741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52\fbidi \froman\fcharset238\fprq2 Times New Roman CE;}{\f353\fbidi \froman\fcharset204\fprq2 Times New Roman Cyr;}_x000d__x000a_{\f355\fbidi \froman\fcharset161\fprq2 Times New Roman Greek;}{\f356\fbidi \froman\fcharset162\fprq2 Times New Roman Tur;}{\f357\fbidi \froman\fcharset177\fprq2 Times New Roman (Hebrew);}{\f358\fbidi \froman\fcharset178\fprq2 Times New Roman (Arabic);}_x000d__x000a_{\f359\fbidi \froman\fcharset186\fprq2 Times New Roman Baltic;}{\f360\fbidi \froman\fcharset163\fprq2 Times New Roman (Vietnamese);}{\f362\fbidi \fswiss\fcharset238\fprq2 Arial CE;}{\f363\fbidi \fswiss\fcharset204\fprq2 Arial Cyr;}_x000d__x000a_{\f365\fbidi \fswiss\fcharset161\fprq2 Arial Greek;}{\f366\fbidi \fswiss\fcharset162\fprq2 Arial Tur;}{\f367\fbidi \fswiss\fcharset177\fprq2 Arial (Hebrew);}{\f368\fbidi \fswiss\fcharset178\fprq2 Arial (Arabic);}_x000d__x000a_{\f369\fbidi \fswiss\fcharset186\fprq2 Arial Baltic;}{\f370\fbidi \fswiss\fcharset163\fprq2 Arial (Vietnamese);}{\f692\fbidi \froman\fcharset238\fprq2 Cambria Math CE;}{\f693\fbidi \froman\fcharset204\fprq2 Cambria Math Cyr;}_x000d__x000a_{\f695\fbidi \froman\fcharset161\fprq2 Cambria Math Greek;}{\f696\fbidi \froman\fcharset162\fprq2 Cambria Math Tur;}{\f699\fbidi \froman\fcharset186\fprq2 Cambria Math Baltic;}{\f7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74703 HideTWBExt;}{_x000d__x000a_\s18\ql \li0\ri0\sa120\nowidctlpar\wrapdefault\aspalpha\aspnum\faauto\adjustright\rin0\lin0\itap0 \rtlch\fcs1 \af0\afs20\alang1025 \ltrch\fcs0 \fs24\lang2057\langfe2057\cgrid\langnp2057\langfenp2057 \sbasedon0 \snext18 \spriority0 \styrsid3674703 _x000d__x000a_Normal6a;}{\s19\ql \li0\ri0\nowidctlpar\wrapdefault\aspalpha\aspnum\faauto\adjustright\rin0\lin0\itap0 \rtlch\fcs1 \af0\afs20\alang1025 \ltrch\fcs0 \b\fs24\lang2057\langfe2057\cgrid\langnp2057\langfenp2057 \sbasedon0 \snext19 \spriority0 \styrsid3674703 _x000d__x000a_NormalBold;}{\s20\ql \li0\ri0\sa240\nowidctlpar\wrapdefault\aspalpha\aspnum\faauto\adjustright\rin0\lin0\itap0 \rtlch\fcs1 \af0\afs20\alang1025 \ltrch\fcs0 \i\fs24\lang2057\langfe2057\cgrid\langnp2057\langfenp2057 _x000d__x000a_\sbasedon0 \snext20 \spriority0 \styrsid3674703 AmJustText;}{\s21\qc \li0\ri0\sb240\sa240\nowidctlpar\wrapdefault\aspalpha\aspnum\faauto\adjustright\rin0\lin0\itap0 \rtlch\fcs1 \af0\afs20\alang1025 \ltrch\fcs0 _x000d__x000a_\i\fs24\lang2057\langfe2057\cgrid\langnp2057\langfenp2057 \sbasedon0 \snext21 \spriority0 \styrsid3674703 AmCrossRef;}{\s22\qc \li0\ri0\sb240\sa240\keepn\nowidctlpar\wrapdefault\aspalpha\aspnum\faauto\adjustright\rin0\lin0\itap0 \rtlch\fcs1 _x000d__x000a_\af0\afs20\alang1025 \ltrch\fcs0 \i\fs24\lang2057\langfe2057\cgrid\langnp2057\langfenp2057 \sbasedon0 \snext20 \spriority0 \styrsid3674703 AmJustTitle;}{\s23\qc \li0\ri0\sa240\nowidctlpar\wrapdefault\aspalpha\aspnum\faauto\adjustright\rin0\lin0\itap0 _x000d__x000a_\rtlch\fcs1 \af0\afs20\alang1025 \ltrch\fcs0 \i\fs24\lang2057\langfe2057\cgrid\langnp2057\langfenp2057 \sbasedon0 \snext23 \spriority0 \styrsid36747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674703 AmNumberTabs;}{\s25\ql \li0\ri0\sb240\nowidctlpar\wrapdefault\aspalpha\aspnum\faauto\adjustright\rin0\lin0\itap0 \rtlch\fcs1 _x000d__x000a_\af0\afs20\alang1025 \ltrch\fcs0 \b\fs24\lang2057\langfe2057\cgrid\langnp2057\langfenp2057 \sbasedon0 \snext25 \spriority0 \styrsid3674703 NormalBold12b;}}{\*\rsidtbl \rsid24658\rsid223860\rsid472244\rsid735077\rsid1718133\rsid2892074\rsid3565327_x000d__x000a_\rsid3674703\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11\dy3\hr11\min33}{\revtim\yr2023\mo11\dy3\hr11\min33}{\version1}{\edmins0}{\nofpages1}_x000d__x000a_{\nofwords50}{\nofchars322}{\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74703\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472244 \chftnsep _x000d__x000a_\par }}{\*\ftnsepc \ltrpar \pard\plain \ltrpar\ql \li0\ri0\widctlpar\wrapdefault\aspalpha\aspnum\faauto\adjustright\rin0\lin0\itap0 \rtlch\fcs1 \af0\afs20\alang1025 \ltrch\fcs0 \fs24\lang2057\langfe2057\cgrid\langnp2057\langfenp2057 {\rtlch\fcs1 \af0 _x000d__x000a_\ltrch\fcs0 \insrsid472244 \chftnsepc _x000d__x000a_\par }}{\*\aftnsep \ltrpar \pard\plain \ltrpar\ql \li0\ri0\widctlpar\wrapdefault\aspalpha\aspnum\faauto\adjustright\rin0\lin0\itap0 \rtlch\fcs1 \af0\afs20\alang1025 \ltrch\fcs0 \fs24\lang2057\langfe2057\cgrid\langnp2057\langfenp2057 {\rtlch\fcs1 \af0 _x000d__x000a_\ltrch\fcs0 \insrsid472244 \chftnsep _x000d__x000a_\par }}{\*\aftnsepc \ltrpar \pard\plain \ltrpar\ql \li0\ri0\widctlpar\wrapdefault\aspalpha\aspnum\faauto\adjustright\rin0\lin0\itap0 \rtlch\fcs1 \af0\afs20\alang1025 \ltrch\fcs0 \fs24\lang2057\langfe2057\cgrid\langnp2057\langfenp2057 {\rtlch\fcs1 \af0 _x000d__x000a_\ltrch\fcs0 \insrsid4722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674703 \rtlch\fcs1 _x000d__x000a_\af0\afs20\alang1025 \ltrch\fcs0 \b\fs24\lang2057\langfe2057\cgrid\langnp2057\langfenp2057 {\rtlch\fcs1 \af0 \ltrch\fcs0 \cs17\b0\v\fs20\cf9\lang1024\langfe1024\loch\af1\hich\af1\dbch\af31501\noproof\insrsid3674703\charrsid15879488 {\*\bkmkstart restartB}_x000d__x000a_\hich\af1\dbch\af31501\loch\f1 &lt;AmendB&gt;}{\rtlch\fcs1 \af0 \ltrch\fcs0 \insrsid3674703\charrsid15879488 [ZAMENDMENT]\tab \tab }{\rtlch\fcs1 \af0 \ltrch\fcs0 _x000d__x000a_\cs17\b0\v\fs20\cf9\lang1024\langfe1024\loch\af1\hich\af1\dbch\af31501\noproof\insrsid3674703\charrsid15879488 \hich\af1\dbch\af31501\loch\f1 &lt;NumAmB&gt;}{\rtlch\fcs1 \af0 \ltrch\fcs0 \insrsid3674703\charrsid15879488 [ZNRAM]}{\rtlch\fcs1 \af0 \ltrch\fcs0 _x000d__x000a_\cs17\b0\v\fs20\cf9\lang1024\langfe1024\loch\af1\hich\af1\dbch\af31501\noproof\insrsid3674703\charrsid15879488 \hich\af1\dbch\af31501\loch\f1 &lt;/NumAmB&gt;}{\rtlch\fcs1 \af0 \ltrch\fcs0 \insrsid3674703\charrsid15879488 _x000d__x000a_\par }\pard\plain \ltrpar\s25\ql \li0\ri0\sb240\keepn\nowidctlpar\wrapdefault\aspalpha\aspnum\faauto\adjustright\rin0\lin0\itap0\pararsid3674703 \rtlch\fcs1 \af0\afs20\alang1025 \ltrch\fcs0 \b\fs24\lang2057\langfe2057\cgrid\langnp2057\langfenp2057 {_x000d__x000a_\rtlch\fcs1 \af0 \ltrch\fcs0 \cs17\b0\v\fs20\cf9\lang1024\langfe1024\loch\af1\hich\af1\dbch\af31501\noproof\insrsid3674703\charrsid15879488 \hich\af1\dbch\af31501\loch\f1 &lt;DocAmend&gt;}{\rtlch\fcs1 \af0 \ltrch\fcs0 \insrsid3674703\charrsid15879488 _x000d__x000a_[ZPROPOSAL][ZAMACT]}{\rtlch\fcs1 \af0 \ltrch\fcs0 \cs17\b0\v\fs20\cf9\lang1024\langfe1024\loch\af1\hich\af1\dbch\af31501\noproof\insrsid3674703\charrsid15879488 \hich\af1\dbch\af31501\loch\f1 &lt;/DocAmend&gt;}{\rtlch\fcs1 \af0 \ltrch\fcs0 _x000d__x000a_\insrsid3674703\charrsid15879488 _x000d__x000a_\par }\pard\plain \ltrpar\s19\ql \li0\ri0\keepn\nowidctlpar\wrapdefault\aspalpha\aspnum\faauto\adjustright\rin0\lin0\itap0\pararsid3674703 \rtlch\fcs1 \af0\afs20\alang1025 \ltrch\fcs0 \b\fs24\lang2057\langfe2057\cgrid\langnp2057\langfenp2057 {\rtlch\fcs1 \af0 _x000d__x000a_\ltrch\fcs0 \cs17\b0\v\fs20\cf9\lang1024\langfe1024\loch\af1\hich\af1\dbch\af31501\noproof\insrsid3674703\charrsid15879488 \hich\af1\dbch\af31501\loch\f1 &lt;Article&gt;}{\rtlch\fcs1 \af0 \ltrch\fcs0 \insrsid3674703\charrsid15879488 [ZAMPART]}{\rtlch\fcs1 \af0 _x000d__x000a_\ltrch\fcs0 \cs17\b0\v\fs20\cf9\lang1024\langfe1024\loch\af1\hich\af1\dbch\af31501\noproof\insrsid3674703\charrsid15879488 \hich\af1\dbch\af31501\loch\f1 &lt;/Article&gt;}{\rtlch\fcs1 \af0 \ltrch\fcs0 \insrsid3674703\charrsid15879488 _x000d__x000a_\par }\pard\plain \ltrpar\ql \li0\ri0\keepn\widctlpar\wrapdefault\aspalpha\aspnum\faauto\adjustright\rin0\lin0\itap0\pararsid3674703 \rtlch\fcs1 \af0\afs20\alang1025 \ltrch\fcs0 \fs24\lang2057\langfe2057\cgrid\langnp2057\langfenp2057 {\rtlch\fcs1 \af0 _x000d__x000a_\ltrch\fcs0 \cs17\v\fs20\cf9\lang1024\langfe1024\loch\af1\hich\af1\dbch\af31501\noproof\insrsid3674703\charrsid15879488 \hich\af1\dbch\af31501\loch\f1 &lt;DocAmend2&gt;&lt;OptDel&gt;}{\rtlch\fcs1 \af0 \ltrch\fcs0 \insrsid3674703\charrsid15879488 [ZNRACT]}{_x000d__x000a_\rtlch\fcs1 \af0 \ltrch\fcs0 \cs17\v\fs20\cf9\lang1024\langfe1024\loch\af1\hich\af1\dbch\af31501\noproof\insrsid3674703\charrsid15879488 \hich\af1\dbch\af31501\loch\f1 &lt;/OptDel&gt;&lt;/DocAmend2&gt;}{\rtlch\fcs1 \af0 \ltrch\fcs0 \insrsid3674703\charrsid15879488 _x000d__x000a__x000d__x000a_\par }\pard \ltrpar\ql \li0\ri0\widctlpar\wrapdefault\aspalpha\aspnum\faauto\adjustright\rin0\lin0\itap0\pararsid3674703 {\rtlch\fcs1 \af0 \ltrch\fcs0 _x000d__x000a_\cs17\v\fs20\cf9\lang1024\langfe1024\loch\af1\hich\af1\dbch\af31501\noproof\langnp1036\insrsid3674703\charrsid11356624 \hich\af1\dbch\af31501\loch\f1 &lt;Article2&gt;&lt;OptDel&gt;}{\rtlch\fcs1 \af0 \ltrch\fcs0 _x000d__x000a_\lang1036\langfe2057\langnp1036\insrsid3674703\charrsid11356624 [ZACTPART]}{\rtlch\fcs1 \af0 \ltrch\fcs0 \cs17\v\fs20\cf9\lang1024\langfe1024\loch\af1\hich\af1\dbch\af31501\noproof\langnp1036\insrsid3674703\charrsid11356624 \hich\af1\dbch\af31501\loch\f1 _x000d__x000a_&lt;/OptDel&gt;&lt;/Article2&gt;}{\rtlch\fcs1 \af0 \ltrch\fcs0 \lang1036\langfe2057\langnp1036\insrsid36747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674703\charrsid11356624 \cell }\pard \ltrpar\ql \li0\ri0\widctlpar\intbl\wrapdefault\aspalpha\aspnum\faauto\adjustright\rin0\lin0 {\rtlch\fcs1 \af0 \ltrch\fcs0 \insrsid36747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674703\charrsid15879488 [ZLEFTB]\cell [ZRIGHT]\cell }\pard\plain \ltrpar\ql \li0\ri0\widctlpar\intbl\wrapdefault\aspalpha\aspnum\faauto\adjustright\rin0\lin0 \rtlch\fcs1 \af0\afs20\alang1025 \ltrch\fcs0 _x000d__x000a_\fs24\lang2057\langfe2057\cgrid\langnp2057\langfenp2057 {\rtlch\fcs1 \af0 \ltrch\fcs0 \insrsid36747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74703\charrsid15879488 [ZTEXTL]\cell [ZTEXTR]}{\rtlch\fcs1 \af0\afs24 \ltrch\fcs0 \insrsid3674703\charrsid15879488 \cell }\pard\plain \ltrpar\ql \li0\ri0\widctlpar\intbl\wrapdefault\aspalpha\aspnum\faauto\adjustright\rin0\lin0 \rtlch\fcs1 _x000d__x000a_\af0\afs20\alang1025 \ltrch\fcs0 \fs24\lang2057\langfe2057\cgrid\langnp2057\langfenp2057 {\rtlch\fcs1 \af0 \ltrch\fcs0 \insrsid36747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674703 \rtlch\fcs1 \af0\afs20\alang1025 \ltrch\fcs0 \i\fs24\lang2057\langfe2057\cgrid\langnp2057\langfenp2057 {\rtlch\fcs1 \af0 \ltrch\fcs0 _x000d__x000a_\cs17\i0\v\fs20\cf9\lang1024\langfe1024\loch\af1\hich\af1\dbch\af31501\noproof\insrsid3674703\charrsid15879488 \hich\af1\dbch\af31501\loch\f1 &lt;OptDel&gt;}{\rtlch\fcs1 \af0 \ltrch\fcs0 \insrsid3674703\charrsid15879488 [ZCROSSREF]}{\rtlch\fcs1 \af0 _x000d__x000a_\ltrch\fcs0 \cs17\i0\v\fs20\cf9\lang1024\langfe1024\loch\af1\hich\af1\dbch\af31501\noproof\insrsid3674703\charrsid15879488 \hich\af1\dbch\af31501\loch\f1 &lt;/OptDel&gt;}{\rtlch\fcs1 \af0 \ltrch\fcs0 \insrsid3674703\charrsid15879488 _x000d__x000a_\par }\pard\plain \ltrpar\s22\qc \li0\ri0\sb240\sa240\keepn\nowidctlpar\wrapdefault\aspalpha\aspnum\faauto\adjustright\rin0\lin0\itap0\pararsid3674703 \rtlch\fcs1 \af0\afs20\alang1025 \ltrch\fcs0 \i\fs24\lang2057\langfe2057\cgrid\langnp2057\langfenp2057 {_x000d__x000a_\rtlch\fcs1 \af0 \ltrch\fcs0 \cs17\i0\v\fs20\cf9\lang1024\langfe1024\loch\af1\hich\af1\dbch\af31501\noproof\insrsid3674703\charrsid15879488 \hich\af1\dbch\af31501\loch\f1 &lt;TitreJust&gt;}{\rtlch\fcs1 \af0 \ltrch\fcs0 \insrsid3674703\charrsid15879488 _x000d__x000a_[ZJUSTIFICATION]}{\rtlch\fcs1 \af0 \ltrch\fcs0 \cs17\i0\v\fs20\cf9\lang1024\langfe1024\loch\af1\hich\af1\dbch\af31501\noproof\insrsid3674703\charrsid15879488 \hich\af1\dbch\af31501\loch\f1 &lt;/TitreJust&gt;}{\rtlch\fcs1 \af0 \ltrch\fcs0 _x000d__x000a_\insrsid3674703\charrsid15879488 _x000d__x000a_\par }\pard\plain \ltrpar\s20\ql \li0\ri0\sa240\nowidctlpar\wrapdefault\aspalpha\aspnum\faauto\adjustright\rin0\lin0\itap0\pararsid3674703 \rtlch\fcs1 \af0\afs20\alang1025 \ltrch\fcs0 \i\fs24\lang2057\langfe2057\cgrid\langnp2057\langfenp2057 {\rtlch\fcs1 \af0 _x000d__x000a_\ltrch\fcs0 \cs17\i0\v\fs20\cf9\lang1024\langfe1024\loch\af1\hich\af1\dbch\af31501\noproof\insrsid3674703\charrsid15879488 \hich\af1\dbch\af31501\loch\f1 &lt;OptDelPrev&gt;}{\rtlch\fcs1 \af0 \ltrch\fcs0 \insrsid3674703\charrsid15879488 [ZTEXTJUST]}{\rtlch\fcs1 _x000d__x000a_\af0 \ltrch\fcs0 \cs17\i0\v\fs20\cf9\lang1024\langfe1024\loch\af1\hich\af1\dbch\af31501\noproof\insrsid3674703\charrsid15879488 \hich\af1\dbch\af31501\loch\f1 &lt;/OptDelPrev&gt;}{\rtlch\fcs1 \af0 \ltrch\fcs0 \insrsid3674703\charrsid15879488 _x000d__x000a_\par }\pard\plain \ltrpar\ql \li0\ri0\widctlpar\wrapdefault\aspalpha\aspnum\faauto\adjustright\rin0\lin0\itap0\pararsid3674703 \rtlch\fcs1 \af0\afs20\alang1025 \ltrch\fcs0 \fs24\lang2057\langfe2057\cgrid\langnp2057\langfenp2057 {\rtlch\fcs1 \af0 \ltrch\fcs0 _x000d__x000a_\cs17\v\fs20\cf9\lang1024\langfe1024\loch\af1\hich\af1\dbch\af31501\noproof\insrsid3674703\charrsid15879488 \hich\af1\dbch\af31501\loch\f1 &lt;/AmendB&gt;}{\rtlch\fcs1 \af0 \ltrch\fcs0 \insrsid36747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a_x000d__x000a_d12941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DA"/>
    <w:docVar w:name="TXTLANGUEMIN" w:val="da"/>
    <w:docVar w:name="TXTNRC" w:val="0150/2023"/>
    <w:docVar w:name="TXTNRCOM" w:val="(2023)0240"/>
    <w:docVar w:name="TXTNRFIRSTAM" w:val="1"/>
    <w:docVar w:name="TXTNRLASTAM" w:val="2"/>
    <w:docVar w:name="TXTNRPE" w:val="752.621"/>
    <w:docVar w:name="TXTNRPROC" w:val="2023/0138"/>
    <w:docVar w:name="TXTPEorAP" w:val="PE"/>
    <w:docVar w:name="TXTROUTE" w:val="AD\1288324DA.docx"/>
    <w:docVar w:name="TXTVERSION" w:val="02-00"/>
  </w:docVars>
  <w:rsids>
    <w:rsidRoot w:val="007426EC"/>
    <w:rsid w:val="00026559"/>
    <w:rsid w:val="00027FA8"/>
    <w:rsid w:val="0004474F"/>
    <w:rsid w:val="00082EC4"/>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20500"/>
    <w:rsid w:val="0023131B"/>
    <w:rsid w:val="002901E9"/>
    <w:rsid w:val="002932DB"/>
    <w:rsid w:val="002A67EE"/>
    <w:rsid w:val="002D23D0"/>
    <w:rsid w:val="00304EA8"/>
    <w:rsid w:val="00341A99"/>
    <w:rsid w:val="00360FAA"/>
    <w:rsid w:val="0038294E"/>
    <w:rsid w:val="003858C5"/>
    <w:rsid w:val="003A2F84"/>
    <w:rsid w:val="003A6A67"/>
    <w:rsid w:val="003C7390"/>
    <w:rsid w:val="003E1280"/>
    <w:rsid w:val="003F128E"/>
    <w:rsid w:val="0040055C"/>
    <w:rsid w:val="00420909"/>
    <w:rsid w:val="00487596"/>
    <w:rsid w:val="004B3A53"/>
    <w:rsid w:val="004C2A0D"/>
    <w:rsid w:val="004F1D2F"/>
    <w:rsid w:val="00502B76"/>
    <w:rsid w:val="00513F6F"/>
    <w:rsid w:val="00522B51"/>
    <w:rsid w:val="00524707"/>
    <w:rsid w:val="00525B43"/>
    <w:rsid w:val="005539B7"/>
    <w:rsid w:val="00571233"/>
    <w:rsid w:val="005F225D"/>
    <w:rsid w:val="00613134"/>
    <w:rsid w:val="00626D52"/>
    <w:rsid w:val="00643DA8"/>
    <w:rsid w:val="00657D5C"/>
    <w:rsid w:val="00683DD1"/>
    <w:rsid w:val="00691B1C"/>
    <w:rsid w:val="006A0F0A"/>
    <w:rsid w:val="006A48AA"/>
    <w:rsid w:val="006B07BB"/>
    <w:rsid w:val="006B1267"/>
    <w:rsid w:val="006D292E"/>
    <w:rsid w:val="006E4784"/>
    <w:rsid w:val="00712462"/>
    <w:rsid w:val="00716BAA"/>
    <w:rsid w:val="007426EC"/>
    <w:rsid w:val="0078548A"/>
    <w:rsid w:val="007B7CE3"/>
    <w:rsid w:val="007F187F"/>
    <w:rsid w:val="00817D13"/>
    <w:rsid w:val="00820C7D"/>
    <w:rsid w:val="008246B4"/>
    <w:rsid w:val="00833D11"/>
    <w:rsid w:val="00836FD3"/>
    <w:rsid w:val="008375A8"/>
    <w:rsid w:val="008506A6"/>
    <w:rsid w:val="00872A52"/>
    <w:rsid w:val="00876A73"/>
    <w:rsid w:val="0089388A"/>
    <w:rsid w:val="008F3DB0"/>
    <w:rsid w:val="00904864"/>
    <w:rsid w:val="009052FE"/>
    <w:rsid w:val="009215FC"/>
    <w:rsid w:val="00921659"/>
    <w:rsid w:val="00924555"/>
    <w:rsid w:val="009368B3"/>
    <w:rsid w:val="00982B83"/>
    <w:rsid w:val="009857B4"/>
    <w:rsid w:val="0099178F"/>
    <w:rsid w:val="009B6583"/>
    <w:rsid w:val="009E7319"/>
    <w:rsid w:val="00A71228"/>
    <w:rsid w:val="00A74E25"/>
    <w:rsid w:val="00AC2A60"/>
    <w:rsid w:val="00AD49D0"/>
    <w:rsid w:val="00B00EE6"/>
    <w:rsid w:val="00B476DC"/>
    <w:rsid w:val="00B556CD"/>
    <w:rsid w:val="00B62D4B"/>
    <w:rsid w:val="00B65D81"/>
    <w:rsid w:val="00B735E3"/>
    <w:rsid w:val="00B904FA"/>
    <w:rsid w:val="00BA3E40"/>
    <w:rsid w:val="00BA7875"/>
    <w:rsid w:val="00BD1F76"/>
    <w:rsid w:val="00BD41AD"/>
    <w:rsid w:val="00BE20CF"/>
    <w:rsid w:val="00C22327"/>
    <w:rsid w:val="00C335C6"/>
    <w:rsid w:val="00C36610"/>
    <w:rsid w:val="00C4219C"/>
    <w:rsid w:val="00C52A28"/>
    <w:rsid w:val="00C56375"/>
    <w:rsid w:val="00C709B7"/>
    <w:rsid w:val="00C75E98"/>
    <w:rsid w:val="00C81C5B"/>
    <w:rsid w:val="00C83B35"/>
    <w:rsid w:val="00D25CF2"/>
    <w:rsid w:val="00D56CE0"/>
    <w:rsid w:val="00D6254D"/>
    <w:rsid w:val="00D67D0A"/>
    <w:rsid w:val="00D74FD1"/>
    <w:rsid w:val="00D943A5"/>
    <w:rsid w:val="00D9581F"/>
    <w:rsid w:val="00DB56E4"/>
    <w:rsid w:val="00E27F01"/>
    <w:rsid w:val="00E34A5C"/>
    <w:rsid w:val="00E41F78"/>
    <w:rsid w:val="00E77FF5"/>
    <w:rsid w:val="00E94D64"/>
    <w:rsid w:val="00EA3802"/>
    <w:rsid w:val="00EE5C2C"/>
    <w:rsid w:val="00EF1432"/>
    <w:rsid w:val="00EF33D5"/>
    <w:rsid w:val="00F15744"/>
    <w:rsid w:val="00F24D40"/>
    <w:rsid w:val="00FA3C2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da-DK"/>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6B07BB"/>
    <w:rPr>
      <w:rFonts w:ascii="Segoe UI" w:hAnsi="Segoe UI" w:cs="Segoe UI"/>
      <w:sz w:val="18"/>
      <w:szCs w:val="18"/>
    </w:rPr>
  </w:style>
  <w:style w:type="character" w:customStyle="1" w:styleId="BalloonTextChar">
    <w:name w:val="Balloon Text Char"/>
    <w:basedOn w:val="DefaultParagraphFont"/>
    <w:link w:val="BalloonText"/>
    <w:semiHidden/>
    <w:rsid w:val="006B07BB"/>
    <w:rPr>
      <w:rFonts w:ascii="Segoe UI" w:hAnsi="Segoe UI" w:cs="Segoe UI"/>
      <w:sz w:val="18"/>
      <w:szCs w:val="18"/>
      <w:lang w:val="da-DK"/>
    </w:rPr>
  </w:style>
  <w:style w:type="paragraph" w:customStyle="1" w:styleId="RollCallSymbols14pt">
    <w:name w:val="RollCallSymbols14pt"/>
    <w:basedOn w:val="Normal"/>
    <w:rsid w:val="006B07B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B07BB"/>
    <w:pPr>
      <w:tabs>
        <w:tab w:val="center" w:pos="284"/>
        <w:tab w:val="left" w:pos="426"/>
      </w:tabs>
    </w:pPr>
    <w:rPr>
      <w:snapToGrid w:val="0"/>
      <w:szCs w:val="20"/>
      <w:lang w:eastAsia="en-US"/>
    </w:rPr>
  </w:style>
  <w:style w:type="paragraph" w:customStyle="1" w:styleId="RollCallVotes">
    <w:name w:val="RollCallVotes"/>
    <w:basedOn w:val="Normal"/>
    <w:rsid w:val="006B07BB"/>
    <w:pPr>
      <w:spacing w:before="120" w:after="120"/>
      <w:jc w:val="center"/>
    </w:pPr>
    <w:rPr>
      <w:b/>
      <w:bCs/>
      <w:snapToGrid w:val="0"/>
      <w:sz w:val="16"/>
      <w:szCs w:val="20"/>
      <w:lang w:eastAsia="en-US"/>
    </w:rPr>
  </w:style>
  <w:style w:type="paragraph" w:customStyle="1" w:styleId="RollCallTable">
    <w:name w:val="RollCallTable"/>
    <w:basedOn w:val="Normal"/>
    <w:rsid w:val="006B07BB"/>
    <w:pPr>
      <w:spacing w:before="120" w:after="120"/>
    </w:pPr>
    <w:rPr>
      <w:snapToGrid w:val="0"/>
      <w:sz w:val="16"/>
      <w:szCs w:val="20"/>
      <w:lang w:eastAsia="en-US"/>
    </w:rPr>
  </w:style>
  <w:style w:type="character" w:styleId="CommentReference">
    <w:name w:val="annotation reference"/>
    <w:basedOn w:val="DefaultParagraphFont"/>
    <w:rsid w:val="006B07BB"/>
    <w:rPr>
      <w:sz w:val="16"/>
      <w:szCs w:val="16"/>
    </w:rPr>
  </w:style>
  <w:style w:type="paragraph" w:styleId="CommentText">
    <w:name w:val="annotation text"/>
    <w:basedOn w:val="Normal"/>
    <w:link w:val="CommentTextChar"/>
    <w:rsid w:val="006B07BB"/>
    <w:rPr>
      <w:sz w:val="20"/>
      <w:szCs w:val="20"/>
    </w:rPr>
  </w:style>
  <w:style w:type="character" w:customStyle="1" w:styleId="CommentTextChar">
    <w:name w:val="Comment Text Char"/>
    <w:basedOn w:val="DefaultParagraphFont"/>
    <w:link w:val="CommentText"/>
    <w:rsid w:val="006B07BB"/>
    <w:rPr>
      <w:lang w:val="da-DK"/>
    </w:rPr>
  </w:style>
  <w:style w:type="paragraph" w:styleId="CommentSubject">
    <w:name w:val="annotation subject"/>
    <w:basedOn w:val="CommentText"/>
    <w:next w:val="CommentText"/>
    <w:link w:val="CommentSubjectChar"/>
    <w:semiHidden/>
    <w:unhideWhenUsed/>
    <w:rsid w:val="006B07BB"/>
    <w:rPr>
      <w:b/>
      <w:bCs/>
    </w:rPr>
  </w:style>
  <w:style w:type="character" w:customStyle="1" w:styleId="CommentSubjectChar">
    <w:name w:val="Comment Subject Char"/>
    <w:basedOn w:val="CommentTextChar"/>
    <w:link w:val="CommentSubject"/>
    <w:semiHidden/>
    <w:rsid w:val="006B07B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86E87-9C7F-4259-9284-A12D2D187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7054</Words>
  <Characters>45830</Characters>
  <Application>Microsoft Office Word</Application>
  <DocSecurity>0</DocSecurity>
  <Lines>1724</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2023-11-15T10:58:00Z</dcterms:created>
  <dcterms:modified xsi:type="dcterms:W3CDTF">2023-11-15T10:58:00Z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- 2023/11/15 11:58</vt:lpwstr>
  </property>
  <property fmtid="{D5CDD505-2E9C-101B-9397-08002B2CF9AE}" pid="9" name="Created with">
    <vt:lpwstr>9.14.1 Build [20230315]</vt:lpwstr>
  </property>
  <property fmtid="{D5CDD505-2E9C-101B-9397-08002B2CF9AE}" pid="10" name="FooterPath">
    <vt:lpwstr>AD\1288324DA.docx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y fmtid="{D5CDD505-2E9C-101B-9397-08002B2CF9AE}" pid="14" name="SendToEpades">
    <vt:lpwstr>OK - 2023/09/21 13:50</vt:lpwstr>
  </property>
</Properties>
</file>