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84958" w:rsidRPr="00591E75" w:rsidTr="00E34A5C">
        <w:trPr>
          <w:trHeight w:hRule="exact" w:val="1418"/>
        </w:trPr>
        <w:tc>
          <w:tcPr>
            <w:tcW w:w="6804" w:type="dxa"/>
            <w:shd w:val="clear" w:color="auto" w:fill="auto"/>
            <w:vAlign w:val="center"/>
          </w:tcPr>
          <w:p w:rsidR="00BA3E40" w:rsidRPr="00591E75" w:rsidRDefault="00E51FF1" w:rsidP="00E34A5C">
            <w:pPr>
              <w:pStyle w:val="EPName"/>
            </w:pPr>
            <w:r w:rsidRPr="00591E75">
              <w:t>Europäisches Parlament</w:t>
            </w:r>
          </w:p>
          <w:p w:rsidR="00BA3E40" w:rsidRPr="00591E75" w:rsidRDefault="00E51FF1" w:rsidP="009B6583">
            <w:pPr>
              <w:pStyle w:val="EPTerm"/>
            </w:pPr>
            <w:r w:rsidRPr="00591E75">
              <w:t>2019-2024</w:t>
            </w:r>
          </w:p>
        </w:tc>
        <w:tc>
          <w:tcPr>
            <w:tcW w:w="2268" w:type="dxa"/>
            <w:shd w:val="clear" w:color="auto" w:fill="auto"/>
          </w:tcPr>
          <w:p w:rsidR="00BA3E40" w:rsidRPr="00591E75" w:rsidRDefault="00E51FF1" w:rsidP="00E34A5C">
            <w:pPr>
              <w:pStyle w:val="EPLogo"/>
            </w:pPr>
            <w:r w:rsidRPr="00591E7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591E75" w:rsidRDefault="00F24D40" w:rsidP="00F24D40">
      <w:pPr>
        <w:pStyle w:val="LineTop"/>
      </w:pPr>
    </w:p>
    <w:p w:rsidR="00F24D40" w:rsidRPr="00591E75" w:rsidRDefault="00E51FF1" w:rsidP="00F24D40">
      <w:pPr>
        <w:pStyle w:val="EPBody"/>
      </w:pPr>
      <w:r w:rsidRPr="00591E75">
        <w:rPr>
          <w:rStyle w:val="HideTWBExt"/>
        </w:rPr>
        <w:t>&lt;</w:t>
      </w:r>
      <w:r w:rsidRPr="00591E75">
        <w:rPr>
          <w:rStyle w:val="HideTWBExt"/>
          <w:i w:val="0"/>
        </w:rPr>
        <w:t>Commission</w:t>
      </w:r>
      <w:r w:rsidRPr="00591E75">
        <w:rPr>
          <w:rStyle w:val="HideTWBExt"/>
        </w:rPr>
        <w:t>&gt;</w:t>
      </w:r>
      <w:r w:rsidRPr="00591E75">
        <w:rPr>
          <w:rStyle w:val="HideTWBInt"/>
          <w:color w:val="auto"/>
        </w:rPr>
        <w:t>{EMPL}</w:t>
      </w:r>
      <w:r w:rsidRPr="00591E75">
        <w:t>Ausschuss für Beschäftigung und soziale Angelegenheiten</w:t>
      </w:r>
      <w:r w:rsidRPr="00591E75">
        <w:rPr>
          <w:rStyle w:val="HideTWBExt"/>
        </w:rPr>
        <w:t>&lt;/</w:t>
      </w:r>
      <w:r w:rsidRPr="00591E75">
        <w:rPr>
          <w:rStyle w:val="HideTWBExt"/>
          <w:i w:val="0"/>
        </w:rPr>
        <w:t>Commission</w:t>
      </w:r>
      <w:r w:rsidRPr="00591E75">
        <w:rPr>
          <w:rStyle w:val="HideTWBExt"/>
        </w:rPr>
        <w:t>&gt;</w:t>
      </w:r>
    </w:p>
    <w:p w:rsidR="00F24D40" w:rsidRPr="00591E75" w:rsidRDefault="00F24D40" w:rsidP="00F24D40">
      <w:pPr>
        <w:pStyle w:val="LineBottom"/>
      </w:pPr>
    </w:p>
    <w:p w:rsidR="00AF0131" w:rsidRPr="00591E75" w:rsidRDefault="00E51FF1" w:rsidP="00AF0131">
      <w:pPr>
        <w:pStyle w:val="CoverReference"/>
      </w:pPr>
      <w:r w:rsidRPr="00591E75">
        <w:rPr>
          <w:rStyle w:val="HideTWBExt"/>
          <w:b w:val="0"/>
        </w:rPr>
        <w:t>&lt;RefProc&gt;</w:t>
      </w:r>
      <w:r w:rsidRPr="00591E75">
        <w:t>2023/0138</w:t>
      </w:r>
      <w:r w:rsidRPr="00591E75">
        <w:rPr>
          <w:rStyle w:val="HideTWBExt"/>
          <w:b w:val="0"/>
        </w:rPr>
        <w:t>&lt;/RefProc&gt;&lt;RefTypeProc&gt;</w:t>
      </w:r>
      <w:r w:rsidRPr="00591E75">
        <w:t>(COD)</w:t>
      </w:r>
      <w:r w:rsidRPr="00591E75">
        <w:rPr>
          <w:rStyle w:val="HideTWBExt"/>
          <w:b w:val="0"/>
        </w:rPr>
        <w:t>&lt;/RefTypeProc&gt;</w:t>
      </w:r>
    </w:p>
    <w:p w:rsidR="00AF0131" w:rsidRPr="00591E75" w:rsidRDefault="00E51FF1" w:rsidP="00AF0131">
      <w:pPr>
        <w:pStyle w:val="CoverDate"/>
      </w:pPr>
      <w:r w:rsidRPr="00591E75">
        <w:rPr>
          <w:rStyle w:val="HideTWBExt"/>
        </w:rPr>
        <w:t>&lt;Date&gt;</w:t>
      </w:r>
      <w:r w:rsidRPr="00591E75">
        <w:rPr>
          <w:rStyle w:val="HideTWBInt"/>
          <w:color w:val="auto"/>
        </w:rPr>
        <w:t>{30/10/2023}</w:t>
      </w:r>
      <w:r w:rsidRPr="00591E75">
        <w:t>30.10.2023</w:t>
      </w:r>
      <w:r w:rsidRPr="00591E75">
        <w:rPr>
          <w:rStyle w:val="HideTWBExt"/>
        </w:rPr>
        <w:t>&lt;/Date&gt;</w:t>
      </w:r>
    </w:p>
    <w:p w:rsidR="00AF0131" w:rsidRPr="00591E75" w:rsidRDefault="00E51FF1" w:rsidP="00AF0131">
      <w:pPr>
        <w:pStyle w:val="CoverDocType24a"/>
      </w:pPr>
      <w:r w:rsidRPr="00591E75">
        <w:rPr>
          <w:rStyle w:val="HideTWBExt"/>
          <w:b w:val="0"/>
        </w:rPr>
        <w:t>&lt;TitreType&gt;</w:t>
      </w:r>
      <w:r w:rsidRPr="00591E75">
        <w:t>STELLUNGNAHME</w:t>
      </w:r>
      <w:r w:rsidRPr="00591E75">
        <w:rPr>
          <w:rStyle w:val="HideTWBExt"/>
          <w:b w:val="0"/>
        </w:rPr>
        <w:t>&lt;/TitreType&gt;</w:t>
      </w:r>
    </w:p>
    <w:p w:rsidR="00AF0131" w:rsidRPr="00591E75" w:rsidRDefault="00E51FF1" w:rsidP="00AF0131">
      <w:pPr>
        <w:pStyle w:val="CoverNormal24a"/>
      </w:pPr>
      <w:r w:rsidRPr="00591E75">
        <w:rPr>
          <w:rStyle w:val="HideTWBExt"/>
        </w:rPr>
        <w:t>&lt;CommissionResp&gt;</w:t>
      </w:r>
      <w:r w:rsidRPr="00591E75">
        <w:t>des Ausschusses für Beschäftigung und soziale Angelegenheiten</w:t>
      </w:r>
      <w:r w:rsidRPr="00591E75">
        <w:rPr>
          <w:rStyle w:val="HideTWBExt"/>
        </w:rPr>
        <w:t>&lt;/CommissionResp&gt;</w:t>
      </w:r>
    </w:p>
    <w:p w:rsidR="00AF0131" w:rsidRPr="00591E75" w:rsidRDefault="00E51FF1" w:rsidP="00AF0131">
      <w:pPr>
        <w:pStyle w:val="CoverNormal24a"/>
      </w:pPr>
      <w:r w:rsidRPr="00591E75">
        <w:rPr>
          <w:rStyle w:val="HideTWBExt"/>
        </w:rPr>
        <w:t>&lt;CommissionInt&gt;</w:t>
      </w:r>
      <w:r w:rsidRPr="00591E75">
        <w:t>für den Ausschuss für Wirtschaft und Währung</w:t>
      </w:r>
      <w:r w:rsidRPr="00591E75">
        <w:rPr>
          <w:rStyle w:val="HideTWBExt"/>
        </w:rPr>
        <w:t>&lt;/CommissionInt&gt;</w:t>
      </w:r>
    </w:p>
    <w:p w:rsidR="00AF0131" w:rsidRPr="00591E75" w:rsidRDefault="00E51FF1" w:rsidP="00AF0131">
      <w:pPr>
        <w:pStyle w:val="CoverNormal"/>
      </w:pPr>
      <w:r w:rsidRPr="00591E75">
        <w:rPr>
          <w:rStyle w:val="HideTWBExt"/>
        </w:rPr>
        <w:t>&lt;Titre&gt;</w:t>
      </w:r>
      <w:r w:rsidRPr="00591E75">
        <w:t xml:space="preserve">zu dem Vorschlag für eine Verordnung des Europäischen Parlaments </w:t>
      </w:r>
      <w:r w:rsidRPr="00591E75">
        <w:t>und des Rates über die wirksame Koordinierung der Wirtschaftspolitik und die multilaterale haushaltspolitische Überwachung und zur Aufhebung der Verordnung (EG) Nr. 1466/97 des Rates</w:t>
      </w:r>
      <w:r w:rsidRPr="00591E75">
        <w:rPr>
          <w:rStyle w:val="HideTWBExt"/>
        </w:rPr>
        <w:t>&lt;/Titre&gt;</w:t>
      </w:r>
    </w:p>
    <w:p w:rsidR="00AF0131" w:rsidRPr="00591E75" w:rsidRDefault="00E51FF1" w:rsidP="00AF0131">
      <w:pPr>
        <w:pStyle w:val="CoverNormal24a"/>
      </w:pPr>
      <w:r w:rsidRPr="00591E75">
        <w:rPr>
          <w:rStyle w:val="HideTWBExt"/>
        </w:rPr>
        <w:t>&lt;DocRef&gt;</w:t>
      </w:r>
      <w:r w:rsidRPr="00591E75">
        <w:t>(COM</w:t>
      </w:r>
      <w:bookmarkStart w:id="0" w:name="_GoBack"/>
      <w:bookmarkEnd w:id="0"/>
      <w:r w:rsidRPr="00591E75">
        <w:t>(2023)0240 – C9</w:t>
      </w:r>
      <w:r w:rsidRPr="00591E75">
        <w:noBreakHyphen/>
        <w:t>0150/2023 – 2023/0138(COD))</w:t>
      </w:r>
      <w:r w:rsidRPr="00591E75">
        <w:rPr>
          <w:rStyle w:val="HideTWBExt"/>
        </w:rPr>
        <w:t>&lt;/DocRef&gt;</w:t>
      </w:r>
    </w:p>
    <w:p w:rsidR="00AF0131" w:rsidRPr="00591E75" w:rsidRDefault="00E51FF1" w:rsidP="00AF0131">
      <w:pPr>
        <w:pStyle w:val="CoverNormal24a"/>
      </w:pPr>
      <w:r w:rsidRPr="00591E75">
        <w:t xml:space="preserve">Verfasserin der Stellungnahme </w:t>
      </w:r>
      <w:r w:rsidRPr="00591E75">
        <w:rPr>
          <w:snapToGrid w:val="0"/>
        </w:rPr>
        <w:t>(*)</w:t>
      </w:r>
      <w:r w:rsidRPr="00591E75">
        <w:t xml:space="preserve">: </w:t>
      </w:r>
      <w:r w:rsidRPr="00591E75">
        <w:rPr>
          <w:rStyle w:val="HideTWBExt"/>
        </w:rPr>
        <w:t>&lt;Depute&gt;</w:t>
      </w:r>
      <w:r w:rsidRPr="00591E75">
        <w:t>Gabriele Bischoff</w:t>
      </w:r>
      <w:r w:rsidRPr="00591E75">
        <w:rPr>
          <w:rStyle w:val="HideTWBExt"/>
        </w:rPr>
        <w:t>&lt;/Depute&gt;</w:t>
      </w:r>
    </w:p>
    <w:p w:rsidR="00AF0131" w:rsidRPr="00591E75" w:rsidRDefault="00E51FF1" w:rsidP="00AF0131">
      <w:pPr>
        <w:pStyle w:val="CoverNormal"/>
        <w:rPr>
          <w:snapToGrid w:val="0"/>
          <w:szCs w:val="24"/>
        </w:rPr>
      </w:pPr>
      <w:r w:rsidRPr="00591E75">
        <w:rPr>
          <w:snapToGrid w:val="0"/>
        </w:rPr>
        <w:t>(*) Assoziierter Ausschuss – Artikel 57 der Geschäftsordnung</w:t>
      </w:r>
    </w:p>
    <w:p w:rsidR="00AF0131" w:rsidRPr="00591E75" w:rsidRDefault="00AF0131" w:rsidP="00AF0131">
      <w:pPr>
        <w:pStyle w:val="CoverNormal"/>
        <w:rPr>
          <w:snapToGrid w:val="0"/>
          <w:szCs w:val="24"/>
        </w:rPr>
      </w:pPr>
    </w:p>
    <w:p w:rsidR="00AF0131" w:rsidRPr="00591E75" w:rsidRDefault="00AF0131" w:rsidP="00AF0131">
      <w:pPr>
        <w:pStyle w:val="CoverNormal"/>
        <w:rPr>
          <w:snapToGrid w:val="0"/>
          <w:szCs w:val="24"/>
        </w:rPr>
      </w:pPr>
    </w:p>
    <w:p w:rsidR="00AF0131" w:rsidRPr="00591E75" w:rsidRDefault="00AF0131" w:rsidP="00AF0131">
      <w:pPr>
        <w:pStyle w:val="CoverNormal"/>
        <w:rPr>
          <w:snapToGrid w:val="0"/>
          <w:szCs w:val="24"/>
        </w:rPr>
      </w:pPr>
    </w:p>
    <w:p w:rsidR="00AF0131" w:rsidRPr="00591E75" w:rsidRDefault="00AF0131" w:rsidP="00AF0131">
      <w:pPr>
        <w:pStyle w:val="CoverNormal"/>
        <w:rPr>
          <w:snapToGrid w:val="0"/>
          <w:szCs w:val="24"/>
        </w:rPr>
      </w:pPr>
    </w:p>
    <w:p w:rsidR="00AF0131" w:rsidRPr="00591E75" w:rsidRDefault="00E51FF1" w:rsidP="00AF0131">
      <w:pPr>
        <w:tabs>
          <w:tab w:val="center" w:pos="4677"/>
        </w:tabs>
      </w:pPr>
      <w:r w:rsidRPr="00591E75">
        <w:br w:type="page"/>
      </w:r>
      <w:r w:rsidRPr="00591E75">
        <w:lastRenderedPageBreak/>
        <w:t>PA_Legam</w:t>
      </w:r>
    </w:p>
    <w:p w:rsidR="00AF0131" w:rsidRPr="00591E75" w:rsidRDefault="00E51FF1" w:rsidP="00C56375">
      <w:pPr>
        <w:pStyle w:val="PageHeadingNotTOC"/>
      </w:pPr>
      <w:r w:rsidRPr="00591E75">
        <w:br w:type="page"/>
      </w:r>
      <w:r w:rsidRPr="00591E75">
        <w:lastRenderedPageBreak/>
        <w:t>ÄNDERUNGSANTRÄGE</w:t>
      </w:r>
    </w:p>
    <w:p w:rsidR="00AF0131" w:rsidRPr="00591E75" w:rsidRDefault="00E51FF1" w:rsidP="00AF0131">
      <w:pPr>
        <w:pStyle w:val="Normal12a"/>
      </w:pPr>
      <w:bookmarkStart w:id="1" w:name="IntroA"/>
      <w:r w:rsidRPr="00591E75">
        <w:t xml:space="preserve">Der Ausschuss für Beschäftigung und soziale Angelegenheiten ersucht den federführenden </w:t>
      </w:r>
      <w:r w:rsidRPr="00591E75">
        <w:t>Ausschuss für Wirtschaft und Währung, Folgendes zu berücksichtigen:</w:t>
      </w:r>
    </w:p>
    <w:bookmarkEnd w:id="1"/>
    <w:p w:rsidR="00AF0131" w:rsidRPr="00591E75" w:rsidRDefault="00E51FF1" w:rsidP="00C56375">
      <w:r w:rsidRPr="00591E75">
        <w:rPr>
          <w:rStyle w:val="HideTWBExt"/>
          <w:b/>
        </w:rPr>
        <w:t>&lt;RepeatBlock-Amend&gt;</w:t>
      </w:r>
      <w:r w:rsidRPr="00591E75">
        <w:rPr>
          <w:rStyle w:val="HideTWBExt"/>
        </w:rPr>
        <w:t>&lt;Amend&gt;</w:t>
      </w:r>
      <w:r w:rsidRPr="00591E75">
        <w:t>Änderungsantrag</w:t>
      </w:r>
      <w:r w:rsidRPr="00591E75">
        <w:tab/>
      </w:r>
      <w:r w:rsidRPr="00591E75">
        <w:rPr>
          <w:rStyle w:val="HideTWBExt"/>
        </w:rPr>
        <w:t>&lt;NumAm&gt;</w:t>
      </w:r>
      <w:r w:rsidRPr="00591E75">
        <w:t>1</w:t>
      </w:r>
      <w:r w:rsidRPr="00591E75">
        <w:rPr>
          <w:rStyle w:val="HideTWBExt"/>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Erwägung 2</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(2)</w:t>
            </w:r>
            <w:r w:rsidRPr="00591E75">
              <w:tab/>
              <w:t>Der Stabilitäts- und Wachstumspakt (SWP), der ursprünglich aus der Verordnung (EG) Nr. 1466/97 des Rates</w:t>
            </w:r>
            <w:r w:rsidRPr="00591E75">
              <w:rPr>
                <w:vertAlign w:val="superscript"/>
              </w:rPr>
              <w:t>19</w:t>
            </w:r>
            <w:r w:rsidRPr="00591E75">
              <w:t>, der Verordnung (EG) Nr. 1467/97 des Rates vom 7. Juli 1997</w:t>
            </w:r>
            <w:r w:rsidRPr="00591E75">
              <w:rPr>
                <w:vertAlign w:val="superscript"/>
              </w:rPr>
              <w:t>20</w:t>
            </w:r>
            <w:r w:rsidRPr="00591E75">
              <w:t xml:space="preserve"> und der Entschließung des Europäischen Rates vom 17. Juni 1997 über den Stabilitäts- u</w:t>
            </w:r>
            <w:r w:rsidRPr="00591E75">
              <w:t>nd Wachstumspakt</w:t>
            </w:r>
            <w:r w:rsidRPr="00591E75">
              <w:rPr>
                <w:vertAlign w:val="superscript"/>
              </w:rPr>
              <w:t>21</w:t>
            </w:r>
            <w:r w:rsidRPr="00591E75">
              <w:t xml:space="preserve"> bestand, beruht auf dem Ziel einer gesunden und tragfähigen öffentlichen Finanzlage als Mittel zur Verbesserung der Voraussetzungen für Preisstabilität und ein solides, nachhaltiges Wachstum, das auf einem stabilen Finanzsystem fußt, was</w:t>
            </w:r>
            <w:r w:rsidRPr="00591E75">
              <w:t xml:space="preserve"> zur Verwirklichung der Ziele der Union für nachhaltiges und inklusives Wachstum </w:t>
            </w:r>
            <w:r w:rsidRPr="00591E75">
              <w:rPr>
                <w:b/>
                <w:bCs/>
                <w:i/>
                <w:iCs/>
              </w:rPr>
              <w:t>und</w:t>
            </w:r>
            <w:r w:rsidRPr="00591E75">
              <w:t xml:space="preserve"> </w:t>
            </w:r>
            <w:r w:rsidRPr="00591E75">
              <w:rPr>
                <w:b/>
                <w:bCs/>
                <w:i/>
                <w:iCs/>
              </w:rPr>
              <w:t>Beschäftigung</w:t>
            </w:r>
            <w:r w:rsidRPr="00591E75">
              <w:t xml:space="preserve"> beiträgt.</w:t>
            </w:r>
          </w:p>
        </w:tc>
        <w:tc>
          <w:tcPr>
            <w:tcW w:w="4876" w:type="dxa"/>
            <w:hideMark/>
          </w:tcPr>
          <w:p w:rsidR="00AF0131" w:rsidRPr="00591E75" w:rsidRDefault="00E51FF1" w:rsidP="00C33FBD">
            <w:pPr>
              <w:pStyle w:val="Normal6"/>
              <w:rPr>
                <w:szCs w:val="24"/>
              </w:rPr>
            </w:pPr>
            <w:r w:rsidRPr="00591E75">
              <w:t>(2)</w:t>
            </w:r>
            <w:r w:rsidRPr="00591E75">
              <w:tab/>
              <w:t>Der Stabilitäts- und Wachstumspakt (SWP), der ursprünglich aus der Verordnung (EG) Nr. 1466/97 des Rates</w:t>
            </w:r>
            <w:r w:rsidRPr="00591E75">
              <w:rPr>
                <w:vertAlign w:val="superscript"/>
              </w:rPr>
              <w:t>19</w:t>
            </w:r>
            <w:r w:rsidRPr="00591E75">
              <w:t>, der Verordnung (EG) Nr. 1467/97 des</w:t>
            </w:r>
            <w:r w:rsidRPr="00591E75">
              <w:t xml:space="preserve"> Rates vom 7. Juli 1997</w:t>
            </w:r>
            <w:r w:rsidRPr="00591E75">
              <w:rPr>
                <w:vertAlign w:val="superscript"/>
              </w:rPr>
              <w:t>20</w:t>
            </w:r>
            <w:r w:rsidRPr="00591E75">
              <w:t xml:space="preserve"> und der Entschließung des Europäischen Rates vom 17. Juni 1997 über den Stabilitäts- und Wachstumspakt</w:t>
            </w:r>
            <w:r w:rsidRPr="00591E75">
              <w:rPr>
                <w:vertAlign w:val="superscript"/>
              </w:rPr>
              <w:t>21</w:t>
            </w:r>
            <w:r w:rsidRPr="00591E75">
              <w:t xml:space="preserve"> bestand, beruht auf dem Ziel einer gesunden und tragfähigen öffentlichen Finanzlage als Mittel zur Verbesserung der Vorausset</w:t>
            </w:r>
            <w:r w:rsidRPr="00591E75">
              <w:t xml:space="preserve">zungen für Preisstabilität und ein solides, nachhaltiges Wachstum, das </w:t>
            </w:r>
            <w:r w:rsidRPr="00591E75">
              <w:rPr>
                <w:b/>
                <w:bCs/>
                <w:i/>
                <w:iCs/>
              </w:rPr>
              <w:t>der Schaffung von Arbeitsplätzen förderlich ist und das</w:t>
            </w:r>
            <w:r w:rsidRPr="00591E75">
              <w:t xml:space="preserve"> auf einem stabilen Finanzsystem fußt, was zur Verwirklichung der Ziele der Union für nachhaltiges und inklusives Wachstum </w:t>
            </w:r>
            <w:r w:rsidRPr="00591E75">
              <w:t>beiträg</w:t>
            </w:r>
            <w:r w:rsidRPr="00591E75">
              <w:t>t</w:t>
            </w:r>
            <w:r w:rsidRPr="00591E75">
              <w:rPr>
                <w:b/>
                <w:bCs/>
                <w:i/>
                <w:iCs/>
              </w:rPr>
              <w:t>, das auf Vollbeschäftigung und sozialen Fortschritt abzielt</w:t>
            </w:r>
            <w:r w:rsidRPr="00591E75">
              <w:t>.</w:t>
            </w:r>
          </w:p>
        </w:tc>
      </w:tr>
      <w:tr w:rsidR="00484958" w:rsidRPr="00591E75" w:rsidTr="00C33FBD">
        <w:trPr>
          <w:jc w:val="center"/>
        </w:trPr>
        <w:tc>
          <w:tcPr>
            <w:tcW w:w="4876" w:type="dxa"/>
            <w:hideMark/>
          </w:tcPr>
          <w:p w:rsidR="00AF0131" w:rsidRPr="00591E75" w:rsidRDefault="00E51FF1" w:rsidP="00C33FBD">
            <w:pPr>
              <w:pStyle w:val="Normal6"/>
            </w:pPr>
            <w:r w:rsidRPr="00591E75">
              <w:t>__________________</w:t>
            </w:r>
          </w:p>
        </w:tc>
        <w:tc>
          <w:tcPr>
            <w:tcW w:w="4876" w:type="dxa"/>
            <w:hideMark/>
          </w:tcPr>
          <w:p w:rsidR="00AF0131" w:rsidRPr="00591E75" w:rsidRDefault="00E51FF1" w:rsidP="00C33FBD">
            <w:pPr>
              <w:pStyle w:val="Normal6"/>
              <w:rPr>
                <w:szCs w:val="24"/>
              </w:rPr>
            </w:pPr>
            <w:r w:rsidRPr="00591E75">
              <w:t>__________________</w:t>
            </w:r>
          </w:p>
        </w:tc>
      </w:tr>
      <w:tr w:rsidR="00484958" w:rsidRPr="00591E75" w:rsidTr="00C33FBD">
        <w:trPr>
          <w:jc w:val="center"/>
        </w:trPr>
        <w:tc>
          <w:tcPr>
            <w:tcW w:w="4876" w:type="dxa"/>
            <w:hideMark/>
          </w:tcPr>
          <w:p w:rsidR="00AF0131" w:rsidRPr="00591E75" w:rsidRDefault="00E51FF1" w:rsidP="00C33FBD">
            <w:pPr>
              <w:pStyle w:val="Normal6"/>
            </w:pPr>
            <w:r w:rsidRPr="00591E75">
              <w:rPr>
                <w:vertAlign w:val="superscript"/>
              </w:rPr>
              <w:t>19</w:t>
            </w:r>
            <w:r w:rsidRPr="00591E75">
              <w:t xml:space="preserve"> Verordnung (EG) Nr. 1466/97 des Rates vom 7. Juli 1997 über den Ausbau der haushaltspolitischen Überwachung und der Überwachung und Koordinierung der </w:t>
            </w:r>
            <w:r w:rsidRPr="00591E75">
              <w:t>Wirtschaftspolitiken (ABl. L 209 vom 2.8.1997, S. 1).</w:t>
            </w:r>
          </w:p>
        </w:tc>
        <w:tc>
          <w:tcPr>
            <w:tcW w:w="4876" w:type="dxa"/>
            <w:hideMark/>
          </w:tcPr>
          <w:p w:rsidR="00AF0131" w:rsidRPr="00591E75" w:rsidRDefault="00E51FF1" w:rsidP="00C33FBD">
            <w:pPr>
              <w:pStyle w:val="Normal6"/>
              <w:rPr>
                <w:szCs w:val="24"/>
              </w:rPr>
            </w:pPr>
            <w:r w:rsidRPr="00591E75">
              <w:rPr>
                <w:vertAlign w:val="superscript"/>
              </w:rPr>
              <w:t>19</w:t>
            </w:r>
            <w:r w:rsidRPr="00591E75">
              <w:t xml:space="preserve"> Verordnung (EG) Nr. 1466/97 des Rates vom 7. Juli 1997 über den Ausbau der haushaltspolitischen Überwachung und der Überwachung und Koordinierung der Wirtschaftspolitiken (ABl. L 209 vom 2.8.1997, S.</w:t>
            </w:r>
            <w:r w:rsidRPr="00591E75">
              <w:t> 1).</w:t>
            </w:r>
          </w:p>
        </w:tc>
      </w:tr>
      <w:tr w:rsidR="00484958" w:rsidRPr="00591E75" w:rsidTr="00C33FBD">
        <w:trPr>
          <w:jc w:val="center"/>
        </w:trPr>
        <w:tc>
          <w:tcPr>
            <w:tcW w:w="4876" w:type="dxa"/>
            <w:hideMark/>
          </w:tcPr>
          <w:p w:rsidR="00AF0131" w:rsidRPr="00591E75" w:rsidRDefault="00E51FF1" w:rsidP="00C33FBD">
            <w:pPr>
              <w:pStyle w:val="Normal6"/>
            </w:pPr>
            <w:r w:rsidRPr="00591E75">
              <w:rPr>
                <w:vertAlign w:val="superscript"/>
              </w:rPr>
              <w:t>20</w:t>
            </w:r>
            <w:r w:rsidRPr="00591E75">
              <w:t xml:space="preserve"> Verordnung (EG) Nr. 1467/97 des Rates vom 7. Juli 1997 über die Beschleunigung und Klärung des Verfahrens bei einem übermäßigen Defizit (ABl. L 209 vom 2.8.1997, S. 6).</w:t>
            </w:r>
          </w:p>
        </w:tc>
        <w:tc>
          <w:tcPr>
            <w:tcW w:w="4876" w:type="dxa"/>
            <w:hideMark/>
          </w:tcPr>
          <w:p w:rsidR="00AF0131" w:rsidRPr="00591E75" w:rsidRDefault="00E51FF1" w:rsidP="00C33FBD">
            <w:pPr>
              <w:pStyle w:val="Normal6"/>
              <w:rPr>
                <w:szCs w:val="24"/>
              </w:rPr>
            </w:pPr>
            <w:r w:rsidRPr="00591E75">
              <w:rPr>
                <w:vertAlign w:val="superscript"/>
              </w:rPr>
              <w:t>20</w:t>
            </w:r>
            <w:r w:rsidRPr="00591E75">
              <w:t xml:space="preserve"> Verordnung (EG) Nr. 1467/97 des Rates vom 7. Juli 1997 über die Beschleunig</w:t>
            </w:r>
            <w:r w:rsidRPr="00591E75">
              <w:t>ung und Klärung des Verfahrens bei einem übermäßigen Defizit (ABl. L 209 vom 2.8.1997, S. 6).</w:t>
            </w:r>
          </w:p>
        </w:tc>
      </w:tr>
      <w:tr w:rsidR="00484958" w:rsidRPr="00591E75" w:rsidTr="00C33FBD">
        <w:trPr>
          <w:jc w:val="center"/>
        </w:trPr>
        <w:tc>
          <w:tcPr>
            <w:tcW w:w="4876" w:type="dxa"/>
            <w:hideMark/>
          </w:tcPr>
          <w:p w:rsidR="00AF0131" w:rsidRPr="00591E75" w:rsidRDefault="00E51FF1" w:rsidP="00C33FBD">
            <w:pPr>
              <w:pStyle w:val="Normal6"/>
            </w:pPr>
            <w:r w:rsidRPr="00591E75">
              <w:rPr>
                <w:vertAlign w:val="superscript"/>
              </w:rPr>
              <w:t>21</w:t>
            </w:r>
            <w:r w:rsidRPr="00591E75">
              <w:t xml:space="preserve"> Entschließung des Europäischen Rates über den Stabilitäts- und Wachstumspakt, Amsterdam, 17. Juni 1997 (ABl. C 236 </w:t>
            </w:r>
            <w:r w:rsidRPr="00591E75">
              <w:lastRenderedPageBreak/>
              <w:t>vom 2.8.1997, S. 1).</w:t>
            </w:r>
          </w:p>
        </w:tc>
        <w:tc>
          <w:tcPr>
            <w:tcW w:w="4876" w:type="dxa"/>
            <w:hideMark/>
          </w:tcPr>
          <w:p w:rsidR="00AF0131" w:rsidRPr="00591E75" w:rsidRDefault="00E51FF1" w:rsidP="00C33FBD">
            <w:pPr>
              <w:pStyle w:val="Normal6"/>
              <w:rPr>
                <w:szCs w:val="24"/>
              </w:rPr>
            </w:pPr>
            <w:r w:rsidRPr="00591E75">
              <w:rPr>
                <w:vertAlign w:val="superscript"/>
              </w:rPr>
              <w:lastRenderedPageBreak/>
              <w:t>21</w:t>
            </w:r>
            <w:r w:rsidRPr="00591E75">
              <w:t xml:space="preserve"> Entschließung des E</w:t>
            </w:r>
            <w:r w:rsidRPr="00591E75">
              <w:t xml:space="preserve">uropäischen Rates über den Stabilitäts- und Wachstumspakt, Amsterdam, 17. Juni 1997 (ABl. C 236 </w:t>
            </w:r>
            <w:r w:rsidRPr="00591E75">
              <w:lastRenderedPageBreak/>
              <w:t>vom 2.8.1997, S. 1).</w:t>
            </w:r>
          </w:p>
        </w:tc>
      </w:tr>
    </w:tbl>
    <w:p w:rsidR="00AF0131" w:rsidRPr="00591E75" w:rsidRDefault="00E51FF1" w:rsidP="00C56375">
      <w:pPr>
        <w:rPr>
          <w:rStyle w:val="HideTWBExt"/>
          <w:rFonts w:ascii="Times New Roman" w:hAnsi="Times New Roman" w:cs="Times New Roman"/>
          <w:noProof w:val="0"/>
          <w:vanish w:val="0"/>
          <w:color w:val="auto"/>
          <w:sz w:val="24"/>
        </w:rPr>
      </w:pPr>
      <w:r w:rsidRPr="00591E75">
        <w:rPr>
          <w:rStyle w:val="HideTWBExt"/>
        </w:rPr>
        <w:lastRenderedPageBreak/>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2</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Erwägung 5</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(5)</w:t>
            </w:r>
            <w:r w:rsidRPr="00591E75">
              <w:tab/>
              <w:t xml:space="preserve">Um den zunehmenden Unterschieden bei der Haushaltslage, der öffentlichen Verschuldung und sonstigen Schwachstellen der Mitgliedstaaten besser Rechnung zu tragen, sollte der Rahmen für die wirtschaftspolitische </w:t>
            </w:r>
            <w:r w:rsidRPr="00591E75">
              <w:t>Steuerung der Union angepasst werden. Während sich die entschlossene politische Reaktion auf die COVID-19-Pandemie bei der Abmilderung der wirtschaftlichen und sozialen Folgen der Krise als äußerst wirksam erwiesen hat, führte die Krise auf der anderen Sei</w:t>
            </w:r>
            <w:r w:rsidRPr="00591E75">
              <w:t>te zu einem signifikanten Anstieg der Schuldenquoten im öffentlichen und privaten Sektor, was deutlich macht, wie wichtig es ist, die Schuldenquoten schrittweise, stetig und wachstumsfreundlich auf ein dem Vorsichtsgebot entsprechendes Niveau zu senken und</w:t>
            </w:r>
            <w:r w:rsidRPr="00591E75">
              <w:t xml:space="preserve"> makroökonomischen Ungleichgewichten unter gebührender Berücksichtigung </w:t>
            </w:r>
            <w:r w:rsidRPr="00591E75">
              <w:rPr>
                <w:b/>
                <w:bCs/>
                <w:i/>
                <w:iCs/>
              </w:rPr>
              <w:t>beschäftigungs-</w:t>
            </w:r>
            <w:r w:rsidRPr="00591E75">
              <w:t xml:space="preserve"> und sozialpolitischer Ziele entgegenzuwirken. Zugleich sollte der Rahmen für die wirtschaftspolitische Steuerung der Union angepasst werden, damit er dazu beiträgt, die</w:t>
            </w:r>
            <w:r w:rsidRPr="00591E75">
              <w:t xml:space="preserve"> mittel- und langfristigen Herausforderungen der Union zu bewältigen, etwa die Vollziehung eines digitalen und fairen ökologischen Wandels, einschließlich des Europäischen Klimagesetzes</w:t>
            </w:r>
            <w:r w:rsidRPr="00591E75">
              <w:rPr>
                <w:vertAlign w:val="superscript"/>
              </w:rPr>
              <w:t>22</w:t>
            </w:r>
            <w:r w:rsidRPr="00591E75">
              <w:t>, die Gewährleistung von Energieversorgungssicherheit und von offener</w:t>
            </w:r>
            <w:r w:rsidRPr="00591E75">
              <w:t xml:space="preserve"> strategischer Autonomie, die Bewältigung des demografischen Wandels, die Stärkung der sozialen und wirtschaftlichen Resilienz sowie die Umsetzung des strategischen Kompasses für Sicherheit und Verteidigung, die allesamt in den kommenden Jahren Reformen un</w:t>
            </w:r>
            <w:r w:rsidRPr="00591E75">
              <w:t>d ein anhaltend hohes Investitionsniveau erfordern.</w:t>
            </w:r>
          </w:p>
        </w:tc>
        <w:tc>
          <w:tcPr>
            <w:tcW w:w="4876" w:type="dxa"/>
            <w:hideMark/>
          </w:tcPr>
          <w:p w:rsidR="00AF0131" w:rsidRPr="00591E75" w:rsidRDefault="00E51FF1" w:rsidP="00C33FBD">
            <w:pPr>
              <w:pStyle w:val="Normal6"/>
              <w:rPr>
                <w:szCs w:val="24"/>
              </w:rPr>
            </w:pPr>
            <w:r w:rsidRPr="00591E75">
              <w:t>(5)</w:t>
            </w:r>
            <w:r w:rsidRPr="00591E75">
              <w:tab/>
              <w:t>Um den zunehmenden Unterschieden bei der Haushaltslage, der öffentlichen Verschuldung und sonstigen Schwachstellen der Mitgliedstaaten besser Rechnung zu tragen, sollte der Rahmen für die wirtschaftsp</w:t>
            </w:r>
            <w:r w:rsidRPr="00591E75">
              <w:t>olitische Steuerung der Union angepasst werden. Während sich die entschlossene politische Reaktion auf die COVID-19-Pandemie bei der Abmilderung der wirtschaftlichen und sozialen Folgen der Krise als äußerst wirksam erwiesen hat, führte die Krise auf der a</w:t>
            </w:r>
            <w:r w:rsidRPr="00591E75">
              <w:t xml:space="preserve">nderen Seite zu einem signifikanten Anstieg der Schuldenquoten im öffentlichen und privaten Sektor, was deutlich macht, wie wichtig es ist, die Schuldenquoten schrittweise, stetig, wachstumsfreundlich </w:t>
            </w:r>
            <w:r w:rsidRPr="00591E75">
              <w:rPr>
                <w:b/>
                <w:bCs/>
                <w:i/>
                <w:iCs/>
              </w:rPr>
              <w:t>und auf inklusive Weise</w:t>
            </w:r>
            <w:r w:rsidRPr="00591E75">
              <w:t xml:space="preserve"> auf ein dem Vorsichtsgebot ents</w:t>
            </w:r>
            <w:r w:rsidRPr="00591E75">
              <w:t xml:space="preserve">prechendes Niveau zu senken und unter gebührender Berücksichtigung </w:t>
            </w:r>
            <w:r w:rsidRPr="00591E75">
              <w:rPr>
                <w:b/>
                <w:bCs/>
                <w:i/>
                <w:iCs/>
              </w:rPr>
              <w:t>hochwertiger Beschäftigung</w:t>
            </w:r>
            <w:r w:rsidRPr="00591E75">
              <w:t xml:space="preserve"> und sozialpolitischer Ziele makroökonomischen Ungleichgewichten entgegenzuwirken </w:t>
            </w:r>
            <w:r w:rsidRPr="00591E75">
              <w:rPr>
                <w:b/>
                <w:bCs/>
                <w:i/>
                <w:iCs/>
              </w:rPr>
              <w:t>sowie soziale Aufwärtskonvergenz zu unterstützen</w:t>
            </w:r>
            <w:r w:rsidRPr="00591E75">
              <w:t xml:space="preserve">. Zugleich sollte der Rahmen für </w:t>
            </w:r>
            <w:r w:rsidRPr="00591E75">
              <w:t>die wirtschaftspolitische Steuerung der Union angepasst werden, damit er dazu beiträgt, die mittel- und langfristigen Herausforderungen der Union zu bewältigen, etwa die Vollziehung eines digitalen und fairen ökologischen Wandels, einschließlich des Europä</w:t>
            </w:r>
            <w:r w:rsidRPr="00591E75">
              <w:t>ischen Klimagesetzes</w:t>
            </w:r>
            <w:r w:rsidRPr="00591E75">
              <w:rPr>
                <w:vertAlign w:val="superscript"/>
              </w:rPr>
              <w:t>22</w:t>
            </w:r>
            <w:r w:rsidRPr="00591E75">
              <w:t xml:space="preserve"> </w:t>
            </w:r>
            <w:r w:rsidRPr="00591E75">
              <w:rPr>
                <w:b/>
                <w:bCs/>
                <w:i/>
                <w:iCs/>
              </w:rPr>
              <w:t>und der Umsetzung der europäischen Säule sozialer Rechte</w:t>
            </w:r>
            <w:r w:rsidRPr="00591E75">
              <w:t>, die Gewährleistung von Energieversorgungssicherheit und von offener strategischer Autonomie, die Bewältigung des demografischen Wandels, die Stärkung der sozialen und wirtscha</w:t>
            </w:r>
            <w:r w:rsidRPr="00591E75">
              <w:t xml:space="preserve">ftlichen Resilienz, </w:t>
            </w:r>
            <w:r w:rsidRPr="00591E75">
              <w:rPr>
                <w:b/>
                <w:bCs/>
                <w:i/>
                <w:iCs/>
              </w:rPr>
              <w:t>unter anderem durch die Stärkung sozialer Investitionen</w:t>
            </w:r>
            <w:r w:rsidRPr="00591E75">
              <w:t>, sowie die Umsetzung des strategischen Kompasses für Sicherheit und Verteidigung, die allesamt in den kommenden Jahren Reformen und ein anhaltend hohes Investitionsniveau erfordern</w:t>
            </w:r>
            <w:r w:rsidRPr="00591E75">
              <w:t>.</w:t>
            </w:r>
          </w:p>
        </w:tc>
      </w:tr>
      <w:tr w:rsidR="00484958" w:rsidRPr="00591E75" w:rsidTr="00C33FBD">
        <w:trPr>
          <w:jc w:val="center"/>
        </w:trPr>
        <w:tc>
          <w:tcPr>
            <w:tcW w:w="4876" w:type="dxa"/>
            <w:hideMark/>
          </w:tcPr>
          <w:p w:rsidR="00AF0131" w:rsidRPr="00591E75" w:rsidRDefault="00E51FF1" w:rsidP="00C33FBD">
            <w:pPr>
              <w:pStyle w:val="Normal6"/>
            </w:pPr>
            <w:r w:rsidRPr="00591E75">
              <w:t>__________________</w:t>
            </w:r>
          </w:p>
        </w:tc>
        <w:tc>
          <w:tcPr>
            <w:tcW w:w="4876" w:type="dxa"/>
            <w:hideMark/>
          </w:tcPr>
          <w:p w:rsidR="00AF0131" w:rsidRPr="00591E75" w:rsidRDefault="00E51FF1" w:rsidP="00C33FBD">
            <w:pPr>
              <w:pStyle w:val="Normal6"/>
              <w:rPr>
                <w:szCs w:val="24"/>
              </w:rPr>
            </w:pPr>
            <w:r w:rsidRPr="00591E75">
              <w:t>__________________</w:t>
            </w:r>
          </w:p>
        </w:tc>
      </w:tr>
      <w:tr w:rsidR="00484958" w:rsidRPr="00591E75" w:rsidTr="00C33FBD">
        <w:trPr>
          <w:jc w:val="center"/>
        </w:trPr>
        <w:tc>
          <w:tcPr>
            <w:tcW w:w="4876" w:type="dxa"/>
            <w:hideMark/>
          </w:tcPr>
          <w:p w:rsidR="00AF0131" w:rsidRPr="00591E75" w:rsidRDefault="00E51FF1" w:rsidP="00C33FBD">
            <w:pPr>
              <w:pStyle w:val="Normal6"/>
            </w:pPr>
            <w:r w:rsidRPr="00591E75">
              <w:rPr>
                <w:vertAlign w:val="superscript"/>
              </w:rPr>
              <w:t>22</w:t>
            </w:r>
            <w:r w:rsidRPr="00591E75">
              <w:t xml:space="preserve"> Nach dem Europäischen Klimagesetz, das ein unionsweites Ziel der Klimaneutralität bis 2050 vorschreibt, sind die Organe der Union und die Mitgliedstaaten verpflichtet, Fortschritte bei der Verbesserung der Anpassungsfähigkeit zu erzielen, was erhebliche ö</w:t>
            </w:r>
            <w:r w:rsidRPr="00591E75">
              <w:t>ffentliche Investitionen erfordern wird, um die negativen sozioökonomischen Auswirkungen des Klimawandels auf die Union und ihre Mitgliedstaaten, einschließlich negativer Auswirkungen auf das Wachstum und die Tragfähigkeit der öffentlichen Finanzen, abzufe</w:t>
            </w:r>
            <w:r w:rsidRPr="00591E75">
              <w:t>dern.</w:t>
            </w:r>
          </w:p>
        </w:tc>
        <w:tc>
          <w:tcPr>
            <w:tcW w:w="4876" w:type="dxa"/>
            <w:hideMark/>
          </w:tcPr>
          <w:p w:rsidR="00AF0131" w:rsidRPr="00591E75" w:rsidRDefault="00E51FF1" w:rsidP="00C33FBD">
            <w:pPr>
              <w:pStyle w:val="Normal6"/>
              <w:rPr>
                <w:szCs w:val="24"/>
              </w:rPr>
            </w:pPr>
            <w:r w:rsidRPr="00591E75">
              <w:rPr>
                <w:vertAlign w:val="superscript"/>
              </w:rPr>
              <w:t>22</w:t>
            </w:r>
            <w:r w:rsidRPr="00591E75">
              <w:t xml:space="preserve"> Nach dem Europäischen Klimagesetz, das ein unionsweites Ziel der Klimaneutralität bis 2050 vorschreibt, sind die Organe der Union und die Mitgliedstaaten verpflichtet, Fortschritte bei der Verbesserung der Anpassungsfähigkeit zu erzielen, was erhe</w:t>
            </w:r>
            <w:r w:rsidRPr="00591E75">
              <w:t>bliche öffentliche Investitionen erfordern wird, um die negativen sozioökonomischen Auswirkungen des Klimawandels auf die Union und ihre Mitgliedstaaten, einschließlich negativer Auswirkungen auf das Wachstum und die Tragfähigkeit der öffentlichen Finanzen</w:t>
            </w:r>
            <w:r w:rsidRPr="00591E75">
              <w:t>, abzufedern.</w:t>
            </w:r>
          </w:p>
        </w:tc>
      </w:tr>
    </w:tbl>
    <w:p w:rsidR="00AF0131" w:rsidRPr="00591E75" w:rsidRDefault="00E51FF1" w:rsidP="00C56375">
      <w:pPr>
        <w:rPr>
          <w:rStyle w:val="HideTWBExt"/>
          <w:rFonts w:ascii="Times New Roman" w:hAnsi="Times New Roman" w:cs="Times New Roman"/>
          <w:noProof w:val="0"/>
          <w:vanish w:val="0"/>
          <w:color w:val="auto"/>
          <w:sz w:val="24"/>
        </w:rPr>
      </w:pPr>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3</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Erwägung 7</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(7)</w:t>
            </w:r>
            <w:r w:rsidRPr="00591E75">
              <w:tab/>
            </w:r>
            <w:r w:rsidRPr="00591E75">
              <w:t xml:space="preserve">Das Verfahren der multilateralen Überwachung nach Artikel 121 Absätze 2, 3 und 4 und Artikel 148 Absatz 4 AEUV sollte dazu dienen, sämtliche Entwicklungen </w:t>
            </w:r>
            <w:r w:rsidRPr="00591E75">
              <w:rPr>
                <w:b/>
                <w:bCs/>
                <w:i/>
                <w:iCs/>
              </w:rPr>
              <w:t>der</w:t>
            </w:r>
            <w:r w:rsidRPr="00591E75">
              <w:t xml:space="preserve"> Wirtschaft </w:t>
            </w:r>
            <w:r w:rsidRPr="00591E75">
              <w:rPr>
                <w:b/>
                <w:bCs/>
                <w:i/>
                <w:iCs/>
              </w:rPr>
              <w:t>und</w:t>
            </w:r>
            <w:r w:rsidRPr="00591E75">
              <w:t xml:space="preserve"> Beschäftigung in jedem Mitgliedstaat und in der Union mithilfe detaillierterer Vor</w:t>
            </w:r>
            <w:r w:rsidRPr="00591E75">
              <w:t>schriften zu überwachen. Dazu gehört auch die Erkennung makroökonomischer Ungleichgewichte sowie die Vermeidung und Korrektur übermäßiger Ungleichgewichte gemäß den Verordnungen (EU) Nr. 1174/2011</w:t>
            </w:r>
            <w:r w:rsidRPr="00591E75">
              <w:rPr>
                <w:vertAlign w:val="superscript"/>
              </w:rPr>
              <w:t>23</w:t>
            </w:r>
            <w:r w:rsidRPr="00591E75">
              <w:t xml:space="preserve"> und (EU) Nr. 1176/2011</w:t>
            </w:r>
            <w:r w:rsidRPr="00591E75">
              <w:rPr>
                <w:vertAlign w:val="superscript"/>
              </w:rPr>
              <w:t>24</w:t>
            </w:r>
            <w:r w:rsidRPr="00591E75">
              <w:t xml:space="preserve"> des Europäischen Parlaments und </w:t>
            </w:r>
            <w:r w:rsidRPr="00591E75">
              <w:t xml:space="preserve">des Rates. Für die Überwachung dieser Entwicklungen </w:t>
            </w:r>
            <w:r w:rsidRPr="00591E75">
              <w:rPr>
                <w:b/>
                <w:bCs/>
                <w:i/>
                <w:iCs/>
              </w:rPr>
              <w:t>der</w:t>
            </w:r>
            <w:r w:rsidRPr="00591E75">
              <w:t xml:space="preserve"> Wirtschaft </w:t>
            </w:r>
            <w:r w:rsidRPr="00591E75">
              <w:rPr>
                <w:b/>
                <w:bCs/>
                <w:i/>
                <w:iCs/>
              </w:rPr>
              <w:t>und</w:t>
            </w:r>
            <w:r w:rsidRPr="00591E75">
              <w:t xml:space="preserve"> Beschäftigung sollten die Mitgliedstaaten Informationen in Form von mittelfristigen strukturellen finanzpolitischen Plänen vorlegen.</w:t>
            </w:r>
          </w:p>
        </w:tc>
        <w:tc>
          <w:tcPr>
            <w:tcW w:w="4876" w:type="dxa"/>
            <w:hideMark/>
          </w:tcPr>
          <w:p w:rsidR="00AF0131" w:rsidRPr="00591E75" w:rsidRDefault="00E51FF1" w:rsidP="00C33FBD">
            <w:pPr>
              <w:pStyle w:val="Normal6"/>
              <w:rPr>
                <w:szCs w:val="24"/>
              </w:rPr>
            </w:pPr>
            <w:r w:rsidRPr="00591E75">
              <w:t>(7)</w:t>
            </w:r>
            <w:r w:rsidRPr="00591E75">
              <w:tab/>
              <w:t>Das Verfahren der multilateralen Überwachung nac</w:t>
            </w:r>
            <w:r w:rsidRPr="00591E75">
              <w:t xml:space="preserve">h Artikel 121 Absätze 2, 3 und 4 und Artikel 148 Absatz 4 AEUV sollte dazu dienen, sämtliche Entwicklungen </w:t>
            </w:r>
            <w:r w:rsidRPr="00591E75">
              <w:rPr>
                <w:b/>
                <w:bCs/>
                <w:i/>
                <w:iCs/>
              </w:rPr>
              <w:t>in den Bereichen</w:t>
            </w:r>
            <w:r w:rsidRPr="00591E75">
              <w:t xml:space="preserve"> Wirtschaft, Beschäftigung </w:t>
            </w:r>
            <w:r w:rsidRPr="00591E75">
              <w:rPr>
                <w:b/>
                <w:bCs/>
                <w:i/>
                <w:iCs/>
              </w:rPr>
              <w:t>und Soziales</w:t>
            </w:r>
            <w:r w:rsidRPr="00591E75">
              <w:t xml:space="preserve"> in jedem Mitgliedstaat und in der Union mithilfe detaillierterer Vorschriften zu überwachen,</w:t>
            </w:r>
            <w:r w:rsidRPr="00591E75">
              <w:rPr>
                <w:b/>
                <w:bCs/>
                <w:i/>
                <w:iCs/>
              </w:rPr>
              <w:t xml:space="preserve"> </w:t>
            </w:r>
            <w:r w:rsidRPr="00591E75">
              <w:rPr>
                <w:b/>
                <w:bCs/>
                <w:i/>
                <w:iCs/>
              </w:rPr>
              <w:t>die mit den Kernzielen der europäischen Säule sozialer Rechte, einschließlich der Fortschritte bei der Verwirklichung der nationalen Ziele, und ihren wichtigsten und sekundären Indikatoren verknüpft sind.</w:t>
            </w:r>
            <w:r w:rsidRPr="00591E75">
              <w:t xml:space="preserve"> Dazu gehört auch die Erkennung makroökonomischer Un</w:t>
            </w:r>
            <w:r w:rsidRPr="00591E75">
              <w:t>gleichgewichte sowie die Vermeidung und Korrektur übermäßiger Ungleichgewichte gemäß den Verordnungen (EU) Nr. 1174/2011</w:t>
            </w:r>
            <w:r w:rsidRPr="00591E75">
              <w:rPr>
                <w:vertAlign w:val="superscript"/>
              </w:rPr>
              <w:t>23</w:t>
            </w:r>
            <w:r w:rsidRPr="00591E75">
              <w:t xml:space="preserve"> und (EU) Nr. 1176/2011</w:t>
            </w:r>
            <w:r w:rsidRPr="00591E75">
              <w:rPr>
                <w:vertAlign w:val="superscript"/>
              </w:rPr>
              <w:t>24</w:t>
            </w:r>
            <w:r w:rsidRPr="00591E75">
              <w:t xml:space="preserve"> des Europäischen Parlaments und des Rates. Für die Überwachung dieser Entwicklungen </w:t>
            </w:r>
            <w:r w:rsidRPr="00591E75">
              <w:rPr>
                <w:b/>
                <w:bCs/>
                <w:i/>
                <w:iCs/>
              </w:rPr>
              <w:t>in den Bereichen</w:t>
            </w:r>
            <w:r w:rsidRPr="00591E75">
              <w:t xml:space="preserve"> Wirtsch</w:t>
            </w:r>
            <w:r w:rsidRPr="00591E75">
              <w:t xml:space="preserve">aft, Beschäftigung </w:t>
            </w:r>
            <w:r w:rsidRPr="00591E75">
              <w:rPr>
                <w:b/>
                <w:bCs/>
                <w:i/>
                <w:iCs/>
              </w:rPr>
              <w:t>und soziale Konvergenz</w:t>
            </w:r>
            <w:r w:rsidRPr="00591E75">
              <w:t xml:space="preserve"> sollten die Mitgliedstaaten Informationen in Form von mittelfristigen strukturellen finanzpolitischen Plänen vorlegen.</w:t>
            </w:r>
          </w:p>
        </w:tc>
      </w:tr>
      <w:tr w:rsidR="00484958" w:rsidRPr="00591E75" w:rsidTr="00C33FBD">
        <w:trPr>
          <w:jc w:val="center"/>
        </w:trPr>
        <w:tc>
          <w:tcPr>
            <w:tcW w:w="4876" w:type="dxa"/>
            <w:hideMark/>
          </w:tcPr>
          <w:p w:rsidR="00AF0131" w:rsidRPr="00591E75" w:rsidRDefault="00E51FF1" w:rsidP="00C33FBD">
            <w:pPr>
              <w:pStyle w:val="Normal6"/>
            </w:pPr>
            <w:r w:rsidRPr="00591E75">
              <w:t>__________________</w:t>
            </w:r>
          </w:p>
        </w:tc>
        <w:tc>
          <w:tcPr>
            <w:tcW w:w="4876" w:type="dxa"/>
            <w:hideMark/>
          </w:tcPr>
          <w:p w:rsidR="00AF0131" w:rsidRPr="00591E75" w:rsidRDefault="00E51FF1" w:rsidP="00C33FBD">
            <w:pPr>
              <w:pStyle w:val="Normal6"/>
              <w:rPr>
                <w:szCs w:val="24"/>
              </w:rPr>
            </w:pPr>
            <w:r w:rsidRPr="00591E75">
              <w:t>__________________</w:t>
            </w:r>
          </w:p>
        </w:tc>
      </w:tr>
      <w:tr w:rsidR="00484958" w:rsidRPr="00591E75" w:rsidTr="00C33FBD">
        <w:trPr>
          <w:jc w:val="center"/>
        </w:trPr>
        <w:tc>
          <w:tcPr>
            <w:tcW w:w="4876" w:type="dxa"/>
            <w:hideMark/>
          </w:tcPr>
          <w:p w:rsidR="00AF0131" w:rsidRPr="00591E75" w:rsidRDefault="00E51FF1" w:rsidP="00C33FBD">
            <w:pPr>
              <w:pStyle w:val="Normal6"/>
            </w:pPr>
            <w:r w:rsidRPr="00591E75">
              <w:rPr>
                <w:vertAlign w:val="superscript"/>
              </w:rPr>
              <w:t>23</w:t>
            </w:r>
            <w:r w:rsidRPr="00591E75">
              <w:t xml:space="preserve"> Verordnung (EU) Nr. 1174/2011 des Europäischen Parla</w:t>
            </w:r>
            <w:r w:rsidRPr="00591E75">
              <w:t>ments und des Rates vom 16. November 2011 über Durchsetzungsmaßnahmen zur Korrektur übermäßiger makroökonomischer Ungleichgewichte im Euro-Währungsgebiet (ABl. L 306 vom 23.11.2011, S. 8).</w:t>
            </w:r>
          </w:p>
        </w:tc>
        <w:tc>
          <w:tcPr>
            <w:tcW w:w="4876" w:type="dxa"/>
            <w:hideMark/>
          </w:tcPr>
          <w:p w:rsidR="00AF0131" w:rsidRPr="00591E75" w:rsidRDefault="00E51FF1" w:rsidP="00C33FBD">
            <w:pPr>
              <w:pStyle w:val="Normal6"/>
              <w:rPr>
                <w:szCs w:val="24"/>
              </w:rPr>
            </w:pPr>
            <w:r w:rsidRPr="00591E75">
              <w:rPr>
                <w:vertAlign w:val="superscript"/>
              </w:rPr>
              <w:t>23</w:t>
            </w:r>
            <w:r w:rsidRPr="00591E75">
              <w:t xml:space="preserve"> Verordnung (EU) Nr. 1174/2011 des Europäischen Parlaments und de</w:t>
            </w:r>
            <w:r w:rsidRPr="00591E75">
              <w:t>s Rates vom 16. November 2011 über Durchsetzungsmaßnahmen zur Korrektur übermäßiger makroökonomischer Ungleichgewichte im Euro-Währungsgebiet (ABl. L 306 vom 23.11.2011, S. 8).</w:t>
            </w:r>
          </w:p>
        </w:tc>
      </w:tr>
      <w:tr w:rsidR="00484958" w:rsidRPr="00591E75" w:rsidTr="00C33FBD">
        <w:trPr>
          <w:jc w:val="center"/>
        </w:trPr>
        <w:tc>
          <w:tcPr>
            <w:tcW w:w="4876" w:type="dxa"/>
            <w:hideMark/>
          </w:tcPr>
          <w:p w:rsidR="00AF0131" w:rsidRPr="00591E75" w:rsidRDefault="00E51FF1" w:rsidP="00C33FBD">
            <w:pPr>
              <w:pStyle w:val="Normal6"/>
            </w:pPr>
            <w:r w:rsidRPr="00591E75">
              <w:rPr>
                <w:vertAlign w:val="superscript"/>
              </w:rPr>
              <w:t>24</w:t>
            </w:r>
            <w:r w:rsidRPr="00591E75">
              <w:t xml:space="preserve"> Verordnung (EU) Nr. 1176/2011 des Europäischen Parlaments und des Rates vom</w:t>
            </w:r>
            <w:r w:rsidRPr="00591E75">
              <w:t xml:space="preserve"> 16. November 2011 über die Vermeidung und Korrektur makroökonomischer Ungleichgewichte (ABl. L 306 vom 23.11.2011, S. 25).</w:t>
            </w:r>
          </w:p>
        </w:tc>
        <w:tc>
          <w:tcPr>
            <w:tcW w:w="4876" w:type="dxa"/>
            <w:hideMark/>
          </w:tcPr>
          <w:p w:rsidR="00AF0131" w:rsidRPr="00591E75" w:rsidRDefault="00E51FF1" w:rsidP="00C33FBD">
            <w:pPr>
              <w:pStyle w:val="Normal6"/>
              <w:rPr>
                <w:szCs w:val="24"/>
              </w:rPr>
            </w:pPr>
            <w:r w:rsidRPr="00591E75">
              <w:rPr>
                <w:vertAlign w:val="superscript"/>
              </w:rPr>
              <w:t>24</w:t>
            </w:r>
            <w:r w:rsidRPr="00591E75">
              <w:t xml:space="preserve"> Verordnung (EU) Nr. 1176/2011 des Europäischen Parlaments und des Rates vom 16. November 2011 über die Vermeidung und Korrektur m</w:t>
            </w:r>
            <w:r w:rsidRPr="00591E75">
              <w:t>akroökonomischer Ungleichgewichte (ABl. L 306 vom 23.11.2011, S. 25).</w:t>
            </w:r>
          </w:p>
        </w:tc>
      </w:tr>
    </w:tbl>
    <w:p w:rsidR="00AF0131" w:rsidRPr="00591E75" w:rsidRDefault="00E51FF1" w:rsidP="00C56375">
      <w:pPr>
        <w:rPr>
          <w:rStyle w:val="HideTWBExt"/>
          <w:rFonts w:eastAsiaTheme="majorEastAsia"/>
        </w:rPr>
      </w:pPr>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4</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Erwägung 7 a (neu)</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tcPr>
          <w:p w:rsidR="00AF0131" w:rsidRPr="00591E75" w:rsidRDefault="00AF0131" w:rsidP="00C33FBD">
            <w:pPr>
              <w:pStyle w:val="Normal6"/>
            </w:pPr>
          </w:p>
        </w:tc>
        <w:tc>
          <w:tcPr>
            <w:tcW w:w="4876" w:type="dxa"/>
            <w:hideMark/>
          </w:tcPr>
          <w:p w:rsidR="00AF0131" w:rsidRPr="00591E75" w:rsidRDefault="00E51FF1" w:rsidP="00C33FBD">
            <w:pPr>
              <w:pStyle w:val="Normal6"/>
              <w:rPr>
                <w:szCs w:val="24"/>
              </w:rPr>
            </w:pPr>
            <w:r w:rsidRPr="00591E75">
              <w:rPr>
                <w:b/>
                <w:i/>
              </w:rPr>
              <w:t>(7a)</w:t>
            </w:r>
            <w:r w:rsidRPr="00591E75">
              <w:rPr>
                <w:b/>
                <w:i/>
              </w:rPr>
              <w:tab/>
              <w:t>Zur Förderung sozialer Aufwärtskonvergenz wird das Verfahren der multilateralen Überwachung nach Artikel 148 Absatz 4 AEUV durch ein Frühwarnsystem innerhalb des Europäischen Semesters (Rahmen für soziale Konvergenz) ergänzt. Innerhalb des Rahmens für</w:t>
            </w:r>
            <w:r w:rsidRPr="00591E75">
              <w:rPr>
                <w:b/>
                <w:i/>
              </w:rPr>
              <w:t xml:space="preserve"> soziale Konvergenz ermittelt die Kommission – gemäß Artikel 148 AEUV – im gemeinsamen Beschäftigungsbericht auf der Grundlage der Leitindikatoren des sozialpolitischen Scoreboards zunächst die Risiken für die Aufwärtskonvergenz der Mitgliedstaaten. In der</w:t>
            </w:r>
            <w:r w:rsidRPr="00591E75">
              <w:rPr>
                <w:b/>
                <w:i/>
              </w:rPr>
              <w:t xml:space="preserve"> zweiten Phase ermittelt die Kommission die Mitgliedstaaten, die einer weiteren Prüfung bedürfen, und veröffentlicht die „Berichte zur sozialen Konvergenz“ für die Mitgliedstaaten, bei denen ein Risiko für die Aufwärtskonvergenz festgestellt wurde. Die län</w:t>
            </w:r>
            <w:r w:rsidRPr="00591E75">
              <w:rPr>
                <w:b/>
                <w:i/>
              </w:rPr>
              <w:t>derspezifischen Schlussfolgerungen der multilateralen Überwachungstätigkeiten innerhalb des neuen Rahmens sollten in die Überlegungen der Kommission zu Vorschlägen für länderspezifische Empfehlungen einfließen.</w:t>
            </w:r>
          </w:p>
        </w:tc>
      </w:tr>
    </w:tbl>
    <w:p w:rsidR="00AF0131" w:rsidRPr="00591E75" w:rsidRDefault="00E51FF1" w:rsidP="00C56375">
      <w:pPr>
        <w:rPr>
          <w:rStyle w:val="HideTWBExt"/>
          <w:rFonts w:ascii="Times New Roman" w:hAnsi="Times New Roman" w:cs="Times New Roman"/>
          <w:noProof w:val="0"/>
          <w:vanish w:val="0"/>
          <w:color w:val="auto"/>
          <w:sz w:val="24"/>
        </w:rPr>
      </w:pPr>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5</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Erwägung 8</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(8)</w:t>
            </w:r>
            <w:r w:rsidRPr="00591E75">
              <w:tab/>
            </w:r>
            <w:r w:rsidRPr="00591E75">
              <w:t xml:space="preserve">Daher sollten detaillierte Vorschriften für Inhalt, Übermittlung, Bewertung und Überwachung der nationalen mittelfristigen strukturellen finanzpolitischen Pläne festgelegt werden, um durch eine mittelfristige Planung die Schuldentragfähigkeit </w:t>
            </w:r>
            <w:r w:rsidRPr="00591E75">
              <w:rPr>
                <w:b/>
                <w:bCs/>
                <w:i/>
                <w:iCs/>
              </w:rPr>
              <w:t>und</w:t>
            </w:r>
            <w:r w:rsidRPr="00591E75">
              <w:t xml:space="preserve"> ein nachh</w:t>
            </w:r>
            <w:r w:rsidRPr="00591E75">
              <w:t>altiges und inklusives Wachstum in den Mitgliedstaaten zu fördern und übermäßige öffentliche Defizite zu verhindern.</w:t>
            </w:r>
          </w:p>
        </w:tc>
        <w:tc>
          <w:tcPr>
            <w:tcW w:w="4876" w:type="dxa"/>
            <w:hideMark/>
          </w:tcPr>
          <w:p w:rsidR="00AF0131" w:rsidRPr="00591E75" w:rsidRDefault="00E51FF1" w:rsidP="00C33FBD">
            <w:pPr>
              <w:pStyle w:val="Normal6"/>
              <w:rPr>
                <w:szCs w:val="24"/>
              </w:rPr>
            </w:pPr>
            <w:r w:rsidRPr="00591E75">
              <w:t>(8)</w:t>
            </w:r>
            <w:r w:rsidRPr="00591E75">
              <w:tab/>
              <w:t>Daher sollten detaillierte Vorschriften für Inhalt, Übermittlung, Bewertung und Überwachung der nationalen mittelfristigen strukturelle</w:t>
            </w:r>
            <w:r w:rsidRPr="00591E75">
              <w:t>n finanzpolitischen Pläne festgelegt werden, um durch eine mittelfristige Planung die Schuldentragfähigkeit</w:t>
            </w:r>
            <w:r w:rsidRPr="00591E75">
              <w:rPr>
                <w:b/>
                <w:bCs/>
                <w:i/>
                <w:iCs/>
              </w:rPr>
              <w:t>,</w:t>
            </w:r>
            <w:r w:rsidRPr="00591E75">
              <w:t xml:space="preserve"> ein nachhaltiges und inklusives Wachstum </w:t>
            </w:r>
            <w:r w:rsidRPr="00591E75">
              <w:rPr>
                <w:b/>
                <w:bCs/>
                <w:i/>
                <w:iCs/>
              </w:rPr>
              <w:t>und soziale Aufwärtskonvergenz</w:t>
            </w:r>
            <w:r w:rsidRPr="00591E75">
              <w:t xml:space="preserve"> in den Mitgliedstaaten zu fördern und übermäßige öffentliche Defizite zu ve</w:t>
            </w:r>
            <w:r w:rsidRPr="00591E75">
              <w:t>rhindern.</w:t>
            </w:r>
          </w:p>
        </w:tc>
      </w:tr>
    </w:tbl>
    <w:p w:rsidR="00AF0131" w:rsidRPr="00591E75" w:rsidRDefault="00E51FF1" w:rsidP="00C56375">
      <w:pPr>
        <w:rPr>
          <w:rStyle w:val="HideTWBExt"/>
          <w:rFonts w:ascii="Times New Roman" w:hAnsi="Times New Roman" w:cs="Times New Roman"/>
          <w:noProof w:val="0"/>
          <w:vanish w:val="0"/>
          <w:color w:val="auto"/>
          <w:sz w:val="24"/>
        </w:rPr>
      </w:pPr>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6</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Erwägung 9</w:t>
      </w:r>
      <w:r w:rsidRPr="00591E7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(9)</w:t>
            </w:r>
            <w:r w:rsidRPr="00591E75">
              <w:tab/>
            </w:r>
            <w:r w:rsidRPr="00591E75">
              <w:t xml:space="preserve">Die nationalen mittelfristigen strukturellen finanzpolitischen Pläne sollten die finanzpolitischen und strukturellen Reformen und die Investitionszusagen eines jeden Mitgliedstaats enthalten und den Eckpfeiler des Rahmens für die </w:t>
            </w:r>
            <w:r w:rsidRPr="00591E75">
              <w:rPr>
                <w:b/>
                <w:bCs/>
                <w:i/>
                <w:iCs/>
              </w:rPr>
              <w:t>wirtschaftspolitische</w:t>
            </w:r>
            <w:r w:rsidRPr="00591E75">
              <w:t xml:space="preserve"> Steu</w:t>
            </w:r>
            <w:r w:rsidRPr="00591E75">
              <w:t>erung der Union bilden. Jeder Mitgliedstaat sollte einen mittelfristigen Plan vorlegen, in dem sein haushaltspolitischer Zielpfad sowie seine Zusagen in Bezug auf prioritäre öffentliche Investitionen und Reformen dargelegt werden, die zusammen für einen st</w:t>
            </w:r>
            <w:r w:rsidRPr="00591E75">
              <w:t>etigen, schrittweisen Schuldenabbau und ein nachhaltiges und inklusives Wachstum sorgen sollen, wobei eine prozyklische Finanzpolitik zu vermeiden ist; auch sollten die Pläne weitreichendere Reform- und Investitionszusagen, insbesondere zur Förderung des ö</w:t>
            </w:r>
            <w:r w:rsidRPr="00591E75">
              <w:t>kologischen und digitalen Wandels sowie der sozialen und wirtschaftlichen Resilienz und zur Umsetzung der europäischen Säule sozialer Rechte enthalten. Während der Laufzeit der Aufbau- und Resilienzfazilität</w:t>
            </w:r>
            <w:r w:rsidRPr="00591E75">
              <w:rPr>
                <w:vertAlign w:val="superscript"/>
              </w:rPr>
              <w:t>25</w:t>
            </w:r>
            <w:r w:rsidRPr="00591E75">
              <w:t xml:space="preserve"> sollten die in den nationalen Aufbau- und Resi</w:t>
            </w:r>
            <w:r w:rsidRPr="00591E75">
              <w:t>lienzplänen abgegebenen Zusagen angemessen berücksichtigt werden.</w:t>
            </w:r>
          </w:p>
        </w:tc>
        <w:tc>
          <w:tcPr>
            <w:tcW w:w="4876" w:type="dxa"/>
            <w:hideMark/>
          </w:tcPr>
          <w:p w:rsidR="00AF0131" w:rsidRPr="00591E75" w:rsidRDefault="00E51FF1" w:rsidP="00C33FBD">
            <w:pPr>
              <w:pStyle w:val="Normal6"/>
              <w:rPr>
                <w:szCs w:val="24"/>
              </w:rPr>
            </w:pPr>
            <w:r w:rsidRPr="00591E75">
              <w:t>(9)</w:t>
            </w:r>
            <w:r w:rsidRPr="00591E75">
              <w:tab/>
              <w:t>Die nationalen mittelfristigen strukturellen finanzpolitischen Pläne sollten die finanzpolitischen und strukturellen Reformen und die Investitionszusagen eines jeden Mitgliedstaats entha</w:t>
            </w:r>
            <w:r w:rsidRPr="00591E75">
              <w:t xml:space="preserve">lten und den Eckpfeiler des Rahmens für die </w:t>
            </w:r>
            <w:r w:rsidRPr="00591E75">
              <w:rPr>
                <w:b/>
                <w:bCs/>
                <w:i/>
                <w:iCs/>
              </w:rPr>
              <w:t>wirtschafts- und sozialpolitische</w:t>
            </w:r>
            <w:r w:rsidRPr="00591E75">
              <w:t xml:space="preserve"> Steuerung der Union bilden. Jeder Mitgliedstaat sollte einen mittelfristigen Plan vorlegen, in dem sein haushaltspolitischer Zielpfad sowie seine Zusagen in Bezug auf prioritäre </w:t>
            </w:r>
            <w:r w:rsidRPr="00591E75">
              <w:t>öffentliche Investitionen und Reformen dargelegt werden, die zusammen für einen stetigen, schrittweisen Schuldenabbau und ein nachhaltiges und inklusives Wachstum sorgen sollen, wobei eine prozyklische Finanzpolitik zu vermeiden ist; auch sollten die Pläne</w:t>
            </w:r>
            <w:r w:rsidRPr="00591E75">
              <w:t xml:space="preserve"> weitreichendere Reform- und Investitionszusagen, insbesondere zur Förderung des ökologischen und digitalen Wandels sowie der sozialen und wirtschaftlichen Resilienz und zur Umsetzung der europäischen Säule sozialer Rechte enthalten</w:t>
            </w:r>
            <w:r w:rsidRPr="00591E75">
              <w:rPr>
                <w:b/>
                <w:bCs/>
                <w:i/>
                <w:iCs/>
              </w:rPr>
              <w:t>, einschließlich der zug</w:t>
            </w:r>
            <w:r w:rsidRPr="00591E75">
              <w:rPr>
                <w:b/>
                <w:bCs/>
                <w:i/>
                <w:iCs/>
              </w:rPr>
              <w:t>ehörigen Ziele für Beschäftigung, Kompetenzen und Armutsbekämpfung bis 2030</w:t>
            </w:r>
            <w:r w:rsidRPr="00591E75">
              <w:rPr>
                <w:b/>
                <w:bCs/>
                <w:i/>
                <w:iCs/>
                <w:vertAlign w:val="superscript"/>
              </w:rPr>
              <w:t>1a</w:t>
            </w:r>
            <w:r w:rsidRPr="00591E75">
              <w:rPr>
                <w:b/>
                <w:bCs/>
                <w:i/>
                <w:iCs/>
              </w:rPr>
              <w:t>.</w:t>
            </w:r>
            <w:r w:rsidRPr="00591E75">
              <w:t xml:space="preserve"> Während der Laufzeit der Aufbau- und Resilienzfazilität</w:t>
            </w:r>
            <w:r w:rsidRPr="00591E75">
              <w:rPr>
                <w:vertAlign w:val="superscript"/>
              </w:rPr>
              <w:t>25</w:t>
            </w:r>
            <w:r w:rsidRPr="00591E75">
              <w:t xml:space="preserve"> sollten die in den nationalen Aufbau- und Resilienzplänen abgegebenen Zusagen angemessen berücksichtigt werden.</w:t>
            </w:r>
          </w:p>
        </w:tc>
      </w:tr>
      <w:tr w:rsidR="00484958" w:rsidRPr="00591E75" w:rsidTr="00C33FBD">
        <w:trPr>
          <w:jc w:val="center"/>
        </w:trPr>
        <w:tc>
          <w:tcPr>
            <w:tcW w:w="4876" w:type="dxa"/>
            <w:hideMark/>
          </w:tcPr>
          <w:p w:rsidR="00AF0131" w:rsidRPr="00591E75" w:rsidRDefault="00E51FF1" w:rsidP="00C33FBD">
            <w:pPr>
              <w:pStyle w:val="Normal6"/>
            </w:pPr>
            <w:r w:rsidRPr="00591E75">
              <w:t>______</w:t>
            </w:r>
            <w:r w:rsidRPr="00591E75">
              <w:t>____________</w:t>
            </w:r>
          </w:p>
        </w:tc>
        <w:tc>
          <w:tcPr>
            <w:tcW w:w="4876" w:type="dxa"/>
            <w:hideMark/>
          </w:tcPr>
          <w:p w:rsidR="00AF0131" w:rsidRPr="00591E75" w:rsidRDefault="00E51FF1" w:rsidP="00C33FBD">
            <w:pPr>
              <w:pStyle w:val="Normal6"/>
              <w:rPr>
                <w:szCs w:val="24"/>
              </w:rPr>
            </w:pPr>
            <w:r w:rsidRPr="00591E75">
              <w:t>__________________</w:t>
            </w:r>
          </w:p>
        </w:tc>
      </w:tr>
      <w:tr w:rsidR="00484958" w:rsidRPr="00591E75" w:rsidTr="00C33FBD">
        <w:trPr>
          <w:jc w:val="center"/>
        </w:trPr>
        <w:tc>
          <w:tcPr>
            <w:tcW w:w="4876" w:type="dxa"/>
          </w:tcPr>
          <w:p w:rsidR="00AF0131" w:rsidRPr="00591E75" w:rsidRDefault="00AF0131" w:rsidP="00C33FBD">
            <w:pPr>
              <w:pStyle w:val="Normal6"/>
              <w:rPr>
                <w:vertAlign w:val="superscript"/>
              </w:rPr>
            </w:pPr>
          </w:p>
        </w:tc>
        <w:tc>
          <w:tcPr>
            <w:tcW w:w="4876" w:type="dxa"/>
          </w:tcPr>
          <w:p w:rsidR="00AF0131" w:rsidRPr="00591E75" w:rsidRDefault="00E51FF1" w:rsidP="00C33FBD">
            <w:pPr>
              <w:pStyle w:val="Normal6"/>
              <w:rPr>
                <w:vertAlign w:val="superscript"/>
              </w:rPr>
            </w:pPr>
            <w:r w:rsidRPr="00591E75">
              <w:rPr>
                <w:vertAlign w:val="superscript"/>
              </w:rPr>
              <w:t xml:space="preserve">25a </w:t>
            </w:r>
            <w:r w:rsidRPr="00591E75">
              <w:rPr>
                <w:b/>
                <w:bCs/>
                <w:i/>
                <w:iCs/>
              </w:rPr>
              <w:t>Mitteilung der Kommission an das Europäische Parlament, den Rat, den Europäischen Wirtschafts- und Sozialausschuss und den Ausschuss der Regionen „Aktionsplan zur europäischen Säule sozialer Rechte“ vom 4. März 2021 (C</w:t>
            </w:r>
            <w:r w:rsidRPr="00591E75">
              <w:rPr>
                <w:b/>
                <w:bCs/>
                <w:i/>
                <w:iCs/>
              </w:rPr>
              <w:t>OM(2021)0102).</w:t>
            </w:r>
          </w:p>
        </w:tc>
      </w:tr>
      <w:tr w:rsidR="00484958" w:rsidRPr="00591E75" w:rsidTr="00C33FBD">
        <w:trPr>
          <w:jc w:val="center"/>
        </w:trPr>
        <w:tc>
          <w:tcPr>
            <w:tcW w:w="4876" w:type="dxa"/>
            <w:hideMark/>
          </w:tcPr>
          <w:p w:rsidR="00AF0131" w:rsidRPr="00591E75" w:rsidRDefault="00E51FF1" w:rsidP="00C33FBD">
            <w:pPr>
              <w:pStyle w:val="Normal6"/>
            </w:pPr>
            <w:r w:rsidRPr="00591E75">
              <w:rPr>
                <w:vertAlign w:val="superscript"/>
              </w:rPr>
              <w:t>25</w:t>
            </w:r>
            <w:r w:rsidRPr="00591E75">
              <w:t xml:space="preserve"> Verordnung (EU) 2021/241 des Europäischen Parlaments und des Rates vom 12. Februar 2021 zur Einrichtung der Aufbau- und Resilienzfazilität (ABl. L 57 vom 18.2.2021, S. 17).</w:t>
            </w:r>
          </w:p>
        </w:tc>
        <w:tc>
          <w:tcPr>
            <w:tcW w:w="4876" w:type="dxa"/>
            <w:hideMark/>
          </w:tcPr>
          <w:p w:rsidR="00AF0131" w:rsidRPr="00591E75" w:rsidRDefault="00E51FF1" w:rsidP="00C33FBD">
            <w:pPr>
              <w:pStyle w:val="Normal6"/>
              <w:rPr>
                <w:szCs w:val="24"/>
              </w:rPr>
            </w:pPr>
            <w:r w:rsidRPr="00591E75">
              <w:rPr>
                <w:vertAlign w:val="superscript"/>
              </w:rPr>
              <w:t>25</w:t>
            </w:r>
            <w:r w:rsidRPr="00591E75">
              <w:t xml:space="preserve"> Verordnung (EU) 2021/241 des Europäischen Parlaments und des </w:t>
            </w:r>
            <w:r w:rsidRPr="00591E75">
              <w:t>Rates vom 12. Februar 2021 zur Einrichtung der Aufbau- und Resilienzfazilität (ABl. L 57 vom 18.2.2021, S. 17).</w:t>
            </w:r>
          </w:p>
        </w:tc>
      </w:tr>
    </w:tbl>
    <w:p w:rsidR="002D23D0" w:rsidRPr="00591E75" w:rsidRDefault="00E51FF1" w:rsidP="00C56375">
      <w:pPr>
        <w:rPr>
          <w:rFonts w:eastAsiaTheme="majorEastAsia"/>
        </w:rPr>
      </w:pPr>
      <w:r w:rsidRPr="00591E75">
        <w:rPr>
          <w:rStyle w:val="HideTWBExt"/>
        </w:rPr>
        <w:t>&lt;/Amend&gt;</w:t>
      </w:r>
    </w:p>
    <w:p w:rsidR="00AF0131" w:rsidRPr="00591E75" w:rsidRDefault="00E51FF1" w:rsidP="002D23D0">
      <w:pPr>
        <w:pStyle w:val="AmNumberTabs"/>
      </w:pPr>
      <w:r w:rsidRPr="00591E75">
        <w:rPr>
          <w:rStyle w:val="HideTWBExt"/>
        </w:rPr>
        <w:t>&lt;Amend&gt;</w:t>
      </w:r>
      <w:r w:rsidRPr="00591E75">
        <w:t>Änderungsantrag</w:t>
      </w:r>
      <w:r w:rsidRPr="00591E75">
        <w:tab/>
      </w:r>
      <w:r w:rsidRPr="00591E75">
        <w:tab/>
      </w:r>
      <w:r w:rsidRPr="00591E75">
        <w:rPr>
          <w:rStyle w:val="HideTWBExt"/>
          <w:b w:val="0"/>
        </w:rPr>
        <w:t>&lt;NumAm&gt;</w:t>
      </w:r>
      <w:r w:rsidRPr="00591E75">
        <w:t>7</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Erwägung 10</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(10)</w:t>
            </w:r>
            <w:r w:rsidRPr="00591E75">
              <w:tab/>
              <w:t xml:space="preserve">Die Kohäsionsfonds sind ebenfalls auf den Ablauf des Europäischen Semesters abgestimmt. Bei der Aufstellung der nationalen mittelfristigen strukturellen finanzpolitischen Pläne sollten neben der langfristigen </w:t>
            </w:r>
            <w:r w:rsidRPr="00591E75">
              <w:t>Investitionspolitik des Unionshaushalts auch die kohäsionspolitischen Investitionen und Reformen angemessen berücksichtigt werden. Jeder Mitgliedstaat sollte zudem erläutern, wie mit seinem nationalen mittelfristigen strukturellen finanzpolitischen Plan di</w:t>
            </w:r>
            <w:r w:rsidRPr="00591E75">
              <w:t>e Kohärenz mit den Ausgaben für die Programme der Union, die vollständig durch Einnahmen aus den Unionsfonds und die entsprechenden einzelstaatlichen Kofinanzierungen gedeckt sind, sichergestellt wird.</w:t>
            </w:r>
          </w:p>
        </w:tc>
        <w:tc>
          <w:tcPr>
            <w:tcW w:w="4876" w:type="dxa"/>
            <w:hideMark/>
          </w:tcPr>
          <w:p w:rsidR="00AF0131" w:rsidRPr="00591E75" w:rsidRDefault="00E51FF1" w:rsidP="00C33FBD">
            <w:pPr>
              <w:pStyle w:val="Normal6"/>
              <w:rPr>
                <w:szCs w:val="24"/>
              </w:rPr>
            </w:pPr>
            <w:r w:rsidRPr="00591E75">
              <w:t>(10)</w:t>
            </w:r>
            <w:r w:rsidRPr="00591E75">
              <w:tab/>
              <w:t xml:space="preserve">Die Kohäsionsfonds sind ebenfalls auf den Ablauf </w:t>
            </w:r>
            <w:r w:rsidRPr="00591E75">
              <w:t xml:space="preserve">des Europäischen Semesters abgestimmt. Bei der Aufstellung der nationalen mittelfristigen strukturellen finanzpolitischen Pläne sollten neben der langfristigen Investitionspolitik des Unionshaushalts </w:t>
            </w:r>
            <w:r w:rsidRPr="00591E75">
              <w:rPr>
                <w:b/>
                <w:bCs/>
                <w:i/>
                <w:iCs/>
              </w:rPr>
              <w:t>zur Stärkung des wirtschaftlichen, sozialen und territor</w:t>
            </w:r>
            <w:r w:rsidRPr="00591E75">
              <w:rPr>
                <w:b/>
                <w:bCs/>
                <w:i/>
                <w:iCs/>
              </w:rPr>
              <w:t>ialen Zusammenhalts</w:t>
            </w:r>
            <w:r w:rsidRPr="00591E75">
              <w:t xml:space="preserve"> auch die kohäsionspolitischen Investitionen und Reformen angemessen berücksichtigt werden. Jeder Mitgliedstaat sollte zudem erläutern, wie mit seinem nationalen mittelfristigen strukturellen finanzpolitischen Plan die Kohärenz mit den </w:t>
            </w:r>
            <w:r w:rsidRPr="00591E75">
              <w:t>Ausgaben für die Programme der Union, die vollständig durch Einnahmen aus den Unionsfonds und die entsprechenden einzelstaatlichen Kofinanzierungen gedeckt sind, sichergestellt wird.</w:t>
            </w:r>
          </w:p>
        </w:tc>
      </w:tr>
    </w:tbl>
    <w:p w:rsidR="00AF0131" w:rsidRPr="00591E75" w:rsidRDefault="00E51FF1" w:rsidP="00C56375">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8</w:t>
      </w:r>
      <w:r w:rsidRPr="00591E75">
        <w:rPr>
          <w:rStyle w:val="HideTWBExt"/>
          <w:b w:val="0"/>
        </w:rPr>
        <w:t>&lt;/NumAm&gt;</w:t>
      </w:r>
    </w:p>
    <w:p w:rsidR="00AF0131" w:rsidRPr="00591E75" w:rsidRDefault="00AF0131" w:rsidP="00AF0131">
      <w:pPr>
        <w:rPr>
          <w:b/>
        </w:rPr>
      </w:pPr>
    </w:p>
    <w:p w:rsidR="00AF0131" w:rsidRPr="00591E75" w:rsidRDefault="00E51FF1" w:rsidP="00AF0131">
      <w:pPr>
        <w:pStyle w:val="NormalBold"/>
        <w:keepNext/>
      </w:pPr>
      <w:r w:rsidRPr="00591E75">
        <w:rPr>
          <w:rStyle w:val="HideTWBExt"/>
          <w:b w:val="0"/>
        </w:rPr>
        <w:t>&lt;DocAmend&gt;</w:t>
      </w:r>
      <w:r w:rsidRPr="00591E75">
        <w:t xml:space="preserve">Vorschlag </w:t>
      </w:r>
      <w:r w:rsidRPr="00591E75">
        <w:t>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Erwägung 13</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(13)</w:t>
            </w:r>
            <w:r w:rsidRPr="00591E75">
              <w:tab/>
              <w:t>Um den Mitgliedstaaten für die Aufstellung ihrer mittelfristigen strukturellen finanzpolitischen Pläne eine Leitlinie an die Hand zu geben, sollt</w:t>
            </w:r>
            <w:r w:rsidRPr="00591E75">
              <w:t>e die Kommission einen technischen Zielpfad auf der Grundlage der minimalen Haushaltsanpassung vorlegen, mit der der Schuldenstand des Mitgliedstaats auf einen plausibel rückläufigen Pfad gebracht oder auf einem dem Vorsichtsgebot entsprechenden Niveau geh</w:t>
            </w:r>
            <w:r w:rsidRPr="00591E75">
              <w:t xml:space="preserve">alten wird. Er sollte auch sicherstellen, dass die öffentliche Schuldenquote am Ende des Planungszeitraums unter das Niveau des Jahres vor Beginn des technischen Zielpfads sinkt. </w:t>
            </w:r>
            <w:r w:rsidRPr="00591E75">
              <w:rPr>
                <w:b/>
                <w:i/>
              </w:rPr>
              <w:t>Mit einer angemessenen Haushaltspolitik sollte dafür gesorgt werden, dass die</w:t>
            </w:r>
            <w:r w:rsidRPr="00591E75">
              <w:rPr>
                <w:b/>
                <w:i/>
              </w:rPr>
              <w:t>ser Schuldenabbau nachhaltig ist.</w:t>
            </w:r>
          </w:p>
        </w:tc>
        <w:tc>
          <w:tcPr>
            <w:tcW w:w="4876" w:type="dxa"/>
            <w:hideMark/>
          </w:tcPr>
          <w:p w:rsidR="00AF0131" w:rsidRPr="00591E75" w:rsidRDefault="00E51FF1" w:rsidP="00C33FBD">
            <w:pPr>
              <w:pStyle w:val="Normal6"/>
              <w:rPr>
                <w:szCs w:val="24"/>
              </w:rPr>
            </w:pPr>
            <w:r w:rsidRPr="00591E75">
              <w:t>(13)</w:t>
            </w:r>
            <w:r w:rsidRPr="00591E75">
              <w:tab/>
              <w:t xml:space="preserve">Um den Mitgliedstaaten für die Aufstellung ihrer mittelfristigen strukturellen finanzpolitischen Pläne eine Leitlinie an die Hand zu geben, sollte die Kommission einen technischen Zielpfad auf der Grundlage der </w:t>
            </w:r>
            <w:r w:rsidRPr="00591E75">
              <w:t>minimalen Haushaltsanpassung vorlegen, mit der der Schuldenstand des Mitgliedstaats auf einen plausibel rückläufigen Pfad gebracht oder auf einem dem Vorsichtsgebot entsprechenden Niveau gehalten wird</w:t>
            </w:r>
            <w:r w:rsidRPr="00591E75">
              <w:rPr>
                <w:b/>
                <w:bCs/>
                <w:i/>
                <w:iCs/>
              </w:rPr>
              <w:t xml:space="preserve">, wobei auch dem Investitionsbedarf der Mitgliedstaaten </w:t>
            </w:r>
            <w:r w:rsidRPr="00591E75">
              <w:rPr>
                <w:b/>
                <w:bCs/>
                <w:i/>
                <w:iCs/>
              </w:rPr>
              <w:t>zur Verwirklichung der gemeinsamen Prioritäten der Union Rechnung zu tragen ist</w:t>
            </w:r>
            <w:r w:rsidRPr="00591E75">
              <w:t>. Er sollte auch sicherstellen, dass die öffentliche Schuldenquote am Ende des Planungszeitraums unter das Niveau des Jahres vor Beginn des technischen Zielpfads sinkt.</w:t>
            </w:r>
          </w:p>
        </w:tc>
      </w:tr>
    </w:tbl>
    <w:p w:rsidR="00AF0131" w:rsidRPr="00591E75" w:rsidRDefault="00E51FF1" w:rsidP="00C56375">
      <w:pPr>
        <w:rPr>
          <w:rStyle w:val="HideTWBExt"/>
          <w:rFonts w:ascii="Times New Roman" w:hAnsi="Times New Roman" w:cs="Times New Roman"/>
          <w:noProof w:val="0"/>
          <w:vanish w:val="0"/>
          <w:color w:val="auto"/>
          <w:sz w:val="24"/>
        </w:rPr>
      </w:pPr>
      <w:r w:rsidRPr="00591E75">
        <w:rPr>
          <w:rStyle w:val="HideTWBExt"/>
        </w:rPr>
        <w:t>&lt;/Amend</w:t>
      </w:r>
      <w:r w:rsidRPr="00591E75">
        <w:rPr>
          <w:rStyle w:val="HideTWBExt"/>
        </w:rPr>
        <w:t>&gt;</w:t>
      </w:r>
    </w:p>
    <w:p w:rsidR="00AF0131" w:rsidRPr="00591E75" w:rsidRDefault="00E51FF1" w:rsidP="00C56375">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9</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Erwägung 22</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(22)</w:t>
            </w:r>
            <w:r w:rsidRPr="00591E75">
              <w:tab/>
              <w:t xml:space="preserve">Um einen eher schrittweisen Schuldenabbau zu ermöglichen, kann der </w:t>
            </w:r>
            <w:r w:rsidRPr="00591E75">
              <w:t>Anpassungszeitraum um höchstens drei Jahre verlängert werden, wenn der betreffende Mitgliedstaat seinem mittelfristigen strukturellen finanzpolitischen Plan ein Paket überprüfbarer und terminierter Reformen und Investitionen zugrunde legt, die zusammen gen</w:t>
            </w:r>
            <w:r w:rsidRPr="00591E75">
              <w:t xml:space="preserve">ommen </w:t>
            </w:r>
            <w:r w:rsidRPr="00591E75">
              <w:rPr>
                <w:b/>
                <w:bCs/>
                <w:i/>
                <w:iCs/>
              </w:rPr>
              <w:t>wachstumsfördernd sind,</w:t>
            </w:r>
            <w:r w:rsidRPr="00591E75">
              <w:t xml:space="preserve"> tragfähige öffentliche Finanzen fördern und den gemeinsamen Prioritäten der Union, den einschlägigen länderspezifischen Empfehlungen, die im Rahmen des Europäischen Semesters an den Mitgliedstaat gerichtet wurden, sowie den lä</w:t>
            </w:r>
            <w:r w:rsidRPr="00591E75">
              <w:t>nderspezifischen Investitionsprioritäten Rechnung tragen, ohne im Anpassungszeitraum zu Kürzungen bei anderen national finanzierten öffentlichen Investitionen zu führen, damit die gesamtwirtschaftliche Wirkung der Investitionen sichergestellt und eine Verd</w:t>
            </w:r>
            <w:r w:rsidRPr="00591E75">
              <w:t>rängung anderer Investitionsprioritäten vermieden wird.</w:t>
            </w:r>
          </w:p>
        </w:tc>
        <w:tc>
          <w:tcPr>
            <w:tcW w:w="4876" w:type="dxa"/>
            <w:hideMark/>
          </w:tcPr>
          <w:p w:rsidR="00AF0131" w:rsidRPr="00591E75" w:rsidRDefault="00E51FF1" w:rsidP="00C33FBD">
            <w:pPr>
              <w:pStyle w:val="Normal6"/>
              <w:rPr>
                <w:szCs w:val="24"/>
              </w:rPr>
            </w:pPr>
            <w:r w:rsidRPr="00591E75">
              <w:t>(22)</w:t>
            </w:r>
            <w:r w:rsidRPr="00591E75">
              <w:tab/>
              <w:t>Um einen eher schrittweisen Schuldenabbau zu ermöglichen, kann der Anpassungszeitraum um höchstens drei Jahre verlängert werden, wenn der betreffende Mitgliedstaat seinem mittelfristigen struktur</w:t>
            </w:r>
            <w:r w:rsidRPr="00591E75">
              <w:t xml:space="preserve">ellen finanzpolitischen Plan ein Paket überprüfbarer und terminierter Reformen und Investitionen zugrunde legt, die zusammen genommen </w:t>
            </w:r>
            <w:r w:rsidRPr="00591E75">
              <w:rPr>
                <w:b/>
                <w:bCs/>
                <w:i/>
                <w:iCs/>
              </w:rPr>
              <w:t>nachhaltiges und inklusives Wachstum, soziale Aufwärtskonvergenz und</w:t>
            </w:r>
            <w:r w:rsidRPr="00591E75">
              <w:t xml:space="preserve"> tragfähige öffentliche Finanzen fördern und den gemeinsamen Prioritäten der Union, den einschlägigen länderspezifischen Empfehlungen, die im Rahmen des Europäischen Semesters an den Mitgliedstaat gerichtet wurden, sowie den länderspezifischen Investitions</w:t>
            </w:r>
            <w:r w:rsidRPr="00591E75">
              <w:t>prioritäten Rechnung tragen, ohne im Anpassungszeitraum zu Kürzungen bei anderen national finanzierten öffentlichen Investitionen</w:t>
            </w:r>
            <w:r w:rsidRPr="00591E75">
              <w:rPr>
                <w:b/>
                <w:bCs/>
                <w:i/>
                <w:iCs/>
              </w:rPr>
              <w:t>, einschließlich sozialer Investition,</w:t>
            </w:r>
            <w:r w:rsidRPr="00591E75">
              <w:t xml:space="preserve"> zu führen, damit die gesamtwirtschaftliche Wirkung der Investitionen sichergestellt und </w:t>
            </w:r>
            <w:r w:rsidRPr="00591E75">
              <w:t>eine Verdrängung anderer Investitionsprioritäten vermieden wird.</w:t>
            </w:r>
          </w:p>
        </w:tc>
      </w:tr>
    </w:tbl>
    <w:p w:rsidR="00AF0131" w:rsidRPr="00591E75" w:rsidRDefault="00E51FF1" w:rsidP="00C56375">
      <w:pPr>
        <w:rPr>
          <w:rStyle w:val="HideTWBExt"/>
          <w:rFonts w:ascii="Times New Roman" w:hAnsi="Times New Roman" w:cs="Times New Roman"/>
          <w:noProof w:val="0"/>
          <w:vanish w:val="0"/>
          <w:color w:val="auto"/>
          <w:sz w:val="24"/>
        </w:rPr>
      </w:pPr>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rPr>
          <w:rStyle w:val="HideTWBExt"/>
          <w:b w:val="0"/>
        </w:rPr>
        <w:t>&lt;NumAm&gt;</w:t>
      </w:r>
      <w:r w:rsidRPr="00591E75">
        <w:t>10</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Artikel 1 – Absatz 1</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 xml:space="preserve">Mit </w:t>
            </w:r>
            <w:r w:rsidRPr="00591E75">
              <w:t>dieser Verordnung werden Vorschriften festgelegt, die eine wirksame Koordinierung der Wirtschaftspolitik der Mitgliedstaaten gewährleisten und damit zur Verwirklichung der Ziele der Union in Bezug auf Wachstum und Beschäftigung beitragen.</w:t>
            </w:r>
          </w:p>
        </w:tc>
        <w:tc>
          <w:tcPr>
            <w:tcW w:w="4876" w:type="dxa"/>
            <w:hideMark/>
          </w:tcPr>
          <w:p w:rsidR="00AF0131" w:rsidRPr="00591E75" w:rsidRDefault="00E51FF1" w:rsidP="00C33FBD">
            <w:pPr>
              <w:pStyle w:val="Normal6"/>
              <w:rPr>
                <w:szCs w:val="24"/>
              </w:rPr>
            </w:pPr>
            <w:r w:rsidRPr="00591E75">
              <w:t>Mit dieser Verord</w:t>
            </w:r>
            <w:r w:rsidRPr="00591E75">
              <w:t xml:space="preserve">nung werden Vorschriften festgelegt, die eine wirksame Koordinierung der Wirtschaftspolitik der Mitgliedstaaten gewährleisten und damit zur Verwirklichung der Ziele der Union in Bezug auf </w:t>
            </w:r>
            <w:r w:rsidRPr="00591E75">
              <w:rPr>
                <w:b/>
                <w:bCs/>
                <w:i/>
                <w:iCs/>
              </w:rPr>
              <w:t>nachhaltiges und inklusives</w:t>
            </w:r>
            <w:r w:rsidRPr="00591E75">
              <w:t xml:space="preserve"> Wachstum und </w:t>
            </w:r>
            <w:r w:rsidRPr="00591E75">
              <w:rPr>
                <w:b/>
                <w:bCs/>
                <w:i/>
                <w:iCs/>
              </w:rPr>
              <w:t>hochwertige</w:t>
            </w:r>
            <w:r w:rsidRPr="00591E75">
              <w:t xml:space="preserve"> Beschäftigung b</w:t>
            </w:r>
            <w:r w:rsidRPr="00591E75">
              <w:t>eitragen.</w:t>
            </w:r>
          </w:p>
        </w:tc>
      </w:tr>
    </w:tbl>
    <w:p w:rsidR="00AF0131" w:rsidRPr="00591E75" w:rsidRDefault="00E51FF1" w:rsidP="00AF0131">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11</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Artikel 1 – Absatz 2</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 xml:space="preserve">Sie legt detaillierte Vorschriften für Inhalt, </w:t>
            </w:r>
            <w:r w:rsidRPr="00591E75">
              <w:t>Übermittlung, Bewertung und Überwachung der nationalen mittelfristigen strukturellen finanzpolitischen Pläne im Rahmen der multilateralen haushaltspolitischen Überwachung durch den Rat und die Kommission fest, um durch mittelfristige Planung die Schuldentr</w:t>
            </w:r>
            <w:r w:rsidRPr="00591E75">
              <w:t>agfähigkeit</w:t>
            </w:r>
            <w:r w:rsidRPr="00591E75">
              <w:rPr>
                <w:b/>
                <w:bCs/>
                <w:i/>
                <w:iCs/>
              </w:rPr>
              <w:t xml:space="preserve"> und</w:t>
            </w:r>
            <w:r w:rsidRPr="00591E75">
              <w:t xml:space="preserve"> ein nachhaltiges und inklusives Wachstum in den Mitgliedstaaten zu fördern und übermäßigen öffentlichen Defiziten vorzubeugen.</w:t>
            </w:r>
          </w:p>
        </w:tc>
        <w:tc>
          <w:tcPr>
            <w:tcW w:w="4876" w:type="dxa"/>
            <w:hideMark/>
          </w:tcPr>
          <w:p w:rsidR="00AF0131" w:rsidRPr="00591E75" w:rsidRDefault="00E51FF1" w:rsidP="00C33FBD">
            <w:pPr>
              <w:pStyle w:val="Normal6"/>
              <w:rPr>
                <w:szCs w:val="24"/>
              </w:rPr>
            </w:pPr>
            <w:r w:rsidRPr="00591E75">
              <w:t>Sie legt detaillierte Vorschriften für Inhalt, Übermittlung, Bewertung und Überwachung der nationalen mittelfrist</w:t>
            </w:r>
            <w:r w:rsidRPr="00591E75">
              <w:t>igen strukturellen finanzpolitischen Pläne im Rahmen der multilateralen haushaltspolitischen Überwachung durch den Rat und die Kommission fest, um durch mittelfristige Planung die Schuldentragfähigkeit</w:t>
            </w:r>
            <w:r w:rsidRPr="00591E75">
              <w:rPr>
                <w:b/>
                <w:bCs/>
                <w:i/>
                <w:iCs/>
              </w:rPr>
              <w:t>,</w:t>
            </w:r>
            <w:r w:rsidRPr="00591E75">
              <w:t xml:space="preserve"> ein nachhaltiges und inklusives Wachstum </w:t>
            </w:r>
            <w:r w:rsidRPr="00591E75">
              <w:rPr>
                <w:b/>
                <w:bCs/>
                <w:i/>
                <w:iCs/>
              </w:rPr>
              <w:t xml:space="preserve">und soziale </w:t>
            </w:r>
            <w:r w:rsidRPr="00591E75">
              <w:rPr>
                <w:b/>
                <w:bCs/>
                <w:i/>
                <w:iCs/>
              </w:rPr>
              <w:t>Aufwärtskonvergenz</w:t>
            </w:r>
            <w:r w:rsidRPr="00591E75">
              <w:t xml:space="preserve"> in den Mitgliedstaaten zu fördern und übermäßigen öffentlichen Defiziten vorzubeugen</w:t>
            </w:r>
            <w:r w:rsidRPr="00591E75">
              <w:rPr>
                <w:b/>
                <w:bCs/>
                <w:i/>
                <w:iCs/>
              </w:rPr>
              <w:t xml:space="preserve"> und gleichzeitig die gezielten wirtschaftlichen und sozialen Investitionen im Einklang mit den gemeinsamen Prioritäten der Union sicherzustellen</w:t>
            </w:r>
            <w:r w:rsidRPr="00591E75">
              <w:t>.</w:t>
            </w:r>
          </w:p>
        </w:tc>
      </w:tr>
    </w:tbl>
    <w:p w:rsidR="00AF0131" w:rsidRPr="00591E75" w:rsidRDefault="00E51FF1" w:rsidP="00C56375">
      <w:pPr>
        <w:rPr>
          <w:rStyle w:val="HideTWBExt"/>
          <w:rFonts w:ascii="Times New Roman" w:hAnsi="Times New Roman" w:cs="Times New Roman"/>
          <w:noProof w:val="0"/>
          <w:vanish w:val="0"/>
          <w:color w:val="auto"/>
          <w:sz w:val="24"/>
        </w:rPr>
      </w:pPr>
      <w:r w:rsidRPr="00591E75">
        <w:rPr>
          <w:rStyle w:val="HideTWBExt"/>
        </w:rPr>
        <w:t>&lt;/Amend&gt;</w:t>
      </w:r>
    </w:p>
    <w:p w:rsidR="00AF0131" w:rsidRPr="00591E75" w:rsidRDefault="00E51FF1" w:rsidP="00C56375">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12</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Artikel 3 – Absatz 1</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 xml:space="preserve">Um eine engere Koordinierung der </w:t>
            </w:r>
            <w:r w:rsidRPr="00591E75">
              <w:rPr>
                <w:b/>
                <w:bCs/>
                <w:i/>
                <w:iCs/>
              </w:rPr>
              <w:t>Wirtschaftspolitik</w:t>
            </w:r>
            <w:r w:rsidRPr="00591E75">
              <w:t xml:space="preserve"> und eine </w:t>
            </w:r>
            <w:r w:rsidRPr="00591E75">
              <w:rPr>
                <w:b/>
                <w:bCs/>
                <w:i/>
                <w:iCs/>
              </w:rPr>
              <w:t>dauerhafte Konvergenz</w:t>
            </w:r>
            <w:r w:rsidRPr="00591E75">
              <w:t xml:space="preserve"> der wirtschaftlichen und sozialen Leistung der Mitgliedstaaten zu gewährleisten, führen der Rat und die Kommission die multilaterale Überwachung im Rahmen des Europäischen Semesters im Einklang mit den im AEUV festgelegten Zielen und </w:t>
            </w:r>
            <w:r w:rsidRPr="00591E75">
              <w:t>Anforderungen durch. Die multilaterale Überwachung stützt sich auf hochwertige und unabhängige Statistiken, die nach den Grundsätzen der Verordnung (EG) Nr. 223/2009 des Europäischen Parlaments und des Rates erstellt werden.</w:t>
            </w:r>
          </w:p>
        </w:tc>
        <w:tc>
          <w:tcPr>
            <w:tcW w:w="4876" w:type="dxa"/>
            <w:hideMark/>
          </w:tcPr>
          <w:p w:rsidR="00AF0131" w:rsidRPr="00591E75" w:rsidRDefault="00E51FF1" w:rsidP="00C33FBD">
            <w:pPr>
              <w:pStyle w:val="Normal6"/>
              <w:rPr>
                <w:szCs w:val="24"/>
              </w:rPr>
            </w:pPr>
            <w:r w:rsidRPr="00591E75">
              <w:t>Um eine engere Koordinierung de</w:t>
            </w:r>
            <w:r w:rsidRPr="00591E75">
              <w:t xml:space="preserve">r </w:t>
            </w:r>
            <w:r w:rsidRPr="00591E75">
              <w:rPr>
                <w:b/>
                <w:bCs/>
                <w:i/>
                <w:iCs/>
              </w:rPr>
              <w:t>Wirtschafts- und Beschäftigungspolitik</w:t>
            </w:r>
            <w:r w:rsidRPr="00591E75">
              <w:t xml:space="preserve"> und eine </w:t>
            </w:r>
            <w:r w:rsidRPr="00591E75">
              <w:rPr>
                <w:b/>
                <w:bCs/>
                <w:i/>
                <w:iCs/>
              </w:rPr>
              <w:t>Aufwärtskonvergenz</w:t>
            </w:r>
            <w:r w:rsidRPr="00591E75">
              <w:t xml:space="preserve"> der wirtschaftlichen und sozialen Leistung der Mitgliedstaaten </w:t>
            </w:r>
            <w:r w:rsidRPr="00591E75">
              <w:rPr>
                <w:b/>
                <w:bCs/>
                <w:i/>
                <w:iCs/>
              </w:rPr>
              <w:t>im Einklang mit den gemeinsamen Prioritäten der Union</w:t>
            </w:r>
            <w:r w:rsidRPr="00591E75">
              <w:t xml:space="preserve"> zu gewährleisten, führen der Rat und die Kommission die multilaterale </w:t>
            </w:r>
            <w:r w:rsidRPr="00591E75">
              <w:t>Überwachung im Rahmen des Europäischen Semesters im Einklang mit den im AEUV festgelegten Zielen und Anforderungen durch. Die multilaterale Überwachung stützt sich auf hochwertige und unabhängige Statistiken, die nach den Grundsätzen der Verordnung (EG) Nr</w:t>
            </w:r>
            <w:r w:rsidRPr="00591E75">
              <w:t>. 223/2009 des Europäischen Parlaments und des Rates erstellt werden.</w:t>
            </w:r>
          </w:p>
        </w:tc>
      </w:tr>
    </w:tbl>
    <w:p w:rsidR="00AF0131" w:rsidRPr="00591E75" w:rsidRDefault="00E51FF1" w:rsidP="00C56375">
      <w:pPr>
        <w:rPr>
          <w:rStyle w:val="HideTWBExt"/>
          <w:rFonts w:ascii="Times New Roman" w:hAnsi="Times New Roman" w:cs="Times New Roman"/>
          <w:noProof w:val="0"/>
          <w:vanish w:val="0"/>
          <w:color w:val="auto"/>
          <w:sz w:val="24"/>
        </w:rPr>
      </w:pPr>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13</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Artikel 3 – Absatz 2 – Buchstabe b</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b)</w:t>
            </w:r>
            <w:r w:rsidRPr="00591E75">
              <w:tab/>
              <w:t xml:space="preserve">die Formulierung und die Überwachung der Umsetzung der von den Mitgliedstaaten nach Artikel 148 Absatz 2 AEUV zu berücksichtigenden beschäftigungspolitischen Leitlinien </w:t>
            </w:r>
            <w:r w:rsidRPr="00591E75">
              <w:rPr>
                <w:b/>
                <w:bCs/>
                <w:i/>
                <w:iCs/>
              </w:rPr>
              <w:t>einschließlich</w:t>
            </w:r>
            <w:r w:rsidRPr="00591E75">
              <w:t xml:space="preserve"> der europäischen Säule sozialer Rechte sowie der ein</w:t>
            </w:r>
            <w:r w:rsidRPr="00591E75">
              <w:t>schlägigen länderspezifischen Empfehlungen,</w:t>
            </w:r>
          </w:p>
        </w:tc>
        <w:tc>
          <w:tcPr>
            <w:tcW w:w="4876" w:type="dxa"/>
            <w:hideMark/>
          </w:tcPr>
          <w:p w:rsidR="00AF0131" w:rsidRPr="00591E75" w:rsidRDefault="00E51FF1" w:rsidP="00C33FBD">
            <w:pPr>
              <w:pStyle w:val="Normal6"/>
              <w:rPr>
                <w:szCs w:val="24"/>
              </w:rPr>
            </w:pPr>
            <w:r w:rsidRPr="00591E75">
              <w:t>b)</w:t>
            </w:r>
            <w:r w:rsidRPr="00591E75">
              <w:tab/>
              <w:t xml:space="preserve">die Formulierung und die Überwachung der Umsetzung der von den Mitgliedstaaten nach Artikel 148 Absatz 2 AEUV zu berücksichtigenden beschäftigungspolitischen Leitlinien, der europäischen Säule sozialer Rechte </w:t>
            </w:r>
            <w:r w:rsidRPr="00591E75">
              <w:rPr>
                <w:b/>
                <w:bCs/>
                <w:i/>
                <w:iCs/>
              </w:rPr>
              <w:t>und ihrer Kernziele</w:t>
            </w:r>
            <w:r w:rsidRPr="00591E75">
              <w:t xml:space="preserve"> sowie der einschlägigen länderspezifischen Empfehlungen </w:t>
            </w:r>
            <w:r w:rsidRPr="00591E75">
              <w:rPr>
                <w:b/>
                <w:bCs/>
                <w:i/>
                <w:iCs/>
              </w:rPr>
              <w:t>wie auch des sozialpolitischen Scoreboards und seiner Leit- und Hilfsindikatoren sowie des Rahmens für soziale Konvergenz zur Vermeidung und Ermittlung von Risiken im Bereich sozia</w:t>
            </w:r>
            <w:r w:rsidRPr="00591E75">
              <w:rPr>
                <w:b/>
                <w:bCs/>
                <w:i/>
                <w:iCs/>
              </w:rPr>
              <w:t>le Konvergenz</w:t>
            </w:r>
            <w:r w:rsidRPr="00591E75">
              <w:rPr>
                <w:b/>
                <w:bCs/>
              </w:rPr>
              <w:t>.</w:t>
            </w:r>
          </w:p>
        </w:tc>
      </w:tr>
    </w:tbl>
    <w:p w:rsidR="00AF0131" w:rsidRPr="00591E75" w:rsidRDefault="00E51FF1" w:rsidP="00C56375">
      <w:pPr>
        <w:rPr>
          <w:rStyle w:val="HideTWBExt"/>
          <w:rFonts w:ascii="Times New Roman" w:hAnsi="Times New Roman" w:cs="Times New Roman"/>
          <w:noProof w:val="0"/>
          <w:vanish w:val="0"/>
          <w:color w:val="auto"/>
          <w:sz w:val="24"/>
        </w:rPr>
      </w:pPr>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14</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Artikel 4 – Absatz 1</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(1)</w:t>
            </w:r>
            <w:r w:rsidRPr="00591E75">
              <w:tab/>
              <w:t xml:space="preserve">Sofern dies in Anbetracht der Bewertung der </w:t>
            </w:r>
            <w:r w:rsidRPr="00591E75">
              <w:t>mittelfristigen strukturellen finanzpolitischen Pläne gemäß dieser Verordnung, der jährlichen Fortschrittsberichte sowie der sozioökonomischen Lage der betreffenden Mitgliedstaaten angezeigt ist, richtet der Rat auf der Grundlage von Empfehlungen der Kommi</w:t>
            </w:r>
            <w:r w:rsidRPr="00591E75">
              <w:t>ssion sowie unter umfassender Nutzung der in den Artikeln 121 und 148 AEUV vorgesehenen Rechtsinstrumente und der einschlägigen sekundärrechtlichen Vorschriften Empfehlungen an die jeweiligen Mitgliedstaaten.</w:t>
            </w:r>
          </w:p>
        </w:tc>
        <w:tc>
          <w:tcPr>
            <w:tcW w:w="4876" w:type="dxa"/>
            <w:hideMark/>
          </w:tcPr>
          <w:p w:rsidR="00AF0131" w:rsidRPr="00591E75" w:rsidRDefault="00E51FF1" w:rsidP="00C33FBD">
            <w:pPr>
              <w:pStyle w:val="Normal6"/>
              <w:rPr>
                <w:szCs w:val="24"/>
              </w:rPr>
            </w:pPr>
            <w:r w:rsidRPr="00591E75">
              <w:t>(1)</w:t>
            </w:r>
            <w:r w:rsidRPr="00591E75">
              <w:tab/>
              <w:t>Sofern dies in Anbetracht der Bewertung der</w:t>
            </w:r>
            <w:r w:rsidRPr="00591E75">
              <w:t xml:space="preserve"> mittelfristigen strukturellen finanzpolitischen Pläne gemäß dieser Verordnung, der jährlichen Fortschrittsberichte sowie der sozioökonomischen Lage der betreffenden Mitgliedstaaten angezeigt ist, richtet der Rat auf der Grundlage von Empfehlungen der Komm</w:t>
            </w:r>
            <w:r w:rsidRPr="00591E75">
              <w:t xml:space="preserve">ission sowie unter umfassender Nutzung der </w:t>
            </w:r>
            <w:r w:rsidRPr="00591E75">
              <w:rPr>
                <w:b/>
                <w:bCs/>
                <w:i/>
                <w:iCs/>
              </w:rPr>
              <w:t>europäischen Säule sozialer Rechte und der</w:t>
            </w:r>
            <w:r w:rsidRPr="00591E75">
              <w:t xml:space="preserve"> in den Artikeln 121 und 148 AEUV vorgesehenen Rechtsinstrumente und der einschlägigen sekundärrechtlichen Vorschriften Empfehlungen an die jeweiligen Mitgliedstaaten.</w:t>
            </w:r>
          </w:p>
        </w:tc>
      </w:tr>
    </w:tbl>
    <w:p w:rsidR="00AF0131" w:rsidRPr="00591E75" w:rsidRDefault="00E51FF1" w:rsidP="00C56375">
      <w:pPr>
        <w:rPr>
          <w:rStyle w:val="HideTWBExt"/>
          <w:rFonts w:ascii="Times New Roman" w:hAnsi="Times New Roman" w:cs="Times New Roman"/>
          <w:noProof w:val="0"/>
          <w:vanish w:val="0"/>
          <w:color w:val="auto"/>
          <w:sz w:val="24"/>
        </w:rPr>
      </w:pPr>
      <w:r w:rsidRPr="00591E75">
        <w:rPr>
          <w:rStyle w:val="HideTWBExt"/>
        </w:rPr>
        <w:t>&lt;/</w:t>
      </w:r>
      <w:r w:rsidRPr="00591E75">
        <w:rPr>
          <w:rStyle w:val="HideTWBExt"/>
        </w:rPr>
        <w: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15</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Artikel 4 – Absatz 3 – Buchstabe b a (neu)</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tcPr>
          <w:p w:rsidR="00AF0131" w:rsidRPr="00591E75" w:rsidRDefault="00AF0131" w:rsidP="00C33FBD">
            <w:pPr>
              <w:pStyle w:val="Normal6"/>
            </w:pPr>
          </w:p>
        </w:tc>
        <w:tc>
          <w:tcPr>
            <w:tcW w:w="4876" w:type="dxa"/>
            <w:hideMark/>
          </w:tcPr>
          <w:p w:rsidR="00AF0131" w:rsidRPr="00591E75" w:rsidRDefault="00E51FF1" w:rsidP="00C33FBD">
            <w:pPr>
              <w:pStyle w:val="Normal6"/>
              <w:rPr>
                <w:szCs w:val="24"/>
              </w:rPr>
            </w:pPr>
            <w:r w:rsidRPr="00591E75">
              <w:rPr>
                <w:b/>
                <w:i/>
              </w:rPr>
              <w:t>ba)</w:t>
            </w:r>
            <w:r w:rsidRPr="00591E75">
              <w:rPr>
                <w:b/>
                <w:i/>
              </w:rPr>
              <w:tab/>
              <w:t xml:space="preserve">eine Empfehlung des Rates auf der Grundlage </w:t>
            </w:r>
            <w:r w:rsidRPr="00591E75">
              <w:rPr>
                <w:b/>
                <w:i/>
              </w:rPr>
              <w:t>eines Vorschlags der Kommission gemäß Artikel 148 Absatz 4 AEUV oder die Berücksichtigung der Ergebnisse des Rahmens für soziale Konvergenz;</w:t>
            </w:r>
          </w:p>
        </w:tc>
      </w:tr>
    </w:tbl>
    <w:p w:rsidR="00AF0131" w:rsidRPr="00591E75" w:rsidRDefault="00E51FF1" w:rsidP="00AF0131">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rPr>
          <w:rStyle w:val="HideTWBExt"/>
          <w:b w:val="0"/>
        </w:rPr>
        <w:t>&lt;NumAm&gt;</w:t>
      </w:r>
      <w:r w:rsidRPr="00591E75">
        <w:t>16</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Artikel 7 – Absatz 1 – Buchstabe b</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b)</w:t>
            </w:r>
            <w:r w:rsidRPr="00591E75">
              <w:tab/>
              <w:t>ihre makroökonomischen Prognosen und Annahmen,</w:t>
            </w:r>
          </w:p>
        </w:tc>
        <w:tc>
          <w:tcPr>
            <w:tcW w:w="4876" w:type="dxa"/>
            <w:hideMark/>
          </w:tcPr>
          <w:p w:rsidR="00AF0131" w:rsidRPr="00591E75" w:rsidRDefault="00E51FF1" w:rsidP="00C33FBD">
            <w:pPr>
              <w:pStyle w:val="Normal6"/>
              <w:rPr>
                <w:szCs w:val="24"/>
              </w:rPr>
            </w:pPr>
            <w:r w:rsidRPr="00591E75">
              <w:t>b)</w:t>
            </w:r>
            <w:r w:rsidRPr="00591E75">
              <w:tab/>
              <w:t xml:space="preserve">ihre makroökonomischen Prognosen und Annahmen, </w:t>
            </w:r>
            <w:r w:rsidRPr="00591E75">
              <w:rPr>
                <w:b/>
                <w:i/>
              </w:rPr>
              <w:t>ihre Prognosen und Annahmen zu sozialen Risiken,</w:t>
            </w:r>
          </w:p>
        </w:tc>
      </w:tr>
    </w:tbl>
    <w:p w:rsidR="00AF0131" w:rsidRPr="00591E75" w:rsidRDefault="00E51FF1" w:rsidP="00AF0131">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17</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Artikel 11 – Absatz 1 – Unterabsatz 2</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Der nationale mittelfristige strukturelle finanzpolitische Plan muss auch eine Beschreibung der Maßnahmen des betreffenden Mitgliedstaats zur Umsetzung der länderspezifischen Empfehlungen und gegebenenfalls der relevanten Empfehlungen des Verfahrens bei ei</w:t>
            </w:r>
            <w:r w:rsidRPr="00591E75">
              <w:t xml:space="preserve">nem makroökonomischen Ungleichgewicht enthalten </w:t>
            </w:r>
            <w:r w:rsidRPr="00591E75">
              <w:rPr>
                <w:b/>
                <w:bCs/>
                <w:i/>
                <w:iCs/>
              </w:rPr>
              <w:t>sowie</w:t>
            </w:r>
            <w:r w:rsidRPr="00591E75">
              <w:t xml:space="preserve"> gegebenenfalls eine Beschreibung der Maßnahmen, die der Mitgliedstaat auf Verwarnungen vonseiten der Kommission oder Empfehlungen des Rates nach Artikel 121 Absatz 4 AEUV hin ergreift.</w:t>
            </w:r>
          </w:p>
        </w:tc>
        <w:tc>
          <w:tcPr>
            <w:tcW w:w="4876" w:type="dxa"/>
            <w:hideMark/>
          </w:tcPr>
          <w:p w:rsidR="00AF0131" w:rsidRPr="00591E75" w:rsidRDefault="00E51FF1" w:rsidP="00C33FBD">
            <w:pPr>
              <w:pStyle w:val="Normal6"/>
              <w:rPr>
                <w:szCs w:val="24"/>
              </w:rPr>
            </w:pPr>
            <w:r w:rsidRPr="00591E75">
              <w:t>Der nationale mit</w:t>
            </w:r>
            <w:r w:rsidRPr="00591E75">
              <w:t>telfristige strukturelle finanzpolitische Plan muss auch eine Beschreibung der Maßnahmen des betreffenden Mitgliedstaats zur Umsetzung der länderspezifischen Empfehlungen und gegebenenfalls der relevanten Empfehlungen des Verfahrens bei einem makroökonomis</w:t>
            </w:r>
            <w:r w:rsidRPr="00591E75">
              <w:t xml:space="preserve">chen Ungleichgewicht </w:t>
            </w:r>
            <w:r w:rsidRPr="00591E75">
              <w:rPr>
                <w:b/>
                <w:bCs/>
                <w:i/>
                <w:iCs/>
              </w:rPr>
              <w:t>sowie der in den Berichten zur sozialen Konvergenz innerhalb des Rahmens für soziale Konvergenz ermittelten Herausforderungen enthalten und</w:t>
            </w:r>
            <w:r w:rsidRPr="00591E75">
              <w:t xml:space="preserve"> gegebenenfalls eine Beschreibung der Maßnahmen, die der Mitgliedstaat auf Verwarnungen vonseite</w:t>
            </w:r>
            <w:r w:rsidRPr="00591E75">
              <w:t xml:space="preserve">n der Kommission oder Empfehlungen des Rates nach Artikel 121 Absatz 4 AEUV </w:t>
            </w:r>
            <w:r w:rsidRPr="00591E75">
              <w:rPr>
                <w:b/>
                <w:bCs/>
                <w:i/>
                <w:iCs/>
              </w:rPr>
              <w:t>und Artikel 148 Absatz 4 AEUV</w:t>
            </w:r>
            <w:r w:rsidRPr="00591E75">
              <w:t xml:space="preserve"> hin ergreift.</w:t>
            </w:r>
          </w:p>
        </w:tc>
      </w:tr>
    </w:tbl>
    <w:p w:rsidR="00AF0131" w:rsidRPr="00591E75" w:rsidRDefault="00E51FF1" w:rsidP="00C56375">
      <w:pPr>
        <w:rPr>
          <w:rStyle w:val="HideTWBExt"/>
          <w:rFonts w:ascii="Times New Roman" w:hAnsi="Times New Roman" w:cs="Times New Roman"/>
          <w:noProof w:val="0"/>
          <w:vanish w:val="0"/>
          <w:color w:val="auto"/>
          <w:sz w:val="24"/>
        </w:rPr>
      </w:pPr>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18</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Artikel 12 – Absatz 1 –</w:t>
      </w:r>
      <w:r w:rsidRPr="00591E75">
        <w:t xml:space="preserve"> Buchstabe b</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b)</w:t>
            </w:r>
            <w:r w:rsidRPr="00591E75">
              <w:tab/>
            </w:r>
            <w:r w:rsidRPr="00591E75">
              <w:rPr>
                <w:b/>
                <w:bCs/>
                <w:i/>
                <w:iCs/>
              </w:rPr>
              <w:t>erläutern</w:t>
            </w:r>
            <w:r w:rsidRPr="00591E75">
              <w:t xml:space="preserve">, wie die Durchführung der Investitionen und Reformen sichergestellt wird, mit denen die wichtigsten Herausforderungen angegangen werden, die im Rahmen des Europäischen </w:t>
            </w:r>
            <w:r w:rsidRPr="00591E75">
              <w:t xml:space="preserve">Semesters in den länderspezifischen Empfehlungen ermittelt wurden, wie die gegebenenfalls im Rahmen des Verfahrens bei einem makroökonomischen Ungleichgewicht festgestellten makroökonomischen Ungleichgewichte korrigiert werden, wie die in Anhang VI dieser </w:t>
            </w:r>
            <w:r w:rsidRPr="00591E75">
              <w:t>Verordnung genannten gemeinsamen Prioritäten der Union, einschließlich des europäischen Grünen Deals, der europäischen Säule sozialer Rechte und der digitalen Dekade, angegangen werden und inwieweit der Plan gleichzeitig mit den aktualisierten nationalen E</w:t>
            </w:r>
            <w:r w:rsidRPr="00591E75">
              <w:t>nergie- und Klimaplänen und den nationalen Fahrplänen für die digitale Dekade in Einklang steht;</w:t>
            </w:r>
          </w:p>
        </w:tc>
        <w:tc>
          <w:tcPr>
            <w:tcW w:w="4876" w:type="dxa"/>
            <w:hideMark/>
          </w:tcPr>
          <w:p w:rsidR="00AF0131" w:rsidRPr="00591E75" w:rsidRDefault="00E51FF1" w:rsidP="00C33FBD">
            <w:pPr>
              <w:pStyle w:val="Normal6"/>
              <w:rPr>
                <w:szCs w:val="24"/>
              </w:rPr>
            </w:pPr>
            <w:r w:rsidRPr="00591E75">
              <w:t>b)</w:t>
            </w:r>
            <w:r w:rsidRPr="00591E75">
              <w:tab/>
            </w:r>
            <w:r w:rsidRPr="00591E75">
              <w:rPr>
                <w:b/>
                <w:i/>
              </w:rPr>
              <w:t>die nationalen Lücken bei öffentlichen Investitionen bewerten, um die gemeinsamen Prioritäten zu erreichen; auf dieser Grundlage sorgt er dafür, dass die ge</w:t>
            </w:r>
            <w:r w:rsidRPr="00591E75">
              <w:rPr>
                <w:b/>
                <w:i/>
              </w:rPr>
              <w:t xml:space="preserve">plante Haushaltsanpassung die nötigen sozialen Investitionen zur Umsetzung der Grundsätze der europäischen Säule sozialer Rechte ermöglicht. </w:t>
            </w:r>
            <w:r w:rsidRPr="00591E75">
              <w:rPr>
                <w:b/>
                <w:bCs/>
                <w:i/>
                <w:iCs/>
              </w:rPr>
              <w:t>Zudem erläutert er</w:t>
            </w:r>
            <w:r w:rsidRPr="00591E75">
              <w:t>, wie die Durchführung der Investitionen und Reformen sichergestellt wird, mit denen die wichtigs</w:t>
            </w:r>
            <w:r w:rsidRPr="00591E75">
              <w:t>ten Herausforderungen angegangen werden, die im Rahmen des Europäischen Semesters in den länderspezifischen Empfehlungen ermittelt wurden, wie die gegebenenfalls im Rahmen des Verfahrens bei einem makroökonomischen Ungleichgewicht festgestellten makroökono</w:t>
            </w:r>
            <w:r w:rsidRPr="00591E75">
              <w:t xml:space="preserve">mischen Ungleichgewichte korrigiert werden, </w:t>
            </w:r>
            <w:r w:rsidRPr="00591E75">
              <w:rPr>
                <w:b/>
                <w:bCs/>
                <w:i/>
                <w:iCs/>
              </w:rPr>
              <w:t>wie die innerhalb des Rahmens für soziale Konvergenz festgestellten Risiken in Bezug auf soziale Konvergenz gegebenenfalls korrigiert werden</w:t>
            </w:r>
            <w:r w:rsidRPr="00591E75">
              <w:t>, wie die in Anhang VI dieser Verordnung genannten gemeinsamen Priorität</w:t>
            </w:r>
            <w:r w:rsidRPr="00591E75">
              <w:t xml:space="preserve">en der Union, einschließlich des europäischen Grünen Deals, der europäischen Säule sozialer Rechte, </w:t>
            </w:r>
            <w:r w:rsidRPr="00591E75">
              <w:rPr>
                <w:b/>
                <w:bCs/>
                <w:i/>
                <w:iCs/>
              </w:rPr>
              <w:t>darunter auch der zugehörigen Ziele für Beschäftigung, Ausbildung und Armutsbekämpfung</w:t>
            </w:r>
            <w:r w:rsidRPr="00591E75">
              <w:t>, und der digitalen Dekade, angegangen werden und inwieweit der Plan g</w:t>
            </w:r>
            <w:r w:rsidRPr="00591E75">
              <w:t>leichzeitig mit den aktualisierten nationalen Energie- und Klimaplänen und den nationalen Fahrplänen für die digitale Dekade in Einklang steht</w:t>
            </w:r>
            <w:r w:rsidRPr="00591E75">
              <w:rPr>
                <w:b/>
                <w:bCs/>
                <w:i/>
                <w:iCs/>
              </w:rPr>
              <w:t>.</w:t>
            </w:r>
            <w:r w:rsidRPr="00591E75">
              <w:rPr>
                <w:b/>
                <w:i/>
              </w:rPr>
              <w:t xml:space="preserve"> </w:t>
            </w:r>
            <w:r w:rsidRPr="00591E75">
              <w:rPr>
                <w:b/>
                <w:bCs/>
                <w:i/>
                <w:iCs/>
              </w:rPr>
              <w:t>Zudem erläutert er, wie er zur Durchführung der Grundzüge der Wirtschaftspolitik der Mitgliedstaaten und der bes</w:t>
            </w:r>
            <w:r w:rsidRPr="00591E75">
              <w:rPr>
                <w:b/>
                <w:bCs/>
                <w:i/>
                <w:iCs/>
              </w:rPr>
              <w:t>chäftigungspolitischen Leitlinien gemäß Artikel 121 Absatz 2 und Artikel 148 Absatz 2 AEUV beiträgt;</w:t>
            </w:r>
          </w:p>
        </w:tc>
      </w:tr>
    </w:tbl>
    <w:p w:rsidR="00AF0131" w:rsidRPr="00591E75" w:rsidRDefault="00E51FF1" w:rsidP="00C56375">
      <w:pPr>
        <w:rPr>
          <w:rStyle w:val="HideTWBExt"/>
          <w:rFonts w:ascii="Times New Roman" w:hAnsi="Times New Roman" w:cs="Times New Roman"/>
          <w:noProof w:val="0"/>
          <w:vanish w:val="0"/>
          <w:color w:val="auto"/>
          <w:sz w:val="24"/>
        </w:rPr>
      </w:pPr>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19</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Artikel 12 – Absatz 1 – Buchstabe d a (neu</w:t>
      </w:r>
      <w:r w:rsidRPr="00591E75">
        <w:t>)</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tcPr>
          <w:p w:rsidR="00AF0131" w:rsidRPr="00591E75" w:rsidRDefault="00AF0131" w:rsidP="00C33FBD">
            <w:pPr>
              <w:pStyle w:val="Normal6"/>
            </w:pPr>
          </w:p>
        </w:tc>
        <w:tc>
          <w:tcPr>
            <w:tcW w:w="4876" w:type="dxa"/>
            <w:hideMark/>
          </w:tcPr>
          <w:p w:rsidR="00AF0131" w:rsidRPr="00591E75" w:rsidRDefault="00E51FF1" w:rsidP="00C33FBD">
            <w:pPr>
              <w:pStyle w:val="Normal6"/>
              <w:rPr>
                <w:szCs w:val="24"/>
              </w:rPr>
            </w:pPr>
            <w:r w:rsidRPr="00591E75">
              <w:rPr>
                <w:b/>
                <w:i/>
              </w:rPr>
              <w:t>da)</w:t>
            </w:r>
            <w:r w:rsidRPr="00591E75">
              <w:rPr>
                <w:b/>
                <w:i/>
              </w:rPr>
              <w:tab/>
              <w:t xml:space="preserve">erläutern, wie das im Einklang mit dem nationalen Rechtsrahmen durchgeführte Verfahren zur Konsultation von lokalen und regionalen Gebietskörperschaften, Sozialpartnern, Organisationen der </w:t>
            </w:r>
            <w:r w:rsidRPr="00591E75">
              <w:rPr>
                <w:b/>
                <w:i/>
              </w:rPr>
              <w:t>Zivilgesellschaft und anderen einschlägigen Interessenträgern abläuft, und darlegen, wie die Beiträge der Interessenträger in den Plan und den Umsetzungsprozess einfließen; und</w:t>
            </w:r>
          </w:p>
        </w:tc>
      </w:tr>
    </w:tbl>
    <w:p w:rsidR="00AF0131" w:rsidRPr="00591E75" w:rsidRDefault="00E51FF1" w:rsidP="00AF0131">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20</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 xml:space="preserve">Vorschlag für </w:t>
      </w:r>
      <w:r w:rsidRPr="00591E75">
        <w:t>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Artikel 13 – Absatz 2 – Unterabsatz 2 – Ziffer iv</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iv)</w:t>
            </w:r>
            <w:r w:rsidRPr="00591E75">
              <w:tab/>
              <w:t>den an den Mitgliedstaat gerichteten einschlägigen länderspezifischen Empfehlungen, gegebenenfalls einschließlic</w:t>
            </w:r>
            <w:r w:rsidRPr="00591E75">
              <w:t>h der im Rahmen des Verfahrens bei einem makroökonomischen Ungleichgewicht vorgelegten Empfehlungen, nachkommen,</w:t>
            </w:r>
          </w:p>
        </w:tc>
        <w:tc>
          <w:tcPr>
            <w:tcW w:w="4876" w:type="dxa"/>
            <w:hideMark/>
          </w:tcPr>
          <w:p w:rsidR="00AF0131" w:rsidRPr="00591E75" w:rsidRDefault="00E51FF1" w:rsidP="00C33FBD">
            <w:pPr>
              <w:pStyle w:val="Normal6"/>
              <w:rPr>
                <w:szCs w:val="24"/>
              </w:rPr>
            </w:pPr>
            <w:r w:rsidRPr="00591E75">
              <w:t>iv)</w:t>
            </w:r>
            <w:r w:rsidRPr="00591E75">
              <w:tab/>
              <w:t xml:space="preserve">den </w:t>
            </w:r>
            <w:r w:rsidRPr="00591E75">
              <w:rPr>
                <w:b/>
                <w:bCs/>
                <w:i/>
                <w:iCs/>
              </w:rPr>
              <w:t>gemäß Artikel 121 Absatz 4 und Artikel 148 Absatz 4 AEUV</w:t>
            </w:r>
            <w:r w:rsidRPr="00591E75">
              <w:t xml:space="preserve"> an den Mitgliedstaat gerichteten einschlägigen länderspezifischen Empfehlungen</w:t>
            </w:r>
            <w:r w:rsidRPr="00591E75">
              <w:t xml:space="preserve">, gegebenenfalls einschließlich der im Rahmen des Verfahrens bei einem makroökonomischen Ungleichgewicht </w:t>
            </w:r>
            <w:r w:rsidRPr="00591E75">
              <w:rPr>
                <w:b/>
                <w:bCs/>
                <w:i/>
                <w:iCs/>
              </w:rPr>
              <w:t>sowie innerhalb des Rahmens für soziale Konvergenz</w:t>
            </w:r>
            <w:r w:rsidRPr="00591E75">
              <w:t xml:space="preserve"> vorgelegten Empfehlungen, nachkommen,</w:t>
            </w:r>
          </w:p>
        </w:tc>
      </w:tr>
    </w:tbl>
    <w:p w:rsidR="00AF0131" w:rsidRPr="00591E75" w:rsidRDefault="00E51FF1" w:rsidP="00C56375">
      <w:pPr>
        <w:rPr>
          <w:rStyle w:val="HideTWBExt"/>
          <w:rFonts w:ascii="Times New Roman" w:hAnsi="Times New Roman" w:cs="Times New Roman"/>
          <w:noProof w:val="0"/>
          <w:vanish w:val="0"/>
          <w:color w:val="auto"/>
          <w:sz w:val="24"/>
        </w:rPr>
      </w:pPr>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21</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Artikel 16 – Absatz 1</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 xml:space="preserve">Der Rat nimmt auf Empfehlung der Kommission in der Regel </w:t>
            </w:r>
            <w:r w:rsidRPr="00591E75">
              <w:rPr>
                <w:b/>
                <w:bCs/>
                <w:i/>
                <w:iCs/>
              </w:rPr>
              <w:t>innerhalb von vier</w:t>
            </w:r>
            <w:r w:rsidRPr="00591E75">
              <w:t xml:space="preserve"> Wochen nach Annahme der Empfehlung der Kommission eine Empfehlung an, in der er den Nettoausgabenpfad des betreffenden Mitgliedstaats festlegt und gegebenenfalls die Reform- und Investitionszusagen billigt, auf deren Grundlage der in dem jeweiligen nation</w:t>
            </w:r>
            <w:r w:rsidRPr="00591E75">
              <w:t>alen mittelfristigen strukturellen finanzpolitischen Plan vorgesehene Anpassungszeitraums verlängert werden soll.</w:t>
            </w:r>
          </w:p>
        </w:tc>
        <w:tc>
          <w:tcPr>
            <w:tcW w:w="4876" w:type="dxa"/>
            <w:hideMark/>
          </w:tcPr>
          <w:p w:rsidR="00AF0131" w:rsidRPr="00591E75" w:rsidRDefault="00E51FF1" w:rsidP="00C33FBD">
            <w:pPr>
              <w:pStyle w:val="Normal6"/>
              <w:rPr>
                <w:szCs w:val="24"/>
              </w:rPr>
            </w:pPr>
            <w:r w:rsidRPr="00591E75">
              <w:t xml:space="preserve">Der Rat nimmt auf Empfehlung der Kommission </w:t>
            </w:r>
            <w:r w:rsidRPr="00591E75">
              <w:rPr>
                <w:b/>
                <w:bCs/>
                <w:i/>
                <w:iCs/>
              </w:rPr>
              <w:t>und nach Konsultation der gemäß Artikel 26 ermittelten einschlägigen beratenden Ausschüsse</w:t>
            </w:r>
            <w:r w:rsidRPr="00591E75">
              <w:t xml:space="preserve"> in der Regel </w:t>
            </w:r>
            <w:r w:rsidRPr="00591E75">
              <w:rPr>
                <w:b/>
                <w:bCs/>
                <w:i/>
                <w:iCs/>
              </w:rPr>
              <w:t>zwischen sechs und zehn</w:t>
            </w:r>
            <w:r w:rsidRPr="00591E75">
              <w:t xml:space="preserve"> Wochen nach Annahme der Empfehlung der Kommission eine Empfehlung an, in der er den Nettoausgabenpfad des betreffenden Mitgliedstaats festlegt und gegebenenfalls die Reform- und Investitionszusagen billigt, auf deren G</w:t>
            </w:r>
            <w:r w:rsidRPr="00591E75">
              <w:t>rundlage der in dem jeweiligen nationalen mittelfristigen strukturellen finanzpolitischen Plan vorgesehene Anpassungszeitraums verlängert werden soll.</w:t>
            </w:r>
          </w:p>
        </w:tc>
      </w:tr>
    </w:tbl>
    <w:p w:rsidR="00AF0131" w:rsidRPr="00591E75" w:rsidRDefault="00E51FF1" w:rsidP="00C56375">
      <w:pPr>
        <w:rPr>
          <w:rStyle w:val="HideTWBExt"/>
          <w:rFonts w:ascii="Times New Roman" w:hAnsi="Times New Roman" w:cs="Times New Roman"/>
          <w:noProof w:val="0"/>
          <w:vanish w:val="0"/>
          <w:color w:val="auto"/>
          <w:sz w:val="24"/>
        </w:rPr>
      </w:pPr>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22</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w:t>
      </w:r>
      <w:r w:rsidRPr="00591E75">
        <w:rPr>
          <w:rStyle w:val="HideTWBExt"/>
          <w:b w:val="0"/>
        </w:rPr>
        <w:t>Article&gt;</w:t>
      </w:r>
      <w:r w:rsidRPr="00591E75">
        <w:t>Artikel 17 – Absatz 1</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 xml:space="preserve">Wenn der Rat der Auffassung ist, dass der Plan die Anforderungen des Artikels 15 Absatz 2 und Absatz 3 Buchstabe a nicht erfüllt, empfiehlt er dem betreffenden </w:t>
            </w:r>
            <w:r w:rsidRPr="00591E75">
              <w:t>Mitgliedstaat auf Empfehlung der Kommission, einen überarbeiteten nationalen mittelfristigen strukturellen finanzpolitischen Plan zu übermitteln.</w:t>
            </w:r>
          </w:p>
        </w:tc>
        <w:tc>
          <w:tcPr>
            <w:tcW w:w="4876" w:type="dxa"/>
            <w:hideMark/>
          </w:tcPr>
          <w:p w:rsidR="00AF0131" w:rsidRPr="00591E75" w:rsidRDefault="00E51FF1" w:rsidP="00C33FBD">
            <w:pPr>
              <w:pStyle w:val="Normal6"/>
              <w:rPr>
                <w:szCs w:val="24"/>
              </w:rPr>
            </w:pPr>
            <w:r w:rsidRPr="00591E75">
              <w:t>Wenn der Rat der Auffassung ist, dass der Plan die Anforderungen des Artikels 15 Absatz 2 und Absatz 3 Buchsta</w:t>
            </w:r>
            <w:r w:rsidRPr="00591E75">
              <w:t xml:space="preserve">ben a </w:t>
            </w:r>
            <w:r w:rsidRPr="00591E75">
              <w:rPr>
                <w:b/>
                <w:bCs/>
                <w:i/>
                <w:iCs/>
              </w:rPr>
              <w:t>und b</w:t>
            </w:r>
            <w:r w:rsidRPr="00591E75">
              <w:t xml:space="preserve"> nicht erfüllt, empfiehlt er dem betreffenden Mitgliedstaat auf Empfehlung der Kommission und </w:t>
            </w:r>
            <w:r w:rsidRPr="00591E75">
              <w:rPr>
                <w:b/>
                <w:bCs/>
                <w:i/>
                <w:iCs/>
              </w:rPr>
              <w:t>nach Konsultation der gemäß Artikel 26 ermittelten einschlägigen beratenden Ausschüsse</w:t>
            </w:r>
            <w:r w:rsidRPr="00591E75">
              <w:t>, einen überarbeiteten nationalen mittelfristigen strukturellen f</w:t>
            </w:r>
            <w:r w:rsidRPr="00591E75">
              <w:t>inanzpolitischen Plan zu übermitteln.</w:t>
            </w:r>
          </w:p>
        </w:tc>
      </w:tr>
    </w:tbl>
    <w:p w:rsidR="00AF0131" w:rsidRPr="00591E75" w:rsidRDefault="00E51FF1" w:rsidP="00AF0131">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23</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Artikel 20 – Absatz 2</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(2)</w:t>
            </w:r>
            <w:r w:rsidRPr="00591E75">
              <w:tab/>
              <w:t xml:space="preserve">Der jährliche </w:t>
            </w:r>
            <w:r w:rsidRPr="00591E75">
              <w:t>Fortschrittsbericht nach Absatz 1 enthält insbesondere Informationen über die Fortschritte bei der Umsetzung des Nettoausgabenpfads, bei der Umsetzung umfassenderer Reform- und Investitionszusagen im Rahmen des Europäischen Semesters und gegebenenfalls bei</w:t>
            </w:r>
            <w:r w:rsidRPr="00591E75">
              <w:t xml:space="preserve"> der Umsetzung der Reform- und Investitionszusagen, die einer Verlängerung des Anpassungszeitraums zugrunde lagen.</w:t>
            </w:r>
          </w:p>
        </w:tc>
        <w:tc>
          <w:tcPr>
            <w:tcW w:w="4876" w:type="dxa"/>
            <w:hideMark/>
          </w:tcPr>
          <w:p w:rsidR="00AF0131" w:rsidRPr="00591E75" w:rsidRDefault="00E51FF1" w:rsidP="00C33FBD">
            <w:pPr>
              <w:pStyle w:val="Normal6"/>
              <w:rPr>
                <w:szCs w:val="24"/>
              </w:rPr>
            </w:pPr>
            <w:r w:rsidRPr="00591E75">
              <w:t>(2)</w:t>
            </w:r>
            <w:r w:rsidRPr="00591E75">
              <w:tab/>
              <w:t>Der jährliche Fortschrittsbericht nach Absatz 1 enthält insbesondere Informationen über die Fortschritte bei der Umsetzung des Nettoausga</w:t>
            </w:r>
            <w:r w:rsidRPr="00591E75">
              <w:t xml:space="preserve">benpfads, bei der Umsetzung umfassenderer Reform- und Investitionszusagen im Rahmen des Europäischen Semesters, </w:t>
            </w:r>
            <w:r w:rsidRPr="00591E75">
              <w:rPr>
                <w:b/>
                <w:bCs/>
                <w:i/>
                <w:iCs/>
              </w:rPr>
              <w:t>einschließlich der Fortschritte im Hinblick auf die Ziele der Union und der Mitgliedstaaten in Bezug auf Beschäftigung, Ausbildung und Armutsbek</w:t>
            </w:r>
            <w:r w:rsidRPr="00591E75">
              <w:rPr>
                <w:b/>
                <w:bCs/>
                <w:i/>
                <w:iCs/>
              </w:rPr>
              <w:t>ämpfung bis 2030</w:t>
            </w:r>
            <w:r w:rsidRPr="00591E75">
              <w:t xml:space="preserve"> </w:t>
            </w:r>
            <w:r w:rsidRPr="00591E75">
              <w:rPr>
                <w:b/>
                <w:bCs/>
                <w:i/>
                <w:iCs/>
              </w:rPr>
              <w:t>sowie der in Anhang VI genannten gemeinsamen Prioritäten der Union,</w:t>
            </w:r>
            <w:r w:rsidRPr="00591E75">
              <w:t xml:space="preserve"> und gegebenenfalls bei der Umsetzung der Reform- und Investitionszusagen, die einer Verlängerung des Anpassungszeitraums zugrunde lagen.</w:t>
            </w:r>
          </w:p>
        </w:tc>
      </w:tr>
    </w:tbl>
    <w:p w:rsidR="00AF0131" w:rsidRPr="00591E75" w:rsidRDefault="00E51FF1" w:rsidP="00C56375">
      <w:pPr>
        <w:rPr>
          <w:rStyle w:val="HideTWBExt"/>
          <w:rFonts w:ascii="Times New Roman" w:hAnsi="Times New Roman" w:cs="Times New Roman"/>
          <w:noProof w:val="0"/>
          <w:vanish w:val="0"/>
          <w:color w:val="auto"/>
          <w:sz w:val="24"/>
        </w:rPr>
      </w:pPr>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24</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Artikel 22 – Absatz 1</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 xml:space="preserve">Jede unabhängige nationale finanzpolitische Institution im Sinne des Artikels 8 der Richtlinie [...] </w:t>
            </w:r>
            <w:r w:rsidRPr="00591E75">
              <w:t>des Rates</w:t>
            </w:r>
            <w:r w:rsidRPr="00591E75">
              <w:rPr>
                <w:vertAlign w:val="superscript"/>
              </w:rPr>
              <w:t>32</w:t>
            </w:r>
            <w:r w:rsidRPr="00591E75">
              <w:t xml:space="preserve"> [über die nationalen haushaltspolitischen Rahmen] bewertet, ob die in dem Fortschrittsbericht nach Artikel 20 gemeldeten Haushaltsergebnisdaten mit dem Nettoausgabenpfad vereinbar sind. Gegebenenfalls analysiert jede unabhängige nationale finan</w:t>
            </w:r>
            <w:r w:rsidRPr="00591E75">
              <w:t>zpolitische Institution auch die Faktoren, die einer Abweichung vom Nettoausgabenpfad zugrunde liegen.</w:t>
            </w:r>
          </w:p>
        </w:tc>
        <w:tc>
          <w:tcPr>
            <w:tcW w:w="4876" w:type="dxa"/>
            <w:hideMark/>
          </w:tcPr>
          <w:p w:rsidR="00AF0131" w:rsidRPr="00591E75" w:rsidRDefault="00E51FF1" w:rsidP="00C33FBD">
            <w:pPr>
              <w:pStyle w:val="Normal6"/>
              <w:rPr>
                <w:szCs w:val="24"/>
              </w:rPr>
            </w:pPr>
            <w:r w:rsidRPr="00591E75">
              <w:t>Jede unabhängige nationale finanzpolitische Institution im Sinne des Artikels 8 der Richtlinie [...] des Rates</w:t>
            </w:r>
            <w:r w:rsidRPr="00591E75">
              <w:rPr>
                <w:vertAlign w:val="superscript"/>
              </w:rPr>
              <w:t>32</w:t>
            </w:r>
            <w:r w:rsidRPr="00591E75">
              <w:t xml:space="preserve"> [über die nationalen haushaltspolitische</w:t>
            </w:r>
            <w:r w:rsidRPr="00591E75">
              <w:t>n Rahmen]</w:t>
            </w:r>
          </w:p>
        </w:tc>
      </w:tr>
      <w:tr w:rsidR="00484958" w:rsidRPr="00591E75" w:rsidTr="00C33FBD">
        <w:trPr>
          <w:jc w:val="center"/>
        </w:trPr>
        <w:tc>
          <w:tcPr>
            <w:tcW w:w="4876" w:type="dxa"/>
          </w:tcPr>
          <w:p w:rsidR="00AF0131" w:rsidRPr="00591E75" w:rsidRDefault="00AF0131" w:rsidP="00C33FBD">
            <w:pPr>
              <w:pStyle w:val="Normal6"/>
            </w:pPr>
          </w:p>
        </w:tc>
        <w:tc>
          <w:tcPr>
            <w:tcW w:w="4876" w:type="dxa"/>
            <w:hideMark/>
          </w:tcPr>
          <w:p w:rsidR="00AF0131" w:rsidRPr="00591E75" w:rsidRDefault="00E51FF1" w:rsidP="00C33FBD">
            <w:pPr>
              <w:pStyle w:val="Normal6"/>
              <w:rPr>
                <w:szCs w:val="24"/>
              </w:rPr>
            </w:pPr>
            <w:r w:rsidRPr="00591E75">
              <w:rPr>
                <w:b/>
                <w:i/>
              </w:rPr>
              <w:t>a)</w:t>
            </w:r>
            <w:r w:rsidRPr="00591E75">
              <w:t xml:space="preserve"> </w:t>
            </w:r>
            <w:r w:rsidRPr="00591E75">
              <w:tab/>
              <w:t>bewertet, ob die in dem Fortschrittsbericht nach Artikel 20 dieser Verordnung gemeldeten Haushaltsergebnisdaten mit dem Nettoausgabenpfad vereinbar sind</w:t>
            </w:r>
            <w:r w:rsidRPr="00591E75">
              <w:rPr>
                <w:b/>
                <w:bCs/>
                <w:i/>
                <w:iCs/>
              </w:rPr>
              <w:t>;</w:t>
            </w:r>
          </w:p>
        </w:tc>
      </w:tr>
      <w:tr w:rsidR="00484958" w:rsidRPr="00591E75" w:rsidTr="00C33FBD">
        <w:trPr>
          <w:jc w:val="center"/>
        </w:trPr>
        <w:tc>
          <w:tcPr>
            <w:tcW w:w="4876" w:type="dxa"/>
          </w:tcPr>
          <w:p w:rsidR="00AF0131" w:rsidRPr="00591E75" w:rsidRDefault="00AF0131" w:rsidP="00C33FBD">
            <w:pPr>
              <w:pStyle w:val="Normal6"/>
            </w:pPr>
          </w:p>
        </w:tc>
        <w:tc>
          <w:tcPr>
            <w:tcW w:w="4876" w:type="dxa"/>
            <w:hideMark/>
          </w:tcPr>
          <w:p w:rsidR="00AF0131" w:rsidRPr="00591E75" w:rsidRDefault="00E51FF1" w:rsidP="00C33FBD">
            <w:pPr>
              <w:pStyle w:val="Normal6"/>
              <w:rPr>
                <w:szCs w:val="24"/>
              </w:rPr>
            </w:pPr>
            <w:r w:rsidRPr="00591E75">
              <w:rPr>
                <w:b/>
                <w:i/>
              </w:rPr>
              <w:t>b)</w:t>
            </w:r>
            <w:r w:rsidRPr="00591E75">
              <w:t xml:space="preserve"> </w:t>
            </w:r>
            <w:r w:rsidRPr="00591E75">
              <w:tab/>
              <w:t xml:space="preserve">analysiert gegebenenfalls auch die Faktoren, die einer Abweichung vom </w:t>
            </w:r>
            <w:r w:rsidRPr="00591E75">
              <w:t>Nettoausgabenpfad zugrunde liegen</w:t>
            </w:r>
            <w:r w:rsidRPr="00591E75">
              <w:rPr>
                <w:b/>
                <w:bCs/>
                <w:i/>
                <w:iCs/>
              </w:rPr>
              <w:t>;</w:t>
            </w:r>
          </w:p>
        </w:tc>
      </w:tr>
      <w:tr w:rsidR="00484958" w:rsidRPr="00591E75" w:rsidTr="00C33FBD">
        <w:trPr>
          <w:jc w:val="center"/>
        </w:trPr>
        <w:tc>
          <w:tcPr>
            <w:tcW w:w="4876" w:type="dxa"/>
          </w:tcPr>
          <w:p w:rsidR="00AF0131" w:rsidRPr="00591E75" w:rsidRDefault="00AF0131" w:rsidP="00C33FBD">
            <w:pPr>
              <w:pStyle w:val="Normal6"/>
            </w:pPr>
          </w:p>
        </w:tc>
        <w:tc>
          <w:tcPr>
            <w:tcW w:w="4876" w:type="dxa"/>
            <w:hideMark/>
          </w:tcPr>
          <w:p w:rsidR="00AF0131" w:rsidRPr="00591E75" w:rsidRDefault="00E51FF1" w:rsidP="00C33FBD">
            <w:pPr>
              <w:pStyle w:val="Normal6"/>
              <w:rPr>
                <w:szCs w:val="24"/>
              </w:rPr>
            </w:pPr>
            <w:r w:rsidRPr="00591E75">
              <w:rPr>
                <w:b/>
                <w:i/>
              </w:rPr>
              <w:t xml:space="preserve">c) </w:t>
            </w:r>
            <w:r w:rsidRPr="00591E75">
              <w:tab/>
            </w:r>
            <w:r w:rsidRPr="00591E75">
              <w:rPr>
                <w:b/>
                <w:bCs/>
                <w:i/>
                <w:iCs/>
              </w:rPr>
              <w:t>legt eine Bewertung der sozialen Auswirkungen von Entscheidungen zur haushaltspolitischen Anpassung vor.</w:t>
            </w:r>
          </w:p>
        </w:tc>
      </w:tr>
      <w:tr w:rsidR="00484958" w:rsidRPr="00591E75" w:rsidTr="00C33FBD">
        <w:trPr>
          <w:jc w:val="center"/>
        </w:trPr>
        <w:tc>
          <w:tcPr>
            <w:tcW w:w="4876" w:type="dxa"/>
            <w:hideMark/>
          </w:tcPr>
          <w:p w:rsidR="00AF0131" w:rsidRPr="00591E75" w:rsidRDefault="00E51FF1" w:rsidP="00C33FBD">
            <w:pPr>
              <w:pStyle w:val="Normal6"/>
            </w:pPr>
            <w:r w:rsidRPr="00591E75">
              <w:t>__________________</w:t>
            </w:r>
          </w:p>
        </w:tc>
        <w:tc>
          <w:tcPr>
            <w:tcW w:w="4876" w:type="dxa"/>
            <w:hideMark/>
          </w:tcPr>
          <w:p w:rsidR="00AF0131" w:rsidRPr="00591E75" w:rsidRDefault="00E51FF1" w:rsidP="00C33FBD">
            <w:pPr>
              <w:pStyle w:val="Normal6"/>
              <w:rPr>
                <w:szCs w:val="24"/>
              </w:rPr>
            </w:pPr>
            <w:r w:rsidRPr="00591E75">
              <w:t>__________________</w:t>
            </w:r>
          </w:p>
        </w:tc>
      </w:tr>
      <w:tr w:rsidR="00484958" w:rsidRPr="00591E75" w:rsidTr="00C33FBD">
        <w:trPr>
          <w:jc w:val="center"/>
        </w:trPr>
        <w:tc>
          <w:tcPr>
            <w:tcW w:w="4876" w:type="dxa"/>
            <w:hideMark/>
          </w:tcPr>
          <w:p w:rsidR="00AF0131" w:rsidRPr="00591E75" w:rsidRDefault="00E51FF1" w:rsidP="00C33FBD">
            <w:pPr>
              <w:pStyle w:val="Normal6"/>
            </w:pPr>
            <w:r w:rsidRPr="00591E75">
              <w:rPr>
                <w:vertAlign w:val="superscript"/>
              </w:rPr>
              <w:t>32</w:t>
            </w:r>
            <w:r w:rsidRPr="00591E75">
              <w:t xml:space="preserve"> Richtlinie [...] des Rates vom [...] [zur Änderung der Richtlinie 2</w:t>
            </w:r>
            <w:r w:rsidRPr="00591E75">
              <w:t>011/85/EU des Rates über die Anforderungen an die haushaltspolitischen Rahmen der Mitgliedstaaten] (ABl. L ... vom ..., S. ...).</w:t>
            </w:r>
          </w:p>
        </w:tc>
        <w:tc>
          <w:tcPr>
            <w:tcW w:w="4876" w:type="dxa"/>
            <w:hideMark/>
          </w:tcPr>
          <w:p w:rsidR="00AF0131" w:rsidRPr="00591E75" w:rsidRDefault="00E51FF1" w:rsidP="00C33FBD">
            <w:pPr>
              <w:pStyle w:val="Normal6"/>
              <w:rPr>
                <w:szCs w:val="24"/>
              </w:rPr>
            </w:pPr>
            <w:r w:rsidRPr="00591E75">
              <w:rPr>
                <w:vertAlign w:val="superscript"/>
              </w:rPr>
              <w:t>32</w:t>
            </w:r>
            <w:r w:rsidRPr="00591E75">
              <w:t xml:space="preserve"> Richtlinie [...] des Rates vom [...] [zur Änderung der Richtlinie 2011/85/EU des Rates über die Anforderungen an die haushaltspolitischen Rahmen der Mitgliedstaaten] (ABl. L ... vom ..., S. ...).</w:t>
            </w:r>
          </w:p>
        </w:tc>
      </w:tr>
    </w:tbl>
    <w:p w:rsidR="00AF0131" w:rsidRPr="00591E75" w:rsidRDefault="00E51FF1" w:rsidP="00C56375">
      <w:pPr>
        <w:rPr>
          <w:rStyle w:val="HideTWBExt"/>
          <w:rFonts w:ascii="Times New Roman" w:hAnsi="Times New Roman" w:cs="Times New Roman"/>
          <w:noProof w:val="0"/>
          <w:vanish w:val="0"/>
          <w:color w:val="auto"/>
          <w:sz w:val="24"/>
        </w:rPr>
      </w:pPr>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25</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w:t>
      </w:r>
      <w:r w:rsidRPr="00591E75">
        <w:rPr>
          <w:rStyle w:val="HideTWBExt"/>
          <w:b w:val="0"/>
        </w:rPr>
        <w:t>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Artikel 26 – Absatz 1</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 xml:space="preserve">Um die Transparenz der getroffenen Entscheidungen und die Eigenverantwortung und Rechenschaftspflicht für diese zu erhöhen, wird das Europäische Parlament insbesondere über einen </w:t>
            </w:r>
            <w:r w:rsidRPr="00591E75">
              <w:rPr>
                <w:b/>
                <w:bCs/>
                <w:i/>
                <w:iCs/>
              </w:rPr>
              <w:t>wirtschaftlichen</w:t>
            </w:r>
            <w:r w:rsidRPr="00591E75">
              <w:t xml:space="preserve"> Dialog gebührend in das Europäische Semester eingebunden. De</w:t>
            </w:r>
            <w:r w:rsidRPr="00591E75">
              <w:t>r Wirtschafts- und Finanzausschuss, der Ausschuss für Wirtschaftspolitik, der Beschäftigungsausschuss und der Ausschuss für Sozialschutz werden gegebenenfalls im Rahmen des Europäischen Semesters gehört. Maßgebliche Interessengruppen, insbesondere die Sozi</w:t>
            </w:r>
            <w:r w:rsidRPr="00591E75">
              <w:t>alpartner, werden im Rahmen des Europäischen Semesters gemäß den Bestimmungen des AEUV und den auf nationaler Ebene bestehenden gesetzlichen und politischen Regelungen gegebenenfalls an den wichtigsten politischen Fragen beteiligt</w:t>
            </w:r>
          </w:p>
        </w:tc>
        <w:tc>
          <w:tcPr>
            <w:tcW w:w="4876" w:type="dxa"/>
            <w:hideMark/>
          </w:tcPr>
          <w:p w:rsidR="00AF0131" w:rsidRPr="00591E75" w:rsidRDefault="00E51FF1" w:rsidP="00C33FBD">
            <w:pPr>
              <w:pStyle w:val="Normal6"/>
              <w:rPr>
                <w:szCs w:val="24"/>
              </w:rPr>
            </w:pPr>
            <w:r w:rsidRPr="00591E75">
              <w:t>Um die Transparenz der ge</w:t>
            </w:r>
            <w:r w:rsidRPr="00591E75">
              <w:t xml:space="preserve">troffenen Entscheidungen und die Eigenverantwortung und Rechenschaftspflicht für diese zu erhöhen, wird das Europäische Parlament insbesondere über einen </w:t>
            </w:r>
            <w:r w:rsidRPr="00591E75">
              <w:rPr>
                <w:b/>
                <w:bCs/>
                <w:i/>
                <w:iCs/>
              </w:rPr>
              <w:t>wirtschafts- und beschäftigungspolitischen</w:t>
            </w:r>
            <w:r w:rsidRPr="00591E75">
              <w:t xml:space="preserve"> Dialog</w:t>
            </w:r>
            <w:r w:rsidRPr="00591E75">
              <w:rPr>
                <w:b/>
                <w:bCs/>
                <w:i/>
                <w:iCs/>
              </w:rPr>
              <w:t xml:space="preserve"> sowie im Hinblick auf die Festlegung makroökonomisch</w:t>
            </w:r>
            <w:r w:rsidRPr="00591E75">
              <w:rPr>
                <w:b/>
                <w:bCs/>
                <w:i/>
                <w:iCs/>
              </w:rPr>
              <w:t>er und sozialpolitischer Prioritäten</w:t>
            </w:r>
            <w:r w:rsidRPr="00591E75">
              <w:t xml:space="preserve"> gebührend in das Europäische Semester eingebunden. Der Wirtschafts- und Finanzausschuss, der Ausschuss für Wirtschaftspolitik, der Beschäftigungsausschuss und der Ausschuss für Sozialschutz werden gegebenenfalls im Rahm</w:t>
            </w:r>
            <w:r w:rsidRPr="00591E75">
              <w:t xml:space="preserve">en des Europäischen Semesters gehört. </w:t>
            </w:r>
            <w:r w:rsidRPr="00591E75">
              <w:rPr>
                <w:b/>
                <w:bCs/>
                <w:i/>
                <w:iCs/>
              </w:rPr>
              <w:t>Der Europäische Wirtschafts- und Sozialausschuss und der Ausschuss der Regionen werden gegebenenfalls im Rahmen des Europäischen Semesters ebenfalls angehört.</w:t>
            </w:r>
            <w:r w:rsidRPr="00591E75">
              <w:t xml:space="preserve"> Maßgebliche Interessengruppen, insbesondere die Sozialpartn</w:t>
            </w:r>
            <w:r w:rsidRPr="00591E75">
              <w:t xml:space="preserve">er </w:t>
            </w:r>
            <w:r w:rsidRPr="00591E75">
              <w:rPr>
                <w:b/>
                <w:bCs/>
                <w:i/>
                <w:iCs/>
              </w:rPr>
              <w:t>und Organisationen der Zivilgesellschaft</w:t>
            </w:r>
            <w:r w:rsidRPr="00591E75">
              <w:t>, werden im Rahmen des Europäischen Semesters gemäß den Bestimmungen des AEUV und den auf nationaler Ebene bestehenden gesetzlichen und politischen Regelungen gegebenenfalls an den wichtigsten politischen Fragen b</w:t>
            </w:r>
            <w:r w:rsidRPr="00591E75">
              <w:t>eteiligt</w:t>
            </w:r>
          </w:p>
        </w:tc>
      </w:tr>
    </w:tbl>
    <w:p w:rsidR="00AF0131" w:rsidRPr="00591E75" w:rsidRDefault="00E51FF1" w:rsidP="00C56375">
      <w:pPr>
        <w:rPr>
          <w:rFonts w:eastAsiaTheme="majorEastAsia"/>
        </w:rPr>
      </w:pPr>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26</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Artikel 26 – Absatz 2</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 xml:space="preserve">Zur Förderung des Dialogs zwischen den Organen der Union, </w:t>
            </w:r>
            <w:r w:rsidRPr="00591E75">
              <w:t>insbesondere dem Europäischen Parlament, dem Rat und der Kommission, und zur Gewährleistung von Transparenz und Rechenschaftspflicht kann das Europäische Parlament den Präsidenten/die Präsidentin des Rates, der Kommission und gegebenenfalls den Präsidenten</w:t>
            </w:r>
            <w:r w:rsidRPr="00591E75">
              <w:t>/die Präsidentin des Europäischen Rates oder den Vorsitzenden/die Vorsitzende der Eurogruppe einladen, im Parlament die von der Kommission an die Mitgliedstaaten ausgegebenen politischen Leitlinien, die Schlussfolgerungen des Europäischen Rates und die Erg</w:t>
            </w:r>
            <w:r w:rsidRPr="00591E75">
              <w:t>ebnisse der im Rahmen dieser Verordnung durchgeführten multilateralen Überwachung zu erörtern.</w:t>
            </w:r>
          </w:p>
        </w:tc>
        <w:tc>
          <w:tcPr>
            <w:tcW w:w="4876" w:type="dxa"/>
            <w:hideMark/>
          </w:tcPr>
          <w:p w:rsidR="00AF0131" w:rsidRPr="00591E75" w:rsidRDefault="00E51FF1" w:rsidP="00C33FBD">
            <w:pPr>
              <w:pStyle w:val="Normal6"/>
              <w:rPr>
                <w:szCs w:val="24"/>
              </w:rPr>
            </w:pPr>
            <w:r w:rsidRPr="00591E75">
              <w:t xml:space="preserve">Zur Förderung des Dialogs zwischen den Organen der Union, insbesondere dem Europäischen Parlament, dem Rat und der Kommission, und zur Gewährleistung von </w:t>
            </w:r>
            <w:r w:rsidRPr="00591E75">
              <w:t>Transparenz und Rechenschaftspflicht kann das Europäische Parlament den Präsidenten/die Präsidentin des Rates, der Kommission und gegebenenfalls den Präsidenten/die Präsidentin des Europäischen Rates oder den Vorsitzenden/die Vorsitzende der Eurogruppe ein</w:t>
            </w:r>
            <w:r w:rsidRPr="00591E75">
              <w:t>laden, im Parlament die von der Kommission an die Mitgliedstaaten ausgegebenen politischen Leitlinien, die Schlussfolgerungen des Europäischen Rates und die Ergebnisse der im Rahmen dieser Verordnung durchgeführten multilateralen Überwachung</w:t>
            </w:r>
            <w:r w:rsidRPr="00591E75">
              <w:rPr>
                <w:b/>
                <w:bCs/>
                <w:i/>
                <w:iCs/>
              </w:rPr>
              <w:t>, einschließlic</w:t>
            </w:r>
            <w:r w:rsidRPr="00591E75">
              <w:rPr>
                <w:b/>
                <w:bCs/>
                <w:i/>
                <w:iCs/>
              </w:rPr>
              <w:t>h der gemäß Artikel 121 Absatz 4 und 148 AEUV eingerichteten Frühwarnsysteme,</w:t>
            </w:r>
            <w:r w:rsidRPr="00591E75">
              <w:t xml:space="preserve"> zu erörtern.</w:t>
            </w:r>
          </w:p>
        </w:tc>
      </w:tr>
    </w:tbl>
    <w:p w:rsidR="00AF0131" w:rsidRPr="00591E75" w:rsidRDefault="00E51FF1" w:rsidP="00C56375">
      <w:pPr>
        <w:rPr>
          <w:rStyle w:val="HideTWBExt"/>
          <w:rFonts w:ascii="Times New Roman" w:hAnsi="Times New Roman" w:cs="Times New Roman"/>
          <w:noProof w:val="0"/>
          <w:vanish w:val="0"/>
          <w:color w:val="auto"/>
          <w:sz w:val="24"/>
        </w:rPr>
      </w:pPr>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27</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Artikel 26 – Absatz 3 a (neu)</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 xml:space="preserve">Vorschlag </w:t>
            </w:r>
            <w:r w:rsidRPr="00591E75">
              <w:t>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tcPr>
          <w:p w:rsidR="00AF0131" w:rsidRPr="00591E75" w:rsidRDefault="00AF0131" w:rsidP="00C33FBD">
            <w:pPr>
              <w:pStyle w:val="Normal6"/>
            </w:pPr>
          </w:p>
        </w:tc>
        <w:tc>
          <w:tcPr>
            <w:tcW w:w="4876" w:type="dxa"/>
            <w:hideMark/>
          </w:tcPr>
          <w:p w:rsidR="00AF0131" w:rsidRPr="00591E75" w:rsidRDefault="00E51FF1" w:rsidP="00C33FBD">
            <w:pPr>
              <w:pStyle w:val="Normal6"/>
              <w:rPr>
                <w:szCs w:val="24"/>
              </w:rPr>
            </w:pPr>
            <w:r w:rsidRPr="00591E75">
              <w:rPr>
                <w:b/>
                <w:i/>
              </w:rPr>
              <w:t>Die zuständigen Ausschüsse des Europäischen Parlaments können die Kommission ersuchen, folgende Fragen zu erörtern:</w:t>
            </w:r>
          </w:p>
        </w:tc>
      </w:tr>
      <w:tr w:rsidR="00484958" w:rsidRPr="00591E75" w:rsidTr="00C33FBD">
        <w:trPr>
          <w:jc w:val="center"/>
        </w:trPr>
        <w:tc>
          <w:tcPr>
            <w:tcW w:w="4876" w:type="dxa"/>
          </w:tcPr>
          <w:p w:rsidR="00AF0131" w:rsidRPr="00591E75" w:rsidRDefault="00AF0131" w:rsidP="00C33FBD">
            <w:pPr>
              <w:pStyle w:val="Normal6"/>
            </w:pPr>
          </w:p>
        </w:tc>
        <w:tc>
          <w:tcPr>
            <w:tcW w:w="4876" w:type="dxa"/>
            <w:hideMark/>
          </w:tcPr>
          <w:p w:rsidR="00AF0131" w:rsidRPr="00591E75" w:rsidRDefault="00E51FF1" w:rsidP="00C33FBD">
            <w:pPr>
              <w:pStyle w:val="Normal6"/>
              <w:rPr>
                <w:szCs w:val="24"/>
              </w:rPr>
            </w:pPr>
            <w:r w:rsidRPr="00591E75">
              <w:rPr>
                <w:b/>
                <w:i/>
              </w:rPr>
              <w:t>a)</w:t>
            </w:r>
            <w:r w:rsidRPr="00591E75">
              <w:rPr>
                <w:b/>
                <w:i/>
              </w:rPr>
              <w:tab/>
              <w:t>die Bewertung der mittelfristigen Projektion des öffentlichen Schuldenstands durch die Kommission, der</w:t>
            </w:r>
            <w:r w:rsidRPr="00591E75">
              <w:rPr>
                <w:b/>
                <w:i/>
              </w:rPr>
              <w:t xml:space="preserve"> nationalen mittelfristigen strukturellen finanzpolitischen Pläne sowie der Analyse der Schuldentragfähigkeit;</w:t>
            </w:r>
          </w:p>
        </w:tc>
      </w:tr>
      <w:tr w:rsidR="00484958" w:rsidRPr="00591E75" w:rsidTr="00C33FBD">
        <w:trPr>
          <w:jc w:val="center"/>
        </w:trPr>
        <w:tc>
          <w:tcPr>
            <w:tcW w:w="4876" w:type="dxa"/>
          </w:tcPr>
          <w:p w:rsidR="00AF0131" w:rsidRPr="00591E75" w:rsidRDefault="00AF0131" w:rsidP="00C33FBD">
            <w:pPr>
              <w:pStyle w:val="Normal6"/>
            </w:pPr>
          </w:p>
        </w:tc>
        <w:tc>
          <w:tcPr>
            <w:tcW w:w="4876" w:type="dxa"/>
            <w:hideMark/>
          </w:tcPr>
          <w:p w:rsidR="00AF0131" w:rsidRPr="00591E75" w:rsidRDefault="00E51FF1" w:rsidP="00C33FBD">
            <w:pPr>
              <w:pStyle w:val="Normal6"/>
              <w:rPr>
                <w:szCs w:val="24"/>
              </w:rPr>
            </w:pPr>
            <w:r w:rsidRPr="00591E75">
              <w:rPr>
                <w:b/>
                <w:i/>
              </w:rPr>
              <w:t>b)</w:t>
            </w:r>
            <w:r w:rsidRPr="00591E75">
              <w:rPr>
                <w:b/>
                <w:i/>
              </w:rPr>
              <w:tab/>
              <w:t xml:space="preserve"> die Bewertung der Angaben, die in den jährlichen Fortschrittsberichten der Mitgliedstaaten enthalten sind;</w:t>
            </w:r>
          </w:p>
        </w:tc>
      </w:tr>
      <w:tr w:rsidR="00484958" w:rsidRPr="00591E75" w:rsidTr="00C33FBD">
        <w:trPr>
          <w:jc w:val="center"/>
        </w:trPr>
        <w:tc>
          <w:tcPr>
            <w:tcW w:w="4876" w:type="dxa"/>
          </w:tcPr>
          <w:p w:rsidR="00AF0131" w:rsidRPr="00591E75" w:rsidRDefault="00AF0131" w:rsidP="00C33FBD">
            <w:pPr>
              <w:pStyle w:val="Normal6"/>
            </w:pPr>
          </w:p>
        </w:tc>
        <w:tc>
          <w:tcPr>
            <w:tcW w:w="4876" w:type="dxa"/>
            <w:hideMark/>
          </w:tcPr>
          <w:p w:rsidR="00AF0131" w:rsidRPr="00591E75" w:rsidRDefault="00E51FF1" w:rsidP="00C33FBD">
            <w:pPr>
              <w:pStyle w:val="Normal6"/>
              <w:rPr>
                <w:szCs w:val="24"/>
              </w:rPr>
            </w:pPr>
            <w:r w:rsidRPr="00591E75">
              <w:rPr>
                <w:b/>
                <w:i/>
              </w:rPr>
              <w:t>c)</w:t>
            </w:r>
            <w:r w:rsidRPr="00591E75">
              <w:rPr>
                <w:b/>
                <w:i/>
              </w:rPr>
              <w:tab/>
              <w:t>die Bewertung der Reform- u</w:t>
            </w:r>
            <w:r w:rsidRPr="00591E75">
              <w:rPr>
                <w:b/>
                <w:i/>
              </w:rPr>
              <w:t>nd Investitionszusagen, auf deren Grundlage der Anpassungszeitraum verlängert werden soll;</w:t>
            </w:r>
          </w:p>
        </w:tc>
      </w:tr>
      <w:tr w:rsidR="00484958" w:rsidRPr="00591E75" w:rsidTr="00C33FBD">
        <w:trPr>
          <w:jc w:val="center"/>
        </w:trPr>
        <w:tc>
          <w:tcPr>
            <w:tcW w:w="4876" w:type="dxa"/>
          </w:tcPr>
          <w:p w:rsidR="00AF0131" w:rsidRPr="00591E75" w:rsidRDefault="00AF0131" w:rsidP="00C33FBD">
            <w:pPr>
              <w:pStyle w:val="Normal6"/>
            </w:pPr>
          </w:p>
        </w:tc>
        <w:tc>
          <w:tcPr>
            <w:tcW w:w="4876" w:type="dxa"/>
            <w:hideMark/>
          </w:tcPr>
          <w:p w:rsidR="00AF0131" w:rsidRPr="00591E75" w:rsidRDefault="00E51FF1" w:rsidP="00C33FBD">
            <w:pPr>
              <w:pStyle w:val="Normal6"/>
              <w:rPr>
                <w:szCs w:val="24"/>
              </w:rPr>
            </w:pPr>
            <w:r w:rsidRPr="00591E75">
              <w:rPr>
                <w:b/>
                <w:i/>
              </w:rPr>
              <w:t>d) die Bewertung der länderspezifischen Empfehlungen und der Risiken im Bereich soziale Konvergenz sowie die Fortschritte bei der Umsetzung der Grundsätze der euro</w:t>
            </w:r>
            <w:r w:rsidRPr="00591E75">
              <w:rPr>
                <w:b/>
                <w:i/>
              </w:rPr>
              <w:t>päischen Säule sozialer Rechte.</w:t>
            </w:r>
          </w:p>
        </w:tc>
      </w:tr>
    </w:tbl>
    <w:p w:rsidR="00AF0131" w:rsidRPr="00591E75" w:rsidRDefault="00E51FF1" w:rsidP="00C56375">
      <w:pPr>
        <w:rPr>
          <w:rStyle w:val="HideTWBExt"/>
          <w:rFonts w:eastAsiaTheme="majorEastAsia"/>
          <w:b/>
        </w:rPr>
      </w:pPr>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28</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Anhang II – Absatz 1 – Buchstabe d</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d)</w:t>
            </w:r>
            <w:r w:rsidRPr="00591E75">
              <w:tab/>
            </w:r>
            <w:r w:rsidRPr="00591E75">
              <w:t xml:space="preserve">Angaben zu impliziten </w:t>
            </w:r>
            <w:r w:rsidRPr="00591E75">
              <w:t>Verbindlichkeiten</w:t>
            </w:r>
            <w:r w:rsidRPr="00591E75">
              <w:rPr>
                <w:b/>
                <w:bCs/>
                <w:i/>
                <w:iCs/>
              </w:rPr>
              <w:t xml:space="preserve"> im Zusammenhang mit der Bevölkerungsalterung</w:t>
            </w:r>
            <w:r w:rsidRPr="00591E75">
              <w:t xml:space="preserve"> und zu Eventualverbindlichkeiten, die sich erheblich auf die öffentlichen Haushalte auswirken könnten, einschließlich staatlicher Bürgschaften, notleidender Kredite und Ve</w:t>
            </w:r>
            <w:r w:rsidRPr="00591E75">
              <w:t>rbindlichkeiten aus den Tätigkeiten öffentlicher Unternehmen, einschließlich ihres Umfangs, sowie zu potenziellen Ausgaben und Verpflichtungen aus Gerichtsverfahren und – soweit wie möglich – zu Eventualverbindlichkeiten in den Bereichen Katastrophen und K</w:t>
            </w:r>
            <w:r w:rsidRPr="00591E75">
              <w:t>lima.</w:t>
            </w:r>
          </w:p>
        </w:tc>
        <w:tc>
          <w:tcPr>
            <w:tcW w:w="4876" w:type="dxa"/>
            <w:hideMark/>
          </w:tcPr>
          <w:p w:rsidR="00AF0131" w:rsidRPr="00591E75" w:rsidRDefault="00E51FF1" w:rsidP="00C33FBD">
            <w:pPr>
              <w:pStyle w:val="Normal6"/>
              <w:rPr>
                <w:szCs w:val="24"/>
              </w:rPr>
            </w:pPr>
            <w:r w:rsidRPr="00591E75">
              <w:t>d)</w:t>
            </w:r>
            <w:r w:rsidRPr="00591E75">
              <w:tab/>
              <w:t xml:space="preserve">Angaben zu impliziten Verbindlichkeiten und zu Eventualverbindlichkeiten, die sich erheblich auf die öffentlichen Haushalte auswirken könnten, einschließlich staatlicher Bürgschaften, notleidender Kredite und Verbindlichkeiten aus den Tätigkeiten </w:t>
            </w:r>
            <w:r w:rsidRPr="00591E75">
              <w:t>öffentlicher Unternehmen, einschließlich ihres Umfangs, sowie zu potenziellen Ausgaben und Verpflichtungen aus Gerichtsverfahren und – soweit wie möglich – zu Eventualverbindlichkeiten in den Bereichen Katastrophen und Klima.</w:t>
            </w:r>
          </w:p>
        </w:tc>
      </w:tr>
    </w:tbl>
    <w:p w:rsidR="00AF0131" w:rsidRPr="00591E75" w:rsidRDefault="00E51FF1" w:rsidP="00AF0131">
      <w:pPr>
        <w:pStyle w:val="AMNumberTabs0"/>
        <w:keepNext/>
      </w:pPr>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w:t>
      </w:r>
      <w:r w:rsidRPr="00591E75">
        <w:t>ag</w:t>
      </w:r>
      <w:r w:rsidRPr="00591E75">
        <w:tab/>
      </w:r>
      <w:r w:rsidRPr="00591E75">
        <w:tab/>
      </w:r>
      <w:r w:rsidRPr="00591E75">
        <w:rPr>
          <w:rStyle w:val="HideTWBExt"/>
          <w:b w:val="0"/>
        </w:rPr>
        <w:t>&lt;NumAm&gt;</w:t>
      </w:r>
      <w:r w:rsidRPr="00591E75">
        <w:t>29</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Anhang II – Absatz 1 – Buchstabe f</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f)</w:t>
            </w:r>
            <w:r w:rsidRPr="00591E75">
              <w:tab/>
              <w:t>Wenn die unter Buchstabe e genannten Annahmen des Mitgliedstaats von den Annahmen</w:t>
            </w:r>
            <w:r w:rsidRPr="00591E75">
              <w:t xml:space="preserve"> der Kommission abweichen, die diese unter der Prämisse, dass keine weiteren Haushaltsmaßnahmen getroffen werden, für den Anpassungszeitraum des nationalen mittelfristigen strukturellen finanzpolitischen Plans und den darauffolgenden Zehnjahreszeitraum unt</w:t>
            </w:r>
            <w:r w:rsidRPr="00591E75">
              <w:t>erstellt: gebührende Erläuterungen und Begründungen mit stichhaltigen wirtschaftlichen Argumenten für diese Abweichungen.</w:t>
            </w:r>
          </w:p>
        </w:tc>
        <w:tc>
          <w:tcPr>
            <w:tcW w:w="4876" w:type="dxa"/>
            <w:hideMark/>
          </w:tcPr>
          <w:p w:rsidR="00AF0131" w:rsidRPr="00591E75" w:rsidRDefault="00E51FF1" w:rsidP="00C33FBD">
            <w:pPr>
              <w:pStyle w:val="Normal6"/>
              <w:rPr>
                <w:szCs w:val="24"/>
              </w:rPr>
            </w:pPr>
            <w:r w:rsidRPr="00591E75">
              <w:t>f)</w:t>
            </w:r>
            <w:r w:rsidRPr="00591E75">
              <w:tab/>
              <w:t>Wenn die unter Buchstabe e genannten Annahmen des Mitgliedstaats von den Annahmen der Kommission abweichen, die diese unter der Prä</w:t>
            </w:r>
            <w:r w:rsidRPr="00591E75">
              <w:t>misse, dass keine weiteren Haushaltsmaßnahmen getroffen werden, für den Anpassungszeitraum des nationalen mittelfristigen strukturellen finanzpolitischen Plans und den darauffolgenden Zehnjahreszeitraum unterstellt: gebührende Erläuterungen und Begründunge</w:t>
            </w:r>
            <w:r w:rsidRPr="00591E75">
              <w:t xml:space="preserve">n mit stichhaltigen wirtschaftlichen </w:t>
            </w:r>
            <w:r w:rsidRPr="00591E75">
              <w:rPr>
                <w:b/>
                <w:i/>
              </w:rPr>
              <w:t>und sozialen</w:t>
            </w:r>
            <w:r w:rsidRPr="00591E75">
              <w:t xml:space="preserve"> Argumenten für diese Abweichungen.</w:t>
            </w:r>
          </w:p>
        </w:tc>
      </w:tr>
    </w:tbl>
    <w:p w:rsidR="00AF0131" w:rsidRPr="00591E75" w:rsidRDefault="00E51FF1" w:rsidP="00AF0131">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30</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Anhang II – Absatz 1 – Buchstabe g</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 xml:space="preserve">Vorschlag </w:t>
            </w:r>
            <w:r w:rsidRPr="00591E75">
              <w:t>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g)</w:t>
            </w:r>
            <w:r w:rsidRPr="00591E75">
              <w:tab/>
              <w:t>Eine Analyse, wie Veränderungen bei den wichtigsten ökonomischen Annahmen die Haushaltslage und den Schuldenstand des Mitgliedstaats beeinflussen würden.</w:t>
            </w:r>
          </w:p>
        </w:tc>
        <w:tc>
          <w:tcPr>
            <w:tcW w:w="4876" w:type="dxa"/>
            <w:hideMark/>
          </w:tcPr>
          <w:p w:rsidR="00AF0131" w:rsidRPr="00591E75" w:rsidRDefault="00E51FF1" w:rsidP="00C33FBD">
            <w:pPr>
              <w:pStyle w:val="Normal6"/>
              <w:rPr>
                <w:szCs w:val="24"/>
              </w:rPr>
            </w:pPr>
            <w:r w:rsidRPr="00591E75">
              <w:t>g)</w:t>
            </w:r>
            <w:r w:rsidRPr="00591E75">
              <w:tab/>
              <w:t>Eine Analyse, wie Veränderungen bei den wichtigsten ökonomischen</w:t>
            </w:r>
            <w:r w:rsidRPr="00591E75">
              <w:t xml:space="preserve"> und sozialen Annahmen die Haushaltslage und den Schuldenstand des Mitgliedstaats </w:t>
            </w:r>
            <w:r w:rsidRPr="00591E75">
              <w:rPr>
                <w:b/>
                <w:bCs/>
                <w:i/>
                <w:iCs/>
              </w:rPr>
              <w:t>sowie die Verwirklichung der nationalen Ziele</w:t>
            </w:r>
            <w:r w:rsidRPr="00591E75">
              <w:t xml:space="preserve"> beeinflussen würden</w:t>
            </w:r>
            <w:r w:rsidRPr="00591E75">
              <w:rPr>
                <w:b/>
                <w:bCs/>
                <w:i/>
                <w:iCs/>
              </w:rPr>
              <w:t xml:space="preserve">, die mit den Kernzielen der europäischen Säule sozialer Rechte und ihren wichtigsten sekundären Indikatoren </w:t>
            </w:r>
            <w:r w:rsidRPr="00591E75">
              <w:rPr>
                <w:b/>
                <w:bCs/>
                <w:i/>
                <w:iCs/>
              </w:rPr>
              <w:t>und den gemeinsamen Prioritäten der Union verknüpft sind</w:t>
            </w:r>
            <w:r w:rsidRPr="00591E75">
              <w:t>.</w:t>
            </w:r>
          </w:p>
        </w:tc>
      </w:tr>
    </w:tbl>
    <w:p w:rsidR="00AF0131" w:rsidRPr="00591E75" w:rsidRDefault="00E51FF1" w:rsidP="00AF0131">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31</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Anhang II – Absatz 1 – Buchstabe h</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 xml:space="preserve">Geänderter </w:t>
            </w:r>
            <w:r w:rsidRPr="00591E75">
              <w:t>Text</w:t>
            </w:r>
          </w:p>
        </w:tc>
      </w:tr>
      <w:tr w:rsidR="00484958" w:rsidRPr="00591E75" w:rsidTr="00C33FBD">
        <w:trPr>
          <w:jc w:val="center"/>
        </w:trPr>
        <w:tc>
          <w:tcPr>
            <w:tcW w:w="4876" w:type="dxa"/>
            <w:hideMark/>
          </w:tcPr>
          <w:p w:rsidR="00AF0131" w:rsidRPr="00591E75" w:rsidRDefault="00E51FF1" w:rsidP="00C33FBD">
            <w:pPr>
              <w:pStyle w:val="Normal6"/>
            </w:pPr>
            <w:r w:rsidRPr="00591E75">
              <w:t>h)</w:t>
            </w:r>
            <w:r w:rsidRPr="00591E75">
              <w:tab/>
              <w:t>Falls zutreffend, eine gebührende (d. h. relevante stichhaltige und überprüfbare wirtschaftliche Argumente enthaltende) Darlegung der Gründe, warum von dem von der Kommission vorgegebenen technischen Zielpfad abgewichen wird.</w:t>
            </w:r>
          </w:p>
        </w:tc>
        <w:tc>
          <w:tcPr>
            <w:tcW w:w="4876" w:type="dxa"/>
            <w:hideMark/>
          </w:tcPr>
          <w:p w:rsidR="00AF0131" w:rsidRPr="00591E75" w:rsidRDefault="00E51FF1" w:rsidP="00C33FBD">
            <w:pPr>
              <w:pStyle w:val="Normal6"/>
              <w:rPr>
                <w:szCs w:val="24"/>
              </w:rPr>
            </w:pPr>
            <w:r w:rsidRPr="00591E75">
              <w:t>h)</w:t>
            </w:r>
            <w:r w:rsidRPr="00591E75">
              <w:tab/>
              <w:t xml:space="preserve">Falls zutreffend, </w:t>
            </w:r>
            <w:r w:rsidRPr="00591E75">
              <w:t xml:space="preserve">eine gebührende (d. h. relevante stichhaltige und überprüfbare wirtschaftliche </w:t>
            </w:r>
            <w:r w:rsidRPr="00591E75">
              <w:rPr>
                <w:b/>
                <w:bCs/>
                <w:i/>
                <w:iCs/>
              </w:rPr>
              <w:t>und soziale</w:t>
            </w:r>
            <w:r w:rsidRPr="00591E75">
              <w:t xml:space="preserve"> Argumente enthaltende) Darlegung der Gründe, warum von dem von der Kommission vorgegebenen technischen Zielpfad abgewichen wird.</w:t>
            </w:r>
          </w:p>
        </w:tc>
      </w:tr>
    </w:tbl>
    <w:p w:rsidR="00AF0131" w:rsidRPr="00591E75" w:rsidRDefault="00E51FF1" w:rsidP="00C56375">
      <w:pPr>
        <w:rPr>
          <w:rStyle w:val="HideTWBExt"/>
          <w:rFonts w:ascii="Times New Roman" w:hAnsi="Times New Roman" w:cs="Times New Roman"/>
          <w:noProof w:val="0"/>
          <w:vanish w:val="0"/>
          <w:color w:val="auto"/>
          <w:sz w:val="24"/>
        </w:rPr>
      </w:pPr>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32</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Anhang II – Absatz 1 – Buchstabe j</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j)</w:t>
            </w:r>
            <w:r w:rsidRPr="00591E75">
              <w:tab/>
            </w:r>
            <w:r w:rsidRPr="00591E75">
              <w:t xml:space="preserve">Die Gesamtausgaben für öffentliche Investitionen sowie die Ausgaben für Reformen und öffentliche Investitionen, mit denen </w:t>
            </w:r>
            <w:r w:rsidRPr="00591E75">
              <w:rPr>
                <w:b/>
                <w:bCs/>
                <w:i/>
                <w:iCs/>
              </w:rPr>
              <w:t>die</w:t>
            </w:r>
            <w:r w:rsidRPr="00591E75">
              <w:t xml:space="preserve"> in Anhang VI genannten gemeinsamen Prioritäten der Union verfolgt werden sollen.</w:t>
            </w:r>
          </w:p>
        </w:tc>
        <w:tc>
          <w:tcPr>
            <w:tcW w:w="4876" w:type="dxa"/>
            <w:hideMark/>
          </w:tcPr>
          <w:p w:rsidR="00AF0131" w:rsidRPr="00591E75" w:rsidRDefault="00E51FF1" w:rsidP="00C33FBD">
            <w:pPr>
              <w:pStyle w:val="Normal6"/>
              <w:rPr>
                <w:szCs w:val="24"/>
              </w:rPr>
            </w:pPr>
            <w:r w:rsidRPr="00591E75">
              <w:t>j)</w:t>
            </w:r>
            <w:r w:rsidRPr="00591E75">
              <w:tab/>
              <w:t>Die Gesamtausgaben für öffentliche Investition</w:t>
            </w:r>
            <w:r w:rsidRPr="00591E75">
              <w:t>en sowie die Ausgaben für Reformen und öffentliche Investitionen, mit denen</w:t>
            </w:r>
            <w:r w:rsidRPr="00591E75">
              <w:rPr>
                <w:b/>
                <w:bCs/>
                <w:i/>
                <w:iCs/>
              </w:rPr>
              <w:t xml:space="preserve"> alle</w:t>
            </w:r>
            <w:r w:rsidRPr="00591E75">
              <w:t xml:space="preserve"> in Anhang VI genannten gemeinsamen Prioritäten der Union verfolgt werden sollen.</w:t>
            </w:r>
          </w:p>
        </w:tc>
      </w:tr>
    </w:tbl>
    <w:p w:rsidR="00AF0131" w:rsidRPr="00591E75" w:rsidRDefault="00E51FF1" w:rsidP="00C56375">
      <w:pPr>
        <w:rPr>
          <w:rFonts w:eastAsiaTheme="majorEastAsia"/>
        </w:rPr>
      </w:pPr>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33</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Anhang II – Absatz 1 – Buchstabe k</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k)</w:t>
            </w:r>
            <w:r w:rsidRPr="00591E75">
              <w:tab/>
              <w:t>Falls zutreffend, Angaben zu speziellen terminierten und überprüfbaren Reform- und Investitionszusagen, auf deren Grundlage der Anpassungszeitr</w:t>
            </w:r>
            <w:r w:rsidRPr="00591E75">
              <w:t>aum nach Artikel 13 verlängert werden soll, einen Zeitplan für deren Umsetzung sowie stichhaltige wirtschaftliche Argumente, dass diese Reform- und Investitionszusagen unter Berücksichtigung der in Anhang VII genannten Bewertungskriterien die Kriterien des</w:t>
            </w:r>
            <w:r w:rsidRPr="00591E75">
              <w:t xml:space="preserve"> Artikels 13 erfüllen.</w:t>
            </w:r>
          </w:p>
        </w:tc>
        <w:tc>
          <w:tcPr>
            <w:tcW w:w="4876" w:type="dxa"/>
            <w:hideMark/>
          </w:tcPr>
          <w:p w:rsidR="00AF0131" w:rsidRPr="00591E75" w:rsidRDefault="00E51FF1" w:rsidP="00C33FBD">
            <w:pPr>
              <w:pStyle w:val="Normal6"/>
              <w:rPr>
                <w:szCs w:val="24"/>
              </w:rPr>
            </w:pPr>
            <w:r w:rsidRPr="00591E75">
              <w:t>k)</w:t>
            </w:r>
            <w:r w:rsidRPr="00591E75">
              <w:tab/>
            </w:r>
            <w:r w:rsidRPr="00591E75">
              <w:t>Falls zutreffend, Angaben zu speziellen terminierten und überprüfbaren Reform- und Investitionszusagen, auf deren Grundlage der Anpassungszeitraum nach Artikel 13 verlängert werden soll, einen Zeitplan für deren Umsetzung sowie stichhaltige wirtschaftliche</w:t>
            </w:r>
            <w:r w:rsidRPr="00591E75">
              <w:t xml:space="preserve"> </w:t>
            </w:r>
            <w:r w:rsidRPr="00591E75">
              <w:rPr>
                <w:b/>
                <w:i/>
              </w:rPr>
              <w:t>und soziale</w:t>
            </w:r>
            <w:r w:rsidRPr="00591E75">
              <w:t xml:space="preserve"> Argumente, dass diese Reform- und Investitionszusagen unter Berücksichtigung der in Anhang VII genannten Bewertungskriterien die Kriterien des Artikels 13 erfüllen.</w:t>
            </w:r>
          </w:p>
        </w:tc>
      </w:tr>
    </w:tbl>
    <w:p w:rsidR="00AF0131" w:rsidRPr="00591E75" w:rsidRDefault="00E51FF1" w:rsidP="00C56375">
      <w:pPr>
        <w:rPr>
          <w:rStyle w:val="HideTWBExt"/>
          <w:rFonts w:ascii="Times New Roman" w:hAnsi="Times New Roman" w:cs="Times New Roman"/>
          <w:noProof w:val="0"/>
          <w:vanish w:val="0"/>
          <w:color w:val="auto"/>
          <w:sz w:val="24"/>
        </w:rPr>
      </w:pPr>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34</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 xml:space="preserve">Vorschlag für </w:t>
      </w:r>
      <w:r w:rsidRPr="00591E75">
        <w:t>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Anhang II – Absatz 1 – Buchstabe l</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l)</w:t>
            </w:r>
            <w:r w:rsidRPr="00591E75">
              <w:tab/>
              <w:t>Eine möglichst umfassende Quantifizierung der erwarteten Auswirkungen der unter Buchstabe k genannten Reformen und Investitionen</w:t>
            </w:r>
            <w:r w:rsidRPr="00591E75">
              <w:t xml:space="preserve"> auf die Tragfähigkeit der öffentlichen Finanzen und auf Wachstum und Beschäftigung, gegebenenfalls im Einklang mit den gemeinsamen Methoden.</w:t>
            </w:r>
          </w:p>
        </w:tc>
        <w:tc>
          <w:tcPr>
            <w:tcW w:w="4876" w:type="dxa"/>
            <w:hideMark/>
          </w:tcPr>
          <w:p w:rsidR="00AF0131" w:rsidRPr="00591E75" w:rsidRDefault="00E51FF1" w:rsidP="00C33FBD">
            <w:pPr>
              <w:pStyle w:val="Normal6"/>
              <w:rPr>
                <w:szCs w:val="24"/>
              </w:rPr>
            </w:pPr>
            <w:r w:rsidRPr="00591E75">
              <w:t>l)</w:t>
            </w:r>
            <w:r w:rsidRPr="00591E75">
              <w:tab/>
              <w:t xml:space="preserve">Eine möglichst umfassende Quantifizierung der erwarteten Auswirkungen der unter Buchstabe k genannten Reformen </w:t>
            </w:r>
            <w:r w:rsidRPr="00591E75">
              <w:t xml:space="preserve">und Investitionen auf die Tragfähigkeit der öffentlichen Finanzen, auf </w:t>
            </w:r>
            <w:r w:rsidRPr="00591E75">
              <w:rPr>
                <w:b/>
                <w:bCs/>
                <w:i/>
                <w:iCs/>
              </w:rPr>
              <w:t>nachhaltiges und inklusives</w:t>
            </w:r>
            <w:r w:rsidRPr="00591E75">
              <w:t xml:space="preserve"> Wachstum und </w:t>
            </w:r>
            <w:r w:rsidRPr="00591E75">
              <w:rPr>
                <w:b/>
                <w:bCs/>
                <w:i/>
                <w:iCs/>
              </w:rPr>
              <w:t>Wettbewerbsfähigkeit</w:t>
            </w:r>
            <w:r w:rsidRPr="00591E75">
              <w:rPr>
                <w:b/>
                <w:bCs/>
              </w:rPr>
              <w:t>,</w:t>
            </w:r>
            <w:r w:rsidRPr="00591E75">
              <w:rPr>
                <w:b/>
                <w:bCs/>
                <w:i/>
                <w:iCs/>
              </w:rPr>
              <w:t>hochwertige</w:t>
            </w:r>
            <w:r w:rsidRPr="00591E75">
              <w:t xml:space="preserve"> Beschäftigung </w:t>
            </w:r>
            <w:r w:rsidRPr="00591E75">
              <w:rPr>
                <w:b/>
                <w:bCs/>
                <w:i/>
                <w:iCs/>
              </w:rPr>
              <w:t>sowie soziale Aufwärtskonvergenz</w:t>
            </w:r>
            <w:r w:rsidRPr="00591E75">
              <w:t>, gegebenenfalls im Einklang mit den gemeinsamen Methoden.</w:t>
            </w:r>
          </w:p>
        </w:tc>
      </w:tr>
    </w:tbl>
    <w:p w:rsidR="00AF0131" w:rsidRPr="00591E75" w:rsidRDefault="00E51FF1" w:rsidP="00C56375">
      <w:pPr>
        <w:rPr>
          <w:rStyle w:val="HideTWBExt"/>
          <w:rFonts w:ascii="Times New Roman" w:hAnsi="Times New Roman" w:cs="Times New Roman"/>
          <w:noProof w:val="0"/>
          <w:vanish w:val="0"/>
          <w:color w:val="auto"/>
          <w:sz w:val="24"/>
        </w:rPr>
      </w:pPr>
      <w:r w:rsidRPr="00591E75">
        <w:rPr>
          <w:rStyle w:val="HideTWBExt"/>
        </w:rPr>
        <w:t>&lt;/Ame</w:t>
      </w:r>
      <w:r w:rsidRPr="00591E75">
        <w:rPr>
          <w:rStyle w:val="HideTWBExt"/>
        </w:rPr>
        <w:t>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35</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Anhang II – Absatz 1 – Buchstabe n a (neu)</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tcPr>
          <w:p w:rsidR="00AF0131" w:rsidRPr="00591E75" w:rsidRDefault="00AF0131" w:rsidP="00C33FBD">
            <w:pPr>
              <w:pStyle w:val="Normal6"/>
            </w:pPr>
          </w:p>
        </w:tc>
        <w:tc>
          <w:tcPr>
            <w:tcW w:w="4876" w:type="dxa"/>
            <w:hideMark/>
          </w:tcPr>
          <w:p w:rsidR="00AF0131" w:rsidRPr="00591E75" w:rsidRDefault="00E51FF1" w:rsidP="00C33FBD">
            <w:pPr>
              <w:pStyle w:val="Normal6"/>
              <w:rPr>
                <w:szCs w:val="24"/>
              </w:rPr>
            </w:pPr>
            <w:r w:rsidRPr="00591E75">
              <w:rPr>
                <w:b/>
                <w:i/>
              </w:rPr>
              <w:t>na)</w:t>
            </w:r>
            <w:r w:rsidRPr="00591E75">
              <w:rPr>
                <w:b/>
                <w:i/>
              </w:rPr>
              <w:tab/>
              <w:t xml:space="preserve">Gegebenenfalls Reformen und Investitionen zur </w:t>
            </w:r>
            <w:r w:rsidRPr="00591E75">
              <w:rPr>
                <w:b/>
                <w:i/>
              </w:rPr>
              <w:t>Korrektur der innerhalb des Rahmens für soziale Konvergenz festgestellten Risiken im Bereich soziale Konvergenz.</w:t>
            </w:r>
          </w:p>
        </w:tc>
      </w:tr>
    </w:tbl>
    <w:p w:rsidR="00AF0131" w:rsidRPr="00591E75" w:rsidRDefault="00E51FF1" w:rsidP="00C56375">
      <w:pPr>
        <w:rPr>
          <w:rFonts w:eastAsiaTheme="majorEastAsia"/>
        </w:rPr>
      </w:pPr>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36</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Anhang II – Absatz 1 – Buchsta</w:t>
      </w:r>
      <w:r w:rsidRPr="00591E75">
        <w:t>be p</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p)</w:t>
            </w:r>
            <w:r w:rsidRPr="00591E75">
              <w:tab/>
              <w:t xml:space="preserve">Bei Mitgliedstaaten, deren öffentlicher Schuldenstand eine geringe Herausforderung darstellt, die </w:t>
            </w:r>
            <w:r w:rsidRPr="00591E75">
              <w:rPr>
                <w:b/>
                <w:bCs/>
                <w:i/>
                <w:iCs/>
              </w:rPr>
              <w:t>aufgrund der Bevölkerungsalterung</w:t>
            </w:r>
            <w:r w:rsidRPr="00591E75">
              <w:t xml:space="preserve"> aber vor hohen impliziten Verbindlichkeiten stehen, sollten die Herausforderungen für die Tragfähigkeit der öffentlichen Finanzen beim nationalen Zielpfad für die Nettoausgaben und bei den in den nationalen mittelfristigen strukturellen finanzpolitischen </w:t>
            </w:r>
            <w:r w:rsidRPr="00591E75">
              <w:t>Plänen vorgesehenen Reformen gebührend berücksichtigt werden.</w:t>
            </w:r>
          </w:p>
        </w:tc>
        <w:tc>
          <w:tcPr>
            <w:tcW w:w="4876" w:type="dxa"/>
            <w:hideMark/>
          </w:tcPr>
          <w:p w:rsidR="00AF0131" w:rsidRPr="00591E75" w:rsidRDefault="00E51FF1" w:rsidP="00C33FBD">
            <w:pPr>
              <w:pStyle w:val="Normal6"/>
              <w:rPr>
                <w:szCs w:val="24"/>
              </w:rPr>
            </w:pPr>
            <w:r w:rsidRPr="00591E75">
              <w:t>p)</w:t>
            </w:r>
            <w:r w:rsidRPr="00591E75">
              <w:tab/>
              <w:t>Bei Mitgliedstaaten, deren öffentlicher Schuldenstand eine geringe Herausforderung darstellt, die aber vor hohen impliziten Verbindlichkeiten stehen, sollten die Herausforderungen für die Tra</w:t>
            </w:r>
            <w:r w:rsidRPr="00591E75">
              <w:t>gfähigkeit der öffentlichen Finanzen</w:t>
            </w:r>
            <w:r w:rsidRPr="00591E75">
              <w:rPr>
                <w:b/>
                <w:bCs/>
                <w:i/>
                <w:iCs/>
              </w:rPr>
              <w:t xml:space="preserve"> sowie die Risiken im Bereich soziale Divergenz, wie sie im Rahmen der jüngsten Überwachung festgestellt wurden,</w:t>
            </w:r>
            <w:r w:rsidRPr="00591E75">
              <w:t xml:space="preserve"> beim nationalen Zielpfad für die Nettoausgaben und bei den in den nationalen mittelfristigen strukturellen </w:t>
            </w:r>
            <w:r w:rsidRPr="00591E75">
              <w:t>finanzpolitischen Plänen vorgesehenen Reformen gebührend berücksichtigt werden.</w:t>
            </w:r>
          </w:p>
        </w:tc>
      </w:tr>
    </w:tbl>
    <w:p w:rsidR="00AF0131" w:rsidRPr="00591E75" w:rsidRDefault="00E51FF1" w:rsidP="00C56375">
      <w:pPr>
        <w:rPr>
          <w:rStyle w:val="HideTWBExt"/>
          <w:rFonts w:ascii="Times New Roman" w:hAnsi="Times New Roman" w:cs="Times New Roman"/>
          <w:noProof w:val="0"/>
          <w:vanish w:val="0"/>
          <w:color w:val="auto"/>
          <w:sz w:val="24"/>
        </w:rPr>
      </w:pPr>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37</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Anhang II – Absatz 1 – Buchstabe q</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 xml:space="preserve">Vorschlag der </w:t>
            </w:r>
            <w:r w:rsidRPr="00591E75">
              <w:t>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q)</w:t>
            </w:r>
            <w:r w:rsidRPr="00591E75">
              <w:tab/>
              <w:t>Angaben zur Konsultation von Sozialpartnern, Organisationen der Zivilgesellschaft und anderen relevanten Interessenträgern vor Ausarbeitung des Plans.</w:t>
            </w:r>
          </w:p>
        </w:tc>
        <w:tc>
          <w:tcPr>
            <w:tcW w:w="4876" w:type="dxa"/>
            <w:hideMark/>
          </w:tcPr>
          <w:p w:rsidR="00AF0131" w:rsidRPr="00591E75" w:rsidRDefault="00E51FF1" w:rsidP="00C33FBD">
            <w:pPr>
              <w:pStyle w:val="Normal6"/>
              <w:rPr>
                <w:szCs w:val="24"/>
              </w:rPr>
            </w:pPr>
            <w:r w:rsidRPr="00591E75">
              <w:t>q)</w:t>
            </w:r>
            <w:r w:rsidRPr="00591E75">
              <w:tab/>
              <w:t xml:space="preserve">Angaben zur </w:t>
            </w:r>
            <w:r w:rsidRPr="00591E75">
              <w:rPr>
                <w:b/>
                <w:i/>
              </w:rPr>
              <w:t>wirksamen</w:t>
            </w:r>
            <w:r w:rsidRPr="00591E75">
              <w:t xml:space="preserve"> Konsultation von Sozialpartnern, Organisationen d</w:t>
            </w:r>
            <w:r w:rsidRPr="00591E75">
              <w:t>er Zivilgesellschaft und anderen relevanten Interessenträgern vor Ausarbeitung des Plans.</w:t>
            </w:r>
          </w:p>
        </w:tc>
      </w:tr>
    </w:tbl>
    <w:p w:rsidR="00AF0131" w:rsidRPr="00591E75" w:rsidRDefault="00E51FF1" w:rsidP="00C56375">
      <w:pPr>
        <w:rPr>
          <w:rStyle w:val="HideTWBExt"/>
          <w:rFonts w:ascii="Times New Roman" w:hAnsi="Times New Roman" w:cs="Times New Roman"/>
          <w:noProof w:val="0"/>
          <w:vanish w:val="0"/>
          <w:color w:val="auto"/>
          <w:sz w:val="24"/>
        </w:rPr>
      </w:pPr>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38</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Anhang III – Absatz 1 – Buchstabe b</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b)</w:t>
            </w:r>
            <w:r w:rsidRPr="00591E75">
              <w:tab/>
              <w:t xml:space="preserve">Einen Vergleich zwischen den Projektionen für die wichtigsten ökonomischen Variablen, die im nationalen mittelfristigen strukturellen finanzpolitischen Plan enthalten sind, und den Ist-Daten für diese Variablen </w:t>
            </w:r>
            <w:r w:rsidRPr="00591E75">
              <w:t>ab Beginn der Laufzeit dieses Plans sowie die Auswirkungen auf die Einhaltung des vom Rat festgelegten Nettoausgabenpfads und die Auswirkungen auf den in diesem Plan enthaltenen projizierten Pfad für die öffentliche Schuldenquote.</w:t>
            </w:r>
          </w:p>
        </w:tc>
        <w:tc>
          <w:tcPr>
            <w:tcW w:w="4876" w:type="dxa"/>
            <w:hideMark/>
          </w:tcPr>
          <w:p w:rsidR="00AF0131" w:rsidRPr="00591E75" w:rsidRDefault="00E51FF1" w:rsidP="00C33FBD">
            <w:pPr>
              <w:pStyle w:val="Normal6"/>
              <w:rPr>
                <w:szCs w:val="24"/>
              </w:rPr>
            </w:pPr>
            <w:r w:rsidRPr="00591E75">
              <w:t>b)</w:t>
            </w:r>
            <w:r w:rsidRPr="00591E75">
              <w:tab/>
              <w:t>Einen Vergleich zwisch</w:t>
            </w:r>
            <w:r w:rsidRPr="00591E75">
              <w:t xml:space="preserve">en den Projektionen für die wichtigsten ökonomischen </w:t>
            </w:r>
            <w:r w:rsidRPr="00591E75">
              <w:rPr>
                <w:b/>
                <w:bCs/>
                <w:i/>
                <w:iCs/>
              </w:rPr>
              <w:t>und sozialen</w:t>
            </w:r>
            <w:r w:rsidRPr="00591E75">
              <w:t xml:space="preserve"> Variablen, die im nationalen mittelfristigen strukturellen finanzpolitischen Plan enthalten sind, und den Ist-Daten für diese Variablen ab Beginn der Laufzeit dieses Plans sowie die Auswirku</w:t>
            </w:r>
            <w:r w:rsidRPr="00591E75">
              <w:t xml:space="preserve">ngen auf die Einhaltung des vom Rat festgelegten Nettoausgabenpfads und die Auswirkungen auf den in diesem Plan enthaltenen projizierten Pfad für die öffentliche Schuldenquote </w:t>
            </w:r>
            <w:r w:rsidRPr="00591E75">
              <w:rPr>
                <w:b/>
                <w:bCs/>
                <w:i/>
                <w:iCs/>
              </w:rPr>
              <w:t>sowie die Einhaltung der Verwirklichung der nationalen Ziele in Verbindung mit d</w:t>
            </w:r>
            <w:r w:rsidRPr="00591E75">
              <w:rPr>
                <w:b/>
                <w:bCs/>
                <w:i/>
                <w:iCs/>
              </w:rPr>
              <w:t>en Kernzielen der europäischen Säule sozialer Rechte</w:t>
            </w:r>
            <w:r w:rsidRPr="00591E75">
              <w:t>.</w:t>
            </w:r>
          </w:p>
        </w:tc>
      </w:tr>
    </w:tbl>
    <w:p w:rsidR="00AF0131" w:rsidRPr="00591E75" w:rsidRDefault="00E51FF1" w:rsidP="00AF0131">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39</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Anhang III – Absatz 1 – Buchstabe h</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h)</w:t>
            </w:r>
            <w:r w:rsidRPr="00591E75">
              <w:tab/>
              <w:t>Die Hauptannahmen bezüglich der erwarteten wirtschaftlichen Entwicklungen und der wichtigsten ökonomischen Variablen in den folgenden Jahren des Anpassungszeitraums, einschließlich der öffentlichen Schuldenquote.</w:t>
            </w:r>
          </w:p>
        </w:tc>
        <w:tc>
          <w:tcPr>
            <w:tcW w:w="4876" w:type="dxa"/>
            <w:hideMark/>
          </w:tcPr>
          <w:p w:rsidR="00AF0131" w:rsidRPr="00591E75" w:rsidRDefault="00E51FF1" w:rsidP="00C33FBD">
            <w:pPr>
              <w:pStyle w:val="Normal6"/>
              <w:rPr>
                <w:szCs w:val="24"/>
              </w:rPr>
            </w:pPr>
            <w:r w:rsidRPr="00591E75">
              <w:t>h)</w:t>
            </w:r>
            <w:r w:rsidRPr="00591E75">
              <w:tab/>
              <w:t>Die Hauptannahmen bezüglich der erwa</w:t>
            </w:r>
            <w:r w:rsidRPr="00591E75">
              <w:t xml:space="preserve">rteten wirtschaftlichen </w:t>
            </w:r>
            <w:r w:rsidRPr="00591E75">
              <w:rPr>
                <w:b/>
                <w:i/>
              </w:rPr>
              <w:t>und sozialen</w:t>
            </w:r>
            <w:r w:rsidRPr="00591E75">
              <w:t xml:space="preserve"> Entwicklungen und der wichtigsten ökonomischen </w:t>
            </w:r>
            <w:r w:rsidRPr="00591E75">
              <w:rPr>
                <w:b/>
                <w:i/>
              </w:rPr>
              <w:t>und sozialen</w:t>
            </w:r>
            <w:r w:rsidRPr="00591E75">
              <w:t xml:space="preserve"> Variablen in den folgenden Jahren des Anpassungszeitraums, einschließlich der öffentlichen Schuldenquote.</w:t>
            </w:r>
          </w:p>
        </w:tc>
      </w:tr>
    </w:tbl>
    <w:p w:rsidR="00AF0131" w:rsidRPr="00591E75" w:rsidRDefault="00E51FF1" w:rsidP="00C56375">
      <w:pPr>
        <w:rPr>
          <w:rStyle w:val="HideTWBExt"/>
          <w:rFonts w:ascii="Times New Roman" w:hAnsi="Times New Roman" w:cs="Times New Roman"/>
          <w:noProof w:val="0"/>
          <w:vanish w:val="0"/>
          <w:color w:val="auto"/>
          <w:sz w:val="24"/>
        </w:rPr>
      </w:pPr>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40</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Anhang III – Absatz 1 – Buchstabe l</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l)</w:t>
            </w:r>
            <w:r w:rsidRPr="00591E75">
              <w:tab/>
              <w:t>Gegebenenfalls eine Analyse der Entwicklung der makroökonomischen Ungleichgewichte, die im Rahmen des V</w:t>
            </w:r>
            <w:r w:rsidRPr="00591E75">
              <w:t xml:space="preserve">erfahrens bei einem makroökonomischen Ungleichgewicht festgestellt wurden, und der Auswirkungen der Umsetzung der gemäß Anhang II </w:t>
            </w:r>
            <w:r w:rsidRPr="00591E75">
              <w:rPr>
                <w:b/>
                <w:bCs/>
                <w:i/>
                <w:iCs/>
              </w:rPr>
              <w:t>Buchstabe</w:t>
            </w:r>
            <w:r w:rsidRPr="00591E75">
              <w:t> n im nationalen mittelfristigen strukturellen finanzpolitischen Plan ausgewiesenen einschlägigen Reformen und Invest</w:t>
            </w:r>
            <w:r w:rsidRPr="00591E75">
              <w:t>itionen auf diese Ungleichgewichte.</w:t>
            </w:r>
          </w:p>
        </w:tc>
        <w:tc>
          <w:tcPr>
            <w:tcW w:w="4876" w:type="dxa"/>
            <w:hideMark/>
          </w:tcPr>
          <w:p w:rsidR="00AF0131" w:rsidRPr="00591E75" w:rsidRDefault="00E51FF1" w:rsidP="00C33FBD">
            <w:pPr>
              <w:pStyle w:val="Normal6"/>
              <w:rPr>
                <w:szCs w:val="24"/>
              </w:rPr>
            </w:pPr>
            <w:r w:rsidRPr="00591E75">
              <w:t>l)</w:t>
            </w:r>
            <w:r w:rsidRPr="00591E75">
              <w:tab/>
              <w:t xml:space="preserve">Gegebenenfalls eine Analyse der Entwicklung der makroökonomischen Ungleichgewichte, die im Rahmen des Verfahrens bei einem makroökonomischen Ungleichgewicht festgestellt wurden, </w:t>
            </w:r>
            <w:r w:rsidRPr="00591E75">
              <w:rPr>
                <w:b/>
                <w:bCs/>
                <w:i/>
                <w:iCs/>
              </w:rPr>
              <w:t>sowie der innerhalb des Rahmens für soz</w:t>
            </w:r>
            <w:r w:rsidRPr="00591E75">
              <w:rPr>
                <w:b/>
                <w:bCs/>
                <w:i/>
                <w:iCs/>
              </w:rPr>
              <w:t>iale Konvergenz festgestellten Risiken in Bezug auf soziale Konvergenz</w:t>
            </w:r>
            <w:r w:rsidRPr="00591E75">
              <w:t xml:space="preserve"> und der Auswirkungen der Umsetzung der gemäß Anhang II </w:t>
            </w:r>
            <w:r w:rsidRPr="00591E75">
              <w:rPr>
                <w:b/>
                <w:bCs/>
                <w:i/>
                <w:iCs/>
              </w:rPr>
              <w:t>Buchstaben</w:t>
            </w:r>
            <w:r w:rsidRPr="00591E75">
              <w:t xml:space="preserve"> n </w:t>
            </w:r>
            <w:r w:rsidRPr="00591E75">
              <w:rPr>
                <w:b/>
                <w:bCs/>
                <w:i/>
                <w:iCs/>
              </w:rPr>
              <w:t>und o</w:t>
            </w:r>
            <w:r w:rsidRPr="00591E75">
              <w:t xml:space="preserve"> im nationalen mittelfristigen strukturellen finanzpolitischen Plan ausgewiesenen einschlägigen Reformen und Inv</w:t>
            </w:r>
            <w:r w:rsidRPr="00591E75">
              <w:t>estitionen auf diese Ungleichgewichte.</w:t>
            </w:r>
          </w:p>
        </w:tc>
      </w:tr>
    </w:tbl>
    <w:p w:rsidR="00AF0131" w:rsidRPr="00591E75" w:rsidRDefault="00E51FF1" w:rsidP="00C56375">
      <w:pPr>
        <w:rPr>
          <w:rStyle w:val="HideTWBExt"/>
          <w:rFonts w:ascii="Times New Roman" w:hAnsi="Times New Roman" w:cs="Times New Roman"/>
          <w:noProof w:val="0"/>
          <w:vanish w:val="0"/>
          <w:color w:val="auto"/>
          <w:sz w:val="24"/>
        </w:rPr>
      </w:pPr>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41</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Anhang III – Absatz 1 – Buchstabe n</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n)</w:t>
            </w:r>
            <w:r w:rsidRPr="00591E75">
              <w:tab/>
              <w:t xml:space="preserve">Angaben zu </w:t>
            </w:r>
            <w:r w:rsidRPr="00591E75">
              <w:t>Entwicklungen am Arbeitsmarkt, bei Kompetenzen und bei Sozialpolitik und zur Umsetzung von Politikmaßnahmen, die im Einklang mit den Grundsätzen der europäischen Säule sozialer Rechte und den nach Artikel 148 AEUV festgelegten beschäftigungspolitischen Lei</w:t>
            </w:r>
            <w:r w:rsidRPr="00591E75">
              <w:t>tlinien die soziale Konvergenz zwischen den Mitgliedstaaten hin zu besseren Arbeits- und Lebensbedingungen fördern. Hierzu zählen auch die erwarteten Auswirkungen der Maßnahmen im Hinblick auf Fortschritte bei den nationalen Zielen in den Bereichen Beschäf</w:t>
            </w:r>
            <w:r w:rsidRPr="00591E75">
              <w:t>tigung, Kompetenzen und Armutsbekämpfung bis 2030.</w:t>
            </w:r>
          </w:p>
        </w:tc>
        <w:tc>
          <w:tcPr>
            <w:tcW w:w="4876" w:type="dxa"/>
            <w:hideMark/>
          </w:tcPr>
          <w:p w:rsidR="00AF0131" w:rsidRPr="00591E75" w:rsidRDefault="00E51FF1" w:rsidP="00C33FBD">
            <w:pPr>
              <w:pStyle w:val="Normal6"/>
              <w:rPr>
                <w:szCs w:val="24"/>
              </w:rPr>
            </w:pPr>
            <w:r w:rsidRPr="00591E75">
              <w:t>n)</w:t>
            </w:r>
            <w:r w:rsidRPr="00591E75">
              <w:tab/>
            </w:r>
            <w:r w:rsidRPr="00591E75">
              <w:t>Angaben zu Entwicklungen am Arbeitsmarkt, bei Kompetenzen und bei Sozialpolitik und zur Umsetzung von Politikmaßnahmen, die im Einklang mit den Grundsätzen der europäischen Säule sozialer Rechte und den nach Artikel 148 AEUV festgelegten beschäftigungspoli</w:t>
            </w:r>
            <w:r w:rsidRPr="00591E75">
              <w:t xml:space="preserve">tischen Leitlinien </w:t>
            </w:r>
            <w:r w:rsidRPr="00591E75">
              <w:rPr>
                <w:b/>
                <w:bCs/>
                <w:i/>
                <w:iCs/>
              </w:rPr>
              <w:t>sowie dem Rahmen für soziale Konvergenz</w:t>
            </w:r>
            <w:r w:rsidRPr="00591E75">
              <w:t xml:space="preserve"> die soziale Konvergenz zwischen den Mitgliedstaaten hin zu besseren Arbeits- und Lebensbedingungen fördern. Hierzu zählen auch die erwarteten Auswirkungen der Maßnahmen im Hinblick auf Fortschritte</w:t>
            </w:r>
            <w:r w:rsidRPr="00591E75">
              <w:t xml:space="preserve"> bei den nationalen Zielen in den Bereichen Beschäftigung, Kompetenzen und Armutsbekämpfung bis 2030 </w:t>
            </w:r>
            <w:r w:rsidRPr="00591E75">
              <w:rPr>
                <w:b/>
                <w:bCs/>
                <w:i/>
                <w:iCs/>
              </w:rPr>
              <w:t>und gegebenenfalls die erwarteten Auswirkungen von Maßnahmen zur Korrektur der innerhalb des Rahmens für soziale Konvergenz festgestellten Risiken in Bezug</w:t>
            </w:r>
            <w:r w:rsidRPr="00591E75">
              <w:rPr>
                <w:b/>
                <w:bCs/>
                <w:i/>
                <w:iCs/>
              </w:rPr>
              <w:t xml:space="preserve"> auf soziale Konvergenz</w:t>
            </w:r>
            <w:r w:rsidRPr="00591E75">
              <w:rPr>
                <w:b/>
                <w:bCs/>
              </w:rPr>
              <w:t>.</w:t>
            </w:r>
          </w:p>
        </w:tc>
      </w:tr>
    </w:tbl>
    <w:p w:rsidR="00AF0131" w:rsidRPr="00591E75" w:rsidRDefault="00E51FF1" w:rsidP="00AF0131">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42</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Anhang III – Absatz 1 – Buchstabe o a (neu)</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AF0131" w:rsidP="00C33FBD">
            <w:pPr>
              <w:pStyle w:val="Normal6"/>
            </w:pPr>
          </w:p>
        </w:tc>
        <w:tc>
          <w:tcPr>
            <w:tcW w:w="4876" w:type="dxa"/>
            <w:hideMark/>
          </w:tcPr>
          <w:p w:rsidR="00AF0131" w:rsidRPr="00591E75" w:rsidRDefault="00E51FF1" w:rsidP="00C33FBD">
            <w:pPr>
              <w:pStyle w:val="Normal6"/>
              <w:rPr>
                <w:szCs w:val="24"/>
              </w:rPr>
            </w:pPr>
            <w:r w:rsidRPr="00591E75">
              <w:rPr>
                <w:b/>
                <w:i/>
              </w:rPr>
              <w:t>oa)</w:t>
            </w:r>
            <w:r w:rsidRPr="00591E75">
              <w:tab/>
              <w:t xml:space="preserve">Angaben zur </w:t>
            </w:r>
            <w:r w:rsidRPr="00591E75">
              <w:t>Konsultation von Sozialpartnern, Organisationen der Zivilgesellschaft und anderen relevanten Interessenträgern vor Ausarbeitung des Berichts.</w:t>
            </w:r>
          </w:p>
        </w:tc>
      </w:tr>
    </w:tbl>
    <w:p w:rsidR="00AF0131" w:rsidRPr="00591E75" w:rsidRDefault="00E51FF1" w:rsidP="00C56375">
      <w:pPr>
        <w:rPr>
          <w:rStyle w:val="HideTWBExt"/>
          <w:rFonts w:ascii="Times New Roman" w:hAnsi="Times New Roman" w:cs="Times New Roman"/>
          <w:noProof w:val="0"/>
          <w:vanish w:val="0"/>
          <w:color w:val="auto"/>
          <w:sz w:val="24"/>
        </w:rPr>
      </w:pPr>
      <w:r w:rsidRPr="00591E75">
        <w:rPr>
          <w:rStyle w:val="HideTWBExt"/>
        </w:rPr>
        <w:t>&lt;/Amend&gt;</w:t>
      </w:r>
    </w:p>
    <w:p w:rsidR="00AF0131" w:rsidRPr="00591E75" w:rsidRDefault="00E51FF1" w:rsidP="00C56375">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43</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Anhang VII – Nummer 2 – Absatz 2 – Nummer 2.1 – Einleitung</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2.1</w:t>
            </w:r>
            <w:r w:rsidRPr="00591E75">
              <w:tab/>
              <w:t xml:space="preserve">Die Reform- und Investitionszusagen </w:t>
            </w:r>
            <w:r w:rsidRPr="00591E75">
              <w:rPr>
                <w:b/>
                <w:bCs/>
                <w:i/>
                <w:iCs/>
              </w:rPr>
              <w:t>sind wachstumsfördernd</w:t>
            </w:r>
          </w:p>
        </w:tc>
        <w:tc>
          <w:tcPr>
            <w:tcW w:w="4876" w:type="dxa"/>
            <w:hideMark/>
          </w:tcPr>
          <w:p w:rsidR="00AF0131" w:rsidRPr="00591E75" w:rsidRDefault="00E51FF1" w:rsidP="00C33FBD">
            <w:pPr>
              <w:pStyle w:val="Normal6"/>
              <w:rPr>
                <w:szCs w:val="24"/>
              </w:rPr>
            </w:pPr>
            <w:r w:rsidRPr="00591E75">
              <w:t>2.1</w:t>
            </w:r>
            <w:r w:rsidRPr="00591E75">
              <w:tab/>
              <w:t xml:space="preserve">Die Reform- und Investitionszusagen </w:t>
            </w:r>
            <w:r w:rsidRPr="00591E75">
              <w:rPr>
                <w:b/>
                <w:bCs/>
                <w:i/>
                <w:iCs/>
              </w:rPr>
              <w:t>fördern ein nachhaltiges Wachstum</w:t>
            </w:r>
            <w:r w:rsidRPr="00591E75">
              <w:t xml:space="preserve"> </w:t>
            </w:r>
            <w:r w:rsidRPr="00591E75">
              <w:rPr>
                <w:b/>
                <w:i/>
              </w:rPr>
              <w:t xml:space="preserve">Die </w:t>
            </w:r>
            <w:r w:rsidRPr="00591E75">
              <w:rPr>
                <w:b/>
                <w:i/>
              </w:rPr>
              <w:t>Reform- und Investitionszusagen dürften zu ausreichenden Fortschritten bei der Verwirklichung der nationalen Ziele führen, die mit den Kernzielen der europäischen Säule sozialer Rechte und ihren wichtigsten und sekundären Indikatoren verknüpft sind;</w:t>
            </w:r>
          </w:p>
        </w:tc>
      </w:tr>
    </w:tbl>
    <w:p w:rsidR="00AF0131" w:rsidRPr="00591E75" w:rsidRDefault="00E51FF1" w:rsidP="00C56375">
      <w:pPr>
        <w:rPr>
          <w:rStyle w:val="HideTWBExt"/>
          <w:rFonts w:ascii="Times New Roman" w:hAnsi="Times New Roman" w:cs="Times New Roman"/>
          <w:noProof w:val="0"/>
          <w:vanish w:val="0"/>
          <w:color w:val="auto"/>
          <w:sz w:val="24"/>
        </w:rPr>
      </w:pPr>
      <w:r w:rsidRPr="00591E75">
        <w:rPr>
          <w:rStyle w:val="HideTWBExt"/>
        </w:rPr>
        <w:t>&lt;/Ame</w:t>
      </w:r>
      <w:r w:rsidRPr="00591E75">
        <w:rPr>
          <w:rStyle w:val="HideTWBExt"/>
        </w:rPr>
        <w:t>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44</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Anhang I – Nummer 2 – Absatz 2 – Nummer 2.2 a (neu)</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tcPr>
          <w:p w:rsidR="00AF0131" w:rsidRPr="00591E75" w:rsidRDefault="00AF0131" w:rsidP="00C33FBD">
            <w:pPr>
              <w:pStyle w:val="Normal6"/>
            </w:pPr>
          </w:p>
        </w:tc>
        <w:tc>
          <w:tcPr>
            <w:tcW w:w="4876" w:type="dxa"/>
            <w:hideMark/>
          </w:tcPr>
          <w:p w:rsidR="00AF0131" w:rsidRPr="00591E75" w:rsidRDefault="00E51FF1" w:rsidP="00C33FBD">
            <w:pPr>
              <w:pStyle w:val="Normal6"/>
              <w:rPr>
                <w:szCs w:val="24"/>
              </w:rPr>
            </w:pPr>
            <w:r w:rsidRPr="00591E75">
              <w:rPr>
                <w:b/>
                <w:i/>
              </w:rPr>
              <w:t>2.2a</w:t>
            </w:r>
            <w:r w:rsidRPr="00591E75">
              <w:rPr>
                <w:b/>
                <w:i/>
              </w:rPr>
              <w:tab/>
              <w:t xml:space="preserve">Die Reform- und Investitionszusagen </w:t>
            </w:r>
            <w:r w:rsidRPr="00591E75">
              <w:rPr>
                <w:b/>
                <w:i/>
              </w:rPr>
              <w:t>fördern soziale Aufwärtskonvergenz;</w:t>
            </w:r>
          </w:p>
        </w:tc>
      </w:tr>
    </w:tbl>
    <w:p w:rsidR="00AF0131" w:rsidRPr="00591E75" w:rsidRDefault="00E51FF1" w:rsidP="00C56375">
      <w:pPr>
        <w:rPr>
          <w:rStyle w:val="HideTWBExt"/>
          <w:rFonts w:ascii="Times New Roman" w:hAnsi="Times New Roman" w:cs="Times New Roman"/>
          <w:noProof w:val="0"/>
          <w:vanish w:val="0"/>
          <w:color w:val="auto"/>
          <w:sz w:val="24"/>
        </w:rPr>
      </w:pPr>
      <w:r w:rsidRPr="00591E75">
        <w:rPr>
          <w:rStyle w:val="HideTWBExt"/>
        </w:rPr>
        <w:t>&lt;/Amend&gt;</w:t>
      </w: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45</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Anhang VII – Nummer 2 – Absatz 2 – Nummer 2.4 – Einleitung</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 xml:space="preserve">Geänderter </w:t>
            </w:r>
            <w:r w:rsidRPr="00591E75">
              <w:t>Text</w:t>
            </w:r>
          </w:p>
        </w:tc>
      </w:tr>
      <w:tr w:rsidR="00484958" w:rsidRPr="00591E75" w:rsidTr="00C33FBD">
        <w:trPr>
          <w:jc w:val="center"/>
        </w:trPr>
        <w:tc>
          <w:tcPr>
            <w:tcW w:w="4876" w:type="dxa"/>
            <w:hideMark/>
          </w:tcPr>
          <w:p w:rsidR="00AF0131" w:rsidRPr="00591E75" w:rsidRDefault="00E51FF1" w:rsidP="00C33FBD">
            <w:pPr>
              <w:pStyle w:val="Normal6"/>
            </w:pPr>
            <w:r w:rsidRPr="00591E75">
              <w:t>2.4</w:t>
            </w:r>
            <w:r w:rsidRPr="00591E75">
              <w:tab/>
              <w:t>Die Reform- und Investitionszusagen tragen in ihrer Gesamtheit zur Umsetzung der einschlägigen länderspezifischen Empfehlungen und – falls zutreffend – der im Rahmen des Verfahrens bei einem makroökonomischen Ungleichgewicht abgegebenen Empfehlun</w:t>
            </w:r>
            <w:r w:rsidRPr="00591E75">
              <w:t>gen bei</w:t>
            </w:r>
          </w:p>
        </w:tc>
        <w:tc>
          <w:tcPr>
            <w:tcW w:w="4876" w:type="dxa"/>
            <w:hideMark/>
          </w:tcPr>
          <w:p w:rsidR="00AF0131" w:rsidRPr="00591E75" w:rsidRDefault="00E51FF1" w:rsidP="00C33FBD">
            <w:pPr>
              <w:pStyle w:val="Normal6"/>
              <w:rPr>
                <w:szCs w:val="24"/>
              </w:rPr>
            </w:pPr>
            <w:r w:rsidRPr="00591E75">
              <w:t>2.4</w:t>
            </w:r>
            <w:r w:rsidRPr="00591E75">
              <w:tab/>
              <w:t xml:space="preserve">Die Reform- und Investitionszusagen tragen in ihrer Gesamtheit zur Umsetzung der einschlägigen länderspezifischen Empfehlungen </w:t>
            </w:r>
            <w:r w:rsidRPr="00591E75">
              <w:rPr>
                <w:b/>
                <w:bCs/>
                <w:i/>
                <w:iCs/>
              </w:rPr>
              <w:t>gemäß Artikel 121 Absatz 4 und Artikel 148 Absatz 4 AEUV</w:t>
            </w:r>
            <w:r w:rsidRPr="00591E75">
              <w:t xml:space="preserve"> und – falls zutreffend – der im Rahmen des Verfahrens bei ei</w:t>
            </w:r>
            <w:r w:rsidRPr="00591E75">
              <w:t>nem makroökonomischen Ungleichgewicht abgegebenen Empfehlungen bei</w:t>
            </w:r>
          </w:p>
        </w:tc>
      </w:tr>
    </w:tbl>
    <w:p w:rsidR="00AF0131" w:rsidRPr="00591E75" w:rsidRDefault="00E51FF1" w:rsidP="00C56375">
      <w:pPr>
        <w:rPr>
          <w:rStyle w:val="HideTWBExt"/>
          <w:rFonts w:ascii="Times New Roman" w:hAnsi="Times New Roman" w:cs="Times New Roman"/>
          <w:noProof w:val="0"/>
          <w:vanish w:val="0"/>
          <w:color w:val="auto"/>
          <w:sz w:val="24"/>
        </w:rPr>
      </w:pPr>
      <w:r w:rsidRPr="00591E75">
        <w:rPr>
          <w:rStyle w:val="HideTWBExt"/>
        </w:rPr>
        <w:t>&lt;/Amend&gt;</w:t>
      </w:r>
    </w:p>
    <w:p w:rsidR="00AF0131" w:rsidRPr="00591E75" w:rsidRDefault="00AF0131" w:rsidP="00AF0131">
      <w:pPr>
        <w:rPr>
          <w:rStyle w:val="HideTWBExt"/>
        </w:rPr>
      </w:pPr>
    </w:p>
    <w:p w:rsidR="00AF0131" w:rsidRPr="00591E75" w:rsidRDefault="00E51FF1" w:rsidP="00AF0131">
      <w:pPr>
        <w:pStyle w:val="AmNumberTabs"/>
      </w:pPr>
      <w:r w:rsidRPr="00591E75">
        <w:rPr>
          <w:rStyle w:val="HideTWBExt"/>
          <w:b w:val="0"/>
        </w:rPr>
        <w:t>&lt;Amend&gt;</w:t>
      </w:r>
      <w:r w:rsidRPr="00591E75">
        <w:t>Änderungsantrag</w:t>
      </w:r>
      <w:r w:rsidRPr="00591E75">
        <w:tab/>
      </w:r>
      <w:r w:rsidRPr="00591E75">
        <w:tab/>
      </w:r>
      <w:r w:rsidRPr="00591E75">
        <w:rPr>
          <w:rStyle w:val="HideTWBExt"/>
          <w:b w:val="0"/>
        </w:rPr>
        <w:t>&lt;NumAm&gt;</w:t>
      </w:r>
      <w:r w:rsidRPr="00591E75">
        <w:t>46</w:t>
      </w:r>
      <w:r w:rsidRPr="00591E75">
        <w:rPr>
          <w:rStyle w:val="HideTWBExt"/>
          <w:b w:val="0"/>
        </w:rPr>
        <w:t>&lt;/NumAm&gt;</w:t>
      </w:r>
    </w:p>
    <w:p w:rsidR="00AF0131" w:rsidRPr="00591E75" w:rsidRDefault="00AF0131" w:rsidP="00AF0131"/>
    <w:p w:rsidR="00AF0131" w:rsidRPr="00591E75" w:rsidRDefault="00E51FF1" w:rsidP="00AF0131">
      <w:pPr>
        <w:pStyle w:val="NormalBold"/>
        <w:keepNext/>
      </w:pPr>
      <w:r w:rsidRPr="00591E75">
        <w:rPr>
          <w:rStyle w:val="HideTWBExt"/>
          <w:b w:val="0"/>
        </w:rPr>
        <w:t>&lt;DocAmend&gt;</w:t>
      </w:r>
      <w:r w:rsidRPr="00591E75">
        <w:t>Vorschlag für eine Verordnung</w:t>
      </w:r>
      <w:r w:rsidRPr="00591E75">
        <w:rPr>
          <w:rStyle w:val="HideTWBExt"/>
          <w:b w:val="0"/>
        </w:rPr>
        <w:t>&lt;/DocAmend&gt;</w:t>
      </w:r>
    </w:p>
    <w:p w:rsidR="00AF0131" w:rsidRPr="00591E75" w:rsidRDefault="00E51FF1" w:rsidP="00AF0131">
      <w:pPr>
        <w:pStyle w:val="NormalBold"/>
      </w:pPr>
      <w:r w:rsidRPr="00591E75">
        <w:rPr>
          <w:rStyle w:val="HideTWBExt"/>
          <w:b w:val="0"/>
        </w:rPr>
        <w:t>&lt;Article&gt;</w:t>
      </w:r>
      <w:r w:rsidRPr="00591E75">
        <w:t>Anhang VII – Nummer 2 – Absatz 2 – Nummer 2.4 – Spiegelstrich 1</w:t>
      </w:r>
      <w:r w:rsidRPr="00591E7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958" w:rsidRPr="00591E75" w:rsidTr="00C33FBD">
        <w:trPr>
          <w:jc w:val="center"/>
        </w:trPr>
        <w:tc>
          <w:tcPr>
            <w:tcW w:w="9752" w:type="dxa"/>
            <w:gridSpan w:val="2"/>
          </w:tcPr>
          <w:p w:rsidR="00AF0131" w:rsidRPr="00591E75" w:rsidRDefault="00AF0131" w:rsidP="00C33FBD">
            <w:pPr>
              <w:keepNext/>
            </w:pPr>
          </w:p>
        </w:tc>
      </w:tr>
      <w:tr w:rsidR="00484958" w:rsidRPr="00591E75" w:rsidTr="00C33FBD">
        <w:trPr>
          <w:jc w:val="center"/>
        </w:trPr>
        <w:tc>
          <w:tcPr>
            <w:tcW w:w="4876" w:type="dxa"/>
            <w:hideMark/>
          </w:tcPr>
          <w:p w:rsidR="00AF0131" w:rsidRPr="00591E75" w:rsidRDefault="00E51FF1" w:rsidP="00C33FBD">
            <w:pPr>
              <w:pStyle w:val="ColumnHeading"/>
              <w:keepNext/>
            </w:pPr>
            <w:r w:rsidRPr="00591E75">
              <w:t>Vorschlag der Kommission</w:t>
            </w:r>
          </w:p>
        </w:tc>
        <w:tc>
          <w:tcPr>
            <w:tcW w:w="4876" w:type="dxa"/>
            <w:hideMark/>
          </w:tcPr>
          <w:p w:rsidR="00AF0131" w:rsidRPr="00591E75" w:rsidRDefault="00E51FF1" w:rsidP="00C33FBD">
            <w:pPr>
              <w:pStyle w:val="ColumnHeading"/>
              <w:keepNext/>
            </w:pPr>
            <w:r w:rsidRPr="00591E75">
              <w:t>Geänderter Text</w:t>
            </w:r>
          </w:p>
        </w:tc>
      </w:tr>
      <w:tr w:rsidR="00484958" w:rsidRPr="00591E75" w:rsidTr="00C33FBD">
        <w:trPr>
          <w:jc w:val="center"/>
        </w:trPr>
        <w:tc>
          <w:tcPr>
            <w:tcW w:w="4876" w:type="dxa"/>
            <w:hideMark/>
          </w:tcPr>
          <w:p w:rsidR="00AF0131" w:rsidRPr="00591E75" w:rsidRDefault="00E51FF1" w:rsidP="00C33FBD">
            <w:pPr>
              <w:pStyle w:val="Normal6"/>
            </w:pPr>
            <w:r w:rsidRPr="00591E75">
              <w:t>–</w:t>
            </w:r>
            <w:r w:rsidRPr="00591E75">
              <w:tab/>
              <w:t>Es wird erwartet, dass durch die Reform- und Investitionszusagen in ihrer Gesamtheit, auf deren Grundlage der Anpassungszeitraum verlängert werden soll, die in den einschlägigen länderspezifischen Empfehlungen u</w:t>
            </w:r>
            <w:r w:rsidRPr="00591E75">
              <w:t>nd gegebenenfalls den Empfehlungen im Rahmen des Verfahrens bei einem makroökonomischen Ungleichgewicht ermittelten Herausforderungen angegangen werden und dabei – falls relevant – dem Umfang und der Größe der Herausforderungen des jeweiligen Landes und de</w:t>
            </w:r>
            <w:r w:rsidRPr="00591E75">
              <w:t>n im Rahmen der Aufbau- und Resilienzpläne abgegebenen Zusagen Rechnung getragen wird.</w:t>
            </w:r>
          </w:p>
        </w:tc>
        <w:tc>
          <w:tcPr>
            <w:tcW w:w="4876" w:type="dxa"/>
            <w:hideMark/>
          </w:tcPr>
          <w:p w:rsidR="00AF0131" w:rsidRPr="00591E75" w:rsidRDefault="00E51FF1" w:rsidP="00C33FBD">
            <w:pPr>
              <w:pStyle w:val="Normal6"/>
              <w:rPr>
                <w:szCs w:val="24"/>
              </w:rPr>
            </w:pPr>
            <w:r w:rsidRPr="00591E75">
              <w:t>–</w:t>
            </w:r>
            <w:r w:rsidRPr="00591E75">
              <w:tab/>
              <w:t>Es wird erwartet, dass durch die Reform- und Investitionszusagen in ihrer Gesamtheit, auf deren Grundlage der Anpassungszeitraum verlängert werden soll, die in den ein</w:t>
            </w:r>
            <w:r w:rsidRPr="00591E75">
              <w:t xml:space="preserve">schlägigen länderspezifischen Empfehlungen und gegebenenfalls den Empfehlungen im Rahmen des Verfahrens bei einem makroökonomischen Ungleichgewicht </w:t>
            </w:r>
            <w:r w:rsidRPr="00591E75">
              <w:rPr>
                <w:b/>
                <w:bCs/>
                <w:i/>
                <w:iCs/>
              </w:rPr>
              <w:t>und den gemäß Artikel 148 Absatz 4 AEUV abgegebenen Empfehlungen</w:t>
            </w:r>
            <w:r w:rsidRPr="00591E75">
              <w:t xml:space="preserve"> ermittelten Herausforderungen angegangen we</w:t>
            </w:r>
            <w:r w:rsidRPr="00591E75">
              <w:t>rden und dabei – falls relevant – dem Umfang und der Größe der Herausforderungen des jeweiligen Landes und den im Rahmen der Aufbau- und Resilienzpläne abgegebenen Zusagen Rechnung getragen wird.</w:t>
            </w:r>
          </w:p>
        </w:tc>
      </w:tr>
    </w:tbl>
    <w:p w:rsidR="00AF0131" w:rsidRPr="00591E75" w:rsidRDefault="00E51FF1" w:rsidP="00AF0131">
      <w:pPr>
        <w:rPr>
          <w:rStyle w:val="HideTWBExt"/>
        </w:rPr>
      </w:pPr>
      <w:r w:rsidRPr="00591E75">
        <w:rPr>
          <w:rStyle w:val="HideTWBExt"/>
        </w:rPr>
        <w:t>&lt;/Amend&gt;</w:t>
      </w:r>
    </w:p>
    <w:p w:rsidR="00AF0131" w:rsidRPr="00591E75" w:rsidRDefault="00E51FF1" w:rsidP="00AF0131">
      <w:pPr>
        <w:rPr>
          <w:rStyle w:val="HideTWBExt"/>
          <w:szCs w:val="20"/>
        </w:rPr>
      </w:pPr>
      <w:r w:rsidRPr="00591E75">
        <w:rPr>
          <w:rStyle w:val="HideTWBExt"/>
        </w:rPr>
        <w:t>&lt;/RepeatBlock-Amend&gt;</w:t>
      </w:r>
    </w:p>
    <w:p w:rsidR="00AF0131" w:rsidRPr="00591E75" w:rsidRDefault="00E51FF1" w:rsidP="00AF0131">
      <w:r w:rsidRPr="00591E75">
        <w:br w:type="page"/>
      </w:r>
    </w:p>
    <w:p w:rsidR="00AF0131" w:rsidRPr="00591E75" w:rsidRDefault="00E51FF1" w:rsidP="00AF0131">
      <w:pPr>
        <w:pStyle w:val="PageHeadingNotTOC"/>
      </w:pPr>
      <w:bookmarkStart w:id="2" w:name="ProcPageAD"/>
      <w:r w:rsidRPr="00591E75">
        <w:t>VERFAHREN DES MITBERATENDEN</w:t>
      </w:r>
      <w:r w:rsidRPr="00591E75">
        <w:t xml:space="preserve"> AUSSCHUSSES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84958" w:rsidRPr="00591E75"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591E75" w:rsidRDefault="00E51FF1" w:rsidP="00C33FBD">
            <w:pPr>
              <w:autoSpaceDE w:val="0"/>
              <w:autoSpaceDN w:val="0"/>
              <w:adjustRightInd w:val="0"/>
              <w:rPr>
                <w:b/>
                <w:bCs/>
                <w:color w:val="000000"/>
                <w:sz w:val="20"/>
                <w:szCs w:val="20"/>
              </w:rPr>
            </w:pPr>
            <w:r w:rsidRPr="00591E75">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591E75" w:rsidRDefault="00E51FF1" w:rsidP="00C33FBD">
            <w:pPr>
              <w:autoSpaceDE w:val="0"/>
              <w:autoSpaceDN w:val="0"/>
              <w:adjustRightInd w:val="0"/>
              <w:rPr>
                <w:color w:val="000000"/>
                <w:sz w:val="20"/>
                <w:szCs w:val="20"/>
              </w:rPr>
            </w:pPr>
            <w:r w:rsidRPr="00591E75">
              <w:rPr>
                <w:color w:val="000000"/>
                <w:sz w:val="20"/>
              </w:rPr>
              <w:t>Wirksame Koordinierung der Wirtschaftspolitik und multilaterale haushaltspolitische Überwachung und Aufhebung der Verordnung (EG) Nr. 1466/97 des Rates</w:t>
            </w:r>
          </w:p>
        </w:tc>
      </w:tr>
      <w:tr w:rsidR="00484958" w:rsidRPr="00591E75"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591E75" w:rsidRDefault="00E51FF1" w:rsidP="00C33FBD">
            <w:pPr>
              <w:autoSpaceDE w:val="0"/>
              <w:autoSpaceDN w:val="0"/>
              <w:adjustRightInd w:val="0"/>
              <w:rPr>
                <w:b/>
                <w:bCs/>
                <w:color w:val="000000"/>
                <w:sz w:val="20"/>
                <w:szCs w:val="20"/>
              </w:rPr>
            </w:pPr>
            <w:r w:rsidRPr="00591E75">
              <w:rPr>
                <w:b/>
                <w:color w:val="000000"/>
                <w:sz w:val="20"/>
              </w:rPr>
              <w:t>Bezugsdokumente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591E75" w:rsidRDefault="00E51FF1" w:rsidP="00C33FBD">
            <w:pPr>
              <w:autoSpaceDE w:val="0"/>
              <w:autoSpaceDN w:val="0"/>
              <w:adjustRightInd w:val="0"/>
              <w:rPr>
                <w:color w:val="000000"/>
                <w:sz w:val="20"/>
                <w:szCs w:val="20"/>
              </w:rPr>
            </w:pPr>
            <w:r w:rsidRPr="00591E75">
              <w:rPr>
                <w:color w:val="000000"/>
                <w:sz w:val="20"/>
              </w:rPr>
              <w:t>COM(2023)0240 – C9-0150/2023 – 2023/0138(COD)</w:t>
            </w:r>
          </w:p>
        </w:tc>
      </w:tr>
      <w:tr w:rsidR="00484958" w:rsidRPr="00591E75"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591E75" w:rsidRDefault="00E51FF1" w:rsidP="00C33FBD">
            <w:pPr>
              <w:autoSpaceDE w:val="0"/>
              <w:autoSpaceDN w:val="0"/>
              <w:adjustRightInd w:val="0"/>
              <w:rPr>
                <w:b/>
                <w:bCs/>
                <w:color w:val="000000"/>
                <w:sz w:val="20"/>
                <w:szCs w:val="20"/>
              </w:rPr>
            </w:pPr>
            <w:r w:rsidRPr="00591E75">
              <w:rPr>
                <w:b/>
                <w:color w:val="000000"/>
                <w:sz w:val="20"/>
              </w:rPr>
              <w:t xml:space="preserve">Federführender </w:t>
            </w:r>
            <w:r w:rsidRPr="00591E75">
              <w:rPr>
                <w:b/>
                <w:color w:val="000000"/>
                <w:sz w:val="20"/>
              </w:rPr>
              <w:t>Ausschuss</w:t>
            </w:r>
          </w:p>
          <w:p w:rsidR="00AF0131" w:rsidRPr="00591E75" w:rsidRDefault="00E51FF1" w:rsidP="00C33FBD">
            <w:pPr>
              <w:autoSpaceDE w:val="0"/>
              <w:autoSpaceDN w:val="0"/>
              <w:adjustRightInd w:val="0"/>
              <w:rPr>
                <w:color w:val="000000"/>
                <w:sz w:val="20"/>
                <w:szCs w:val="20"/>
              </w:rPr>
            </w:pPr>
            <w:r>
              <w:rPr>
                <w:color w:val="000000"/>
                <w:sz w:val="20"/>
              </w:rPr>
              <w:t xml:space="preserve"> </w:t>
            </w:r>
            <w:r w:rsidRPr="00591E75">
              <w:rPr>
                <w:color w:val="000000"/>
                <w:sz w:val="20"/>
              </w:rPr>
              <w:t>Datum der Bekanntgabe im Plenum</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591E75" w:rsidRDefault="00E51FF1" w:rsidP="00C33FBD">
            <w:pPr>
              <w:autoSpaceDE w:val="0"/>
              <w:autoSpaceDN w:val="0"/>
              <w:adjustRightInd w:val="0"/>
              <w:rPr>
                <w:color w:val="000000"/>
                <w:sz w:val="20"/>
                <w:szCs w:val="20"/>
              </w:rPr>
            </w:pPr>
            <w:r w:rsidRPr="00591E75">
              <w:rPr>
                <w:color w:val="000000"/>
                <w:sz w:val="20"/>
              </w:rPr>
              <w:t>ECON</w:t>
            </w:r>
          </w:p>
          <w:p w:rsidR="00AF0131" w:rsidRPr="00591E75" w:rsidRDefault="00E51FF1" w:rsidP="00C33FBD">
            <w:pPr>
              <w:autoSpaceDE w:val="0"/>
              <w:autoSpaceDN w:val="0"/>
              <w:adjustRightInd w:val="0"/>
              <w:rPr>
                <w:color w:val="000000"/>
                <w:sz w:val="20"/>
                <w:szCs w:val="20"/>
              </w:rPr>
            </w:pPr>
            <w:r w:rsidRPr="00591E75">
              <w:rPr>
                <w:color w:val="000000"/>
                <w:sz w:val="20"/>
              </w:rPr>
              <w:t>12.6.2023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591E75"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591E75"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591E75" w:rsidRDefault="00AF0131" w:rsidP="00C33FBD">
            <w:pPr>
              <w:autoSpaceDE w:val="0"/>
              <w:autoSpaceDN w:val="0"/>
              <w:adjustRightInd w:val="0"/>
              <w:rPr>
                <w:rFonts w:ascii="sans-serif" w:hAnsi="sans-serif" w:cs="sans-serif"/>
                <w:color w:val="000000"/>
              </w:rPr>
            </w:pPr>
          </w:p>
        </w:tc>
      </w:tr>
      <w:tr w:rsidR="00484958" w:rsidRPr="00591E75"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591E75" w:rsidRDefault="00E51FF1" w:rsidP="00C33FBD">
            <w:pPr>
              <w:autoSpaceDE w:val="0"/>
              <w:autoSpaceDN w:val="0"/>
              <w:adjustRightInd w:val="0"/>
              <w:rPr>
                <w:b/>
                <w:bCs/>
                <w:color w:val="000000"/>
                <w:sz w:val="20"/>
                <w:szCs w:val="20"/>
              </w:rPr>
            </w:pPr>
            <w:r w:rsidRPr="00591E75">
              <w:rPr>
                <w:b/>
                <w:color w:val="000000"/>
                <w:sz w:val="20"/>
              </w:rPr>
              <w:t>Stellungnahme von</w:t>
            </w:r>
          </w:p>
          <w:p w:rsidR="00AF0131" w:rsidRPr="00591E75" w:rsidRDefault="00E51FF1" w:rsidP="00C33FBD">
            <w:pPr>
              <w:autoSpaceDE w:val="0"/>
              <w:autoSpaceDN w:val="0"/>
              <w:adjustRightInd w:val="0"/>
              <w:rPr>
                <w:color w:val="000000"/>
                <w:sz w:val="20"/>
                <w:szCs w:val="20"/>
              </w:rPr>
            </w:pPr>
            <w:r>
              <w:rPr>
                <w:color w:val="000000"/>
                <w:sz w:val="20"/>
              </w:rPr>
              <w:t xml:space="preserve"> </w:t>
            </w:r>
            <w:r w:rsidRPr="00591E75">
              <w:rPr>
                <w:color w:val="000000"/>
                <w:sz w:val="20"/>
              </w:rPr>
              <w:t>Datum der Bekanntgabe im Plenum</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591E75" w:rsidRDefault="00E51FF1" w:rsidP="00C33FBD">
            <w:pPr>
              <w:autoSpaceDE w:val="0"/>
              <w:autoSpaceDN w:val="0"/>
              <w:adjustRightInd w:val="0"/>
              <w:rPr>
                <w:color w:val="000000"/>
                <w:sz w:val="20"/>
                <w:szCs w:val="20"/>
              </w:rPr>
            </w:pPr>
            <w:r w:rsidRPr="00591E75">
              <w:rPr>
                <w:color w:val="000000"/>
                <w:sz w:val="20"/>
              </w:rPr>
              <w:t>EMPL</w:t>
            </w:r>
          </w:p>
          <w:p w:rsidR="00AF0131" w:rsidRPr="00591E75" w:rsidRDefault="00E51FF1" w:rsidP="00C33FBD">
            <w:pPr>
              <w:autoSpaceDE w:val="0"/>
              <w:autoSpaceDN w:val="0"/>
              <w:adjustRightInd w:val="0"/>
              <w:rPr>
                <w:color w:val="000000"/>
                <w:sz w:val="20"/>
                <w:szCs w:val="20"/>
              </w:rPr>
            </w:pPr>
            <w:r w:rsidRPr="00591E75">
              <w:rPr>
                <w:color w:val="000000"/>
                <w:sz w:val="20"/>
              </w:rPr>
              <w:t>12.6.2023</w:t>
            </w:r>
          </w:p>
        </w:tc>
      </w:tr>
      <w:tr w:rsidR="00484958" w:rsidRPr="00591E75"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591E75" w:rsidRDefault="00E51FF1" w:rsidP="00C33FBD">
            <w:pPr>
              <w:autoSpaceDE w:val="0"/>
              <w:autoSpaceDN w:val="0"/>
              <w:adjustRightInd w:val="0"/>
              <w:rPr>
                <w:b/>
                <w:bCs/>
                <w:color w:val="000000"/>
                <w:sz w:val="20"/>
                <w:szCs w:val="20"/>
              </w:rPr>
            </w:pPr>
            <w:r w:rsidRPr="00591E75">
              <w:rPr>
                <w:b/>
                <w:color w:val="000000"/>
                <w:sz w:val="20"/>
              </w:rPr>
              <w:t>Assoziierte Ausschüsse - Datum der Bekanntgabe im Plenum</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591E75" w:rsidRDefault="00E51FF1" w:rsidP="00C33FBD">
            <w:pPr>
              <w:autoSpaceDE w:val="0"/>
              <w:autoSpaceDN w:val="0"/>
              <w:adjustRightInd w:val="0"/>
              <w:rPr>
                <w:color w:val="000000"/>
                <w:sz w:val="20"/>
                <w:szCs w:val="20"/>
              </w:rPr>
            </w:pPr>
            <w:r w:rsidRPr="00591E75">
              <w:rPr>
                <w:color w:val="000000"/>
                <w:sz w:val="20"/>
              </w:rPr>
              <w:t>14.9.2023</w:t>
            </w:r>
          </w:p>
        </w:tc>
      </w:tr>
      <w:tr w:rsidR="00484958" w:rsidRPr="00591E75"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591E75" w:rsidRDefault="00E51FF1" w:rsidP="00C33FBD">
            <w:pPr>
              <w:autoSpaceDE w:val="0"/>
              <w:autoSpaceDN w:val="0"/>
              <w:adjustRightInd w:val="0"/>
              <w:rPr>
                <w:b/>
                <w:bCs/>
                <w:color w:val="000000"/>
                <w:sz w:val="20"/>
                <w:szCs w:val="20"/>
              </w:rPr>
            </w:pPr>
            <w:r w:rsidRPr="00591E75">
              <w:rPr>
                <w:b/>
                <w:color w:val="000000"/>
                <w:sz w:val="20"/>
              </w:rPr>
              <w:t>Verfasserin der Stellungnahme</w:t>
            </w:r>
          </w:p>
          <w:p w:rsidR="00AF0131" w:rsidRPr="00591E75" w:rsidRDefault="00E51FF1" w:rsidP="00C33FBD">
            <w:pPr>
              <w:autoSpaceDE w:val="0"/>
              <w:autoSpaceDN w:val="0"/>
              <w:adjustRightInd w:val="0"/>
              <w:rPr>
                <w:color w:val="000000"/>
                <w:sz w:val="20"/>
                <w:szCs w:val="20"/>
              </w:rPr>
            </w:pPr>
            <w:r>
              <w:rPr>
                <w:color w:val="000000"/>
                <w:sz w:val="20"/>
              </w:rPr>
              <w:t xml:space="preserve"> </w:t>
            </w:r>
            <w:r w:rsidRPr="00591E75">
              <w:rPr>
                <w:color w:val="000000"/>
                <w:sz w:val="20"/>
              </w:rPr>
              <w:t xml:space="preserve">Datum der </w:t>
            </w:r>
            <w:r w:rsidRPr="00591E75">
              <w:rPr>
                <w:color w:val="000000"/>
                <w:sz w:val="20"/>
              </w:rPr>
              <w:t>Benennung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591E75" w:rsidRDefault="00E51FF1" w:rsidP="00C33FBD">
            <w:pPr>
              <w:autoSpaceDE w:val="0"/>
              <w:autoSpaceDN w:val="0"/>
              <w:adjustRightInd w:val="0"/>
              <w:rPr>
                <w:color w:val="000000"/>
                <w:sz w:val="20"/>
                <w:szCs w:val="20"/>
              </w:rPr>
            </w:pPr>
            <w:r w:rsidRPr="00591E75">
              <w:rPr>
                <w:color w:val="000000"/>
                <w:sz w:val="20"/>
              </w:rPr>
              <w:t>Gabriele Bischoff</w:t>
            </w:r>
          </w:p>
          <w:p w:rsidR="00AF0131" w:rsidRPr="00591E75" w:rsidRDefault="00E51FF1" w:rsidP="00C33FBD">
            <w:pPr>
              <w:autoSpaceDE w:val="0"/>
              <w:autoSpaceDN w:val="0"/>
              <w:adjustRightInd w:val="0"/>
              <w:rPr>
                <w:color w:val="000000"/>
                <w:sz w:val="20"/>
                <w:szCs w:val="20"/>
              </w:rPr>
            </w:pPr>
            <w:r w:rsidRPr="00591E75">
              <w:rPr>
                <w:color w:val="000000"/>
                <w:sz w:val="20"/>
              </w:rPr>
              <w:t>29.6.2023</w:t>
            </w:r>
          </w:p>
        </w:tc>
      </w:tr>
      <w:tr w:rsidR="00484958" w:rsidRPr="00591E75"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591E75" w:rsidRDefault="00E51FF1" w:rsidP="00C33FBD">
            <w:pPr>
              <w:autoSpaceDE w:val="0"/>
              <w:autoSpaceDN w:val="0"/>
              <w:adjustRightInd w:val="0"/>
              <w:rPr>
                <w:b/>
                <w:bCs/>
                <w:color w:val="000000"/>
                <w:sz w:val="20"/>
                <w:szCs w:val="20"/>
              </w:rPr>
            </w:pPr>
            <w:r w:rsidRPr="00591E75">
              <w:rPr>
                <w:b/>
                <w:color w:val="000000"/>
                <w:sz w:val="20"/>
              </w:rPr>
              <w:t>Prüfung im Ausschuss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591E75" w:rsidRDefault="00E51FF1" w:rsidP="00C33FBD">
            <w:pPr>
              <w:autoSpaceDE w:val="0"/>
              <w:autoSpaceDN w:val="0"/>
              <w:adjustRightInd w:val="0"/>
              <w:rPr>
                <w:color w:val="000000"/>
                <w:sz w:val="20"/>
                <w:szCs w:val="20"/>
              </w:rPr>
            </w:pPr>
            <w:r w:rsidRPr="00591E75">
              <w:rPr>
                <w:color w:val="000000"/>
                <w:sz w:val="20"/>
              </w:rPr>
              <w:t>2.10.2023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591E75"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591E75"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591E75" w:rsidRDefault="00AF0131" w:rsidP="00C33FBD">
            <w:pPr>
              <w:autoSpaceDE w:val="0"/>
              <w:autoSpaceDN w:val="0"/>
              <w:adjustRightInd w:val="0"/>
              <w:rPr>
                <w:rFonts w:ascii="sans-serif" w:hAnsi="sans-serif" w:cs="sans-serif"/>
                <w:color w:val="000000"/>
              </w:rPr>
            </w:pPr>
          </w:p>
        </w:tc>
      </w:tr>
      <w:tr w:rsidR="00484958" w:rsidRPr="00591E75"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591E75" w:rsidRDefault="00E51FF1" w:rsidP="00C33FBD">
            <w:pPr>
              <w:autoSpaceDE w:val="0"/>
              <w:autoSpaceDN w:val="0"/>
              <w:adjustRightInd w:val="0"/>
              <w:rPr>
                <w:b/>
                <w:bCs/>
                <w:color w:val="000000"/>
                <w:sz w:val="20"/>
                <w:szCs w:val="20"/>
              </w:rPr>
            </w:pPr>
            <w:r w:rsidRPr="00591E75">
              <w:rPr>
                <w:b/>
                <w:color w:val="000000"/>
                <w:sz w:val="20"/>
              </w:rPr>
              <w:t>Datum der Annahme</w:t>
            </w:r>
          </w:p>
        </w:tc>
        <w:tc>
          <w:tcPr>
            <w:tcW w:w="1530" w:type="dxa"/>
            <w:tcBorders>
              <w:top w:val="nil"/>
              <w:left w:val="nil"/>
              <w:bottom w:val="single" w:sz="8" w:space="0" w:color="000000"/>
              <w:right w:val="nil"/>
            </w:tcBorders>
            <w:tcMar>
              <w:top w:w="79" w:type="dxa"/>
              <w:left w:w="79" w:type="dxa"/>
              <w:bottom w:w="79" w:type="dxa"/>
              <w:right w:w="79" w:type="dxa"/>
            </w:tcMar>
          </w:tcPr>
          <w:p w:rsidR="00AF0131" w:rsidRPr="00591E75" w:rsidRDefault="00E51FF1" w:rsidP="00C33FBD">
            <w:pPr>
              <w:autoSpaceDE w:val="0"/>
              <w:autoSpaceDN w:val="0"/>
              <w:adjustRightInd w:val="0"/>
              <w:rPr>
                <w:color w:val="000000"/>
                <w:sz w:val="20"/>
                <w:szCs w:val="20"/>
              </w:rPr>
            </w:pPr>
            <w:r w:rsidRPr="00591E75">
              <w:rPr>
                <w:color w:val="000000"/>
                <w:sz w:val="20"/>
              </w:rPr>
              <w:t>25.10.2023</w:t>
            </w:r>
          </w:p>
        </w:tc>
        <w:tc>
          <w:tcPr>
            <w:tcW w:w="1474" w:type="dxa"/>
            <w:tcBorders>
              <w:top w:val="nil"/>
              <w:left w:val="nil"/>
              <w:bottom w:val="single" w:sz="8" w:space="0" w:color="000000"/>
              <w:right w:val="nil"/>
            </w:tcBorders>
            <w:tcMar>
              <w:top w:w="79" w:type="dxa"/>
              <w:left w:w="79" w:type="dxa"/>
              <w:bottom w:w="79" w:type="dxa"/>
              <w:right w:w="79" w:type="dxa"/>
            </w:tcMar>
          </w:tcPr>
          <w:p w:rsidR="00AF0131" w:rsidRPr="00591E75" w:rsidRDefault="00AF0131" w:rsidP="00C33FB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AF0131" w:rsidRPr="00591E75" w:rsidRDefault="00AF0131" w:rsidP="00C33FB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AF0131" w:rsidRPr="00591E75" w:rsidRDefault="00AF0131" w:rsidP="00C33FBD">
            <w:pPr>
              <w:autoSpaceDE w:val="0"/>
              <w:autoSpaceDN w:val="0"/>
              <w:adjustRightInd w:val="0"/>
              <w:rPr>
                <w:rFonts w:ascii="sans-serif" w:hAnsi="sans-serif" w:cs="sans-serif"/>
                <w:color w:val="000000"/>
              </w:rPr>
            </w:pPr>
          </w:p>
        </w:tc>
      </w:tr>
      <w:tr w:rsidR="00484958" w:rsidRPr="00591E75"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591E75" w:rsidRDefault="00E51FF1" w:rsidP="00C33FBD">
            <w:pPr>
              <w:autoSpaceDE w:val="0"/>
              <w:autoSpaceDN w:val="0"/>
              <w:adjustRightInd w:val="0"/>
              <w:rPr>
                <w:b/>
                <w:bCs/>
                <w:color w:val="000000"/>
                <w:sz w:val="20"/>
                <w:szCs w:val="20"/>
              </w:rPr>
            </w:pPr>
            <w:r w:rsidRPr="00591E75">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591E75" w:rsidRDefault="00E51FF1" w:rsidP="00C33FBD">
            <w:pPr>
              <w:autoSpaceDE w:val="0"/>
              <w:autoSpaceDN w:val="0"/>
              <w:adjustRightInd w:val="0"/>
              <w:rPr>
                <w:color w:val="000000"/>
                <w:sz w:val="20"/>
                <w:szCs w:val="20"/>
              </w:rPr>
            </w:pPr>
            <w:r w:rsidRPr="00591E75">
              <w:rPr>
                <w:color w:val="000000"/>
                <w:sz w:val="20"/>
              </w:rPr>
              <w:t>+:</w:t>
            </w:r>
          </w:p>
          <w:p w:rsidR="00AF0131" w:rsidRPr="00591E75" w:rsidRDefault="00E51FF1" w:rsidP="00C33FBD">
            <w:pPr>
              <w:autoSpaceDE w:val="0"/>
              <w:autoSpaceDN w:val="0"/>
              <w:adjustRightInd w:val="0"/>
              <w:rPr>
                <w:color w:val="000000"/>
                <w:sz w:val="20"/>
                <w:szCs w:val="20"/>
              </w:rPr>
            </w:pPr>
            <w:r w:rsidRPr="00591E75">
              <w:rPr>
                <w:color w:val="000000"/>
                <w:sz w:val="20"/>
              </w:rPr>
              <w:t>–:</w:t>
            </w:r>
          </w:p>
          <w:p w:rsidR="00AF0131" w:rsidRPr="00591E75" w:rsidRDefault="00E51FF1" w:rsidP="00C33FBD">
            <w:pPr>
              <w:autoSpaceDE w:val="0"/>
              <w:autoSpaceDN w:val="0"/>
              <w:adjustRightInd w:val="0"/>
              <w:rPr>
                <w:color w:val="000000"/>
                <w:sz w:val="20"/>
                <w:szCs w:val="20"/>
              </w:rPr>
            </w:pPr>
            <w:r w:rsidRPr="00591E75">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591E75" w:rsidRDefault="00E51FF1" w:rsidP="00C33FBD">
            <w:pPr>
              <w:autoSpaceDE w:val="0"/>
              <w:autoSpaceDN w:val="0"/>
              <w:adjustRightInd w:val="0"/>
              <w:rPr>
                <w:color w:val="000000"/>
                <w:sz w:val="20"/>
                <w:szCs w:val="20"/>
              </w:rPr>
            </w:pPr>
            <w:r w:rsidRPr="00591E75">
              <w:rPr>
                <w:color w:val="000000"/>
                <w:sz w:val="20"/>
              </w:rPr>
              <w:t>29</w:t>
            </w:r>
          </w:p>
          <w:p w:rsidR="00AF0131" w:rsidRPr="00591E75" w:rsidRDefault="00E51FF1" w:rsidP="00C33FBD">
            <w:pPr>
              <w:autoSpaceDE w:val="0"/>
              <w:autoSpaceDN w:val="0"/>
              <w:adjustRightInd w:val="0"/>
              <w:rPr>
                <w:color w:val="000000"/>
                <w:sz w:val="20"/>
                <w:szCs w:val="20"/>
              </w:rPr>
            </w:pPr>
            <w:r w:rsidRPr="00591E75">
              <w:rPr>
                <w:color w:val="000000"/>
                <w:sz w:val="20"/>
              </w:rPr>
              <w:t>4</w:t>
            </w:r>
          </w:p>
          <w:p w:rsidR="00AF0131" w:rsidRPr="00591E75" w:rsidRDefault="00E51FF1" w:rsidP="00C33FBD">
            <w:pPr>
              <w:autoSpaceDE w:val="0"/>
              <w:autoSpaceDN w:val="0"/>
              <w:adjustRightInd w:val="0"/>
              <w:rPr>
                <w:color w:val="000000"/>
                <w:sz w:val="20"/>
                <w:szCs w:val="20"/>
              </w:rPr>
            </w:pPr>
            <w:r w:rsidRPr="00591E75">
              <w:rPr>
                <w:color w:val="000000"/>
                <w:sz w:val="20"/>
              </w:rPr>
              <w:t>10</w:t>
            </w:r>
          </w:p>
        </w:tc>
      </w:tr>
      <w:tr w:rsidR="00484958" w:rsidRPr="00591E75"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591E75" w:rsidRDefault="00E51FF1" w:rsidP="00C33FBD">
            <w:pPr>
              <w:autoSpaceDE w:val="0"/>
              <w:autoSpaceDN w:val="0"/>
              <w:adjustRightInd w:val="0"/>
              <w:rPr>
                <w:b/>
                <w:bCs/>
                <w:color w:val="000000"/>
                <w:sz w:val="20"/>
                <w:szCs w:val="20"/>
              </w:rPr>
            </w:pPr>
            <w:r w:rsidRPr="00591E75">
              <w:rPr>
                <w:b/>
                <w:color w:val="000000"/>
                <w:sz w:val="20"/>
              </w:rPr>
              <w:t>Zum Zeitpunkt der Schlussabstimmung anwesende Mitglieder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591E75" w:rsidRDefault="00E51FF1" w:rsidP="00C33FBD">
            <w:pPr>
              <w:autoSpaceDE w:val="0"/>
              <w:autoSpaceDN w:val="0"/>
              <w:adjustRightInd w:val="0"/>
              <w:rPr>
                <w:color w:val="000000"/>
                <w:sz w:val="20"/>
                <w:szCs w:val="20"/>
              </w:rPr>
            </w:pPr>
            <w:r w:rsidRPr="00591E75">
              <w:rPr>
                <w:color w:val="000000"/>
                <w:sz w:val="20"/>
              </w:rPr>
              <w:t xml:space="preserve">João Albuquerque, Marc Angel, Dominique </w:t>
            </w:r>
            <w:r w:rsidRPr="00591E75">
              <w:rPr>
                <w:color w:val="000000"/>
                <w:sz w:val="20"/>
              </w:rPr>
              <w:t>Bilde, Gabriele Bischoff, Milan Brglez, Jordi Cañas, David Casa, Ilan De Basso, Margarita de la Pisa Carrión, Özlem Demirel, Klára Dobrev, Jarosław Duda, Estrella Durá Ferrandis, Lucia Ďuriš Nicholsonová, Loucas Fourlas, Cindy Franssen, Chiara Gemma, Helmu</w:t>
            </w:r>
            <w:r w:rsidRPr="00591E75">
              <w:rPr>
                <w:color w:val="000000"/>
                <w:sz w:val="20"/>
              </w:rPr>
              <w:t>t Geuking, Elisabetta Gualmini, Alicia Homs Ginel, Agnes Jongerius, Stelios Kympouropoulos, Katrin Langensiepen, Miriam Lexmann, Elena Lizzi, Sara Matthieu, Max Orville, Kira Marie Peter-Hansen, Dragoş Pîslaru, Elżbieta Rafalska, Daniela Rondinelli, Pirkko</w:t>
            </w:r>
            <w:r w:rsidRPr="00591E75">
              <w:rPr>
                <w:color w:val="000000"/>
                <w:sz w:val="20"/>
              </w:rPr>
              <w:t xml:space="preserve"> Ruohonen-Lerner, Monica Semedo, Romana Tomc, Nikolaj Villumsen, Marianne Vind, Maria Walsh, Tomáš Zdechovský</w:t>
            </w:r>
          </w:p>
        </w:tc>
      </w:tr>
      <w:tr w:rsidR="00484958" w:rsidRPr="00591E75"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591E75" w:rsidRDefault="00E51FF1" w:rsidP="00C33FBD">
            <w:pPr>
              <w:autoSpaceDE w:val="0"/>
              <w:autoSpaceDN w:val="0"/>
              <w:adjustRightInd w:val="0"/>
              <w:rPr>
                <w:b/>
                <w:bCs/>
                <w:color w:val="000000"/>
                <w:sz w:val="20"/>
                <w:szCs w:val="20"/>
              </w:rPr>
            </w:pPr>
            <w:r w:rsidRPr="00591E75">
              <w:rPr>
                <w:b/>
                <w:color w:val="000000"/>
                <w:sz w:val="20"/>
              </w:rPr>
              <w:t>Zum Zeitpunkt der Schlussabstimmung anwesende Stellvertreter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591E75" w:rsidRDefault="00E51FF1" w:rsidP="00C33FBD">
            <w:pPr>
              <w:autoSpaceDE w:val="0"/>
              <w:autoSpaceDN w:val="0"/>
              <w:adjustRightInd w:val="0"/>
              <w:rPr>
                <w:color w:val="000000"/>
                <w:sz w:val="20"/>
                <w:szCs w:val="20"/>
              </w:rPr>
            </w:pPr>
            <w:r w:rsidRPr="00591E75">
              <w:rPr>
                <w:color w:val="000000"/>
                <w:sz w:val="20"/>
              </w:rPr>
              <w:t>Alexander Alexandrov Yordanov, Aurore Lalucq, Eugenia Rodríguez Palop</w:t>
            </w:r>
          </w:p>
        </w:tc>
      </w:tr>
      <w:tr w:rsidR="00484958" w:rsidRPr="00591E75"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591E75" w:rsidRDefault="00E51FF1" w:rsidP="00C33FBD">
            <w:pPr>
              <w:autoSpaceDE w:val="0"/>
              <w:autoSpaceDN w:val="0"/>
              <w:adjustRightInd w:val="0"/>
              <w:rPr>
                <w:b/>
                <w:bCs/>
                <w:color w:val="000000"/>
                <w:sz w:val="20"/>
                <w:szCs w:val="20"/>
              </w:rPr>
            </w:pPr>
            <w:r w:rsidRPr="00591E75">
              <w:rPr>
                <w:b/>
                <w:color w:val="000000"/>
                <w:sz w:val="20"/>
              </w:rPr>
              <w:t>Zum Zeitpunkt</w:t>
            </w:r>
            <w:r w:rsidRPr="00591E75">
              <w:rPr>
                <w:b/>
                <w:color w:val="000000"/>
                <w:sz w:val="20"/>
              </w:rPr>
              <w:t xml:space="preserve"> der Schlussabstimmung anwesende Stellv. (Art. 209 Abs.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591E75" w:rsidRDefault="00E51FF1" w:rsidP="00C33FBD">
            <w:pPr>
              <w:autoSpaceDE w:val="0"/>
              <w:autoSpaceDN w:val="0"/>
              <w:adjustRightInd w:val="0"/>
              <w:rPr>
                <w:color w:val="000000"/>
                <w:sz w:val="20"/>
                <w:szCs w:val="20"/>
              </w:rPr>
            </w:pPr>
            <w:r w:rsidRPr="00591E75">
              <w:rPr>
                <w:color w:val="000000"/>
                <w:sz w:val="20"/>
              </w:rPr>
              <w:t>Sirpa Pietikäinen, Caroline Roose</w:t>
            </w:r>
          </w:p>
        </w:tc>
      </w:tr>
    </w:tbl>
    <w:p w:rsidR="00AF0131" w:rsidRPr="00591E75" w:rsidRDefault="00AF0131" w:rsidP="00AF0131"/>
    <w:bookmarkEnd w:id="2"/>
    <w:p w:rsidR="00AF0131" w:rsidRPr="00591E75" w:rsidRDefault="00AF0131" w:rsidP="00AF0131">
      <w:pPr>
        <w:sectPr w:rsidR="00AF0131" w:rsidRPr="00591E75" w:rsidSect="00591E7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AF0131" w:rsidRPr="00591E75" w:rsidRDefault="00E51FF1" w:rsidP="00AF0131">
      <w:pPr>
        <w:pStyle w:val="PageHeadingNotTOC"/>
      </w:pPr>
      <w:bookmarkStart w:id="3" w:name="RollCallPageAD"/>
      <w:r w:rsidRPr="00591E75">
        <w:t>NAMENTLICHE SCHLUSSABSTIMMUNG 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84958" w:rsidRPr="00591E75" w:rsidTr="00C33FBD">
        <w:trPr>
          <w:cantSplit/>
        </w:trPr>
        <w:tc>
          <w:tcPr>
            <w:tcW w:w="1701" w:type="dxa"/>
            <w:shd w:val="pct10" w:color="000000" w:fill="FFFFFF"/>
            <w:vAlign w:val="center"/>
          </w:tcPr>
          <w:p w:rsidR="00AF0131" w:rsidRPr="00591E75" w:rsidRDefault="00E51FF1" w:rsidP="00C33FBD">
            <w:pPr>
              <w:pStyle w:val="RollCallVotes"/>
            </w:pPr>
            <w:r w:rsidRPr="00591E75">
              <w:t>29</w:t>
            </w:r>
          </w:p>
        </w:tc>
        <w:tc>
          <w:tcPr>
            <w:tcW w:w="7371" w:type="dxa"/>
            <w:shd w:val="pct10" w:color="000000" w:fill="FFFFFF"/>
          </w:tcPr>
          <w:p w:rsidR="00AF0131" w:rsidRPr="00591E75" w:rsidRDefault="00E51FF1" w:rsidP="00C33FBD">
            <w:pPr>
              <w:pStyle w:val="RollCallSymbols14pt"/>
            </w:pPr>
            <w:r w:rsidRPr="00591E75">
              <w:t>+</w:t>
            </w:r>
          </w:p>
        </w:tc>
      </w:tr>
      <w:tr w:rsidR="00484958" w:rsidRPr="00591E75" w:rsidTr="00C33FBD">
        <w:trPr>
          <w:cantSplit/>
        </w:trPr>
        <w:tc>
          <w:tcPr>
            <w:tcW w:w="1701" w:type="dxa"/>
            <w:shd w:val="clear" w:color="auto" w:fill="FFFFFF"/>
          </w:tcPr>
          <w:p w:rsidR="00AF0131" w:rsidRPr="00591E75" w:rsidRDefault="00E51FF1" w:rsidP="00C33FBD">
            <w:pPr>
              <w:pStyle w:val="RollCallTable"/>
            </w:pPr>
            <w:r w:rsidRPr="00591E75">
              <w:t>PPE</w:t>
            </w:r>
          </w:p>
        </w:tc>
        <w:tc>
          <w:tcPr>
            <w:tcW w:w="7371" w:type="dxa"/>
            <w:shd w:val="clear" w:color="auto" w:fill="FFFFFF"/>
          </w:tcPr>
          <w:p w:rsidR="00AF0131" w:rsidRPr="00591E75" w:rsidRDefault="00E51FF1" w:rsidP="00C33FBD">
            <w:pPr>
              <w:pStyle w:val="RollCallTable"/>
            </w:pPr>
            <w:r w:rsidRPr="00591E75">
              <w:t xml:space="preserve">David Casa, Loucas Fourlas, Cindy Franssen, Stelios Kympouropoulos, Sirpa Pietikäinen, Maria </w:t>
            </w:r>
            <w:r w:rsidRPr="00591E75">
              <w:t>Walsh</w:t>
            </w:r>
          </w:p>
        </w:tc>
      </w:tr>
      <w:tr w:rsidR="00484958" w:rsidRPr="00591E75" w:rsidTr="00C33FBD">
        <w:trPr>
          <w:cantSplit/>
        </w:trPr>
        <w:tc>
          <w:tcPr>
            <w:tcW w:w="1701" w:type="dxa"/>
            <w:shd w:val="clear" w:color="auto" w:fill="FFFFFF"/>
          </w:tcPr>
          <w:p w:rsidR="00AF0131" w:rsidRPr="00591E75" w:rsidRDefault="00E51FF1" w:rsidP="00C33FBD">
            <w:pPr>
              <w:pStyle w:val="RollCallTable"/>
            </w:pPr>
            <w:r w:rsidRPr="00591E75">
              <w:t>Renew</w:t>
            </w:r>
          </w:p>
        </w:tc>
        <w:tc>
          <w:tcPr>
            <w:tcW w:w="7371" w:type="dxa"/>
            <w:shd w:val="clear" w:color="auto" w:fill="FFFFFF"/>
          </w:tcPr>
          <w:p w:rsidR="00AF0131" w:rsidRPr="00591E75" w:rsidRDefault="00E51FF1" w:rsidP="00C33FBD">
            <w:pPr>
              <w:pStyle w:val="RollCallTable"/>
            </w:pPr>
            <w:r w:rsidRPr="00591E75">
              <w:t>Jordi Cañas, Lucia Ďuriš Nicholsonová, Max Orville, Dragoş Pîslaru, Monica Semedo</w:t>
            </w:r>
          </w:p>
        </w:tc>
      </w:tr>
      <w:tr w:rsidR="00484958" w:rsidRPr="00591E75" w:rsidTr="00C33FBD">
        <w:trPr>
          <w:cantSplit/>
        </w:trPr>
        <w:tc>
          <w:tcPr>
            <w:tcW w:w="1701" w:type="dxa"/>
            <w:shd w:val="clear" w:color="auto" w:fill="FFFFFF"/>
          </w:tcPr>
          <w:p w:rsidR="00AF0131" w:rsidRPr="00591E75" w:rsidRDefault="00E51FF1" w:rsidP="00C33FBD">
            <w:pPr>
              <w:pStyle w:val="RollCallTable"/>
            </w:pPr>
            <w:r w:rsidRPr="00591E75">
              <w:t>S&amp;D</w:t>
            </w:r>
          </w:p>
        </w:tc>
        <w:tc>
          <w:tcPr>
            <w:tcW w:w="7371" w:type="dxa"/>
            <w:shd w:val="clear" w:color="auto" w:fill="FFFFFF"/>
          </w:tcPr>
          <w:p w:rsidR="00AF0131" w:rsidRPr="00591E75" w:rsidRDefault="00E51FF1" w:rsidP="00C33FBD">
            <w:pPr>
              <w:pStyle w:val="RollCallTable"/>
            </w:pPr>
            <w:r w:rsidRPr="00591E75">
              <w:t>João Albuquerque, Marc Angel, Gabriele Bischoff, Milan Brglez, Klára Dobrev, Estrella Durá Ferrandis, Elisabetta Gualmini, Alicia Homs Ginel, Agnes Jongeriu</w:t>
            </w:r>
            <w:r w:rsidRPr="00591E75">
              <w:t>s, Aurore Lalucq, Daniela Rondinelli, Marianne Vind</w:t>
            </w:r>
          </w:p>
        </w:tc>
      </w:tr>
      <w:tr w:rsidR="00484958" w:rsidRPr="00591E75" w:rsidTr="00C33FBD">
        <w:trPr>
          <w:cantSplit/>
        </w:trPr>
        <w:tc>
          <w:tcPr>
            <w:tcW w:w="1701" w:type="dxa"/>
            <w:shd w:val="clear" w:color="auto" w:fill="FFFFFF"/>
          </w:tcPr>
          <w:p w:rsidR="00AF0131" w:rsidRPr="00591E75" w:rsidRDefault="00E51FF1" w:rsidP="00C33FBD">
            <w:pPr>
              <w:pStyle w:val="RollCallTable"/>
            </w:pPr>
            <w:r w:rsidRPr="00591E75">
              <w:t>The Left</w:t>
            </w:r>
          </w:p>
        </w:tc>
        <w:tc>
          <w:tcPr>
            <w:tcW w:w="7371" w:type="dxa"/>
            <w:shd w:val="clear" w:color="auto" w:fill="FFFFFF"/>
          </w:tcPr>
          <w:p w:rsidR="00AF0131" w:rsidRPr="00591E75" w:rsidRDefault="00E51FF1" w:rsidP="00C33FBD">
            <w:pPr>
              <w:pStyle w:val="RollCallTable"/>
            </w:pPr>
            <w:r w:rsidRPr="00591E75">
              <w:t>Eugenia Rodríguez Palop, Nikolaj Villumsen</w:t>
            </w:r>
          </w:p>
        </w:tc>
      </w:tr>
      <w:tr w:rsidR="00484958" w:rsidRPr="00591E75" w:rsidTr="00C33FBD">
        <w:trPr>
          <w:cantSplit/>
        </w:trPr>
        <w:tc>
          <w:tcPr>
            <w:tcW w:w="1701" w:type="dxa"/>
            <w:shd w:val="clear" w:color="auto" w:fill="FFFFFF"/>
          </w:tcPr>
          <w:p w:rsidR="00AF0131" w:rsidRPr="00591E75" w:rsidRDefault="00E51FF1" w:rsidP="00C33FBD">
            <w:pPr>
              <w:pStyle w:val="RollCallTable"/>
            </w:pPr>
            <w:r w:rsidRPr="00591E75">
              <w:t>Verts/ALE</w:t>
            </w:r>
          </w:p>
        </w:tc>
        <w:tc>
          <w:tcPr>
            <w:tcW w:w="7371" w:type="dxa"/>
            <w:shd w:val="clear" w:color="auto" w:fill="FFFFFF"/>
          </w:tcPr>
          <w:p w:rsidR="00AF0131" w:rsidRPr="00591E75" w:rsidRDefault="00E51FF1" w:rsidP="00C33FBD">
            <w:pPr>
              <w:pStyle w:val="RollCallTable"/>
            </w:pPr>
            <w:r w:rsidRPr="00591E75">
              <w:t>Katrin Langensiepen, Sara Matthieu, Kira Marie Peter-Hansen, Caroline Roose</w:t>
            </w:r>
          </w:p>
        </w:tc>
      </w:tr>
    </w:tbl>
    <w:p w:rsidR="00AF0131" w:rsidRPr="00591E75" w:rsidRDefault="00AF0131" w:rsidP="00AF013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84958" w:rsidRPr="00591E75" w:rsidTr="00C33FBD">
        <w:trPr>
          <w:cantSplit/>
        </w:trPr>
        <w:tc>
          <w:tcPr>
            <w:tcW w:w="1701" w:type="dxa"/>
            <w:shd w:val="pct10" w:color="000000" w:fill="FFFFFF"/>
            <w:vAlign w:val="center"/>
          </w:tcPr>
          <w:p w:rsidR="00AF0131" w:rsidRPr="00591E75" w:rsidRDefault="00E51FF1" w:rsidP="00C33FBD">
            <w:pPr>
              <w:pStyle w:val="RollCallVotes"/>
            </w:pPr>
            <w:r w:rsidRPr="00591E75">
              <w:t>4</w:t>
            </w:r>
          </w:p>
        </w:tc>
        <w:tc>
          <w:tcPr>
            <w:tcW w:w="7371" w:type="dxa"/>
            <w:shd w:val="pct10" w:color="000000" w:fill="FFFFFF"/>
          </w:tcPr>
          <w:p w:rsidR="00AF0131" w:rsidRPr="00591E75" w:rsidRDefault="00E51FF1" w:rsidP="00C33FBD">
            <w:pPr>
              <w:pStyle w:val="RollCallSymbols14pt"/>
            </w:pPr>
            <w:r w:rsidRPr="00591E75">
              <w:t>-</w:t>
            </w:r>
          </w:p>
        </w:tc>
      </w:tr>
      <w:tr w:rsidR="00484958" w:rsidRPr="00591E75" w:rsidTr="00C33FBD">
        <w:trPr>
          <w:cantSplit/>
        </w:trPr>
        <w:tc>
          <w:tcPr>
            <w:tcW w:w="1701" w:type="dxa"/>
            <w:shd w:val="clear" w:color="auto" w:fill="FFFFFF"/>
          </w:tcPr>
          <w:p w:rsidR="00AF0131" w:rsidRPr="00591E75" w:rsidRDefault="00E51FF1" w:rsidP="00C33FBD">
            <w:pPr>
              <w:pStyle w:val="RollCallTable"/>
            </w:pPr>
            <w:r w:rsidRPr="00591E75">
              <w:t>ECR</w:t>
            </w:r>
          </w:p>
        </w:tc>
        <w:tc>
          <w:tcPr>
            <w:tcW w:w="7371" w:type="dxa"/>
            <w:shd w:val="clear" w:color="auto" w:fill="FFFFFF"/>
          </w:tcPr>
          <w:p w:rsidR="00AF0131" w:rsidRPr="00591E75" w:rsidRDefault="00E51FF1" w:rsidP="00C33FBD">
            <w:pPr>
              <w:pStyle w:val="RollCallTable"/>
            </w:pPr>
            <w:r w:rsidRPr="00591E75">
              <w:t xml:space="preserve">Margarita de la Pisa Carrión, Elżbieta Rafalska, </w:t>
            </w:r>
            <w:r w:rsidRPr="00591E75">
              <w:t>Pirkko Ruohonen-Lerner</w:t>
            </w:r>
          </w:p>
        </w:tc>
      </w:tr>
      <w:tr w:rsidR="00484958" w:rsidRPr="00591E75" w:rsidTr="00C33FBD">
        <w:trPr>
          <w:cantSplit/>
        </w:trPr>
        <w:tc>
          <w:tcPr>
            <w:tcW w:w="1701" w:type="dxa"/>
            <w:shd w:val="clear" w:color="auto" w:fill="FFFFFF"/>
          </w:tcPr>
          <w:p w:rsidR="00AF0131" w:rsidRPr="00591E75" w:rsidRDefault="00E51FF1" w:rsidP="00C33FBD">
            <w:pPr>
              <w:pStyle w:val="RollCallTable"/>
            </w:pPr>
            <w:r w:rsidRPr="00591E75">
              <w:t>ID</w:t>
            </w:r>
          </w:p>
        </w:tc>
        <w:tc>
          <w:tcPr>
            <w:tcW w:w="7371" w:type="dxa"/>
            <w:shd w:val="clear" w:color="auto" w:fill="FFFFFF"/>
          </w:tcPr>
          <w:p w:rsidR="00AF0131" w:rsidRPr="00591E75" w:rsidRDefault="00E51FF1" w:rsidP="00C33FBD">
            <w:pPr>
              <w:pStyle w:val="RollCallTable"/>
            </w:pPr>
            <w:r w:rsidRPr="00591E75">
              <w:t>Dominique Bilde</w:t>
            </w:r>
          </w:p>
        </w:tc>
      </w:tr>
    </w:tbl>
    <w:p w:rsidR="00AF0131" w:rsidRPr="00591E75" w:rsidRDefault="00AF0131" w:rsidP="00AF013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84958" w:rsidRPr="00591E75" w:rsidTr="00C33FBD">
        <w:trPr>
          <w:cantSplit/>
        </w:trPr>
        <w:tc>
          <w:tcPr>
            <w:tcW w:w="1701" w:type="dxa"/>
            <w:shd w:val="pct10" w:color="000000" w:fill="FFFFFF"/>
            <w:vAlign w:val="center"/>
          </w:tcPr>
          <w:p w:rsidR="00AF0131" w:rsidRPr="00591E75" w:rsidRDefault="00E51FF1" w:rsidP="00C33FBD">
            <w:pPr>
              <w:pStyle w:val="RollCallVotes"/>
            </w:pPr>
            <w:r w:rsidRPr="00591E75">
              <w:t>10</w:t>
            </w:r>
          </w:p>
        </w:tc>
        <w:tc>
          <w:tcPr>
            <w:tcW w:w="7371" w:type="dxa"/>
            <w:shd w:val="pct10" w:color="000000" w:fill="FFFFFF"/>
          </w:tcPr>
          <w:p w:rsidR="00AF0131" w:rsidRPr="00591E75" w:rsidRDefault="00E51FF1" w:rsidP="00C33FBD">
            <w:pPr>
              <w:pStyle w:val="RollCallSymbols14pt"/>
            </w:pPr>
            <w:r w:rsidRPr="00591E75">
              <w:t>0</w:t>
            </w:r>
          </w:p>
        </w:tc>
      </w:tr>
      <w:tr w:rsidR="00484958" w:rsidRPr="00591E75" w:rsidTr="00C33FBD">
        <w:trPr>
          <w:cantSplit/>
        </w:trPr>
        <w:tc>
          <w:tcPr>
            <w:tcW w:w="1701" w:type="dxa"/>
            <w:shd w:val="clear" w:color="auto" w:fill="FFFFFF"/>
          </w:tcPr>
          <w:p w:rsidR="00AF0131" w:rsidRPr="00591E75" w:rsidRDefault="00E51FF1" w:rsidP="00C33FBD">
            <w:pPr>
              <w:pStyle w:val="RollCallTable"/>
            </w:pPr>
            <w:r w:rsidRPr="00591E75">
              <w:t>ECR</w:t>
            </w:r>
          </w:p>
        </w:tc>
        <w:tc>
          <w:tcPr>
            <w:tcW w:w="7371" w:type="dxa"/>
            <w:shd w:val="clear" w:color="auto" w:fill="FFFFFF"/>
          </w:tcPr>
          <w:p w:rsidR="00AF0131" w:rsidRPr="00591E75" w:rsidRDefault="00E51FF1" w:rsidP="00C33FBD">
            <w:pPr>
              <w:pStyle w:val="RollCallTable"/>
            </w:pPr>
            <w:r w:rsidRPr="00591E75">
              <w:t>Chiara Gemma</w:t>
            </w:r>
          </w:p>
        </w:tc>
      </w:tr>
      <w:tr w:rsidR="00484958" w:rsidRPr="00591E75" w:rsidTr="00C33FBD">
        <w:trPr>
          <w:cantSplit/>
        </w:trPr>
        <w:tc>
          <w:tcPr>
            <w:tcW w:w="1701" w:type="dxa"/>
            <w:shd w:val="clear" w:color="auto" w:fill="FFFFFF"/>
          </w:tcPr>
          <w:p w:rsidR="00AF0131" w:rsidRPr="00591E75" w:rsidRDefault="00E51FF1" w:rsidP="00C33FBD">
            <w:pPr>
              <w:pStyle w:val="RollCallTable"/>
            </w:pPr>
            <w:r w:rsidRPr="00591E75">
              <w:t>ID</w:t>
            </w:r>
          </w:p>
        </w:tc>
        <w:tc>
          <w:tcPr>
            <w:tcW w:w="7371" w:type="dxa"/>
            <w:shd w:val="clear" w:color="auto" w:fill="FFFFFF"/>
          </w:tcPr>
          <w:p w:rsidR="00AF0131" w:rsidRPr="00591E75" w:rsidRDefault="00E51FF1" w:rsidP="00C33FBD">
            <w:pPr>
              <w:pStyle w:val="RollCallTable"/>
            </w:pPr>
            <w:r w:rsidRPr="00591E75">
              <w:t>Elena Lizzi</w:t>
            </w:r>
          </w:p>
        </w:tc>
      </w:tr>
      <w:tr w:rsidR="00484958" w:rsidRPr="00591E75" w:rsidTr="00C33FBD">
        <w:trPr>
          <w:cantSplit/>
        </w:trPr>
        <w:tc>
          <w:tcPr>
            <w:tcW w:w="1701" w:type="dxa"/>
            <w:shd w:val="clear" w:color="auto" w:fill="FFFFFF"/>
          </w:tcPr>
          <w:p w:rsidR="00AF0131" w:rsidRPr="00591E75" w:rsidRDefault="00E51FF1" w:rsidP="00C33FBD">
            <w:pPr>
              <w:pStyle w:val="RollCallTable"/>
            </w:pPr>
            <w:r w:rsidRPr="00591E75">
              <w:t>PPE</w:t>
            </w:r>
          </w:p>
        </w:tc>
        <w:tc>
          <w:tcPr>
            <w:tcW w:w="7371" w:type="dxa"/>
            <w:shd w:val="clear" w:color="auto" w:fill="FFFFFF"/>
          </w:tcPr>
          <w:p w:rsidR="00AF0131" w:rsidRPr="00591E75" w:rsidRDefault="00E51FF1" w:rsidP="00C33FBD">
            <w:pPr>
              <w:pStyle w:val="RollCallTable"/>
            </w:pPr>
            <w:r w:rsidRPr="00591E75">
              <w:t>Alexander Alexandrov Yordanov, Jarosław Duda, Helmut Geuking, Miriam Lexmann, Romana Tomc, Tomáš Zdechovský</w:t>
            </w:r>
          </w:p>
        </w:tc>
      </w:tr>
      <w:tr w:rsidR="00484958" w:rsidRPr="00591E75" w:rsidTr="00C33FBD">
        <w:trPr>
          <w:cantSplit/>
        </w:trPr>
        <w:tc>
          <w:tcPr>
            <w:tcW w:w="1701" w:type="dxa"/>
            <w:shd w:val="clear" w:color="auto" w:fill="FFFFFF"/>
          </w:tcPr>
          <w:p w:rsidR="00AF0131" w:rsidRPr="00591E75" w:rsidRDefault="00E51FF1" w:rsidP="00C33FBD">
            <w:pPr>
              <w:pStyle w:val="RollCallTable"/>
            </w:pPr>
            <w:r w:rsidRPr="00591E75">
              <w:t>S&amp;D</w:t>
            </w:r>
          </w:p>
        </w:tc>
        <w:tc>
          <w:tcPr>
            <w:tcW w:w="7371" w:type="dxa"/>
            <w:shd w:val="clear" w:color="auto" w:fill="FFFFFF"/>
          </w:tcPr>
          <w:p w:rsidR="00AF0131" w:rsidRPr="00591E75" w:rsidRDefault="00E51FF1" w:rsidP="00C33FBD">
            <w:pPr>
              <w:pStyle w:val="RollCallTable"/>
            </w:pPr>
            <w:r w:rsidRPr="00591E75">
              <w:t>Ilan De Basso</w:t>
            </w:r>
          </w:p>
        </w:tc>
      </w:tr>
      <w:tr w:rsidR="00484958" w:rsidRPr="00591E75" w:rsidTr="00C33FBD">
        <w:trPr>
          <w:cantSplit/>
        </w:trPr>
        <w:tc>
          <w:tcPr>
            <w:tcW w:w="1701" w:type="dxa"/>
            <w:shd w:val="clear" w:color="auto" w:fill="FFFFFF"/>
          </w:tcPr>
          <w:p w:rsidR="00AF0131" w:rsidRPr="00591E75" w:rsidRDefault="00E51FF1" w:rsidP="00C33FBD">
            <w:pPr>
              <w:pStyle w:val="RollCallTable"/>
            </w:pPr>
            <w:r w:rsidRPr="00591E75">
              <w:t>The Left</w:t>
            </w:r>
          </w:p>
        </w:tc>
        <w:tc>
          <w:tcPr>
            <w:tcW w:w="7371" w:type="dxa"/>
            <w:shd w:val="clear" w:color="auto" w:fill="FFFFFF"/>
          </w:tcPr>
          <w:p w:rsidR="00AF0131" w:rsidRPr="00591E75" w:rsidRDefault="00E51FF1" w:rsidP="00C33FBD">
            <w:pPr>
              <w:pStyle w:val="RollCallTable"/>
            </w:pPr>
            <w:r w:rsidRPr="00591E75">
              <w:t>Änderungsantrag 27</w:t>
            </w:r>
          </w:p>
        </w:tc>
      </w:tr>
    </w:tbl>
    <w:p w:rsidR="00AF0131" w:rsidRPr="00591E75" w:rsidRDefault="00AF0131" w:rsidP="00AF0131">
      <w:pPr>
        <w:pStyle w:val="Normal12a"/>
      </w:pPr>
    </w:p>
    <w:p w:rsidR="00AF0131" w:rsidRPr="00591E75" w:rsidRDefault="00E51FF1" w:rsidP="00AF0131">
      <w:r w:rsidRPr="00591E75">
        <w:t>Erklärung</w:t>
      </w:r>
      <w:r w:rsidRPr="00591E75">
        <w:t xml:space="preserve"> der benutzten Zeichen:</w:t>
      </w:r>
    </w:p>
    <w:p w:rsidR="00AF0131" w:rsidRPr="00591E75" w:rsidRDefault="00E51FF1" w:rsidP="00AF0131">
      <w:pPr>
        <w:pStyle w:val="RollCallTabs"/>
      </w:pPr>
      <w:r w:rsidRPr="00591E75">
        <w:t>+</w:t>
      </w:r>
      <w:r w:rsidRPr="00591E75">
        <w:tab/>
        <w:t>:</w:t>
      </w:r>
      <w:r w:rsidRPr="00591E75">
        <w:tab/>
        <w:t>dafür</w:t>
      </w:r>
    </w:p>
    <w:p w:rsidR="00AF0131" w:rsidRPr="00591E75" w:rsidRDefault="00E51FF1" w:rsidP="00AF0131">
      <w:pPr>
        <w:pStyle w:val="RollCallTabs"/>
      </w:pPr>
      <w:r w:rsidRPr="00591E75">
        <w:t>-</w:t>
      </w:r>
      <w:r w:rsidRPr="00591E75">
        <w:tab/>
        <w:t>:</w:t>
      </w:r>
      <w:r w:rsidRPr="00591E75">
        <w:tab/>
        <w:t>dagegen</w:t>
      </w:r>
    </w:p>
    <w:p w:rsidR="00AF0131" w:rsidRPr="00591E75" w:rsidRDefault="00E51FF1" w:rsidP="00AF0131">
      <w:pPr>
        <w:pStyle w:val="RollCallTabs"/>
      </w:pPr>
      <w:r w:rsidRPr="00591E75">
        <w:t>0</w:t>
      </w:r>
      <w:r w:rsidRPr="00591E75">
        <w:tab/>
        <w:t>:</w:t>
      </w:r>
      <w:r w:rsidRPr="00591E75">
        <w:tab/>
        <w:t>Enthaltung</w:t>
      </w:r>
    </w:p>
    <w:p w:rsidR="00AF0131" w:rsidRPr="00591E75" w:rsidRDefault="00AF0131" w:rsidP="00AF0131"/>
    <w:bookmarkEnd w:id="3"/>
    <w:p w:rsidR="00AF0131" w:rsidRPr="00591E75" w:rsidRDefault="00AF0131" w:rsidP="00AF0131"/>
    <w:p w:rsidR="00DB56E4" w:rsidRPr="00591E75" w:rsidRDefault="00DB56E4" w:rsidP="00AF0131">
      <w:pPr>
        <w:pStyle w:val="CoverReference"/>
      </w:pPr>
    </w:p>
    <w:sectPr w:rsidR="00DB56E4" w:rsidRPr="00591E75" w:rsidSect="00C56375">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591E75" w:rsidRDefault="00E51FF1">
      <w:r w:rsidRPr="00591E75">
        <w:separator/>
      </w:r>
    </w:p>
  </w:endnote>
  <w:endnote w:type="continuationSeparator" w:id="0">
    <w:p w:rsidR="00000000" w:rsidRPr="00591E75" w:rsidRDefault="00E51FF1">
      <w:r w:rsidRPr="00591E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E75" w:rsidRPr="00591E75" w:rsidRDefault="00591E75" w:rsidP="00591E75">
    <w:pPr>
      <w:pStyle w:val="EPFooter"/>
    </w:pPr>
    <w:r w:rsidRPr="00591E75">
      <w:t>PE</w:t>
    </w:r>
    <w:r w:rsidRPr="00591E75">
      <w:rPr>
        <w:rStyle w:val="HideTWBExt"/>
      </w:rPr>
      <w:t>&lt;NoPE&gt;</w:t>
    </w:r>
    <w:r w:rsidRPr="00591E75">
      <w:t>752.621</w:t>
    </w:r>
    <w:r w:rsidRPr="00591E75">
      <w:rPr>
        <w:rStyle w:val="HideTWBExt"/>
      </w:rPr>
      <w:t>&lt;/NoPE&gt;&lt;Version&gt;</w:t>
    </w:r>
    <w:r w:rsidRPr="00591E75">
      <w:t>v02-00</w:t>
    </w:r>
    <w:r w:rsidRPr="00591E75">
      <w:rPr>
        <w:rStyle w:val="HideTWBExt"/>
      </w:rPr>
      <w:t>&lt;/Version&gt;</w:t>
    </w:r>
    <w:r w:rsidRPr="00591E75">
      <w:tab/>
    </w:r>
    <w:r w:rsidRPr="00591E75">
      <w:fldChar w:fldCharType="begin"/>
    </w:r>
    <w:r w:rsidRPr="00591E75">
      <w:instrText xml:space="preserve"> PAGE  \* MERGEFORMAT </w:instrText>
    </w:r>
    <w:r w:rsidRPr="00591E75">
      <w:fldChar w:fldCharType="separate"/>
    </w:r>
    <w:r w:rsidR="00E51FF1">
      <w:rPr>
        <w:noProof/>
      </w:rPr>
      <w:t>2</w:t>
    </w:r>
    <w:r w:rsidRPr="00591E75">
      <w:fldChar w:fldCharType="end"/>
    </w:r>
    <w:r w:rsidRPr="00591E75">
      <w:t>/</w:t>
    </w:r>
    <w:fldSimple w:instr=" NUMPAGES  \* MERGEFORMAT ">
      <w:r w:rsidR="00E51FF1">
        <w:rPr>
          <w:noProof/>
        </w:rPr>
        <w:t>30</w:t>
      </w:r>
    </w:fldSimple>
    <w:r w:rsidRPr="00591E75">
      <w:tab/>
    </w:r>
    <w:r w:rsidRPr="00591E75">
      <w:rPr>
        <w:rStyle w:val="HideTWBExt"/>
      </w:rPr>
      <w:t>&lt;PathFdR&gt;</w:t>
    </w:r>
    <w:r w:rsidRPr="00591E75">
      <w:t>AD\1288324DE.docx</w:t>
    </w:r>
    <w:r w:rsidRPr="00591E75">
      <w:rPr>
        <w:rStyle w:val="HideTWBExt"/>
      </w:rPr>
      <w:t>&lt;/PathFdR&gt;</w:t>
    </w:r>
  </w:p>
  <w:p w:rsidR="00AF0131" w:rsidRPr="00591E75" w:rsidRDefault="00591E75" w:rsidP="00591E75">
    <w:pPr>
      <w:pStyle w:val="EPFooter2"/>
    </w:pPr>
    <w:r w:rsidRPr="00591E75">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E75" w:rsidRPr="00591E75" w:rsidRDefault="00591E75" w:rsidP="00591E75">
    <w:pPr>
      <w:pStyle w:val="EPFooter"/>
    </w:pPr>
    <w:r w:rsidRPr="00591E75">
      <w:rPr>
        <w:rStyle w:val="HideTWBExt"/>
      </w:rPr>
      <w:t>&lt;PathFdR&gt;</w:t>
    </w:r>
    <w:r w:rsidRPr="00591E75">
      <w:t>AD\1288324DE.docx</w:t>
    </w:r>
    <w:r w:rsidRPr="00591E75">
      <w:rPr>
        <w:rStyle w:val="HideTWBExt"/>
      </w:rPr>
      <w:t>&lt;/PathFdR&gt;</w:t>
    </w:r>
    <w:r w:rsidRPr="00591E75">
      <w:tab/>
    </w:r>
    <w:r w:rsidRPr="00591E75">
      <w:fldChar w:fldCharType="begin"/>
    </w:r>
    <w:r w:rsidRPr="00591E75">
      <w:instrText xml:space="preserve"> PAGE  \* MERGEFORMAT </w:instrText>
    </w:r>
    <w:r w:rsidRPr="00591E75">
      <w:fldChar w:fldCharType="separate"/>
    </w:r>
    <w:r w:rsidR="00E51FF1">
      <w:rPr>
        <w:noProof/>
      </w:rPr>
      <w:t>3</w:t>
    </w:r>
    <w:r w:rsidRPr="00591E75">
      <w:fldChar w:fldCharType="end"/>
    </w:r>
    <w:r w:rsidRPr="00591E75">
      <w:t>/</w:t>
    </w:r>
    <w:fldSimple w:instr=" NUMPAGES  \* MERGEFORMAT ">
      <w:r w:rsidR="00E51FF1">
        <w:rPr>
          <w:noProof/>
        </w:rPr>
        <w:t>30</w:t>
      </w:r>
    </w:fldSimple>
    <w:r w:rsidRPr="00591E75">
      <w:tab/>
      <w:t>PE</w:t>
    </w:r>
    <w:r w:rsidRPr="00591E75">
      <w:rPr>
        <w:rStyle w:val="HideTWBExt"/>
      </w:rPr>
      <w:t>&lt;NoPE&gt;</w:t>
    </w:r>
    <w:r w:rsidRPr="00591E75">
      <w:t>752.621</w:t>
    </w:r>
    <w:r w:rsidRPr="00591E75">
      <w:rPr>
        <w:rStyle w:val="HideTWBExt"/>
      </w:rPr>
      <w:t>&lt;/NoPE&gt;&lt;Version&gt;</w:t>
    </w:r>
    <w:r w:rsidRPr="00591E75">
      <w:t>v02-00</w:t>
    </w:r>
    <w:r w:rsidRPr="00591E75">
      <w:rPr>
        <w:rStyle w:val="HideTWBExt"/>
      </w:rPr>
      <w:t>&lt;/Version&gt;</w:t>
    </w:r>
  </w:p>
  <w:p w:rsidR="00AF0131" w:rsidRPr="00591E75" w:rsidRDefault="00591E75" w:rsidP="00591E75">
    <w:pPr>
      <w:pStyle w:val="EPFooter2"/>
    </w:pPr>
    <w:r w:rsidRPr="00591E75">
      <w:tab/>
    </w:r>
    <w:r w:rsidRPr="00591E75">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E75" w:rsidRPr="00591E75" w:rsidRDefault="00591E75" w:rsidP="00591E75">
    <w:pPr>
      <w:pStyle w:val="EPFooter"/>
    </w:pPr>
    <w:r w:rsidRPr="00591E75">
      <w:rPr>
        <w:rStyle w:val="HideTWBExt"/>
      </w:rPr>
      <w:t>&lt;PathFdR&gt;</w:t>
    </w:r>
    <w:r w:rsidRPr="00591E75">
      <w:t>AD\1288324DE.docx</w:t>
    </w:r>
    <w:r w:rsidRPr="00591E75">
      <w:rPr>
        <w:rStyle w:val="HideTWBExt"/>
      </w:rPr>
      <w:t>&lt;/PathFdR&gt;</w:t>
    </w:r>
    <w:r w:rsidRPr="00591E75">
      <w:tab/>
    </w:r>
    <w:r w:rsidRPr="00591E75">
      <w:tab/>
      <w:t>PE</w:t>
    </w:r>
    <w:r w:rsidRPr="00591E75">
      <w:rPr>
        <w:rStyle w:val="HideTWBExt"/>
      </w:rPr>
      <w:t>&lt;NoPE&gt;</w:t>
    </w:r>
    <w:r w:rsidRPr="00591E75">
      <w:t>752.621</w:t>
    </w:r>
    <w:r w:rsidRPr="00591E75">
      <w:rPr>
        <w:rStyle w:val="HideTWBExt"/>
      </w:rPr>
      <w:t>&lt;/NoPE&gt;&lt;Version&gt;</w:t>
    </w:r>
    <w:r w:rsidRPr="00591E75">
      <w:t>v02-00</w:t>
    </w:r>
    <w:r w:rsidRPr="00591E75">
      <w:rPr>
        <w:rStyle w:val="HideTWBExt"/>
      </w:rPr>
      <w:t>&lt;/Version&gt;</w:t>
    </w:r>
  </w:p>
  <w:p w:rsidR="00AF0131" w:rsidRPr="00591E75" w:rsidRDefault="00591E75" w:rsidP="00591E75">
    <w:pPr>
      <w:pStyle w:val="EPFooter2"/>
    </w:pPr>
    <w:r w:rsidRPr="00591E75">
      <w:t>DE</w:t>
    </w:r>
    <w:r w:rsidRPr="00591E75">
      <w:tab/>
    </w:r>
    <w:r w:rsidRPr="00591E75">
      <w:rPr>
        <w:b w:val="0"/>
        <w:i/>
        <w:color w:val="C0C0C0"/>
        <w:sz w:val="22"/>
      </w:rPr>
      <w:t>In Vielfalt geeint</w:t>
    </w:r>
    <w:r w:rsidRPr="00591E75">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591E75" w:rsidRDefault="00E51FF1" w:rsidP="002258E0">
    <w:pPr>
      <w:pStyle w:val="EPFooter"/>
    </w:pPr>
    <w:r w:rsidRPr="00591E75">
      <w:rPr>
        <w:rStyle w:val="HideTWBExt"/>
      </w:rPr>
      <w:t>&lt;PathFdR&gt;</w:t>
    </w:r>
    <w:r w:rsidRPr="00591E75">
      <w:t>AD\1288324EN.docx</w:t>
    </w:r>
    <w:r w:rsidRPr="00591E75">
      <w:rPr>
        <w:rStyle w:val="HideTWBExt"/>
      </w:rPr>
      <w:t>&lt;/PathFdR&gt;</w:t>
    </w:r>
    <w:r w:rsidRPr="00591E75">
      <w:tab/>
    </w:r>
    <w:r w:rsidRPr="00591E75">
      <w:tab/>
      <w:t>PE</w:t>
    </w:r>
    <w:r w:rsidRPr="00591E75">
      <w:rPr>
        <w:rStyle w:val="HideTWBExt"/>
      </w:rPr>
      <w:t>&lt;NoPE&gt;</w:t>
    </w:r>
    <w:r w:rsidRPr="00591E75">
      <w:t>752.621</w:t>
    </w:r>
    <w:r w:rsidRPr="00591E75">
      <w:rPr>
        <w:rStyle w:val="HideTWBExt"/>
      </w:rPr>
      <w:t>&lt;/NoPE&gt;&lt;Version&gt;</w:t>
    </w:r>
    <w:r w:rsidRPr="00591E75">
      <w:t>v02-00</w:t>
    </w:r>
    <w:r w:rsidRPr="00591E75">
      <w:rPr>
        <w:rStyle w:val="HideTWBExt"/>
      </w:rPr>
      <w:t>&lt;/Version&gt;</w:t>
    </w:r>
  </w:p>
  <w:p w:rsidR="001A7452" w:rsidRPr="00591E75" w:rsidRDefault="00E51FF1" w:rsidP="002258E0">
    <w:pPr>
      <w:pStyle w:val="EPFooter2"/>
    </w:pPr>
    <w:r w:rsidRPr="00591E75">
      <w:t>EN</w:t>
    </w:r>
    <w:r w:rsidRPr="00591E75">
      <w:tab/>
    </w:r>
    <w:r w:rsidRPr="00591E75">
      <w:rPr>
        <w:b w:val="0"/>
        <w:i/>
        <w:color w:val="C0C0C0"/>
        <w:sz w:val="22"/>
      </w:rPr>
      <w:t>United in diversity</w:t>
    </w:r>
    <w:r w:rsidRPr="00591E75">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591E75" w:rsidRDefault="00E51FF1">
      <w:r w:rsidRPr="00591E75">
        <w:separator/>
      </w:r>
    </w:p>
  </w:footnote>
  <w:footnote w:type="continuationSeparator" w:id="0">
    <w:p w:rsidR="00000000" w:rsidRPr="00591E75" w:rsidRDefault="00E51FF1">
      <w:r w:rsidRPr="00591E7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FF1" w:rsidRDefault="00E51F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FF1" w:rsidRDefault="00E51F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FF1" w:rsidRDefault="00E51FF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2258E0" w:rsidRDefault="002258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2258E0" w:rsidRDefault="002258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2258E0" w:rsidRDefault="002258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2"/>
    <w:docVar w:name="CJMNU" w:val="1"/>
    <w:docVar w:name="CODEMNU" w:val=" 1"/>
    <w:docVar w:name="COM2KEY" w:val="ECON"/>
    <w:docVar w:name="COMKEY" w:val="EMPL"/>
    <w:docVar w:name="CopyToNetwork" w:val="-1"/>
    <w:docVar w:name="CVAR"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1"/>
    <w:docVar w:name="iNoAmendB"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04921 HideTWBExt;}{_x000d__x000a_\s18\ql \li0\ri0\sa120\nowidctlpar\wrapdefault\aspalpha\aspnum\faauto\adjustright\rin0\lin0\itap0 \rtlch\fcs1 \af0\afs20\alang1025 \ltrch\fcs0 \fs24\lang2057\langfe2057\cgrid\langnp2057\langfenp2057 \sbasedon0 \snext18 \spriority0 \styrsid2104921 _x000d__x000a_Normal6a;}{\s19\ql \li0\ri0\nowidctlpar\wrapdefault\aspalpha\aspnum\faauto\adjustright\rin0\lin0\itap0 \rtlch\fcs1 \af0\afs20\alang1025 \ltrch\fcs0 \b\fs24\lang2057\langfe2057\cgrid\langnp2057\langfenp2057 \sbasedon0 \snext19 \spriority0 \styrsid2104921 _x000d__x000a_NormalBold;}{\*\cs20 \additive \v\f1\fs20\cf15 \spriority0 \styrsid2104921 HideTWBInt;}{\s21\qc \li0\ri0\sa240\nowidctlpar\wrapdefault\aspalpha\aspnum\faauto\adjustright\rin0\lin0\itap0 \rtlch\fcs1 \af0\afs20\alang1025 \ltrch\fcs0 _x000d__x000a_\i\fs24\lang2057\langfe2057\cgrid\langnp2057\langfenp2057 \sbasedon0 \snext21 \spriority0 \styrsid2104921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2104921 AmNumberTabs;}{\s23\ql \li0\ri0\sb240\nowidctlpar\wrapdefault\aspalpha\aspnum\faauto\adjustright\rin0\lin0\itap0 \rtlch\fcs1 _x000d__x000a_\af0\afs20\alang1025 \ltrch\fcs0 \b\fs24\lang2057\langfe2057\cgrid\langnp2057\langfenp2057 \sbasedon0 \snext23 \spriority0 \styrsid2104921 NormalBold12b;}}{\*\rsidtbl \rsid24658\rsid223860\rsid735077\rsid1718133\rsid2104921\rsid2892074\rsid3565327_x000d__x000a_\rsid4666813\rsid6641733\rsid7823322\rsid9636012\rsid10377208\rsid11215221\rsid11549030\rsid11881958\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30}{\nofchars176}{\nofcharsws20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04921\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1881958 \chftnsep _x000d__x000a_\par }}{\*\ftnsepc \ltrpar \pard\plain \ltrpar\ql \li0\ri0\widctlpar\wrapdefault\aspalpha\aspnum\faauto\adjustright\rin0\lin0\itap0 \rtlch\fcs1 \af0\afs20\alang1025 \ltrch\fcs0 \fs24\lang2057\langfe2057\cgrid\langnp2057\langfenp2057 {\rtlch\fcs1 \af0 _x000d__x000a_\ltrch\fcs0 \insrsid11881958 \chftnsepc _x000d__x000a_\par }}{\*\aftnsep \ltrpar \pard\plain \ltrpar\ql \li0\ri0\widctlpar\wrapdefault\aspalpha\aspnum\faauto\adjustright\rin0\lin0\itap0 \rtlch\fcs1 \af0\afs20\alang1025 \ltrch\fcs0 \fs24\lang2057\langfe2057\cgrid\langnp2057\langfenp2057 {\rtlch\fcs1 \af0 _x000d__x000a_\ltrch\fcs0 \insrsid11881958 \chftnsep _x000d__x000a_\par }}{\*\aftnsepc \ltrpar \pard\plain \ltrpar\ql \li0\ri0\widctlpar\wrapdefault\aspalpha\aspnum\faauto\adjustright\rin0\lin0\itap0 \rtlch\fcs1 \af0\afs20\alang1025 \ltrch\fcs0 \fs24\lang2057\langfe2057\cgrid\langnp2057\langfenp2057 {\rtlch\fcs1 \af0 _x000d__x000a_\ltrch\fcs0 \insrsid118819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104921 \rtlch\fcs1 _x000d__x000a_\af0\afs20\alang1025 \ltrch\fcs0 \b\fs24\lang2057\langfe2057\cgrid\langnp2057\langfenp2057 {\rtlch\fcs1 \af0 \ltrch\fcs0 \cs17\b0\v\fs20\cf9\lang1024\langfe1024\loch\af1\hich\af1\dbch\af31501\noproof\insrsid2104921\charrsid7612140 {\*\bkmkstart restartA}_x000d__x000a_\hich\af1\dbch\af31501\loch\f1 &lt;AmendA&gt;}{\rtlch\fcs1 \af0 \ltrch\fcs0 \insrsid2104921\charrsid7612140 Amendment\tab \tab }{\rtlch\fcs1 \af0 \ltrch\fcs0 _x000d__x000a_\cs17\b0\v\fs20\cf9\lang1024\langfe1024\loch\af1\hich\af1\dbch\af31501\noproof\insrsid2104921\charrsid7612140 \hich\af1\dbch\af31501\loch\f1 &lt;NumAmA&gt;}{\rtlch\fcs1 \af0 \ltrch\fcs0 \insrsid2104921\charrsid7612140 #}{\rtlch\fcs1 \af1 \ltrch\fcs0 _x000d__x000a_\cs20\v\f1\fs20\cf15\insrsid2104921\charrsid7612140 ENMIENDA@NRAM@}{\rtlch\fcs1 \af0 \ltrch\fcs0 \insrsid2104921\charrsid7612140 #}{\rtlch\fcs1 \af0 \ltrch\fcs0 _x000d__x000a_\cs17\b0\v\fs20\cf9\lang1024\langfe1024\loch\af1\hich\af1\dbch\af31501\noproof\insrsid2104921\charrsid7612140 \hich\af1\dbch\af31501\loch\f1 &lt;/NumAmA&gt;}{\rtlch\fcs1 \af0 \ltrch\fcs0 \insrsid2104921\charrsid7612140 _x000d__x000a_\par }\pard\plain \ltrpar\s23\ql \li0\ri0\sb240\keepn\nowidctlpar\wrapdefault\aspalpha\aspnum\faauto\adjustright\rin0\lin0\itap0\pararsid2104921 \rtlch\fcs1 \af0\afs20\alang1025 \ltrch\fcs0 \b\fs24\lang2057\langfe2057\cgrid\langnp2057\langfenp2057 {_x000d__x000a_\rtlch\fcs1 \af0 \ltrch\fcs0 \cs17\b0\v\fs20\cf9\lang1024\langfe1024\loch\af1\hich\af1\dbch\af31501\noproof\insrsid2104921\charrsid7612140 \hich\af1\dbch\af31501\loch\f1 &lt;DocAmend&gt;}{\rtlch\fcs1 \af0 \ltrch\fcs0 \insrsid2104921\charrsid7612140 _x000d__x000a_Draft legislative resolution}{\rtlch\fcs1 \af0 \ltrch\fcs0 \cs17\b0\v\fs20\cf9\lang1024\langfe1024\loch\af1\hich\af1\dbch\af31501\noproof\insrsid2104921\charrsid7612140 \hich\af1\dbch\af31501\loch\f1 &lt;/DocAmend&gt;}{\rtlch\fcs1 \af0 \ltrch\fcs0 _x000d__x000a_\insrsid2104921\charrsid7612140 _x000d__x000a_\par }\pard\plain \ltrpar\s19\ql \li0\ri0\nowidctlpar\wrapdefault\aspalpha\aspnum\faauto\adjustright\rin0\lin0\itap0\pararsid2104921 \rtlch\fcs1 \af0\afs20\alang1025 \ltrch\fcs0 \b\fs24\lang2057\langfe2057\cgrid\langnp2057\langfenp2057 {\rtlch\fcs1 \af0 _x000d__x000a_\ltrch\fcs0 \cs17\b0\v\fs20\cf9\lang1024\langfe1024\loch\af1\hich\af1\dbch\af31501\noproof\insrsid2104921\charrsid7612140 \hich\af1\dbch\af31501\loch\f1 &lt;Article&gt;}{\rtlch\fcs1 \af0 \ltrch\fcs0 \cf10\insrsid2104921\charrsid10711382 \u9668\'3f}{\rtlch\fcs1 _x000d__x000a_\af0 \ltrch\fcs0 \insrsid2104921\charrsid7612140 #}{\rtlch\fcs1 \af1 \ltrch\fcs0 \cs20\v\f1\fs20\cf15\insrsid2104921\charrsid7612140 TVTRESPART@RESPART@}{\rtlch\fcs1 \af0 \ltrch\fcs0 \insrsid2104921\charrsid7612140 #}{\rtlch\fcs1 \af0 \ltrch\fcs0 _x000d__x000a_\cf10\insrsid2104921\charrsid10711382 \u9658\'3f}{\rtlch\fcs1 \af0 \ltrch\fcs0 \cs17\b0\v\fs20\cf9\lang1024\langfe1024\loch\af1\hich\af1\dbch\af31501\noproof\insrsid2104921\charrsid7612140 \hich\af1\dbch\af31501\loch\f1 &lt;/Article&gt;}{\rtlch\fcs1 \af0 _x000d__x000a_\ltrch\fcs0 \insrsid2104921\charrsid7612140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2104921\charrsid7612140 \cell }\pard \ltrpar\ql \li0\ri0\widctlpar\intbl\wrapdefault\aspalpha\aspnum\faauto\adjustright\rin0\lin0 {\rtlch\fcs1 \af0 \ltrch\fcs0 _x000d__x000a_\insrsid2104921\charrsid7612140 \trowd \irow0\irowband0\ltrrow\ts11\trqc\trgaph340\trleft-340\trftsWidth1\trftsWidthB3\trpaddl340\trpaddr340\trpaddfl3\trpaddft3\trpaddfb3\trpaddfr3\tblrsid14374628\tblind0\tblindtype3 \clvertalt\clbrdrt\brdrtbl \clbrdrl_x000d__x000a_\brdrtbl \clbrdrb\brdrtbl \clbrdrr\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2104921\charrsid7612140 Draft legislative resolution\cell Amendment\cell }\pard\plain \ltrpar\ql \li0\ri0\widctlpar\intbl\wrapdefault\aspalpha\aspnum\faauto\adjustright\rin0\lin0 \rtlch\fcs1 \af0\afs20\alang1025 \ltrch\fcs0 _x000d__x000a_\fs24\lang2057\langfe2057\cgrid\langnp2057\langfenp2057 {\rtlch\fcs1 \af0 \ltrch\fcs0 \insrsid2104921\charrsid7612140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104921\charrsid7612140 ##\cell ##}{\rtlch\fcs1 \af0\afs24 \ltrch\fcs0 \insrsid2104921\charrsid7612140 \cell }\pard\plain \ltrpar\ql \li0\ri0\widctlpar\intbl\wrapdefault\aspalpha\aspnum\faauto\adjustright\rin0\lin0 \rtlch\fcs1 _x000d__x000a_\af0\afs20\alang1025 \ltrch\fcs0 \fs24\lang2057\langfe2057\cgrid\langnp2057\langfenp2057 {\rtlch\fcs1 \af0 \ltrch\fcs0 \insrsid2104921\charrsid7612140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104921 {\rtlch\fcs1 \af0 \ltrch\fcs0 \cs17\v\fs20\cf9\lang1024\langfe1024\loch\af1\hich\af1\dbch\af31501\noproof\insrsid2104921\charrsid7612140 _x000d__x000a_\hich\af1\dbch\af31501\loch\f1 &lt;/AmendA&gt;}{\rtlch\fcs1 \af0 \ltrch\fcs0 \insrsid2104921\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60_x000d__x000a_4a3d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85513 HideTWBExt;}{_x000d__x000a_\s18\ql \li0\ri0\sa120\nowidctlpar\wrapdefault\aspalpha\aspnum\faauto\adjustright\rin0\lin0\itap0 \rtlch\fcs1 \af0\afs20\alang1025 \ltrch\fcs0 \fs24\lang2057\langfe2057\cgrid\langnp2057\langfenp2057 \sbasedon0 \snext18 \spriority0 \styrsid15485513 _x000d__x000a_Normal6a;}{\s19\ql \li0\ri0\nowidctlpar\wrapdefault\aspalpha\aspnum\faauto\adjustright\rin0\lin0\itap0 \rtlch\fcs1 \af0\afs20\alang1025 \ltrch\fcs0 \b\fs24\lang2057\langfe2057\cgrid\langnp2057\langfenp2057 \sbasedon0 \snext19 \spriority0 \styrsid15485513 _x000d__x000a_NormalBold;}{\s20\ql \li0\ri0\sa240\nowidctlpar\wrapdefault\aspalpha\aspnum\faauto\adjustright\rin0\lin0\itap0 \rtlch\fcs1 \af0\afs20\alang1025 \ltrch\fcs0 \i\fs24\lang2057\langfe2057\cgrid\langnp2057\langfenp2057 _x000d__x000a_\sbasedon0 \snext20 \spriority0 \styrsid15485513 AmJustText;}{\s21\qc \li0\ri0\sb240\sa240\nowidctlpar\wrapdefault\aspalpha\aspnum\faauto\adjustright\rin0\lin0\itap0 \rtlch\fcs1 \af0\afs20\alang1025 \ltrch\fcs0 _x000d__x000a_\i\fs24\lang2057\langfe2057\cgrid\langnp2057\langfenp2057 \sbasedon0 \snext21 \spriority0 \styrsid15485513 AmCrossRef;}{\*\cs22 \additive \v\f1\fs20\cf15 \spriority0 \styrsid15485513 HideTWBInt;}{_x000d__x000a_\s23\qc \li0\ri0\sb240\sa240\keepn\nowidctlpar\wrapdefault\aspalpha\aspnum\faauto\adjustright\rin0\lin0\itap0 \rtlch\fcs1 \af0\afs20\alang1025 \ltrch\fcs0 \i\fs24\lang2057\langfe2057\cgrid\langnp2057\langfenp2057 _x000d__x000a_\sbasedon0 \snext20 \spriority0 \styrsid15485513 AmJustTitle;}{\s24\qc \li0\ri0\sa240\nowidctlpar\wrapdefault\aspalpha\aspnum\faauto\adjustright\rin0\lin0\itap0 \rtlch\fcs1 \af0\afs20\alang1025 \ltrch\fcs0 _x000d__x000a_\i\fs24\lang2057\langfe2057\cgrid\langnp2057\langfenp2057 \sbasedon0 \snext24 \spriority0 \styrsid15485513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485513 AmNumberTabs;}{\s26\ql \li0\ri0\sb240\nowidctlpar\wrapdefault\aspalpha\aspnum\faauto\adjustright\rin0\lin0\itap0 \rtlch\fcs1 _x000d__x000a_\af0\afs20\alang1025 \ltrch\fcs0 \b\fs24\lang2057\langfe2057\cgrid\langnp2057\langfenp2057 \sbasedon0 \snext26 \spriority0 \styrsid15485513 NormalBold12b;}}{\*\rsidtbl \rsid24658\rsid223860\rsid735077\rsid1718133\rsid2892074\rsid3565327\rsid4666813_x000d__x000a_\rsid6641733\rsid7823322\rsid9636012\rsid10377208\rsid11215221\rsid11549030\rsid12154954\rsid14382809\rsid14424199\rsid15204470\rsid15285974\rsid15485513\rsid15667495\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99}{\nofchars567}{\nofcharsws66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85513\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667495 \chftnsep _x000d__x000a_\par }}{\*\ftnsepc \ltrpar \pard\plain \ltrpar\ql \li0\ri0\widctlpar\wrapdefault\aspalpha\aspnum\faauto\adjustright\rin0\lin0\itap0 \rtlch\fcs1 \af0\afs20\alang1025 \ltrch\fcs0 \fs24\lang2057\langfe2057\cgrid\langnp2057\langfenp2057 {\rtlch\fcs1 \af0 _x000d__x000a_\ltrch\fcs0 \insrsid15667495 \chftnsepc _x000d__x000a_\par }}{\*\aftnsep \ltrpar \pard\plain \ltrpar\ql \li0\ri0\widctlpar\wrapdefault\aspalpha\aspnum\faauto\adjustright\rin0\lin0\itap0 \rtlch\fcs1 \af0\afs20\alang1025 \ltrch\fcs0 \fs24\lang2057\langfe2057\cgrid\langnp2057\langfenp2057 {\rtlch\fcs1 \af0 _x000d__x000a_\ltrch\fcs0 \insrsid15667495 \chftnsep _x000d__x000a_\par }}{\*\aftnsepc \ltrpar \pard\plain \ltrpar\ql \li0\ri0\widctlpar\wrapdefault\aspalpha\aspnum\faauto\adjustright\rin0\lin0\itap0 \rtlch\fcs1 \af0\afs20\alang1025 \ltrch\fcs0 \fs24\lang2057\langfe2057\cgrid\langnp2057\langfenp2057 {\rtlch\fcs1 \af0 _x000d__x000a_\ltrch\fcs0 \insrsid156674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5485513 \rtlch\fcs1 _x000d__x000a_\af0\afs20\alang1025 \ltrch\fcs0 \b\fs24\lang2057\langfe2057\cgrid\langnp2057\langfenp2057 {\rtlch\fcs1 \af0 \ltrch\fcs0 \cs17\b0\v\fs20\cf9\lang1024\langfe1024\loch\af1\hich\af1\dbch\af31501\noproof\insrsid15485513\charrsid7612140 {\*\bkmkstart restartB}_x000d__x000a_\hich\af1\dbch\af31501\loch\f1 &lt;AmendB&gt;}{\rtlch\fcs1 \af0 \ltrch\fcs0 \insrsid15485513\charrsid7612140 Amendment\tab \tab }{\rtlch\fcs1 \af0 \ltrch\fcs0 _x000d__x000a_\cs17\b0\v\fs20\cf9\lang1024\langfe1024\loch\af1\hich\af1\dbch\af31501\noproof\insrsid15485513\charrsid7612140 \hich\af1\dbch\af31501\loch\f1 &lt;NumAmB&gt;}{\rtlch\fcs1 \af0 \ltrch\fcs0 \insrsid15485513\charrsid7612140 #}{\rtlch\fcs1 \af1 \ltrch\fcs0 _x000d__x000a_\cs22\v\f1\fs20\cf15\insrsid15485513\charrsid7612140 ENMIENDA@NRAM@}{\rtlch\fcs1 \af0 \ltrch\fcs0 \insrsid15485513\charrsid7612140 #}{\rtlch\fcs1 \af0 \ltrch\fcs0 _x000d__x000a_\cs17\b0\v\fs20\cf9\lang1024\langfe1024\loch\af1\hich\af1\dbch\af31501\noproof\insrsid15485513\charrsid7612140 \hich\af1\dbch\af31501\loch\f1 &lt;/NumAmB&gt;}{\rtlch\fcs1 \af0 \ltrch\fcs0 \insrsid15485513\charrsid7612140 _x000d__x000a_\par }\pard\plain \ltrpar\s26\ql \li0\ri0\sb240\keepn\nowidctlpar\wrapdefault\aspalpha\aspnum\faauto\adjustright\rin0\lin0\itap0\pararsid15485513 \rtlch\fcs1 \af0\afs20\alang1025 \ltrch\fcs0 \b\fs24\lang2057\langfe2057\cgrid\langnp2057\langfenp2057 {_x000d__x000a_\rtlch\fcs1 \af0 \ltrch\fcs0 \cs17\b0\v\fs20\cf9\lang1024\langfe1024\loch\af1\hich\af1\dbch\af31501\noproof\insrsid15485513\charrsid7612140 \hich\af1\dbch\af31501\loch\f1 &lt;DocAmend&gt;}{\rtlch\fcs1 \af0 \ltrch\fcs0 \insrsid15485513\charrsid7612140 #}{_x000d__x000a_\rtlch\fcs1 \af1 \ltrch\fcs0 \cs22\v\f1\fs20\cf15\insrsid15485513\charrsid7612140 MNU[OPTPROPOSALCOD][OPTPROPOSALCNS][OPTPROPOSALNLE][OPTPROPOSALINL]@CHOICE@CODEMNU}{\rtlch\fcs1 \af0 \ltrch\fcs0 \insrsid15485513\charrsid7612140 ##}{\rtlch\fcs1 \af1 _x000d__x000a_\ltrch\fcs0 \cs22\v\f1\fs20\cf15\insrsid15485513\charrsid7612140 MNU[AMACTYES][NOTAPP]@CHOICE@AMACTMNU}{\rtlch\fcs1 \af0 \ltrch\fcs0 \insrsid15485513\charrsid7612140 #}{\rtlch\fcs1 \af0 \ltrch\fcs0 _x000d__x000a_\cs17\b0\v\fs20\cf9\lang1024\langfe1024\loch\af1\hich\af1\dbch\af31501\noproof\insrsid15485513\charrsid7612140 \hich\af1\dbch\af31501\loch\f1 &lt;/DocAmend&gt;}{\rtlch\fcs1 \af0 \ltrch\fcs0 \insrsid15485513\charrsid7612140 _x000d__x000a_\par }\pard\plain \ltrpar\s19\ql \li0\ri0\keepn\nowidctlpar\wrapdefault\aspalpha\aspnum\faauto\adjustright\rin0\lin0\itap0\pararsid15485513 \rtlch\fcs1 \af0\afs20\alang1025 \ltrch\fcs0 \b\fs24\lang2057\langfe2057\cgrid\langnp2057\langfenp2057 {\rtlch\fcs1 _x000d__x000a_\af0 \ltrch\fcs0 \cs17\b0\v\fs20\cf9\lang1024\langfe1024\loch\af1\hich\af1\dbch\af31501\noproof\insrsid15485513\charrsid7612140 \hich\af1\dbch\af31501\loch\f1 &lt;Article&gt;}{\rtlch\fcs1 \af0 \ltrch\fcs0 \insrsid15485513\charrsid7612140 #}{\rtlch\fcs1 \af1 _x000d__x000a_\ltrch\fcs0 \cs22\v\f1\fs20\cf15\insrsid15485513\charrsid7612140 MNU[AMACTPARTYES][AMACTPARTNO]@CHOICE@AMACTMNU}{\rtlch\fcs1 \af0 \ltrch\fcs0 \insrsid15485513\charrsid7612140 #}{\rtlch\fcs1 \af0 \ltrch\fcs0 _x000d__x000a_\cs17\b0\v\fs20\cf9\lang1024\langfe1024\loch\af1\hich\af1\dbch\af31501\noproof\insrsid15485513\charrsid7612140 \hich\af1\dbch\af31501\loch\f1 &lt;/Article&gt;}{\rtlch\fcs1 \af0 \ltrch\fcs0 \insrsid15485513\charrsid7612140 _x000d__x000a_\par }\pard\plain \ltrpar\ql \li0\ri0\keepn\widctlpar\wrapdefault\aspalpha\aspnum\faauto\adjustright\rin0\lin0\itap0\pararsid15485513 \rtlch\fcs1 \af0\afs20\alang1025 \ltrch\fcs0 \fs24\lang2057\langfe2057\cgrid\langnp2057\langfenp2057 {\rtlch\fcs1 \af0 _x000d__x000a_\ltrch\fcs0 \cs17\v\fs20\cf9\lang1024\langfe1024\loch\af1\hich\af1\dbch\af31501\noproof\insrsid15485513\charrsid7612140 \hich\af1\dbch\af31501\loch\f1 &lt;DocAmend\hich\af1\dbch\af31501\loch\f1 2&gt;&lt;OptDel&gt;}{\rtlch\fcs1 \af0 \ltrch\fcs0 _x000d__x000a_\insrsid15485513\charrsid7612140 #}{\rtlch\fcs1 \af1 \ltrch\fcs0 \cs22\v\f1\fs20\cf15\insrsid15485513\charrsid7612140 MNU[OPTNRACTYES][NOTAPP]@CHOICE@AMACTMNU}{\rtlch\fcs1 \af0 \ltrch\fcs0 \insrsid15485513\charrsid7612140 #}{\rtlch\fcs1 \af0 \ltrch\fcs0 _x000d__x000a_\cs17\v\fs20\cf9\lang1024\langfe1024\loch\af1\hich\af1\dbch\af31501\noproof\insrsid15485513\charrsid7612140 \hich\af1\dbch\af31501\loch\f1 &lt;/OptDel&gt;&lt;/DocAmend2&gt;}{\rtlch\fcs1 \af0 \ltrch\fcs0 \insrsid15485513\charrsid7612140 _x000d__x000a_\par }\pard \ltrpar\ql \li0\ri0\widctlpar\wrapdefault\aspalpha\aspnum\faauto\adjustright\rin0\lin0\itap0\pararsid15485513 {\rtlch\fcs1 \af0 \ltrch\fcs0 \cs17\v\fs20\cf9\lang1024\langfe1024\loch\af1\hich\af1\dbch\af31501\noproof\insrsid15485513\charrsid7612140 _x000d__x000a_\hich\af1\dbch\af31501\loch\f1 &lt;Article2&gt;&lt;OptDel&gt;}{\rtlch\fcs1 \af0 \ltrch\fcs0 \insrsid15485513\charrsid7612140 #}{\rtlch\fcs1 \af1 \ltrch\fcs0 \cs22\v\f1\fs20\cf15\insrsid15485513\charrsid7612140 MNU[OPTACTPARTYES][NOTAPP]@CHOICE@AMACTMNU}{\rtlch\fcs1 _x000d__x000a_\af0 \ltrch\fcs0 \insrsid15485513\charrsid7612140 #}{\rtlch\fcs1 \af0 \ltrch\fcs0 \cs17\v\fs20\cf9\lang1024\langfe1024\loch\af1\hich\af1\dbch\af31501\noproof\insrsid15485513\charrsid7612140 \hich\af1\dbch\af31501\loch\f1 &lt;/OptDel&gt;&lt;/Article2&gt;}{\rtlch\fcs1 _x000d__x000a_\af0 \ltrch\fcs0 \insrsid15485513\charrsid7612140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insrsid15485513\charrsid7612140 \cell }\pard \ltrpar\ql \li0\ri0\widctlpar\intbl\wrapdefault\aspalpha\aspnum\faauto\adjustright\rin0\lin0 {\rtlch\fcs1 \af0 \ltrch\fcs0 \insrsid15485513\charrsid7612140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15485513\charrsid7612140 #}{\rtlch\fcs1 \af1 \ltrch\fcs0 \cs22\v\f1\fs20\cf15\insrsid15485513\charrsid7612140 MNU[OPTLEFTAMACT][LEFTPROP]@CHOICE@AMACTMNU}{\rtlch\fcs1 \af0 \ltrch\fcs0 \insrsid15485513\charrsid7612140 #\cell Amendment\cell _x000d__x000a_}\pard\plain \ltrpar\ql \li0\ri0\widctlpar\intbl\wrapdefault\aspalpha\aspnum\faauto\adjustright\rin0\lin0 \rtlch\fcs1 \af0\afs20\alang1025 \ltrch\fcs0 \fs24\lang2057\langfe2057\cgrid\langnp2057\langfenp2057 {\rtlch\fcs1 \af0 \ltrch\fcs0 _x000d__x000a_\insrsid15485513\charrsid7612140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5485513\charrsid7612140 ##\cell ##}{\rtlch\fcs1 \af0\afs24 \ltrch\fcs0 \insrsid15485513\charrsid7612140 \cell }\pard\plain \ltrpar\ql \li0\ri0\widctlpar\intbl\wrapdefault\aspalpha\aspnum\faauto\adjustright\rin0\lin0 _x000d__x000a_\rtlch\fcs1 \af0\afs20\alang1025 \ltrch\fcs0 \fs24\lang2057\langfe2057\cgrid\langnp2057\langfenp2057 {\rtlch\fcs1 \af0 \ltrch\fcs0 \insrsid15485513\charrsid7612140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485513 \rtlch\fcs1 \af0\afs20\alang1025 \ltrch\fcs0 \i\fs24\lang2057\langfe2057\cgrid\langnp2057\langfenp2057 {\rtlch\fcs1 \af0 \ltrch\fcs0 _x000d__x000a_\cs17\i0\v\fs20\cf9\lang1024\langfe1024\loch\af1\hich\af1\dbch\af31501\noproof\insrsid15485513\charrsid7612140 \hich\af1\dbch\af31501\loch\f1 &lt;OptDel&gt;}{\rtlch\fcs1 \af0 \ltrch\fcs0 \insrsid15485513\charrsid7612140 #}{\rtlch\fcs1 \af1 \ltrch\fcs0 _x000d__x000a_\cs22\v\f1\fs20\cf15\insrsid15485513\charrsid7612140 MNU[CROSSREFNO][CROSSREFYES]@CHOICE@}{\rtlch\fcs1 \af0 \ltrch\fcs0 \insrsid15485513\charrsid7612140 #}{\rtlch\fcs1 \af0 \ltrch\fcs0 _x000d__x000a_\cs17\i0\v\fs20\cf9\lang1024\langfe1024\loch\af1\hich\af1\dbch\af31501\noproof\insrsid15485513\charrsid7612140 \hich\af1\dbch\af31501\loch\f1 &lt;/OptDel&gt;}{\rtlch\fcs1 \af0 \ltrch\fcs0 \insrsid15485513\charrsid7612140 _x000d__x000a_\par }\pard\plain \ltrpar\s23\qc \li0\ri0\sb240\sa240\keepn\nowidctlpar\wrapdefault\aspalpha\aspnum\faauto\adjustright\rin0\lin0\itap0\pararsid15485513 \rtlch\fcs1 \af0\afs20\alang1025 \ltrch\fcs0 \i\fs24\lang2057\langfe2057\cgrid\langnp2057\langfenp2057 {_x000d__x000a_\rtlch\fcs1 \af0 \ltrch\fcs0 \cs17\i0\v\fs20\cf9\lang1024\langfe1024\loch\af1\hich\af1\dbch\af31501\noproof\insrsid15485513\charrsid7612140 \hich\af1\dbch\af31501\loch\f1 &lt;TitreJust&gt;}{\rtlch\fcs1 \af0 \ltrch\fcs0 \insrsid15485513\charrsid7612140 _x000d__x000a_Justification}{\rtlch\fcs1 \af0 \ltrch\fcs0 \cs17\i0\v\fs20\cf9\lang1024\langfe1024\loch\af1\hich\af1\dbch\af31501\noproof\insrsid15485513\charrsid7612140 \hich\af1\dbch\af31501\loch\f1 &lt;/TitreJust&gt;}{\rtlch\fcs1 \af0 \ltrch\fcs0 _x000d__x000a_\insrsid15485513\charrsid7612140 _x000d__x000a_\par }\pard\plain \ltrpar\s20\ql \li0\ri0\sa240\nowidctlpar\wrapdefault\aspalpha\aspnum\faauto\adjustright\rin0\lin0\itap0\pararsid15485513 \rtlch\fcs1 \af0\afs20\alang1025 \ltrch\fcs0 \i\fs24\lang2057\langfe2057\cgrid\langnp2057\langfenp2057 {\rtlch\fcs1 _x000d__x000a_\af0 \ltrch\fcs0 \cs17\i0\v\fs20\cf9\lang1024\langfe1024\loch\af1\hich\af1\dbch\af31501\noproof\insrsid15485513\charrsid7612140 \hich\af1\dbch\af31501\loch\f1 &lt;OptDelPrev&gt;}{\rtlch\fcs1 \af0 \ltrch\fcs0 \insrsid15485513\charrsid7612140 #}{\rtlch\fcs1 \af1 _x000d__x000a_\ltrch\fcs0 \cs22\v\f1\fs20\cf15\insrsid15485513\charrsid7612140 MNU[TEXTJUSTYES][TEXTJUSTNO]@CHOICE@}{\rtlch\fcs1 \af0 \ltrch\fcs0 \insrsid15485513\charrsid7612140 #}{\rtlch\fcs1 \af0 \ltrch\fcs0 _x000d__x000a_\cs17\i0\v\fs20\cf9\lang1024\langfe1024\loch\af1\hich\af1\dbch\af31501\noproof\insrsid15485513\charrsid7612140 \hich\af1\dbch\af31501\loch\f1 &lt;/OptDelPrev&gt;}{\rtlch\fcs1 \af0 \ltrch\fcs0 \insrsid15485513\charrsid7612140 _x000d__x000a_\par }\pard\plain \ltrpar\ql \li0\ri0\widctlpar\wrapdefault\aspalpha\aspnum\faauto\adjustright\rin0\lin0\itap0\pararsid15485513 \rtlch\fcs1 \af0\afs20\alang1025 \ltrch\fcs0 \fs24\lang2057\langfe2057\cgrid\langnp2057\langfenp2057 {\rtlch\fcs1 \af0 \ltrch\fcs0 _x000d__x000a_\cs17\v\fs20\cf9\lang1024\langfe1024\loch\af1\hich\af1\dbch\af31501\noproof\insrsid15485513\charrsid7612140 \hich\af1\dbch\af31501\loch\f1 &lt;/AmendB&gt;}{\rtlch\fcs1 \af0 \ltrch\fcs0 \insrsid1548551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48_x000d__x000a_313f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473135 HideTWBExt;}{_x000d__x000a_\s18\ql \li0\ri0\sa120\nowidctlpar\wrapdefault\aspalpha\aspnum\faauto\adjustright\rin0\lin0\itap0 \rtlch\fcs1 \af0\afs20\alang1025 \ltrch\fcs0 \fs24\lang2057\langfe2057\cgrid\langnp2057\langfenp2057 \sbasedon0 \snext18 \spriority0 \styrsid8473135 _x000d__x000a_Normal6a;}{\s19\ql \li0\ri0\nowidctlpar\wrapdefault\aspalpha\aspnum\faauto\adjustright\rin0\lin0\itap0 \rtlch\fcs1 \af0\afs20\alang1025 \ltrch\fcs0 \b\fs24\lang2057\langfe2057\cgrid\langnp2057\langfenp2057 \sbasedon0 \snext19 \spriority0 \styrsid8473135 _x000d__x000a_NormalBold;}{\s20\qc \li0\ri0\sa240\nowidctlpar\wrapdefault\aspalpha\aspnum\faauto\adjustright\rin0\lin0\itap0 \rtlch\fcs1 \af0\afs20\alang1025 \ltrch\fcs0 \i\fs24\lang2057\langfe2057\cgrid\langnp2057\langfenp2057 _x000d__x000a_\sbasedon0 \snext20 \spriority0 \styrsid847313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8473135 AmNumberTabs;}{\s22\ql \li0\ri0\sb240\nowidctlpar\wrapdefault\aspalpha\aspnum\faauto\adjustright\rin0\lin0\itap0 \rtlch\fcs1 _x000d__x000a_\af0\afs20\alang1025 \ltrch\fcs0 \b\fs24\lang2057\langfe2057\cgrid\langnp2057\langfenp2057 \sbasedon0 \snext22 \spriority0 \styrsid8473135 NormalBold12b;}}{\*\rsidtbl \rsid24658\rsid223860\rsid735077\rsid1718133\rsid2892074\rsid3565327\rsid4666813_x000d__x000a_\rsid6641733\rsid7823322\rsid8473135\rsid9636012\rsid10377208\rsid11215221\rsid11549030\rsid12154954\rsid14382809\rsid14424199\rsid15204470\rsid15285974\rsid15335601\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47313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335601 \chftnsep _x000d__x000a_\par }}{\*\ftnsepc \ltrpar \pard\plain \ltrpar\ql \li0\ri0\widctlpar\wrapdefault\aspalpha\aspnum\faauto\adjustright\rin0\lin0\itap0 \rtlch\fcs1 \af0\afs20\alang1025 \ltrch\fcs0 \fs24\lang2057\langfe2057\cgrid\langnp2057\langfenp2057 {\rtlch\fcs1 \af0 _x000d__x000a_\ltrch\fcs0 \insrsid15335601 \chftnsepc _x000d__x000a_\par }}{\*\aftnsep \ltrpar \pard\plain \ltrpar\ql \li0\ri0\widctlpar\wrapdefault\aspalpha\aspnum\faauto\adjustright\rin0\lin0\itap0 \rtlch\fcs1 \af0\afs20\alang1025 \ltrch\fcs0 \fs24\lang2057\langfe2057\cgrid\langnp2057\langfenp2057 {\rtlch\fcs1 \af0 _x000d__x000a_\ltrch\fcs0 \insrsid15335601 \chftnsep _x000d__x000a_\par }}{\*\aftnsepc \ltrpar \pard\plain \ltrpar\ql \li0\ri0\widctlpar\wrapdefault\aspalpha\aspnum\faauto\adjustright\rin0\lin0\itap0 \rtlch\fcs1 \af0\afs20\alang1025 \ltrch\fcs0 \fs24\lang2057\langfe2057\cgrid\langnp2057\langfenp2057 {\rtlch\fcs1 \af0 _x000d__x000a_\ltrch\fcs0 \insrsid153356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8473135 \rtlch\fcs1 _x000d__x000a_\af0\afs20\alang1025 \ltrch\fcs0 \b\fs24\lang2057\langfe2057\cgrid\langnp2057\langfenp2057 {\rtlch\fcs1 \af0 \ltrch\fcs0 \cs17\b0\v\fs20\cf9\lang1024\langfe1024\loch\af1\hich\af1\dbch\af31501\noproof\insrsid8473135\charrsid15879488 {\*\bkmkstart restartA}_x000d__x000a_\hich\af1\dbch\af31501\loch\f1 &lt;AmendA&gt;}{\rtlch\fcs1 \af0 \ltrch\fcs0 \insrsid8473135\charrsid15879488 [ZAMENDMENT]\tab \tab }{\rtlch\fcs1 \af0 \ltrch\fcs0 _x000d__x000a_\cs17\b0\v\fs20\cf9\lang1024\langfe1024\loch\af1\hich\af1\dbch\af31501\noproof\insrsid8473135\charrsid15879488 \hich\af1\dbch\af31501\loch\f1 &lt;NumAmA&gt;}{\rtlch\fcs1 \af0 \ltrch\fcs0 \insrsid8473135\charrsid15879488 [ZNRAM]}{\rtlch\fcs1 \af0 \ltrch\fcs0 _x000d__x000a_\cs17\b0\v\fs20\cf9\lang1024\langfe1024\loch\af1\hich\af1\dbch\af31501\noproof\insrsid8473135\charrsid15879488 \hich\af1\dbch\af31501\loch\f1 &lt;/NumAmA&gt;}{\rtlch\fcs1 \af0 \ltrch\fcs0 \insrsid8473135\charrsid15879488 _x000d__x000a_\par }\pard\plain \ltrpar\s22\ql \li0\ri0\sb240\keepn\nowidctlpar\wrapdefault\aspalpha\aspnum\faauto\adjustright\rin0\lin0\itap0\pararsid8473135 \rtlch\fcs1 \af0\afs20\alang1025 \ltrch\fcs0 \b\fs24\lang2057\langfe2057\cgrid\langnp2057\langfenp2057 {_x000d__x000a_\rtlch\fcs1 \af0 \ltrch\fcs0 \cs17\b0\v\fs20\cf9\lang1024\langfe1024\loch\af1\hich\af1\dbch\af31501\noproof\langnp1036\insrsid8473135\charrsid11356624 \hich\af1\dbch\af31501\loch\f1 &lt;DocAmend&gt;}{\rtlch\fcs1 \af0 \ltrch\fcs0 _x000d__x000a_\lang1036\langfe2057\langnp1036\insrsid8473135\charrsid11356624 [ZRESOLUTION]}{\rtlch\fcs1 \af0 \ltrch\fcs0 \cs17\b0\v\fs20\cf9\lang1024\langfe1024\loch\af1\hich\af1\dbch\af31501\noproof\langnp1036\insrsid8473135\charrsid11356624 _x000d__x000a_\hich\af1\dbch\af31501\loch\f1 &lt;/DocAmend&gt;}{\rtlch\fcs1 \af0 \ltrch\fcs0 \lang1036\langfe2057\langnp1036\insrsid8473135\charrsid11356624 _x000d__x000a_\par }\pard\plain \ltrpar\s19\ql \li0\ri0\nowidctlpar\wrapdefault\aspalpha\aspnum\faauto\adjustright\rin0\lin0\itap0\pararsid8473135 \rtlch\fcs1 \af0\afs20\alang1025 \ltrch\fcs0 \b\fs24\lang2057\langfe2057\cgrid\langnp2057\langfenp2057 {\rtlch\fcs1 \af0 _x000d__x000a_\ltrch\fcs0 \cs17\b0\v\fs20\cf9\lang1024\langfe1024\loch\af1\hich\af1\dbch\af31501\noproof\langnp1036\insrsid8473135\charrsid11356624 \hich\af1\dbch\af31501\loch\f1 &lt;Article&gt;}{\rtlch\fcs1 \af0 \ltrch\fcs0 _x000d__x000a_\lang1036\langfe2057\langnp1036\insrsid8473135\charrsid11356624 [ZRESPART]}{\rtlch\fcs1 \af0 \ltrch\fcs0 \cs17\b0\v\fs20\cf9\lang1024\langfe1024\loch\af1\hich\af1\dbch\af31501\noproof\langnp1036\insrsid8473135\charrsid11356624 _x000d__x000a_\hich\af1\dbch\af31501\loch\f1 &lt;/Article&gt;}{\rtlch\fcs1 \af0 \ltrch\fcs0 \lang1036\langfe2057\langnp1036\insrsid8473135\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8473135\charrsid11356624 \cell }\pard \ltrpar_x000d__x000a_\ql \li0\ri0\widctlpar\intbl\wrapdefault\aspalpha\aspnum\faauto\adjustright\rin0\lin0 {\rtlch\fcs1 \af0 \ltrch\fcs0 \insrsid8473135\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8473135\charrsid15879488 [ZLEFTA]\cell [ZRIGHT]\cell }\pard\plain \ltrpar\ql \li0\ri0\widctlpar\intbl\wrapdefault\aspalpha\aspnum\faauto\adjustright\rin0\lin0 _x000d__x000a_\rtlch\fcs1 \af0\afs20\alang1025 \ltrch\fcs0 \fs24\lang2057\langfe2057\cgrid\langnp2057\langfenp2057 {\rtlch\fcs1 \af0 \ltrch\fcs0 \insrsid8473135\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473135\charrsid15879488 [ZTEXTL]\cell [ZTEXTR]}{\rtlch\fcs1 \af0\afs24 \ltrch\fcs0 \insrsid8473135\charrsid15879488 \cell }\pard\plain \ltrpar\ql \li0\ri0\widctlpar\intbl\wrapdefault\aspalpha\aspnum\faauto\adjustright\rin0\lin0 \rtlch\fcs1 _x000d__x000a_\af0\afs20\alang1025 \ltrch\fcs0 \fs24\lang2057\langfe2057\cgrid\langnp2057\langfenp2057 {\rtlch\fcs1 \af0 \ltrch\fcs0 \insrsid8473135\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8473135 {\rtlch\fcs1 \af0 \ltrch\fcs0 \cs17\v\fs20\cf9\lang1024\langfe1024\loch\af1\hich\af1\dbch\af31501\noproof\insrsid8473135\charrsid15879488 _x000d__x000a_\hich\af1\dbch\af31501\loch\f1 &lt;/AmendA&gt;}{\rtlch\fcs1 \af0 \ltrch\fcs0 \insrsid847313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9_x000d__x000a_3041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2627 HideTWBExt;}{_x000d__x000a_\s18\ql \li0\ri0\sa120\nowidctlpar\wrapdefault\aspalpha\aspnum\faauto\adjustright\rin0\lin0\itap0 \rtlch\fcs1 \af0\afs20\alang1025 \ltrch\fcs0 \fs24\lang2057\langfe2057\cgrid\langnp2057\langfenp2057 \sbasedon0 \snext18 \spriority0 \styrsid722627 _x000d__x000a_Normal6a;}{\s19\ql \li0\ri0\nowidctlpar\wrapdefault\aspalpha\aspnum\faauto\adjustright\rin0\lin0\itap0 \rtlch\fcs1 \af0\afs20\alang1025 \ltrch\fcs0 \b\fs24\lang2057\langfe2057\cgrid\langnp2057\langfenp2057 \sbasedon0 \snext19 \spriority0 \styrsid722627 _x000d__x000a_NormalBold;}{\s20\ql \li0\ri0\sa240\nowidctlpar\wrapdefault\aspalpha\aspnum\faauto\adjustright\rin0\lin0\itap0 \rtlch\fcs1 \af0\afs20\alang1025 \ltrch\fcs0 \i\fs24\lang2057\langfe2057\cgrid\langnp2057\langfenp2057 _x000d__x000a_\sbasedon0 \snext20 \spriority0 \styrsid722627 AmJustText;}{\s21\qc \li0\ri0\sb240\sa240\nowidctlpar\wrapdefault\aspalpha\aspnum\faauto\adjustright\rin0\lin0\itap0 \rtlch\fcs1 \af0\afs20\alang1025 \ltrch\fcs0 _x000d__x000a_\i\fs24\lang2057\langfe2057\cgrid\langnp2057\langfenp2057 \sbasedon0 \snext21 \spriority0 \styrsid722627 AmCrossRef;}{\s22\qc \li0\ri0\sb240\sa240\keepn\nowidctlpar\wrapdefault\aspalpha\aspnum\faauto\adjustright\rin0\lin0\itap0 \rtlch\fcs1 _x000d__x000a_\af0\afs20\alang1025 \ltrch\fcs0 \i\fs24\lang2057\langfe2057\cgrid\langnp2057\langfenp2057 \sbasedon0 \snext20 \spriority0 \styrsid722627 AmJustTitle;}{\s23\qc \li0\ri0\sa240\nowidctlpar\wrapdefault\aspalpha\aspnum\faauto\adjustright\rin0\lin0\itap0 _x000d__x000a_\rtlch\fcs1 \af0\afs20\alang1025 \ltrch\fcs0 \i\fs24\lang2057\langfe2057\cgrid\langnp2057\langfenp2057 \sbasedon0 \snext23 \spriority0 \styrsid722627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22627 AmNumberTabs;}{\s25\ql \li0\ri0\sb240\nowidctlpar\wrapdefault\aspalpha\aspnum\faauto\adjustright\rin0\lin0\itap0 \rtlch\fcs1 _x000d__x000a_\af0\afs20\alang1025 \ltrch\fcs0 \b\fs24\lang2057\langfe2057\cgrid\langnp2057\langfenp2057 \sbasedon0 \snext25 \spriority0 \styrsid722627 NormalBold12b;}}{\*\rsidtbl \rsid24658\rsid223860\rsid722627\rsid735077\rsid1718133\rsid2375206\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55}{\nofchars317}{\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2627\newtblstyruls\nogrowautofit\usenormstyforlist\noindnmbrts\felnbrelev\nocxsptable\indrlsweleven\noafcnsttbl\afelev\utinl\hwelev\spltpgpar\notcvasp\notbrkcnstfrctbl\notvatxbx\krnprsnet\cachedcolbal \nouicompat \fet0_x000d__x000a_{\*\wgrffmtfilter 013f}\nofeaturethrottle1\ilfomacatclnup0{\*\template C:\\Users\\mkrieg\\AppData\\Local\\Temp\\Blank1.dotx}{\*\ftnsep \ltrpar \pard\plain \ltrpar\ql \li0\ri0\widctlpar\wrapdefault\aspalpha\aspnum\faauto\adjustright\rin0\lin0\itap0 _x000d__x000a_\rtlch\fcs1 \af0\afs20\alang1025 \ltrch\fcs0 \fs24\lang2057\langfe2057\cgrid\langnp2057\langfenp2057 {\rtlch\fcs1 \af0 \ltrch\fcs0 \insrsid2375206 \chftnsep _x000d__x000a_\par }}{\*\ftnsepc \ltrpar \pard\plain \ltrpar\ql \li0\ri0\widctlpar\wrapdefault\aspalpha\aspnum\faauto\adjustright\rin0\lin0\itap0 \rtlch\fcs1 \af0\afs20\alang1025 \ltrch\fcs0 \fs24\lang2057\langfe2057\cgrid\langnp2057\langfenp2057 {\rtlch\fcs1 \af0 _x000d__x000a_\ltrch\fcs0 \insrsid2375206 \chftnsepc _x000d__x000a_\par }}{\*\aftnsep \ltrpar \pard\plain \ltrpar\ql \li0\ri0\widctlpar\wrapdefault\aspalpha\aspnum\faauto\adjustright\rin0\lin0\itap0 \rtlch\fcs1 \af0\afs20\alang1025 \ltrch\fcs0 \fs24\lang2057\langfe2057\cgrid\langnp2057\langfenp2057 {\rtlch\fcs1 \af0 _x000d__x000a_\ltrch\fcs0 \insrsid2375206 \chftnsep _x000d__x000a_\par }}{\*\aftnsepc \ltrpar \pard\plain \ltrpar\ql \li0\ri0\widctlpar\wrapdefault\aspalpha\aspnum\faauto\adjustright\rin0\lin0\itap0 \rtlch\fcs1 \af0\afs20\alang1025 \ltrch\fcs0 \fs24\lang2057\langfe2057\cgrid\langnp2057\langfenp2057 {\rtlch\fcs1 \af0 _x000d__x000a_\ltrch\fcs0 \insrsid23752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722627 \rtlch\fcs1 _x000d__x000a_\af0\afs20\alang1025 \ltrch\fcs0 \b\fs24\lang2057\langfe2057\cgrid\langnp2057\langfenp2057 {\rtlch\fcs1 \af0 \ltrch\fcs0 \cs17\b0\v\fs20\cf9\lang1024\langfe1024\loch\af1\hich\af1\dbch\af31501\noproof\insrsid722627\charrsid15879488 {\*\bkmkstart restartB}_x000d__x000a_\hich\af1\dbch\af31501\loch\f1 &lt;AmendB&gt;}{\rtlch\fcs1 \af0 \ltrch\fcs0 \insrsid722627\charrsid15879488 [ZAMENDMENT]\tab \tab }{\rtlch\fcs1 \af0 \ltrch\fcs0 _x000d__x000a_\cs17\b0\v\fs20\cf9\lang1024\langfe1024\loch\af1\hich\af1\dbch\af31501\noproof\insrsid722627\charrsid15879488 \hich\af1\dbch\af31501\loch\f1 &lt;NumAmB&gt;}{\rtlch\fcs1 \af0 \ltrch\fcs0 \insrsid722627\charrsid15879488 [ZNRAM]}{\rtlch\fcs1 \af0 \ltrch\fcs0 _x000d__x000a_\cs17\b0\v\fs20\cf9\lang1024\langfe1024\loch\af1\hich\af1\dbch\af31501\noproof\insrsid722627\charrsid15879488 \hich\af1\dbch\af31501\loch\f1 &lt;/NumAmB&gt;}{\rtlch\fcs1 \af0 \ltrch\fcs0 \insrsid722627\charrsid15879488 _x000d__x000a_\par }\pard\plain \ltrpar\s25\ql \li0\ri0\sb240\keepn\nowidctlpar\wrapdefault\aspalpha\aspnum\faauto\adjustright\rin0\lin0\itap0\pararsid722627 \rtlch\fcs1 \af0\afs20\alang1025 \ltrch\fcs0 \b\fs24\lang2057\langfe2057\cgrid\langnp2057\langfenp2057 {\rtlch\fcs1 _x000d__x000a_\af0 \ltrch\fcs0 \cs17\b0\v\fs20\cf9\lang1024\langfe1024\loch\af1\hich\af1\dbch\af31501\noproof\insrsid722627\charrsid15879488 \hich\af1\dbch\af31501\loch\f1 &lt;DocAmend&gt;}{\rtlch\fcs1 \af0 \ltrch\fcs0 \insrsid722627\charrsid15879488 [ZPROPOSAL][ZAMACT]}{_x000d__x000a_\rtlch\fcs1 \af0 \ltrch\fcs0 \cs17\b0\v\fs20\cf9\lang1024\langfe1024\loch\af1\hich\af1\dbch\af31501\noproof\insrsid722627\charrsid15879488 \hich\af1\dbch\af31501\loch\f1 &lt;/DocAmend&gt;}{\rtlch\fcs1 \af0 \ltrch\fcs0 \insrsid722627\charrsid15879488 _x000d__x000a_\par }\pard\plain \ltrpar\s19\ql \li0\ri0\keepn\nowidctlpar\wrapdefault\aspalpha\aspnum\faauto\adjustright\rin0\lin0\itap0\pararsid722627 \rtlch\fcs1 \af0\afs20\alang1025 \ltrch\fcs0 \b\fs24\lang2057\langfe2057\cgrid\langnp2057\langfenp2057 {\rtlch\fcs1 \af0 _x000d__x000a_\ltrch\fcs0 \cs17\b0\v\fs20\cf9\lang1024\langfe1024\loch\af1\hich\af1\dbch\af31501\noproof\insrsid722627\charrsid15879488 \hich\af1\dbch\af31501\loch\f1 &lt;Article&gt;}{\rtlch\fcs1 \af0 \ltrch\fcs0 \insrsid722627\charrsid15879488 [ZAMPART]}{\rtlch\fcs1 \af0 _x000d__x000a_\ltrch\fcs0 \cs17\b0\v\fs20\cf9\lang1024\langfe1024\loch\af1\hich\af1\dbch\af31501\noproof\insrsid722627\charrsid15879488 \hich\af1\dbch\af31501\loch\f1 &lt;/Article&gt;}{\rtlch\fcs1 \af0 \ltrch\fcs0 \insrsid722627\charrsid15879488 _x000d__x000a_\par }\pard\plain \ltrpar\ql \li0\ri0\keepn\widctlpar\wrapdefault\aspalpha\aspnum\faauto\adjustright\rin0\lin0\itap0\pararsid722627 \rtlch\fcs1 \af0\afs20\alang1025 \ltrch\fcs0 \fs24\lang2057\langfe2057\cgrid\langnp2057\langfenp2057 {\rtlch\fcs1 \af0 _x000d__x000a_\ltrch\fcs0 \cs17\v\fs20\cf9\lang1024\langfe1024\loch\af1\hich\af1\dbch\af31501\noproof\insrsid722627\charrsid15879488 \hich\af1\dbch\af31501\loch\f1 &lt;DocAmend2&gt;&lt;OptDel&gt;}{\rtlch\fcs1 \af0 \ltrch\fcs0 \insrsid722627\charrsid15879488 [ZNRACT]}{\rtlch\fcs1 _x000d__x000a_\af0 \ltrch\fcs0 \cs17\v\fs20\cf9\lang1024\langfe1024\loch\af1\hich\af1\dbch\af31501\noproof\insrsid722627\charrsid15879488 \hich\af1\dbch\af31501\loch\f1 &lt;/OptDel&gt;&lt;/DocAmend2&gt;}{\rtlch\fcs1 \af0 \ltrch\fcs0 \insrsid722627\charrsid15879488 _x000d__x000a_\par }\pard \ltrpar\ql \li0\ri0\widctlpar\wrapdefault\aspalpha\aspnum\faauto\adjustright\rin0\lin0\itap0\pararsid722627 {\rtlch\fcs1 \af0 \ltrch\fcs0 _x000d__x000a_\cs17\v\fs20\cf9\lang1024\langfe1024\loch\af1\hich\af1\dbch\af31501\noproof\langnp1036\insrsid722627\charrsid11356624 \hich\af1\dbch\af31501\loch\f1 &lt;Article2&gt;&lt;OptDel&gt;}{\rtlch\fcs1 \af0 \ltrch\fcs0 _x000d__x000a_\lang1036\langfe2057\langnp1036\insrsid722627\charrsid11356624 [ZACTPART]}{\rtlch\fcs1 \af0 \ltrch\fcs0 \cs17\v\fs20\cf9\lang1024\langfe1024\loch\af1\hich\af1\dbch\af31501\noproof\langnp1036\insrsid722627\charrsid11356624 \hich\af1\dbch\af31501\loch\f1 _x000d__x000a_&lt;/OptDel&gt;&lt;/Article2&gt;}{\rtlch\fcs1 \af0 \ltrch\fcs0 \lang1036\langfe2057\langnp1036\insrsid72262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722627\charrsid11356624 \cell }\pard \ltrpar\ql \li0\ri0\widctlpar\intbl\wrapdefault\aspalpha\aspnum\faauto\adjustright\rin0\lin0 {\rtlch\fcs1 \af0 \ltrch\fcs0 \insrsid72262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722627\charrsid15879488 [ZLEFTB]\cell [ZRIGHT]\cell }\pard\plain \ltrpar\ql \li0\ri0\widctlpar\intbl\wrapdefault\aspalpha\aspnum\faauto\adjustright\rin0\lin0 \rtlch\fcs1 \af0\afs20\alang1025 \ltrch\fcs0 _x000d__x000a_\fs24\lang2057\langfe2057\cgrid\langnp2057\langfenp2057 {\rtlch\fcs1 \af0 \ltrch\fcs0 \insrsid72262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22627\charrsid15879488 [ZTEXTL]\cell [ZTEXTR]}{\rtlch\fcs1 \af0\afs24 \ltrch\fcs0 \insrsid722627\charrsid15879488 \cell }\pard\plain \ltrpar\ql \li0\ri0\widctlpar\intbl\wrapdefault\aspalpha\aspnum\faauto\adjustright\rin0\lin0 \rtlch\fcs1 _x000d__x000a_\af0\afs20\alang1025 \ltrch\fcs0 \fs24\lang2057\langfe2057\cgrid\langnp2057\langfenp2057 {\rtlch\fcs1 \af0 \ltrch\fcs0 \insrsid72262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22627 \rtlch\fcs1 \af0\afs20\alang1025 \ltrch\fcs0 \i\fs24\lang2057\langfe2057\cgrid\langnp2057\langfenp2057 {\rtlch\fcs1 \af0 \ltrch\fcs0 _x000d__x000a_\cs17\i0\v\fs20\cf9\lang1024\langfe1024\loch\af1\hich\af1\dbch\af31501\noproof\insrsid722627\charrsid15879488 \hich\af1\dbch\af31501\loch\f1 &lt;OptDel&gt;}{\rtlch\fcs1 \af0 \ltrch\fcs0 \insrsid722627\charrsid15879488 [ZCROSSREF]}{\rtlch\fcs1 \af0 \ltrch\fcs0 _x000d__x000a_\cs17\i0\v\fs20\cf9\lang1024\langfe1024\loch\af1\hich\af1\dbch\af31501\noproof\insrsid722627\charrsid15879488 \hich\af1\dbch\af31501\loch\f1 &lt;/OptDel&gt;}{\rtlch\fcs1 \af0 \ltrch\fcs0 \insrsid722627\charrsid15879488 _x000d__x000a_\par }\pard\plain \ltrpar\s22\qc \li0\ri0\sb240\sa240\keepn\nowidctlpar\wrapdefault\aspalpha\aspnum\faauto\adjustright\rin0\lin0\itap0\pararsid722627 \rtlch\fcs1 \af0\afs20\alang1025 \ltrch\fcs0 \i\fs24\lang2057\langfe2057\cgrid\langnp2057\langfenp2057 {_x000d__x000a_\rtlch\fcs1 \af0 \ltrch\fcs0 \cs17\i0\v\fs20\cf9\lang1024\langfe1024\loch\af1\hich\af1\dbch\af31501\noproof\insrsid722627\charrsid15879488 \hich\af1\dbch\af31501\loch\f1 &lt;TitreJust&gt;}{\rtlch\fcs1 \af0 \ltrch\fcs0 \insrsid722627\charrsid15879488 _x000d__x000a_[ZJUSTIFICATION]}{\rtlch\fcs1 \af0 \ltrch\fcs0 \cs17\i0\v\fs20\cf9\lang1024\langfe1024\loch\af1\hich\af1\dbch\af31501\noproof\insrsid722627\charrsid15879488 \hich\af1\dbch\af31501\loch\f1 &lt;/TitreJust&gt;}{\rtlch\fcs1 \af0 \ltrch\fcs0 _x000d__x000a_\insrsid722627\charrsid15879488 _x000d__x000a_\par }\pard\plain \ltrpar\s20\ql \li0\ri0\sa240\nowidctlpar\wrapdefault\aspalpha\aspnum\faauto\adjustright\rin0\lin0\itap0\pararsid722627 \rtlch\fcs1 \af0\afs20\alang1025 \ltrch\fcs0 \i\fs24\lang2057\langfe2057\cgrid\langnp2057\langfenp2057 {\rtlch\fcs1 \af0 _x000d__x000a_\ltrch\fcs0 \cs17\i0\v\fs20\cf9\lang1024\langfe1024\loch\af1\hich\af1\dbch\af31501\noproof\insrsid722627\charrsid15879488 \hich\af1\dbch\af31501\loch\f1 &lt;OptDelPrev&gt;}{\rtlch\fcs1 \af0 \ltrch\fcs0 \insrsid722627\charrsid15879488 [ZTEXTJUST]}{\rtlch\fcs1 _x000d__x000a_\af0 \ltrch\fcs0 \cs17\i0\v\fs20\cf9\lang1024\langfe1024\loch\af1\hich\af1\dbch\af31501\noproof\insrsid722627\charrsid15879488 \hich\af1\dbch\af31501\loch\f1 &lt;/OptDelPrev&gt;}{\rtlch\fcs1 \af0 \ltrch\fcs0 \insrsid722627\charrsid15879488 _x000d__x000a_\par }\pard\plain \ltrpar\ql \li0\ri0\widctlpar\wrapdefault\aspalpha\aspnum\faauto\adjustright\rin0\lin0\itap0\pararsid722627 \rtlch\fcs1 \af0\afs20\alang1025 \ltrch\fcs0 \fs24\lang2057\langfe2057\cgrid\langnp2057\langfenp2057 {\rtlch\fcs1 \af0 \ltrch\fcs0 _x000d__x000a_\cs17\v\fs20\cf9\lang1024\langfe1024\loch\af1\hich\af1\dbch\af31501\noproof\insrsid722627\charrsid15879488 \hich\af1\dbch\af31501\loch\f1 &lt;/AmendB&gt;}{\rtlch\fcs1 \af0 \ltrch\fcs0 \insrsid72262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7_x000d__x000a_1543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88"/>
    <w:docVar w:name="TITLECODMNU" w:val=" 1"/>
    <w:docVar w:name="TVTAMACTPART" w:val="abc"/>
    <w:docVar w:name="TVTRESPART" w:val="abc"/>
    <w:docVar w:name="TXTLANGUE" w:val="EN"/>
    <w:docVar w:name="TXTLANGUEMIN" w:val="en"/>
    <w:docVar w:name="TXTNRC" w:val="0150/2023"/>
    <w:docVar w:name="TXTNRCOM" w:val="(2023)0240"/>
    <w:docVar w:name="TXTNRFIRSTAM" w:val="1"/>
    <w:docVar w:name="TXTNRLASTAM" w:val="5"/>
    <w:docVar w:name="TXTNRPE" w:val="752.621"/>
    <w:docVar w:name="TXTNRPROC" w:val="2023/0138"/>
    <w:docVar w:name="TXTPEorAP" w:val="PE"/>
    <w:docVar w:name="TXTROUTE" w:val="AD\1288324EN.docx"/>
    <w:docVar w:name="TXTVERSION" w:val="02-00"/>
  </w:docVars>
  <w:rsids>
    <w:rsidRoot w:val="007426EC"/>
    <w:rsid w:val="00026559"/>
    <w:rsid w:val="00027FA8"/>
    <w:rsid w:val="0004474F"/>
    <w:rsid w:val="000522F2"/>
    <w:rsid w:val="00082EC4"/>
    <w:rsid w:val="000C751C"/>
    <w:rsid w:val="000D44A6"/>
    <w:rsid w:val="00121470"/>
    <w:rsid w:val="00122C05"/>
    <w:rsid w:val="00122CC3"/>
    <w:rsid w:val="00134974"/>
    <w:rsid w:val="00141CD7"/>
    <w:rsid w:val="001616BD"/>
    <w:rsid w:val="00180E36"/>
    <w:rsid w:val="001820A9"/>
    <w:rsid w:val="001A0556"/>
    <w:rsid w:val="001A7452"/>
    <w:rsid w:val="001B0A1E"/>
    <w:rsid w:val="001C0886"/>
    <w:rsid w:val="001D5154"/>
    <w:rsid w:val="001E3AC4"/>
    <w:rsid w:val="0020077A"/>
    <w:rsid w:val="00220500"/>
    <w:rsid w:val="002258E0"/>
    <w:rsid w:val="0023131B"/>
    <w:rsid w:val="002A67EE"/>
    <w:rsid w:val="002C26F8"/>
    <w:rsid w:val="002D23D0"/>
    <w:rsid w:val="00304EA8"/>
    <w:rsid w:val="003300D9"/>
    <w:rsid w:val="00341A99"/>
    <w:rsid w:val="00360FAA"/>
    <w:rsid w:val="003668DD"/>
    <w:rsid w:val="0038294E"/>
    <w:rsid w:val="003A2F84"/>
    <w:rsid w:val="003A6A67"/>
    <w:rsid w:val="003B07E2"/>
    <w:rsid w:val="003C7390"/>
    <w:rsid w:val="003E00BF"/>
    <w:rsid w:val="003E1280"/>
    <w:rsid w:val="003F128E"/>
    <w:rsid w:val="0040055C"/>
    <w:rsid w:val="00415589"/>
    <w:rsid w:val="004515F9"/>
    <w:rsid w:val="00484958"/>
    <w:rsid w:val="00487596"/>
    <w:rsid w:val="004B3A53"/>
    <w:rsid w:val="004C2A0D"/>
    <w:rsid w:val="004F1D2F"/>
    <w:rsid w:val="00502B76"/>
    <w:rsid w:val="00513F6F"/>
    <w:rsid w:val="00522B51"/>
    <w:rsid w:val="00524707"/>
    <w:rsid w:val="00525B43"/>
    <w:rsid w:val="00543D1E"/>
    <w:rsid w:val="005539B7"/>
    <w:rsid w:val="00565298"/>
    <w:rsid w:val="00571233"/>
    <w:rsid w:val="005716CD"/>
    <w:rsid w:val="00586041"/>
    <w:rsid w:val="00591E75"/>
    <w:rsid w:val="005922EC"/>
    <w:rsid w:val="005D22C6"/>
    <w:rsid w:val="00600087"/>
    <w:rsid w:val="00613134"/>
    <w:rsid w:val="0062175F"/>
    <w:rsid w:val="00626D52"/>
    <w:rsid w:val="006315F6"/>
    <w:rsid w:val="00632FD4"/>
    <w:rsid w:val="00643DA8"/>
    <w:rsid w:val="00653EDA"/>
    <w:rsid w:val="00657D5C"/>
    <w:rsid w:val="00683DD1"/>
    <w:rsid w:val="00691B1C"/>
    <w:rsid w:val="006A0F0A"/>
    <w:rsid w:val="006A48AA"/>
    <w:rsid w:val="006B1267"/>
    <w:rsid w:val="006D292E"/>
    <w:rsid w:val="006F1531"/>
    <w:rsid w:val="00712462"/>
    <w:rsid w:val="00716BAA"/>
    <w:rsid w:val="0073137C"/>
    <w:rsid w:val="00740A09"/>
    <w:rsid w:val="00741A65"/>
    <w:rsid w:val="007426EC"/>
    <w:rsid w:val="0078548A"/>
    <w:rsid w:val="007875FA"/>
    <w:rsid w:val="007B7CE3"/>
    <w:rsid w:val="007D04FC"/>
    <w:rsid w:val="007F187F"/>
    <w:rsid w:val="00817D13"/>
    <w:rsid w:val="00820C7D"/>
    <w:rsid w:val="00832841"/>
    <w:rsid w:val="00833D11"/>
    <w:rsid w:val="00836FD3"/>
    <w:rsid w:val="008375A8"/>
    <w:rsid w:val="008506A6"/>
    <w:rsid w:val="008652A4"/>
    <w:rsid w:val="00872A52"/>
    <w:rsid w:val="00876A73"/>
    <w:rsid w:val="0089388A"/>
    <w:rsid w:val="008F3DB0"/>
    <w:rsid w:val="00904864"/>
    <w:rsid w:val="009052FE"/>
    <w:rsid w:val="009215FC"/>
    <w:rsid w:val="00921659"/>
    <w:rsid w:val="009230BA"/>
    <w:rsid w:val="00924555"/>
    <w:rsid w:val="00930617"/>
    <w:rsid w:val="009368B3"/>
    <w:rsid w:val="00982B83"/>
    <w:rsid w:val="009857B4"/>
    <w:rsid w:val="009B6583"/>
    <w:rsid w:val="009E7319"/>
    <w:rsid w:val="00A36CA0"/>
    <w:rsid w:val="00A71228"/>
    <w:rsid w:val="00A74E25"/>
    <w:rsid w:val="00A9371F"/>
    <w:rsid w:val="00AC2A60"/>
    <w:rsid w:val="00AC6CD7"/>
    <w:rsid w:val="00AD49D0"/>
    <w:rsid w:val="00AF0131"/>
    <w:rsid w:val="00B0002A"/>
    <w:rsid w:val="00B00EE6"/>
    <w:rsid w:val="00B1322B"/>
    <w:rsid w:val="00B31BC8"/>
    <w:rsid w:val="00B476DC"/>
    <w:rsid w:val="00B556CD"/>
    <w:rsid w:val="00B62D4B"/>
    <w:rsid w:val="00B904FA"/>
    <w:rsid w:val="00BA3E40"/>
    <w:rsid w:val="00BA7875"/>
    <w:rsid w:val="00BB2414"/>
    <w:rsid w:val="00BD1F76"/>
    <w:rsid w:val="00BD41AD"/>
    <w:rsid w:val="00BE20CF"/>
    <w:rsid w:val="00C22327"/>
    <w:rsid w:val="00C22F30"/>
    <w:rsid w:val="00C335C6"/>
    <w:rsid w:val="00C33FBD"/>
    <w:rsid w:val="00C4219C"/>
    <w:rsid w:val="00C46349"/>
    <w:rsid w:val="00C47E8C"/>
    <w:rsid w:val="00C52A28"/>
    <w:rsid w:val="00C56375"/>
    <w:rsid w:val="00C709B7"/>
    <w:rsid w:val="00C75E98"/>
    <w:rsid w:val="00C81C5B"/>
    <w:rsid w:val="00C83B35"/>
    <w:rsid w:val="00CB6296"/>
    <w:rsid w:val="00D25CF2"/>
    <w:rsid w:val="00D56CE0"/>
    <w:rsid w:val="00D6254D"/>
    <w:rsid w:val="00D65AA8"/>
    <w:rsid w:val="00D6771F"/>
    <w:rsid w:val="00D67D0A"/>
    <w:rsid w:val="00D74FD1"/>
    <w:rsid w:val="00D851D4"/>
    <w:rsid w:val="00D943A5"/>
    <w:rsid w:val="00D9581F"/>
    <w:rsid w:val="00DB56E4"/>
    <w:rsid w:val="00E27F01"/>
    <w:rsid w:val="00E34A5C"/>
    <w:rsid w:val="00E51FF1"/>
    <w:rsid w:val="00E602B4"/>
    <w:rsid w:val="00E6766A"/>
    <w:rsid w:val="00E77FF5"/>
    <w:rsid w:val="00E9018C"/>
    <w:rsid w:val="00E94D64"/>
    <w:rsid w:val="00EA24D0"/>
    <w:rsid w:val="00EA29B5"/>
    <w:rsid w:val="00EA3802"/>
    <w:rsid w:val="00EF1432"/>
    <w:rsid w:val="00EF33D5"/>
    <w:rsid w:val="00F15744"/>
    <w:rsid w:val="00F24D40"/>
    <w:rsid w:val="00FA3C27"/>
    <w:rsid w:val="00FD3BC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0D76C4-8E8F-426E-A880-D61A29C27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character" w:customStyle="1" w:styleId="NormalBoldChar">
    <w:name w:val="NormalBold Char"/>
    <w:link w:val="NormalBold"/>
    <w:locked/>
    <w:rsid w:val="00525B43"/>
    <w:rPr>
      <w:b/>
      <w:sz w:val="24"/>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character" w:customStyle="1" w:styleId="HeaderChar">
    <w:name w:val="Header Char"/>
    <w:basedOn w:val="DefaultParagraphFont"/>
    <w:link w:val="Header"/>
    <w:semiHidden/>
    <w:rsid w:val="00626D52"/>
    <w:rPr>
      <w:sz w:val="24"/>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A71228"/>
    <w:pPr>
      <w:spacing w:after="240"/>
    </w:pPr>
  </w:style>
  <w:style w:type="character" w:customStyle="1" w:styleId="FooterChar">
    <w:name w:val="Footer Char"/>
    <w:basedOn w:val="DefaultParagraphFont"/>
    <w:link w:val="Footer"/>
    <w:rsid w:val="00525B43"/>
    <w:rPr>
      <w:sz w:val="22"/>
    </w:rPr>
  </w:style>
  <w:style w:type="paragraph" w:styleId="Footer">
    <w:name w:val="footer"/>
    <w:link w:val="FooterChar"/>
    <w:unhideWhenUsed/>
    <w:rsid w:val="00525B43"/>
    <w:pPr>
      <w:tabs>
        <w:tab w:val="center" w:pos="4536"/>
        <w:tab w:val="right" w:pos="9072"/>
      </w:tabs>
      <w:spacing w:before="240" w:after="240" w:line="220" w:lineRule="auto"/>
    </w:pPr>
    <w:rPr>
      <w:sz w:val="22"/>
    </w:rPr>
  </w:style>
  <w:style w:type="character" w:customStyle="1" w:styleId="Normal12Char">
    <w:name w:val="Normal12 Char"/>
    <w:link w:val="Normal12"/>
    <w:locked/>
    <w:rsid w:val="00525B43"/>
    <w:rPr>
      <w:noProof/>
      <w:sz w:val="24"/>
    </w:rPr>
  </w:style>
  <w:style w:type="paragraph" w:customStyle="1" w:styleId="Normal12">
    <w:name w:val="Normal12"/>
    <w:basedOn w:val="Normal"/>
    <w:link w:val="Normal12Char"/>
    <w:rsid w:val="00525B43"/>
    <w:pPr>
      <w:spacing w:after="240"/>
    </w:pPr>
    <w:rPr>
      <w:noProof/>
      <w:szCs w:val="20"/>
    </w:rPr>
  </w:style>
  <w:style w:type="character" w:customStyle="1" w:styleId="Normal6Char">
    <w:name w:val="Normal6 Char"/>
    <w:link w:val="Normal6"/>
    <w:locked/>
    <w:rsid w:val="00525B43"/>
    <w:rPr>
      <w:sz w:val="24"/>
      <w:lang w:val="de-DE"/>
    </w:rPr>
  </w:style>
  <w:style w:type="paragraph" w:customStyle="1" w:styleId="Normal6">
    <w:name w:val="Normal6"/>
    <w:basedOn w:val="Normal"/>
    <w:link w:val="Normal6Char"/>
    <w:rsid w:val="00525B43"/>
    <w:pPr>
      <w:spacing w:after="120"/>
    </w:pPr>
    <w:rPr>
      <w:szCs w:val="20"/>
    </w:rPr>
  </w:style>
  <w:style w:type="paragraph" w:customStyle="1" w:styleId="Normal12Italic">
    <w:name w:val="Normal12Italic"/>
    <w:basedOn w:val="Normal12"/>
    <w:rsid w:val="00525B43"/>
    <w:rPr>
      <w:i/>
    </w:rPr>
  </w:style>
  <w:style w:type="paragraph" w:customStyle="1" w:styleId="Footer2">
    <w:name w:val="Footer2"/>
    <w:basedOn w:val="Normal12"/>
    <w:rsid w:val="00525B43"/>
    <w:pPr>
      <w:tabs>
        <w:tab w:val="center" w:pos="4535"/>
        <w:tab w:val="right" w:pos="9923"/>
      </w:tabs>
      <w:spacing w:line="480" w:lineRule="auto"/>
      <w:ind w:left="-851"/>
    </w:pPr>
    <w:rPr>
      <w:rFonts w:ascii="Arial" w:cs="Arial"/>
      <w:b/>
      <w:sz w:val="48"/>
    </w:rPr>
  </w:style>
  <w:style w:type="paragraph" w:customStyle="1" w:styleId="EntPE">
    <w:name w:val="EntPE"/>
    <w:basedOn w:val="Normal12"/>
    <w:rsid w:val="00525B43"/>
    <w:pPr>
      <w:jc w:val="center"/>
    </w:pPr>
    <w:rPr>
      <w:noProof w:val="0"/>
      <w:sz w:val="56"/>
    </w:rPr>
  </w:style>
  <w:style w:type="paragraph" w:customStyle="1" w:styleId="AMNumberTabs0">
    <w:name w:val="AMNumberTabs"/>
    <w:basedOn w:val="Normal"/>
    <w:rsid w:val="00525B4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525B43"/>
    <w:pPr>
      <w:spacing w:after="240"/>
      <w:jc w:val="center"/>
    </w:pPr>
    <w:rPr>
      <w:i/>
      <w:szCs w:val="20"/>
    </w:rPr>
  </w:style>
  <w:style w:type="paragraph" w:customStyle="1" w:styleId="Olang">
    <w:name w:val="Olang"/>
    <w:basedOn w:val="Normal"/>
    <w:rsid w:val="00525B43"/>
    <w:pPr>
      <w:spacing w:before="240" w:after="240"/>
      <w:jc w:val="right"/>
    </w:pPr>
    <w:rPr>
      <w:noProof/>
    </w:rPr>
  </w:style>
  <w:style w:type="paragraph" w:styleId="BalloonText">
    <w:name w:val="Balloon Text"/>
    <w:basedOn w:val="Normal"/>
    <w:link w:val="BalloonTextChar"/>
    <w:semiHidden/>
    <w:unhideWhenUsed/>
    <w:rsid w:val="000522F2"/>
    <w:rPr>
      <w:rFonts w:ascii="Segoe UI" w:hAnsi="Segoe UI" w:cs="Segoe UI"/>
      <w:sz w:val="18"/>
      <w:szCs w:val="18"/>
    </w:rPr>
  </w:style>
  <w:style w:type="character" w:customStyle="1" w:styleId="BalloonTextChar">
    <w:name w:val="Balloon Text Char"/>
    <w:basedOn w:val="DefaultParagraphFont"/>
    <w:link w:val="BalloonText"/>
    <w:semiHidden/>
    <w:rsid w:val="000522F2"/>
    <w:rPr>
      <w:rFonts w:ascii="Segoe UI" w:hAnsi="Segoe UI" w:cs="Segoe UI"/>
      <w:sz w:val="18"/>
      <w:szCs w:val="18"/>
    </w:rPr>
  </w:style>
  <w:style w:type="paragraph" w:customStyle="1" w:styleId="RollCallSymbols14pt">
    <w:name w:val="RollCallSymbols14pt"/>
    <w:basedOn w:val="Normal"/>
    <w:rsid w:val="00565298"/>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565298"/>
    <w:pPr>
      <w:tabs>
        <w:tab w:val="center" w:pos="284"/>
        <w:tab w:val="left" w:pos="426"/>
      </w:tabs>
    </w:pPr>
    <w:rPr>
      <w:snapToGrid w:val="0"/>
      <w:szCs w:val="20"/>
      <w:lang w:eastAsia="en-US"/>
    </w:rPr>
  </w:style>
  <w:style w:type="paragraph" w:customStyle="1" w:styleId="RollCallVotes">
    <w:name w:val="RollCallVotes"/>
    <w:basedOn w:val="Normal"/>
    <w:rsid w:val="00565298"/>
    <w:pPr>
      <w:spacing w:before="120" w:after="120"/>
      <w:jc w:val="center"/>
    </w:pPr>
    <w:rPr>
      <w:b/>
      <w:bCs/>
      <w:snapToGrid w:val="0"/>
      <w:sz w:val="16"/>
      <w:szCs w:val="20"/>
      <w:lang w:eastAsia="en-US"/>
    </w:rPr>
  </w:style>
  <w:style w:type="paragraph" w:customStyle="1" w:styleId="RollCallTable">
    <w:name w:val="RollCallTable"/>
    <w:basedOn w:val="Normal"/>
    <w:rsid w:val="00565298"/>
    <w:pPr>
      <w:spacing w:before="120" w:after="120"/>
    </w:pPr>
    <w:rPr>
      <w:snapToGrid w:val="0"/>
      <w:sz w:val="16"/>
      <w:szCs w:val="20"/>
      <w:lang w:eastAsia="en-US"/>
    </w:rPr>
  </w:style>
  <w:style w:type="character" w:styleId="CommentReference">
    <w:name w:val="annotation reference"/>
    <w:basedOn w:val="DefaultParagraphFont"/>
    <w:rsid w:val="00AF0131"/>
    <w:rPr>
      <w:sz w:val="16"/>
      <w:szCs w:val="16"/>
    </w:rPr>
  </w:style>
  <w:style w:type="paragraph" w:styleId="CommentText">
    <w:name w:val="annotation text"/>
    <w:basedOn w:val="Normal"/>
    <w:link w:val="CommentTextChar"/>
    <w:rsid w:val="00AF0131"/>
    <w:rPr>
      <w:sz w:val="20"/>
      <w:szCs w:val="20"/>
    </w:rPr>
  </w:style>
  <w:style w:type="character" w:customStyle="1" w:styleId="CommentTextChar">
    <w:name w:val="Comment Text Char"/>
    <w:basedOn w:val="DefaultParagraphFont"/>
    <w:link w:val="CommentText"/>
    <w:rsid w:val="00AF0131"/>
  </w:style>
  <w:style w:type="paragraph" w:styleId="CommentSubject">
    <w:name w:val="annotation subject"/>
    <w:basedOn w:val="CommentText"/>
    <w:next w:val="CommentText"/>
    <w:link w:val="CommentSubjectChar"/>
    <w:semiHidden/>
    <w:unhideWhenUsed/>
    <w:rsid w:val="00AF0131"/>
    <w:rPr>
      <w:b/>
      <w:bCs/>
    </w:rPr>
  </w:style>
  <w:style w:type="character" w:customStyle="1" w:styleId="CommentSubjectChar">
    <w:name w:val="Comment Subject Char"/>
    <w:basedOn w:val="CommentTextChar"/>
    <w:link w:val="CommentSubject"/>
    <w:semiHidden/>
    <w:rsid w:val="00AF01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7EC8E8-CB7C-4A7C-954C-56F5A517D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7147</Words>
  <Characters>54463</Characters>
  <Application>Microsoft Office Word</Application>
  <DocSecurity>0</DocSecurity>
  <Lines>2094</Lines>
  <Paragraphs>531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61079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2023-11-15T09:07:00Z</dcterms:created>
  <dcterms:modified xsi:type="dcterms:W3CDTF">2023-11-15T09:07:00Z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1288324</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9.14.1 Build [20230315]</vt:lpwstr>
  </property>
  <property fmtid="{D5CDD505-2E9C-101B-9397-08002B2CF9AE}" pid="9" name="FooterPath">
    <vt:lpwstr>AD\1288324DE.docx</vt:lpwstr>
  </property>
  <property fmtid="{D5CDD505-2E9C-101B-9397-08002B2CF9AE}" pid="10" name="LastEdited with">
    <vt:lpwstr>9.16.1 Build [20230920]</vt:lpwstr>
  </property>
  <property fmtid="{D5CDD505-2E9C-101B-9397-08002B2CF9AE}" pid="11" name="PE number">
    <vt:lpwstr>752.621</vt:lpwstr>
  </property>
  <property fmtid="{D5CDD505-2E9C-101B-9397-08002B2CF9AE}" pid="12" name="SDLStudio">
    <vt:lpwstr/>
  </property>
  <property fmtid="{D5CDD505-2E9C-101B-9397-08002B2CF9AE}" pid="13" name="SendToEpades">
    <vt:lpwstr>OK - 2023/10/30 08:33</vt:lpwstr>
  </property>
</Properties>
</file>