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820E9E" w:rsidRPr="00EA4A56" w:rsidTr="00E34A5C">
        <w:trPr>
          <w:trHeight w:hRule="exact" w:val="1418"/>
        </w:trPr>
        <w:tc>
          <w:tcPr>
            <w:tcW w:w="6804" w:type="dxa"/>
            <w:shd w:val="clear" w:color="auto" w:fill="auto"/>
            <w:vAlign w:val="center"/>
          </w:tcPr>
          <w:p w:rsidR="00BA3E40" w:rsidRPr="00EA4A56" w:rsidRDefault="006F2CA5" w:rsidP="00E34A5C">
            <w:pPr>
              <w:pStyle w:val="EPName"/>
            </w:pPr>
            <w:r w:rsidRPr="00EA4A56">
              <w:t>Parlamento Europeo</w:t>
            </w:r>
          </w:p>
          <w:p w:rsidR="00BA3E40" w:rsidRPr="00EA4A56" w:rsidRDefault="006F2CA5" w:rsidP="009B6583">
            <w:pPr>
              <w:pStyle w:val="EPTerm"/>
            </w:pPr>
            <w:r w:rsidRPr="00EA4A56">
              <w:t>2019-2024</w:t>
            </w:r>
          </w:p>
        </w:tc>
        <w:tc>
          <w:tcPr>
            <w:tcW w:w="2268" w:type="dxa"/>
            <w:shd w:val="clear" w:color="auto" w:fill="auto"/>
          </w:tcPr>
          <w:p w:rsidR="00BA3E40" w:rsidRPr="00EA4A56" w:rsidRDefault="006F2CA5" w:rsidP="00E34A5C">
            <w:pPr>
              <w:pStyle w:val="EPLogo"/>
            </w:pPr>
            <w:r w:rsidRPr="00EA4A56">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F24D40" w:rsidRPr="00EA4A56" w:rsidRDefault="00F24D40" w:rsidP="00F24D40">
      <w:pPr>
        <w:pStyle w:val="LineTop"/>
      </w:pPr>
    </w:p>
    <w:p w:rsidR="00F24D40" w:rsidRPr="00EA4A56" w:rsidRDefault="006F2CA5" w:rsidP="00F24D40">
      <w:pPr>
        <w:pStyle w:val="EPBody"/>
      </w:pPr>
      <w:r w:rsidRPr="00EA4A56">
        <w:rPr>
          <w:rStyle w:val="HideTWBExt"/>
        </w:rPr>
        <w:t>&lt;</w:t>
      </w:r>
      <w:r w:rsidRPr="00EA4A56">
        <w:rPr>
          <w:rStyle w:val="HideTWBExt"/>
          <w:i w:val="0"/>
        </w:rPr>
        <w:t>Commission</w:t>
      </w:r>
      <w:r w:rsidRPr="00EA4A56">
        <w:rPr>
          <w:rStyle w:val="HideTWBExt"/>
        </w:rPr>
        <w:t>&gt;</w:t>
      </w:r>
      <w:r w:rsidRPr="00EA4A56">
        <w:rPr>
          <w:rStyle w:val="HideTWBInt"/>
          <w:color w:val="auto"/>
        </w:rPr>
        <w:t>{EMPL}</w:t>
      </w:r>
      <w:r w:rsidRPr="00EA4A56">
        <w:t>Comisión de Empleo y Asuntos Sociales</w:t>
      </w:r>
      <w:r w:rsidRPr="00EA4A56">
        <w:rPr>
          <w:rStyle w:val="HideTWBExt"/>
        </w:rPr>
        <w:t>&lt;/</w:t>
      </w:r>
      <w:r w:rsidRPr="00EA4A56">
        <w:rPr>
          <w:rStyle w:val="HideTWBExt"/>
          <w:i w:val="0"/>
        </w:rPr>
        <w:t>Commission</w:t>
      </w:r>
      <w:r w:rsidRPr="00EA4A56">
        <w:rPr>
          <w:rStyle w:val="HideTWBExt"/>
        </w:rPr>
        <w:t>&gt;</w:t>
      </w:r>
    </w:p>
    <w:p w:rsidR="00F24D40" w:rsidRPr="00EA4A56" w:rsidRDefault="00F24D40" w:rsidP="00F24D40">
      <w:pPr>
        <w:pStyle w:val="LineBottom"/>
      </w:pPr>
    </w:p>
    <w:p w:rsidR="00AF0131" w:rsidRPr="00EA4A56" w:rsidRDefault="006F2CA5" w:rsidP="00AF0131">
      <w:pPr>
        <w:pStyle w:val="CoverReference"/>
      </w:pPr>
      <w:r w:rsidRPr="00EA4A56">
        <w:rPr>
          <w:rStyle w:val="HideTWBExt"/>
          <w:b w:val="0"/>
        </w:rPr>
        <w:t>&lt;RefProc&gt;</w:t>
      </w:r>
      <w:r w:rsidRPr="00EA4A56">
        <w:t>2023/0138</w:t>
      </w:r>
      <w:r w:rsidRPr="00EA4A56">
        <w:rPr>
          <w:rStyle w:val="HideTWBExt"/>
          <w:b w:val="0"/>
        </w:rPr>
        <w:t>&lt;/RefProc&gt;&lt;RefTypeProc&gt;</w:t>
      </w:r>
      <w:r w:rsidRPr="00EA4A56">
        <w:t>(COD)</w:t>
      </w:r>
      <w:r w:rsidRPr="00EA4A56">
        <w:rPr>
          <w:rStyle w:val="HideTWBExt"/>
          <w:b w:val="0"/>
        </w:rPr>
        <w:t>&lt;/RefTypeProc&gt;</w:t>
      </w:r>
    </w:p>
    <w:p w:rsidR="00AF0131" w:rsidRPr="00EA4A56" w:rsidRDefault="006F2CA5" w:rsidP="00AF0131">
      <w:pPr>
        <w:pStyle w:val="CoverDate"/>
      </w:pPr>
      <w:r w:rsidRPr="00EA4A56">
        <w:rPr>
          <w:rStyle w:val="HideTWBExt"/>
        </w:rPr>
        <w:t>&lt;Date&gt;</w:t>
      </w:r>
      <w:r w:rsidRPr="00EA4A56">
        <w:rPr>
          <w:rStyle w:val="HideTWBInt"/>
          <w:color w:val="auto"/>
        </w:rPr>
        <w:t>{30/10/2023}</w:t>
      </w:r>
      <w:r w:rsidRPr="00EA4A56">
        <w:t>30.10.2023</w:t>
      </w:r>
      <w:r w:rsidRPr="00EA4A56">
        <w:rPr>
          <w:rStyle w:val="HideTWBExt"/>
        </w:rPr>
        <w:t>&lt;/Date&gt;</w:t>
      </w:r>
    </w:p>
    <w:p w:rsidR="00AF0131" w:rsidRPr="00EA4A56" w:rsidRDefault="006F2CA5" w:rsidP="00AF0131">
      <w:pPr>
        <w:pStyle w:val="CoverDocType24a"/>
      </w:pPr>
      <w:r w:rsidRPr="00EA4A56">
        <w:rPr>
          <w:rStyle w:val="HideTWBExt"/>
          <w:b w:val="0"/>
        </w:rPr>
        <w:t>&lt;TitreType&gt;</w:t>
      </w:r>
      <w:r w:rsidRPr="00EA4A56">
        <w:t>OPINIÓN</w:t>
      </w:r>
      <w:r w:rsidRPr="00EA4A56">
        <w:rPr>
          <w:rStyle w:val="HideTWBExt"/>
          <w:b w:val="0"/>
        </w:rPr>
        <w:t>&lt;/TitreType&gt;</w:t>
      </w:r>
    </w:p>
    <w:p w:rsidR="00AF0131" w:rsidRPr="00EA4A56" w:rsidRDefault="006F2CA5" w:rsidP="00AF0131">
      <w:pPr>
        <w:pStyle w:val="CoverNormal24a"/>
      </w:pPr>
      <w:r w:rsidRPr="00EA4A56">
        <w:rPr>
          <w:rStyle w:val="HideTWBExt"/>
        </w:rPr>
        <w:t>&lt;CommissionResp&gt;</w:t>
      </w:r>
      <w:r w:rsidRPr="00EA4A56">
        <w:t xml:space="preserve">de la </w:t>
      </w:r>
      <w:r w:rsidRPr="00EA4A56">
        <w:t>Comisión de Empleo y Asuntos Sociales</w:t>
      </w:r>
      <w:r w:rsidRPr="00EA4A56">
        <w:rPr>
          <w:rStyle w:val="HideTWBExt"/>
        </w:rPr>
        <w:t>&lt;/CommissionResp&gt;</w:t>
      </w:r>
    </w:p>
    <w:p w:rsidR="00AF0131" w:rsidRPr="00EA4A56" w:rsidRDefault="006F2CA5" w:rsidP="00AF0131">
      <w:pPr>
        <w:pStyle w:val="CoverNormal24a"/>
      </w:pPr>
      <w:r w:rsidRPr="00EA4A56">
        <w:rPr>
          <w:rStyle w:val="HideTWBExt"/>
        </w:rPr>
        <w:t>&lt;CommissionInt&gt;</w:t>
      </w:r>
      <w:r w:rsidRPr="00EA4A56">
        <w:t>para la Comisión de Asuntos Económicos y Monetarios</w:t>
      </w:r>
      <w:r w:rsidRPr="00EA4A56">
        <w:rPr>
          <w:rStyle w:val="HideTWBExt"/>
        </w:rPr>
        <w:t>&lt;/CommissionInt&gt;</w:t>
      </w:r>
    </w:p>
    <w:p w:rsidR="00AF0131" w:rsidRPr="00EA4A56" w:rsidRDefault="006F2CA5" w:rsidP="00AF0131">
      <w:pPr>
        <w:pStyle w:val="CoverNormal"/>
      </w:pPr>
      <w:r w:rsidRPr="00EA4A56">
        <w:rPr>
          <w:rStyle w:val="HideTWBExt"/>
        </w:rPr>
        <w:t>&lt;Titre&gt;</w:t>
      </w:r>
      <w:r w:rsidRPr="00EA4A56">
        <w:t xml:space="preserve">sobre la propuesta de Reglamento del Parlamento Europeo y del Consejo relativo a la coordinación eficaz de las </w:t>
      </w:r>
      <w:r w:rsidRPr="00EA4A56">
        <w:t>políticas económicas y a la supervisión presupuestaria multilateral y por el que se deroga el Reglamento (CE)</w:t>
      </w:r>
      <w:r>
        <w:t> </w:t>
      </w:r>
      <w:r w:rsidRPr="00EA4A56">
        <w:t>n.º 1466/97 del Consejo</w:t>
      </w:r>
      <w:r w:rsidRPr="00EA4A56">
        <w:rPr>
          <w:rStyle w:val="HideTWBExt"/>
        </w:rPr>
        <w:t>&lt;/Titre&gt;</w:t>
      </w:r>
    </w:p>
    <w:p w:rsidR="00AF0131" w:rsidRPr="00EA4A56" w:rsidRDefault="006F2CA5" w:rsidP="00AF0131">
      <w:pPr>
        <w:pStyle w:val="CoverNormal24a"/>
      </w:pPr>
      <w:r w:rsidRPr="00EA4A56">
        <w:rPr>
          <w:rStyle w:val="HideTWBExt"/>
        </w:rPr>
        <w:t>&lt;DocRef&gt;</w:t>
      </w:r>
      <w:r w:rsidRPr="00EA4A56">
        <w:t>(COM(2023)0240 – C9</w:t>
      </w:r>
      <w:r w:rsidRPr="00EA4A56">
        <w:noBreakHyphen/>
        <w:t>0150/2023 – 2023/0138(COD))</w:t>
      </w:r>
      <w:r w:rsidRPr="00EA4A56">
        <w:rPr>
          <w:rStyle w:val="HideTWBExt"/>
        </w:rPr>
        <w:t>&lt;/DocRef&gt;</w:t>
      </w:r>
    </w:p>
    <w:p w:rsidR="00AF0131" w:rsidRPr="00EA4A56" w:rsidRDefault="006F2CA5" w:rsidP="00AF0131">
      <w:pPr>
        <w:pStyle w:val="CoverNormal24a"/>
      </w:pPr>
      <w:r w:rsidRPr="00EA4A56">
        <w:t>Ponente de opinión </w:t>
      </w:r>
      <w:r w:rsidRPr="00EA4A56">
        <w:rPr>
          <w:snapToGrid w:val="0"/>
        </w:rPr>
        <w:t>(*)</w:t>
      </w:r>
      <w:r w:rsidRPr="00EA4A56">
        <w:t xml:space="preserve">: </w:t>
      </w:r>
      <w:r w:rsidRPr="00EA4A56">
        <w:rPr>
          <w:rStyle w:val="HideTWBExt"/>
        </w:rPr>
        <w:t>&lt;Depute&gt;</w:t>
      </w:r>
      <w:r w:rsidRPr="00EA4A56">
        <w:t>Gabriele Bischoff</w:t>
      </w:r>
      <w:r w:rsidRPr="00EA4A56">
        <w:rPr>
          <w:rStyle w:val="HideTWBExt"/>
        </w:rPr>
        <w:t>&lt;/Depute&gt;</w:t>
      </w:r>
    </w:p>
    <w:p w:rsidR="00AF0131" w:rsidRPr="00EA4A56" w:rsidRDefault="006F2CA5" w:rsidP="00AF0131">
      <w:pPr>
        <w:pStyle w:val="CoverNormal"/>
        <w:rPr>
          <w:snapToGrid w:val="0"/>
          <w:szCs w:val="24"/>
        </w:rPr>
      </w:pPr>
      <w:r w:rsidRPr="00EA4A56">
        <w:rPr>
          <w:snapToGrid w:val="0"/>
        </w:rPr>
        <w:t>(*) Comisión asociada – artículo 57 del Reglamento interno</w:t>
      </w:r>
    </w:p>
    <w:p w:rsidR="00AF0131" w:rsidRPr="00EA4A56" w:rsidRDefault="00AF0131" w:rsidP="00AF0131">
      <w:pPr>
        <w:pStyle w:val="CoverNormal"/>
        <w:rPr>
          <w:snapToGrid w:val="0"/>
          <w:szCs w:val="24"/>
        </w:rPr>
      </w:pPr>
    </w:p>
    <w:p w:rsidR="00AF0131" w:rsidRPr="00EA4A56" w:rsidRDefault="00AF0131" w:rsidP="00AF0131">
      <w:pPr>
        <w:pStyle w:val="CoverNormal"/>
        <w:rPr>
          <w:snapToGrid w:val="0"/>
          <w:szCs w:val="24"/>
        </w:rPr>
      </w:pPr>
    </w:p>
    <w:p w:rsidR="00AF0131" w:rsidRPr="00EA4A56" w:rsidRDefault="00AF0131" w:rsidP="00AF0131">
      <w:pPr>
        <w:pStyle w:val="CoverNormal"/>
        <w:rPr>
          <w:snapToGrid w:val="0"/>
          <w:szCs w:val="24"/>
        </w:rPr>
      </w:pPr>
    </w:p>
    <w:p w:rsidR="00AF0131" w:rsidRPr="00EA4A56" w:rsidRDefault="00AF0131" w:rsidP="00AF0131">
      <w:pPr>
        <w:pStyle w:val="CoverNormal"/>
        <w:rPr>
          <w:snapToGrid w:val="0"/>
          <w:szCs w:val="24"/>
        </w:rPr>
      </w:pPr>
    </w:p>
    <w:p w:rsidR="00AF0131" w:rsidRPr="00EA4A56" w:rsidRDefault="006F2CA5" w:rsidP="00AF0131">
      <w:pPr>
        <w:tabs>
          <w:tab w:val="center" w:pos="4677"/>
        </w:tabs>
      </w:pPr>
      <w:r w:rsidRPr="00EA4A56">
        <w:br w:type="page"/>
      </w:r>
      <w:r w:rsidRPr="00EA4A56">
        <w:lastRenderedPageBreak/>
        <w:t>PA_Legam</w:t>
      </w:r>
    </w:p>
    <w:p w:rsidR="00AF0131" w:rsidRPr="00EA4A56" w:rsidRDefault="006F2CA5" w:rsidP="00C56375">
      <w:pPr>
        <w:pStyle w:val="PageHeadingNotTOC"/>
      </w:pPr>
      <w:r w:rsidRPr="00EA4A56">
        <w:br w:type="page"/>
      </w:r>
      <w:r w:rsidRPr="00EA4A56">
        <w:lastRenderedPageBreak/>
        <w:t>ENMIENDAS</w:t>
      </w:r>
    </w:p>
    <w:p w:rsidR="00AF0131" w:rsidRPr="00EA4A56" w:rsidRDefault="006F2CA5" w:rsidP="00AF0131">
      <w:pPr>
        <w:pStyle w:val="Normal12a"/>
      </w:pPr>
      <w:bookmarkStart w:id="0" w:name="IntroA"/>
      <w:r w:rsidRPr="00EA4A56">
        <w:t>La Comisión de Empleo y Asuntos Sociales pide a la Comisión de Asuntos Económicos y Monetarios, competente para el fondo, que tome en consideración lo siguiente:</w:t>
      </w:r>
    </w:p>
    <w:bookmarkEnd w:id="0"/>
    <w:p w:rsidR="00AF0131" w:rsidRPr="00EA4A56" w:rsidRDefault="006F2CA5" w:rsidP="00C56375">
      <w:r w:rsidRPr="00EA4A56">
        <w:rPr>
          <w:rStyle w:val="HideTWBExt"/>
          <w:b/>
        </w:rPr>
        <w:t>&lt;RepeatBlock-Amend&gt;</w:t>
      </w:r>
      <w:r w:rsidRPr="00EA4A56">
        <w:rPr>
          <w:rStyle w:val="HideTWBExt"/>
        </w:rPr>
        <w:t>&lt;Amend&gt;</w:t>
      </w:r>
      <w:r w:rsidRPr="00EA4A56">
        <w:rPr>
          <w:b/>
        </w:rPr>
        <w:t>Enmienda</w:t>
      </w:r>
      <w:r w:rsidRPr="00EA4A56">
        <w:tab/>
      </w:r>
      <w:r w:rsidRPr="00EA4A56">
        <w:rPr>
          <w:rStyle w:val="HideTWBExt"/>
        </w:rPr>
        <w:t>&lt;NumAm&gt;</w:t>
      </w:r>
      <w:r w:rsidRPr="00EA4A56">
        <w:rPr>
          <w:b/>
        </w:rPr>
        <w:t>1</w:t>
      </w:r>
      <w:r w:rsidRPr="00EA4A56">
        <w:rPr>
          <w:rStyle w:val="HideTWBExt"/>
        </w:rPr>
        <w:t>&lt;/NumAm&gt;</w:t>
      </w:r>
    </w:p>
    <w:p w:rsidR="00AF0131" w:rsidRPr="00EA4A56" w:rsidRDefault="00AF0131" w:rsidP="00AF0131"/>
    <w:p w:rsidR="00AF0131" w:rsidRPr="00EA4A56" w:rsidRDefault="006F2CA5" w:rsidP="00AF0131">
      <w:pPr>
        <w:pStyle w:val="NormalBold"/>
        <w:keepNext/>
      </w:pPr>
      <w:r w:rsidRPr="00EA4A56">
        <w:rPr>
          <w:rStyle w:val="HideTWBExt"/>
          <w:b w:val="0"/>
        </w:rPr>
        <w:t>&lt;DocAmend&gt;</w:t>
      </w:r>
      <w:r w:rsidRPr="00EA4A56">
        <w:t>Propuesta de Reglamento</w:t>
      </w:r>
      <w:r w:rsidRPr="00EA4A56">
        <w:rPr>
          <w:rStyle w:val="HideTWBExt"/>
          <w:b w:val="0"/>
        </w:rPr>
        <w:t>&lt;/DocAmend&gt;</w:t>
      </w:r>
    </w:p>
    <w:p w:rsidR="00AF0131" w:rsidRPr="00EA4A56" w:rsidRDefault="006F2CA5" w:rsidP="00AF0131">
      <w:pPr>
        <w:pStyle w:val="NormalBold"/>
      </w:pPr>
      <w:r w:rsidRPr="00EA4A56">
        <w:rPr>
          <w:rStyle w:val="HideTWBExt"/>
          <w:b w:val="0"/>
        </w:rPr>
        <w:t>&lt;Article&gt;</w:t>
      </w:r>
      <w:r w:rsidRPr="00EA4A56">
        <w:t>Considerando 2</w:t>
      </w:r>
      <w:r w:rsidRPr="00EA4A5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20E9E" w:rsidRPr="00EA4A56" w:rsidTr="00C33FBD">
        <w:trPr>
          <w:jc w:val="center"/>
        </w:trPr>
        <w:tc>
          <w:tcPr>
            <w:tcW w:w="9752" w:type="dxa"/>
            <w:gridSpan w:val="2"/>
          </w:tcPr>
          <w:p w:rsidR="00AF0131" w:rsidRPr="00EA4A56" w:rsidRDefault="00AF0131" w:rsidP="00C33FBD">
            <w:pPr>
              <w:keepNext/>
            </w:pPr>
          </w:p>
        </w:tc>
      </w:tr>
      <w:tr w:rsidR="00820E9E" w:rsidRPr="00EA4A56" w:rsidTr="00C33FBD">
        <w:trPr>
          <w:jc w:val="center"/>
        </w:trPr>
        <w:tc>
          <w:tcPr>
            <w:tcW w:w="4876" w:type="dxa"/>
            <w:hideMark/>
          </w:tcPr>
          <w:p w:rsidR="00AF0131" w:rsidRPr="00EA4A56" w:rsidRDefault="006F2CA5" w:rsidP="00C33FBD">
            <w:pPr>
              <w:pStyle w:val="ColumnHeading"/>
              <w:keepNext/>
              <w:rPr>
                <w:lang w:val="es-ES_tradnl"/>
              </w:rPr>
            </w:pPr>
            <w:r w:rsidRPr="00EA4A56">
              <w:rPr>
                <w:lang w:val="es-ES_tradnl"/>
              </w:rPr>
              <w:t>Texto de la Comisión</w:t>
            </w:r>
          </w:p>
        </w:tc>
        <w:tc>
          <w:tcPr>
            <w:tcW w:w="4876" w:type="dxa"/>
            <w:hideMark/>
          </w:tcPr>
          <w:p w:rsidR="00AF0131" w:rsidRPr="00EA4A56" w:rsidRDefault="006F2CA5" w:rsidP="00C33FBD">
            <w:pPr>
              <w:pStyle w:val="ColumnHeading"/>
              <w:keepNext/>
              <w:rPr>
                <w:lang w:val="es-ES_tradnl"/>
              </w:rPr>
            </w:pPr>
            <w:r w:rsidRPr="00EA4A56">
              <w:rPr>
                <w:lang w:val="es-ES_tradnl"/>
              </w:rPr>
              <w:t>Enmienda</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lang w:val="es-ES_tradnl"/>
              </w:rPr>
              <w:t>(2)</w:t>
            </w:r>
            <w:r w:rsidRPr="00EA4A56">
              <w:rPr>
                <w:lang w:val="es-ES_tradnl"/>
              </w:rPr>
              <w:tab/>
              <w:t xml:space="preserve">El Pacto de Estabilidad y Crecimiento (PEC), que inicialmente estaba integrado por el </w:t>
            </w:r>
            <w:r w:rsidRPr="00EA4A56">
              <w:rPr>
                <w:lang w:val="es-ES_tradnl"/>
              </w:rPr>
              <w:t>Reglamento (CE) n.º 1466/97</w:t>
            </w:r>
            <w:r w:rsidRPr="00EA4A56">
              <w:rPr>
                <w:vertAlign w:val="superscript"/>
                <w:lang w:val="es-ES_tradnl"/>
              </w:rPr>
              <w:t>19</w:t>
            </w:r>
            <w:r w:rsidRPr="00EA4A56">
              <w:rPr>
                <w:lang w:val="es-ES_tradnl"/>
              </w:rPr>
              <w:t xml:space="preserve"> del Consejo y el Reglamento (CE) n.º 1467/97</w:t>
            </w:r>
            <w:r w:rsidRPr="00EA4A56">
              <w:rPr>
                <w:vertAlign w:val="superscript"/>
                <w:lang w:val="es-ES_tradnl"/>
              </w:rPr>
              <w:t>20</w:t>
            </w:r>
            <w:r w:rsidRPr="00EA4A56">
              <w:rPr>
                <w:lang w:val="es-ES_tradnl"/>
              </w:rPr>
              <w:t xml:space="preserve"> del Consejo, ambos de 7 de julio de 1997, así como por la Resolución del Consejo Europeo, de 17 de junio de 1997, sobre el Pacto de Estabilidad y Crecimiento</w:t>
            </w:r>
            <w:r w:rsidRPr="00EA4A56">
              <w:rPr>
                <w:vertAlign w:val="superscript"/>
                <w:lang w:val="es-ES_tradnl"/>
              </w:rPr>
              <w:t>21</w:t>
            </w:r>
            <w:r w:rsidRPr="00EA4A56">
              <w:rPr>
                <w:lang w:val="es-ES_tradnl"/>
              </w:rPr>
              <w:t>, se basa en el obje</w:t>
            </w:r>
            <w:r w:rsidRPr="00EA4A56">
              <w:rPr>
                <w:lang w:val="es-ES_tradnl"/>
              </w:rPr>
              <w:t xml:space="preserve">tivo de lograr unas finanzas públicas saneadas y sostenibles como medio de reforzar las condiciones para la estabilidad de los precios y para lograr un crecimiento fuerte y sostenible sustentado en la estabilidad financiera, apoyando así la consecución de </w:t>
            </w:r>
            <w:r w:rsidRPr="00EA4A56">
              <w:rPr>
                <w:lang w:val="es-ES_tradnl"/>
              </w:rPr>
              <w:t xml:space="preserve">los objetivos de la Unión en materia de crecimiento sostenible e integrador </w:t>
            </w:r>
            <w:r w:rsidRPr="00EA4A56">
              <w:rPr>
                <w:b/>
                <w:bCs/>
                <w:i/>
                <w:iCs/>
                <w:lang w:val="es-ES_tradnl"/>
              </w:rPr>
              <w:t>y de</w:t>
            </w:r>
            <w:r w:rsidRPr="00EA4A56">
              <w:rPr>
                <w:lang w:val="es-ES_tradnl"/>
              </w:rPr>
              <w:t xml:space="preserve"> empleo.</w:t>
            </w:r>
          </w:p>
        </w:tc>
        <w:tc>
          <w:tcPr>
            <w:tcW w:w="4876" w:type="dxa"/>
            <w:hideMark/>
          </w:tcPr>
          <w:p w:rsidR="00AF0131" w:rsidRPr="00EA4A56" w:rsidRDefault="006F2CA5" w:rsidP="00C33FBD">
            <w:pPr>
              <w:pStyle w:val="Normal6"/>
              <w:rPr>
                <w:szCs w:val="24"/>
                <w:lang w:val="es-ES_tradnl"/>
              </w:rPr>
            </w:pPr>
            <w:r w:rsidRPr="00EA4A56">
              <w:rPr>
                <w:lang w:val="es-ES_tradnl"/>
              </w:rPr>
              <w:t>(2)</w:t>
            </w:r>
            <w:r w:rsidRPr="00EA4A56">
              <w:rPr>
                <w:lang w:val="es-ES_tradnl"/>
              </w:rPr>
              <w:tab/>
              <w:t>El Pacto de Estabilidad y Crecimiento (PEC), que inicialmente estaba integrado por el Reglamento (CE) n.º 1466/97 del Consejo</w:t>
            </w:r>
            <w:r w:rsidRPr="00EA4A56">
              <w:rPr>
                <w:vertAlign w:val="superscript"/>
                <w:lang w:val="es-ES_tradnl"/>
              </w:rPr>
              <w:t>19</w:t>
            </w:r>
            <w:r w:rsidRPr="00EA4A56">
              <w:rPr>
                <w:lang w:val="es-ES_tradnl"/>
              </w:rPr>
              <w:t xml:space="preserve"> y el Reglamento (CE) n.º 1467/97 de</w:t>
            </w:r>
            <w:r w:rsidRPr="00EA4A56">
              <w:rPr>
                <w:lang w:val="es-ES_tradnl"/>
              </w:rPr>
              <w:t>l Consejo</w:t>
            </w:r>
            <w:r w:rsidRPr="00EA4A56">
              <w:rPr>
                <w:vertAlign w:val="superscript"/>
                <w:lang w:val="es-ES_tradnl"/>
              </w:rPr>
              <w:t>20</w:t>
            </w:r>
            <w:r w:rsidRPr="00EA4A56">
              <w:rPr>
                <w:lang w:val="es-ES_tradnl"/>
              </w:rPr>
              <w:t>, ambos de 7 de julio de 1997, así como por la Resolución del Consejo Europeo, de 17 de junio de 1997, sobre el Pacto de Estabilidad y Crecimiento</w:t>
            </w:r>
            <w:r w:rsidRPr="00EA4A56">
              <w:rPr>
                <w:vertAlign w:val="superscript"/>
                <w:lang w:val="es-ES_tradnl"/>
              </w:rPr>
              <w:t>21</w:t>
            </w:r>
            <w:r w:rsidRPr="00EA4A56">
              <w:rPr>
                <w:lang w:val="es-ES_tradnl"/>
              </w:rPr>
              <w:t>, se basa en el objetivo de lograr unas finanzas públicas saneadas y sostenibles como medio de re</w:t>
            </w:r>
            <w:r w:rsidRPr="00EA4A56">
              <w:rPr>
                <w:lang w:val="es-ES_tradnl"/>
              </w:rPr>
              <w:t xml:space="preserve">forzar las condiciones para la estabilidad de los precios y para lograr un crecimiento fuerte y sostenible </w:t>
            </w:r>
            <w:r w:rsidRPr="00EA4A56">
              <w:rPr>
                <w:b/>
                <w:bCs/>
                <w:i/>
                <w:iCs/>
                <w:lang w:val="es-ES_tradnl"/>
              </w:rPr>
              <w:t>que conduzca a la creación de empleo y</w:t>
            </w:r>
            <w:r w:rsidRPr="00EA4A56">
              <w:rPr>
                <w:lang w:val="es-ES_tradnl"/>
              </w:rPr>
              <w:t xml:space="preserve"> sustentado en la estabilidad financiera, apoyando así la consecución de los objetivos de la Unión en materia d</w:t>
            </w:r>
            <w:r w:rsidRPr="00EA4A56">
              <w:rPr>
                <w:lang w:val="es-ES_tradnl"/>
              </w:rPr>
              <w:t xml:space="preserve">e crecimiento sostenible e integrador </w:t>
            </w:r>
            <w:r w:rsidRPr="00EA4A56">
              <w:rPr>
                <w:b/>
                <w:bCs/>
                <w:i/>
                <w:iCs/>
                <w:lang w:val="es-ES_tradnl"/>
              </w:rPr>
              <w:t>orientado al pleno</w:t>
            </w:r>
            <w:r w:rsidRPr="00EA4A56">
              <w:rPr>
                <w:lang w:val="es-ES_tradnl"/>
              </w:rPr>
              <w:t xml:space="preserve"> empleo </w:t>
            </w:r>
            <w:r w:rsidRPr="00EA4A56">
              <w:rPr>
                <w:b/>
                <w:bCs/>
                <w:i/>
                <w:iCs/>
                <w:lang w:val="es-ES_tradnl"/>
              </w:rPr>
              <w:t>y al progreso social</w:t>
            </w:r>
            <w:r w:rsidRPr="00EA4A56">
              <w:rPr>
                <w:lang w:val="es-ES_tradnl"/>
              </w:rPr>
              <w:t>.</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lang w:val="es-ES_tradnl"/>
              </w:rPr>
              <w:t>__________________</w:t>
            </w:r>
          </w:p>
        </w:tc>
        <w:tc>
          <w:tcPr>
            <w:tcW w:w="4876" w:type="dxa"/>
            <w:hideMark/>
          </w:tcPr>
          <w:p w:rsidR="00AF0131" w:rsidRPr="00EA4A56" w:rsidRDefault="006F2CA5" w:rsidP="00C33FBD">
            <w:pPr>
              <w:pStyle w:val="Normal6"/>
              <w:rPr>
                <w:szCs w:val="24"/>
                <w:lang w:val="es-ES_tradnl"/>
              </w:rPr>
            </w:pPr>
            <w:r w:rsidRPr="00EA4A56">
              <w:rPr>
                <w:lang w:val="es-ES_tradnl"/>
              </w:rPr>
              <w:t>__________________</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vertAlign w:val="superscript"/>
                <w:lang w:val="es-ES_tradnl"/>
              </w:rPr>
              <w:t>19</w:t>
            </w:r>
            <w:r w:rsidRPr="00EA4A56">
              <w:rPr>
                <w:lang w:val="es-ES_tradnl"/>
              </w:rPr>
              <w:t xml:space="preserve"> Reglamento (CE) n.º 1466/97 del Consejo, de 7 de julio de 1997, relativo al reforzamiento de la supervisión de las situaciones </w:t>
            </w:r>
            <w:r w:rsidRPr="00EA4A56">
              <w:rPr>
                <w:lang w:val="es-ES_tradnl"/>
              </w:rPr>
              <w:t>presupuestarias y a la supervisión y coordinación de las políticas económicas (DO L 209 de 2.8.1997, p. 1).</w:t>
            </w:r>
          </w:p>
        </w:tc>
        <w:tc>
          <w:tcPr>
            <w:tcW w:w="4876" w:type="dxa"/>
            <w:hideMark/>
          </w:tcPr>
          <w:p w:rsidR="00AF0131" w:rsidRPr="00EA4A56" w:rsidRDefault="006F2CA5" w:rsidP="00C33FBD">
            <w:pPr>
              <w:pStyle w:val="Normal6"/>
              <w:rPr>
                <w:szCs w:val="24"/>
                <w:lang w:val="es-ES_tradnl"/>
              </w:rPr>
            </w:pPr>
            <w:r w:rsidRPr="00EA4A56">
              <w:rPr>
                <w:vertAlign w:val="superscript"/>
                <w:lang w:val="es-ES_tradnl"/>
              </w:rPr>
              <w:t>19</w:t>
            </w:r>
            <w:r w:rsidRPr="00EA4A56">
              <w:rPr>
                <w:lang w:val="es-ES_tradnl"/>
              </w:rPr>
              <w:t xml:space="preserve"> Reglamento (CE) n.º 1466/97 del Consejo, de 7 de julio de 1997, relativo al reforzamiento de la supervisión de las situaciones presupuestarias y </w:t>
            </w:r>
            <w:r w:rsidRPr="00EA4A56">
              <w:rPr>
                <w:lang w:val="es-ES_tradnl"/>
              </w:rPr>
              <w:t>a la supervisión y coordinación de las políticas económicas (DO L 209 de 2.8.1997, p. 1).</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vertAlign w:val="superscript"/>
                <w:lang w:val="es-ES_tradnl"/>
              </w:rPr>
              <w:t>20</w:t>
            </w:r>
            <w:r w:rsidRPr="00EA4A56">
              <w:rPr>
                <w:lang w:val="es-ES_tradnl"/>
              </w:rPr>
              <w:t xml:space="preserve"> Reglamento (CE) n.º 1467/97 del Consejo de 7 de julio de 1997 relativo a la aceleración y clarificación del procedimiento de déficit excesivo (DO L 209 de 2.8.199</w:t>
            </w:r>
            <w:r w:rsidRPr="00EA4A56">
              <w:rPr>
                <w:lang w:val="es-ES_tradnl"/>
              </w:rPr>
              <w:t>7, p. 6).</w:t>
            </w:r>
          </w:p>
        </w:tc>
        <w:tc>
          <w:tcPr>
            <w:tcW w:w="4876" w:type="dxa"/>
            <w:hideMark/>
          </w:tcPr>
          <w:p w:rsidR="00AF0131" w:rsidRPr="00EA4A56" w:rsidRDefault="006F2CA5" w:rsidP="00C33FBD">
            <w:pPr>
              <w:pStyle w:val="Normal6"/>
              <w:rPr>
                <w:szCs w:val="24"/>
                <w:lang w:val="es-ES_tradnl"/>
              </w:rPr>
            </w:pPr>
            <w:r w:rsidRPr="00EA4A56">
              <w:rPr>
                <w:vertAlign w:val="superscript"/>
                <w:lang w:val="es-ES_tradnl"/>
              </w:rPr>
              <w:t>20</w:t>
            </w:r>
            <w:r w:rsidRPr="00EA4A56">
              <w:rPr>
                <w:lang w:val="es-ES_tradnl"/>
              </w:rPr>
              <w:t xml:space="preserve"> Reglamento (CE) n.º 1467/97 del Consejo de 7 de julio de 1997 relativo a la aceleración y clarificación del procedimiento de déficit excesivo (DO L 209 de 2.8.1997, p. 6).</w:t>
            </w:r>
          </w:p>
        </w:tc>
      </w:tr>
      <w:tr w:rsidR="00820E9E" w:rsidRPr="00EA4A56" w:rsidTr="00C33FBD">
        <w:trPr>
          <w:jc w:val="center"/>
        </w:trPr>
        <w:tc>
          <w:tcPr>
            <w:tcW w:w="4876" w:type="dxa"/>
            <w:hideMark/>
          </w:tcPr>
          <w:p w:rsidR="00AF0131" w:rsidRPr="00EA4A56" w:rsidRDefault="006F2CA5" w:rsidP="00EA4A56">
            <w:pPr>
              <w:pStyle w:val="Normal6"/>
              <w:rPr>
                <w:lang w:val="es-ES_tradnl"/>
              </w:rPr>
            </w:pPr>
            <w:r w:rsidRPr="00EA4A56">
              <w:rPr>
                <w:vertAlign w:val="superscript"/>
                <w:lang w:val="es-ES_tradnl"/>
              </w:rPr>
              <w:t>21</w:t>
            </w:r>
            <w:r w:rsidRPr="00EA4A56">
              <w:rPr>
                <w:lang w:val="es-ES_tradnl"/>
              </w:rPr>
              <w:t xml:space="preserve"> Resolución del Consejo Europeo sobre el Pacto de Estabilidad y Crec</w:t>
            </w:r>
            <w:r w:rsidRPr="00EA4A56">
              <w:rPr>
                <w:lang w:val="es-ES_tradnl"/>
              </w:rPr>
              <w:t xml:space="preserve">imiento, </w:t>
            </w:r>
            <w:r w:rsidRPr="00EA4A56">
              <w:rPr>
                <w:lang w:val="es-ES_tradnl"/>
              </w:rPr>
              <w:lastRenderedPageBreak/>
              <w:t>Ámsterdam, 17 de junio de 1997 (DO</w:t>
            </w:r>
            <w:r w:rsidR="00EA4A56" w:rsidRPr="00EA4A56">
              <w:rPr>
                <w:lang w:val="es-ES_tradnl"/>
              </w:rPr>
              <w:t> </w:t>
            </w:r>
            <w:r w:rsidRPr="00EA4A56">
              <w:rPr>
                <w:lang w:val="es-ES_tradnl"/>
              </w:rPr>
              <w:t>C</w:t>
            </w:r>
            <w:r w:rsidR="00EA4A56" w:rsidRPr="00EA4A56">
              <w:rPr>
                <w:lang w:val="es-ES_tradnl"/>
              </w:rPr>
              <w:t> 236 de 2.8.1977, p. </w:t>
            </w:r>
            <w:r w:rsidRPr="00EA4A56">
              <w:rPr>
                <w:lang w:val="es-ES_tradnl"/>
              </w:rPr>
              <w:t>1).</w:t>
            </w:r>
          </w:p>
        </w:tc>
        <w:tc>
          <w:tcPr>
            <w:tcW w:w="4876" w:type="dxa"/>
            <w:hideMark/>
          </w:tcPr>
          <w:p w:rsidR="00AF0131" w:rsidRPr="00EA4A56" w:rsidRDefault="006F2CA5" w:rsidP="00EA4A56">
            <w:pPr>
              <w:pStyle w:val="Normal6"/>
              <w:rPr>
                <w:szCs w:val="24"/>
                <w:lang w:val="es-ES_tradnl"/>
              </w:rPr>
            </w:pPr>
            <w:r w:rsidRPr="00EA4A56">
              <w:rPr>
                <w:vertAlign w:val="superscript"/>
                <w:lang w:val="es-ES_tradnl"/>
              </w:rPr>
              <w:lastRenderedPageBreak/>
              <w:t>21</w:t>
            </w:r>
            <w:r w:rsidRPr="00EA4A56">
              <w:rPr>
                <w:lang w:val="es-ES_tradnl"/>
              </w:rPr>
              <w:t xml:space="preserve"> Resolución del Consejo Europeo sobre el Pacto de Estabilidad y Crecimiento, </w:t>
            </w:r>
            <w:r w:rsidRPr="00EA4A56">
              <w:rPr>
                <w:lang w:val="es-ES_tradnl"/>
              </w:rPr>
              <w:lastRenderedPageBreak/>
              <w:t>Ámsterdam, 17 de junio de 1997 (DO</w:t>
            </w:r>
            <w:r w:rsidR="00EA4A56" w:rsidRPr="00EA4A56">
              <w:rPr>
                <w:lang w:val="es-ES_tradnl"/>
              </w:rPr>
              <w:t> </w:t>
            </w:r>
            <w:r w:rsidRPr="00EA4A56">
              <w:rPr>
                <w:lang w:val="es-ES_tradnl"/>
              </w:rPr>
              <w:t>C</w:t>
            </w:r>
            <w:r w:rsidR="00EA4A56" w:rsidRPr="00EA4A56">
              <w:rPr>
                <w:lang w:val="es-ES_tradnl"/>
              </w:rPr>
              <w:t> 236 de 2.8.1977, p. 1</w:t>
            </w:r>
            <w:r w:rsidRPr="00EA4A56">
              <w:rPr>
                <w:lang w:val="es-ES_tradnl"/>
              </w:rPr>
              <w:t>).</w:t>
            </w:r>
          </w:p>
        </w:tc>
      </w:tr>
    </w:tbl>
    <w:p w:rsidR="00AF0131" w:rsidRPr="00EA4A56" w:rsidRDefault="006F2CA5" w:rsidP="00C56375">
      <w:pPr>
        <w:rPr>
          <w:rStyle w:val="HideTWBExt"/>
          <w:rFonts w:ascii="Times New Roman" w:hAnsi="Times New Roman" w:cs="Times New Roman"/>
          <w:noProof w:val="0"/>
          <w:vanish w:val="0"/>
          <w:color w:val="auto"/>
          <w:sz w:val="24"/>
        </w:rPr>
      </w:pPr>
      <w:r w:rsidRPr="00EA4A56">
        <w:rPr>
          <w:rStyle w:val="HideTWBExt"/>
        </w:rPr>
        <w:lastRenderedPageBreak/>
        <w:t>&lt;/Amend&gt;</w:t>
      </w:r>
    </w:p>
    <w:p w:rsidR="00AF0131" w:rsidRPr="00EA4A56" w:rsidRDefault="006F2CA5" w:rsidP="00AF0131">
      <w:pPr>
        <w:pStyle w:val="AmNumberTabs"/>
      </w:pPr>
      <w:r w:rsidRPr="00EA4A56">
        <w:rPr>
          <w:rStyle w:val="HideTWBExt"/>
          <w:b w:val="0"/>
        </w:rPr>
        <w:t>&lt;Amend&gt;</w:t>
      </w:r>
      <w:r w:rsidRPr="00EA4A56">
        <w:t>Enmienda</w:t>
      </w:r>
      <w:r w:rsidRPr="00EA4A56">
        <w:tab/>
      </w:r>
      <w:r w:rsidRPr="00EA4A56">
        <w:tab/>
      </w:r>
      <w:r w:rsidRPr="00EA4A56">
        <w:rPr>
          <w:rStyle w:val="HideTWBExt"/>
          <w:b w:val="0"/>
        </w:rPr>
        <w:t>&lt;NumAm&gt;</w:t>
      </w:r>
      <w:r w:rsidRPr="00EA4A56">
        <w:t>2</w:t>
      </w:r>
      <w:r w:rsidRPr="00EA4A56">
        <w:rPr>
          <w:rStyle w:val="HideTWBExt"/>
          <w:b w:val="0"/>
        </w:rPr>
        <w:t>&lt;/NumAm&gt;</w:t>
      </w:r>
    </w:p>
    <w:p w:rsidR="00AF0131" w:rsidRPr="00EA4A56" w:rsidRDefault="00AF0131" w:rsidP="00AF0131"/>
    <w:p w:rsidR="00AF0131" w:rsidRPr="00EA4A56" w:rsidRDefault="006F2CA5" w:rsidP="00AF0131">
      <w:pPr>
        <w:pStyle w:val="NormalBold"/>
        <w:keepNext/>
      </w:pPr>
      <w:r w:rsidRPr="00EA4A56">
        <w:rPr>
          <w:rStyle w:val="HideTWBExt"/>
          <w:b w:val="0"/>
        </w:rPr>
        <w:t>&lt;DocAmend&gt;</w:t>
      </w:r>
      <w:r w:rsidRPr="00EA4A56">
        <w:t>Propuesta de Reglamento</w:t>
      </w:r>
      <w:r w:rsidRPr="00EA4A56">
        <w:rPr>
          <w:rStyle w:val="HideTWBExt"/>
          <w:b w:val="0"/>
        </w:rPr>
        <w:t>&lt;/DocAmend&gt;</w:t>
      </w:r>
    </w:p>
    <w:p w:rsidR="00AF0131" w:rsidRPr="00EA4A56" w:rsidRDefault="006F2CA5" w:rsidP="00AF0131">
      <w:pPr>
        <w:pStyle w:val="NormalBold"/>
      </w:pPr>
      <w:r w:rsidRPr="00EA4A56">
        <w:rPr>
          <w:rStyle w:val="HideTWBExt"/>
          <w:b w:val="0"/>
        </w:rPr>
        <w:t>&lt;Article&gt;</w:t>
      </w:r>
      <w:r w:rsidRPr="00EA4A56">
        <w:t>Considerando 5</w:t>
      </w:r>
      <w:r w:rsidRPr="00EA4A5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20E9E" w:rsidRPr="00EA4A56" w:rsidTr="00C33FBD">
        <w:trPr>
          <w:jc w:val="center"/>
        </w:trPr>
        <w:tc>
          <w:tcPr>
            <w:tcW w:w="9752" w:type="dxa"/>
            <w:gridSpan w:val="2"/>
          </w:tcPr>
          <w:p w:rsidR="00AF0131" w:rsidRPr="00EA4A56" w:rsidRDefault="00AF0131" w:rsidP="00C33FBD">
            <w:pPr>
              <w:keepNext/>
            </w:pPr>
          </w:p>
        </w:tc>
      </w:tr>
      <w:tr w:rsidR="00820E9E" w:rsidRPr="00EA4A56" w:rsidTr="00C33FBD">
        <w:trPr>
          <w:jc w:val="center"/>
        </w:trPr>
        <w:tc>
          <w:tcPr>
            <w:tcW w:w="4876" w:type="dxa"/>
            <w:hideMark/>
          </w:tcPr>
          <w:p w:rsidR="00AF0131" w:rsidRPr="00EA4A56" w:rsidRDefault="006F2CA5" w:rsidP="00C33FBD">
            <w:pPr>
              <w:pStyle w:val="ColumnHeading"/>
              <w:keepNext/>
              <w:rPr>
                <w:lang w:val="es-ES_tradnl"/>
              </w:rPr>
            </w:pPr>
            <w:r w:rsidRPr="00EA4A56">
              <w:rPr>
                <w:lang w:val="es-ES_tradnl"/>
              </w:rPr>
              <w:t>Texto de la Comisión</w:t>
            </w:r>
          </w:p>
        </w:tc>
        <w:tc>
          <w:tcPr>
            <w:tcW w:w="4876" w:type="dxa"/>
            <w:hideMark/>
          </w:tcPr>
          <w:p w:rsidR="00AF0131" w:rsidRPr="00EA4A56" w:rsidRDefault="006F2CA5" w:rsidP="00C33FBD">
            <w:pPr>
              <w:pStyle w:val="ColumnHeading"/>
              <w:keepNext/>
              <w:rPr>
                <w:lang w:val="es-ES_tradnl"/>
              </w:rPr>
            </w:pPr>
            <w:r w:rsidRPr="00EA4A56">
              <w:rPr>
                <w:lang w:val="es-ES_tradnl"/>
              </w:rPr>
              <w:t>Enmienda</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lang w:val="es-ES_tradnl"/>
              </w:rPr>
              <w:t>(5)</w:t>
            </w:r>
            <w:r w:rsidRPr="00EA4A56">
              <w:rPr>
                <w:lang w:val="es-ES_tradnl"/>
              </w:rPr>
              <w:tab/>
              <w:t>El marco de gobernanza económica de la Unión debe adaptarse para tener mejor en cuenta la creciente heterogeneidad de las situaciones presup</w:t>
            </w:r>
            <w:r w:rsidRPr="00EA4A56">
              <w:rPr>
                <w:lang w:val="es-ES_tradnl"/>
              </w:rPr>
              <w:t>uestarias, las dificultades en materia de deuda pública y otras vulnerabilidades en los distintos Estados miembros. La firme respuesta política a la pandemia de COVID-19 ha demostrado su elevada eficacia a la hora de atenuar los daños económicos y sociales</w:t>
            </w:r>
            <w:r w:rsidRPr="00EA4A56">
              <w:rPr>
                <w:lang w:val="es-ES_tradnl"/>
              </w:rPr>
              <w:t xml:space="preserve"> derivados de la crisis, pero esta última ha dado lugar a un aumento significativo de las ratios de deuda de los sectores público y privado, lo que ha puesto de relieve la importancia de reducir estas ratios de deuda a niveles prudentes de manera gradual, </w:t>
            </w:r>
            <w:r w:rsidRPr="00EA4A56">
              <w:rPr>
                <w:lang w:val="es-ES_tradnl"/>
              </w:rPr>
              <w:t xml:space="preserve">sostenida </w:t>
            </w:r>
            <w:r w:rsidRPr="00EA4A56">
              <w:rPr>
                <w:b/>
                <w:bCs/>
                <w:i/>
                <w:iCs/>
                <w:lang w:val="es-ES_tradnl"/>
              </w:rPr>
              <w:t>y</w:t>
            </w:r>
            <w:r w:rsidRPr="00EA4A56">
              <w:rPr>
                <w:lang w:val="es-ES_tradnl"/>
              </w:rPr>
              <w:t xml:space="preserve"> favorable al crecimiento y de compensar los desequilibrios macroeconómicos, prestando</w:t>
            </w:r>
            <w:r w:rsidRPr="00EA4A56">
              <w:rPr>
                <w:b/>
                <w:bCs/>
                <w:i/>
                <w:iCs/>
                <w:lang w:val="es-ES_tradnl"/>
              </w:rPr>
              <w:t xml:space="preserve"> al mismo tiempo</w:t>
            </w:r>
            <w:r w:rsidRPr="00EA4A56">
              <w:rPr>
                <w:lang w:val="es-ES_tradnl"/>
              </w:rPr>
              <w:t xml:space="preserve"> la debida atención a los objetivos sociales y de empleo. Paralelamente, es preciso adaptar el marco de gobernanza económica de la Unión de mod</w:t>
            </w:r>
            <w:r w:rsidRPr="00EA4A56">
              <w:rPr>
                <w:lang w:val="es-ES_tradnl"/>
              </w:rPr>
              <w:t>o que contribuya a abordar los desafíos a medio y largo plazo a los que se enfrenta la Unión, incluida la consecución de una transición digital y ecológica justa, en particular con la aplicación de la Ley del Clima</w:t>
            </w:r>
            <w:r w:rsidRPr="00EA4A56">
              <w:rPr>
                <w:vertAlign w:val="superscript"/>
                <w:lang w:val="es-ES_tradnl"/>
              </w:rPr>
              <w:t>22</w:t>
            </w:r>
            <w:r w:rsidRPr="00EA4A56">
              <w:rPr>
                <w:lang w:val="es-ES_tradnl"/>
              </w:rPr>
              <w:t>, la garantía de la seguridad energética</w:t>
            </w:r>
            <w:r w:rsidRPr="00EA4A56">
              <w:rPr>
                <w:lang w:val="es-ES_tradnl"/>
              </w:rPr>
              <w:t>, la autonomía estratégica abierta, la lucha contra el cambio demográfico, el refuerzo de la resiliencia social y económica y la aplicación de la brújula estratégica en materia de seguridad y defensa, todo lo cual requiere reformas y niveles elevados de in</w:t>
            </w:r>
            <w:r w:rsidRPr="00EA4A56">
              <w:rPr>
                <w:lang w:val="es-ES_tradnl"/>
              </w:rPr>
              <w:t xml:space="preserve">versión sostenidos en los próximos </w:t>
            </w:r>
            <w:r w:rsidRPr="00EA4A56">
              <w:rPr>
                <w:lang w:val="es-ES_tradnl"/>
              </w:rPr>
              <w:lastRenderedPageBreak/>
              <w:t>años.</w:t>
            </w:r>
          </w:p>
        </w:tc>
        <w:tc>
          <w:tcPr>
            <w:tcW w:w="4876" w:type="dxa"/>
            <w:hideMark/>
          </w:tcPr>
          <w:p w:rsidR="00AF0131" w:rsidRPr="00EA4A56" w:rsidRDefault="006F2CA5" w:rsidP="00C33FBD">
            <w:pPr>
              <w:pStyle w:val="Normal6"/>
              <w:rPr>
                <w:szCs w:val="24"/>
                <w:lang w:val="es-ES_tradnl"/>
              </w:rPr>
            </w:pPr>
            <w:r w:rsidRPr="00EA4A56">
              <w:rPr>
                <w:lang w:val="es-ES_tradnl"/>
              </w:rPr>
              <w:lastRenderedPageBreak/>
              <w:t>(5)</w:t>
            </w:r>
            <w:r w:rsidRPr="00EA4A56">
              <w:rPr>
                <w:lang w:val="es-ES_tradnl"/>
              </w:rPr>
              <w:tab/>
              <w:t>El marco de gobernanza económica de la Unión debe adaptarse para tener mejor en cuenta la creciente heterogeneidad de las situaciones presupuestarias, las dificultades en materia de deuda pública y otras vulnera</w:t>
            </w:r>
            <w:r w:rsidRPr="00EA4A56">
              <w:rPr>
                <w:lang w:val="es-ES_tradnl"/>
              </w:rPr>
              <w:t>bilidades en los distintos Estados miembros. La firme respuesta política a la pandemia de COVID-19 ha demostrado su elevada eficacia a la hora de atenuar los daños económicos y sociales derivados de la crisis, pero esta última ha dado lugar a un aumento si</w:t>
            </w:r>
            <w:r w:rsidRPr="00EA4A56">
              <w:rPr>
                <w:lang w:val="es-ES_tradnl"/>
              </w:rPr>
              <w:t>gnificativo de las ratios de deuda de los sectores público y privado, lo que ha puesto de relieve la importancia de reducir estas ratios de deuda a niveles prudentes de manera gradual, sostenida</w:t>
            </w:r>
            <w:r w:rsidRPr="00EA4A56">
              <w:rPr>
                <w:b/>
                <w:bCs/>
                <w:i/>
                <w:iCs/>
                <w:lang w:val="es-ES_tradnl"/>
              </w:rPr>
              <w:t>,</w:t>
            </w:r>
            <w:r w:rsidRPr="00EA4A56">
              <w:rPr>
                <w:lang w:val="es-ES_tradnl"/>
              </w:rPr>
              <w:t xml:space="preserve"> favorable al crecimiento</w:t>
            </w:r>
            <w:r w:rsidRPr="00EA4A56">
              <w:rPr>
                <w:b/>
                <w:bCs/>
                <w:i/>
                <w:iCs/>
                <w:lang w:val="es-ES_tradnl"/>
              </w:rPr>
              <w:t xml:space="preserve"> e inclusiva</w:t>
            </w:r>
            <w:r w:rsidRPr="00EA4A56">
              <w:rPr>
                <w:lang w:val="es-ES_tradnl"/>
              </w:rPr>
              <w:t xml:space="preserve"> y de compensar los dese</w:t>
            </w:r>
            <w:r w:rsidRPr="00EA4A56">
              <w:rPr>
                <w:lang w:val="es-ES_tradnl"/>
              </w:rPr>
              <w:t>quilibrios macroeconómicos</w:t>
            </w:r>
            <w:r w:rsidRPr="00EA4A56">
              <w:rPr>
                <w:b/>
                <w:bCs/>
                <w:i/>
                <w:iCs/>
                <w:lang w:val="es-ES_tradnl"/>
              </w:rPr>
              <w:t>, así como de respaldar la convergencia social al alza</w:t>
            </w:r>
            <w:r w:rsidRPr="00EA4A56">
              <w:rPr>
                <w:lang w:val="es-ES_tradnl"/>
              </w:rPr>
              <w:t>, prestando al mismo tiempo la debida atención a los objetivos sociales y de empleo de calidad. Paralelamente, es preciso adaptar el marco de gobernanza económica de la Unión d</w:t>
            </w:r>
            <w:r w:rsidRPr="00EA4A56">
              <w:rPr>
                <w:lang w:val="es-ES_tradnl"/>
              </w:rPr>
              <w:t>e modo que contribuya a abordar los desafíos a medio y largo plazo a los que se enfrenta la Unión, incluida la consecución de una transición digital y ecológica justa, en particular con la aplicación de la Ley del Clima</w:t>
            </w:r>
            <w:r w:rsidRPr="00EA4A56">
              <w:rPr>
                <w:vertAlign w:val="superscript"/>
                <w:lang w:val="es-ES_tradnl"/>
              </w:rPr>
              <w:t>22</w:t>
            </w:r>
            <w:r w:rsidRPr="00EA4A56">
              <w:rPr>
                <w:lang w:val="es-ES_tradnl"/>
              </w:rPr>
              <w:t xml:space="preserve"> </w:t>
            </w:r>
            <w:r w:rsidRPr="00EA4A56">
              <w:rPr>
                <w:b/>
                <w:bCs/>
                <w:i/>
                <w:iCs/>
                <w:lang w:val="es-ES_tradnl"/>
              </w:rPr>
              <w:t>y del pilar europeo de derechos so</w:t>
            </w:r>
            <w:r w:rsidRPr="00EA4A56">
              <w:rPr>
                <w:b/>
                <w:bCs/>
                <w:i/>
                <w:iCs/>
                <w:lang w:val="es-ES_tradnl"/>
              </w:rPr>
              <w:t>ciales</w:t>
            </w:r>
            <w:r w:rsidRPr="00EA4A56">
              <w:rPr>
                <w:lang w:val="es-ES_tradnl"/>
              </w:rPr>
              <w:t>, la garantía de la seguridad energética, la autonomía estratégica abierta, la lucha contra el cambio demográfico, el refuerzo de la resiliencia social y económica</w:t>
            </w:r>
            <w:r w:rsidRPr="00EA4A56">
              <w:rPr>
                <w:b/>
                <w:bCs/>
                <w:i/>
                <w:iCs/>
                <w:lang w:val="es-ES_tradnl"/>
              </w:rPr>
              <w:t>, inclusive mediante el refuerzo de las inversiones sociales,</w:t>
            </w:r>
            <w:r w:rsidRPr="00EA4A56">
              <w:rPr>
                <w:lang w:val="es-ES_tradnl"/>
              </w:rPr>
              <w:t xml:space="preserve"> y la </w:t>
            </w:r>
            <w:r w:rsidRPr="00EA4A56">
              <w:rPr>
                <w:lang w:val="es-ES_tradnl"/>
              </w:rPr>
              <w:lastRenderedPageBreak/>
              <w:t>aplicación de la brú</w:t>
            </w:r>
            <w:r w:rsidRPr="00EA4A56">
              <w:rPr>
                <w:lang w:val="es-ES_tradnl"/>
              </w:rPr>
              <w:t>jula estratégica en materia de seguridad y defensa, todo lo cual requiere reformas y niveles elevados de inversión sostenidos en los próximos años.</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lang w:val="es-ES_tradnl"/>
              </w:rPr>
              <w:lastRenderedPageBreak/>
              <w:t>__________________</w:t>
            </w:r>
          </w:p>
        </w:tc>
        <w:tc>
          <w:tcPr>
            <w:tcW w:w="4876" w:type="dxa"/>
            <w:hideMark/>
          </w:tcPr>
          <w:p w:rsidR="00AF0131" w:rsidRPr="00EA4A56" w:rsidRDefault="006F2CA5" w:rsidP="00C33FBD">
            <w:pPr>
              <w:pStyle w:val="Normal6"/>
              <w:rPr>
                <w:szCs w:val="24"/>
                <w:lang w:val="es-ES_tradnl"/>
              </w:rPr>
            </w:pPr>
            <w:r w:rsidRPr="00EA4A56">
              <w:rPr>
                <w:lang w:val="es-ES_tradnl"/>
              </w:rPr>
              <w:t>__________________</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vertAlign w:val="superscript"/>
                <w:lang w:val="es-ES_tradnl"/>
              </w:rPr>
              <w:t>22</w:t>
            </w:r>
            <w:r w:rsidRPr="00EA4A56">
              <w:rPr>
                <w:lang w:val="es-ES_tradnl"/>
              </w:rPr>
              <w:t xml:space="preserve"> La Ley Europea del Clima fija un objetivo de neutralidad climática a escala de la Unión de aquí a 2050 y exige que las instituciones de la Unión y los Estados miembros avancen en la mejora de la capacidad de adaptación, lo que requiere una inversión públi</w:t>
            </w:r>
            <w:r w:rsidRPr="00EA4A56">
              <w:rPr>
                <w:lang w:val="es-ES_tradnl"/>
              </w:rPr>
              <w:t>ca significativa para reducir los efectos socioeconómicos negativos del cambio climático en la UE y sus Estados miembros, incluidos los efectos negativos en el crecimiento y la sostenibilidad presupuestaria.</w:t>
            </w:r>
          </w:p>
        </w:tc>
        <w:tc>
          <w:tcPr>
            <w:tcW w:w="4876" w:type="dxa"/>
            <w:hideMark/>
          </w:tcPr>
          <w:p w:rsidR="00AF0131" w:rsidRPr="00EA4A56" w:rsidRDefault="006F2CA5" w:rsidP="00C33FBD">
            <w:pPr>
              <w:pStyle w:val="Normal6"/>
              <w:rPr>
                <w:szCs w:val="24"/>
                <w:lang w:val="es-ES_tradnl"/>
              </w:rPr>
            </w:pPr>
            <w:r w:rsidRPr="00EA4A56">
              <w:rPr>
                <w:vertAlign w:val="superscript"/>
                <w:lang w:val="es-ES_tradnl"/>
              </w:rPr>
              <w:t>22</w:t>
            </w:r>
            <w:r w:rsidRPr="00EA4A56">
              <w:rPr>
                <w:lang w:val="es-ES_tradnl"/>
              </w:rPr>
              <w:t xml:space="preserve"> La Ley Europea del Clima fija un objetivo de </w:t>
            </w:r>
            <w:r w:rsidRPr="00EA4A56">
              <w:rPr>
                <w:lang w:val="es-ES_tradnl"/>
              </w:rPr>
              <w:t>neutralidad climática a escala de la Unión de aquí a 2050 y exige que las instituciones de la Unión y los Estados miembros avancen en la mejora de la capacidad de adaptación, lo que requiere una inversión pública significativa para reducir los efectos soci</w:t>
            </w:r>
            <w:r w:rsidRPr="00EA4A56">
              <w:rPr>
                <w:lang w:val="es-ES_tradnl"/>
              </w:rPr>
              <w:t>oeconómicos negativos del cambio climático en la UE y sus Estados miembros, incluidos los efectos negativos en el crecimiento y la sostenibilidad presupuestaria.</w:t>
            </w:r>
          </w:p>
        </w:tc>
      </w:tr>
    </w:tbl>
    <w:p w:rsidR="00AF0131" w:rsidRPr="00EA4A56" w:rsidRDefault="006F2CA5" w:rsidP="00C56375">
      <w:pPr>
        <w:rPr>
          <w:rStyle w:val="HideTWBExt"/>
          <w:rFonts w:ascii="Times New Roman" w:hAnsi="Times New Roman" w:cs="Times New Roman"/>
          <w:noProof w:val="0"/>
          <w:vanish w:val="0"/>
          <w:color w:val="auto"/>
          <w:sz w:val="24"/>
        </w:rPr>
      </w:pPr>
      <w:r w:rsidRPr="00EA4A56">
        <w:rPr>
          <w:rStyle w:val="HideTWBExt"/>
        </w:rPr>
        <w:t>&lt;/Amend&gt;</w:t>
      </w:r>
    </w:p>
    <w:p w:rsidR="00AF0131" w:rsidRPr="00EA4A56" w:rsidRDefault="006F2CA5" w:rsidP="00AF0131">
      <w:pPr>
        <w:pStyle w:val="AmNumberTabs"/>
      </w:pPr>
      <w:r w:rsidRPr="00EA4A56">
        <w:rPr>
          <w:rStyle w:val="HideTWBExt"/>
          <w:b w:val="0"/>
        </w:rPr>
        <w:t>&lt;Amend&gt;</w:t>
      </w:r>
      <w:r w:rsidRPr="00EA4A56">
        <w:t>Enmienda</w:t>
      </w:r>
      <w:r w:rsidRPr="00EA4A56">
        <w:tab/>
      </w:r>
      <w:r w:rsidRPr="00EA4A56">
        <w:tab/>
      </w:r>
      <w:r w:rsidRPr="00EA4A56">
        <w:rPr>
          <w:rStyle w:val="HideTWBExt"/>
          <w:b w:val="0"/>
        </w:rPr>
        <w:t>&lt;NumAm&gt;</w:t>
      </w:r>
      <w:r w:rsidRPr="00EA4A56">
        <w:t>3</w:t>
      </w:r>
      <w:r w:rsidRPr="00EA4A56">
        <w:rPr>
          <w:rStyle w:val="HideTWBExt"/>
          <w:b w:val="0"/>
        </w:rPr>
        <w:t>&lt;/NumAm&gt;</w:t>
      </w:r>
    </w:p>
    <w:p w:rsidR="00AF0131" w:rsidRPr="00EA4A56" w:rsidRDefault="00AF0131" w:rsidP="00AF0131"/>
    <w:p w:rsidR="00AF0131" w:rsidRPr="00EA4A56" w:rsidRDefault="006F2CA5" w:rsidP="00AF0131">
      <w:pPr>
        <w:pStyle w:val="NormalBold"/>
        <w:keepNext/>
      </w:pPr>
      <w:r w:rsidRPr="00EA4A56">
        <w:rPr>
          <w:rStyle w:val="HideTWBExt"/>
          <w:b w:val="0"/>
        </w:rPr>
        <w:t>&lt;DocAmend&gt;</w:t>
      </w:r>
      <w:r w:rsidRPr="00EA4A56">
        <w:t>Propuesta de Reglamento</w:t>
      </w:r>
      <w:r w:rsidRPr="00EA4A56">
        <w:rPr>
          <w:rStyle w:val="HideTWBExt"/>
          <w:b w:val="0"/>
        </w:rPr>
        <w:t>&lt;/DocAmend&gt;</w:t>
      </w:r>
    </w:p>
    <w:p w:rsidR="00AF0131" w:rsidRPr="00EA4A56" w:rsidRDefault="006F2CA5" w:rsidP="00AF0131">
      <w:pPr>
        <w:pStyle w:val="NormalBold"/>
      </w:pPr>
      <w:r w:rsidRPr="00EA4A56">
        <w:rPr>
          <w:rStyle w:val="HideTWBExt"/>
          <w:b w:val="0"/>
        </w:rPr>
        <w:t>&lt;Article&gt;</w:t>
      </w:r>
      <w:r w:rsidRPr="00EA4A56">
        <w:t>Considerando 7</w:t>
      </w:r>
      <w:r w:rsidRPr="00EA4A5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20E9E" w:rsidRPr="00EA4A56" w:rsidTr="00C33FBD">
        <w:trPr>
          <w:jc w:val="center"/>
        </w:trPr>
        <w:tc>
          <w:tcPr>
            <w:tcW w:w="9752" w:type="dxa"/>
            <w:gridSpan w:val="2"/>
          </w:tcPr>
          <w:p w:rsidR="00AF0131" w:rsidRPr="00EA4A56" w:rsidRDefault="00AF0131" w:rsidP="00C33FBD">
            <w:pPr>
              <w:keepNext/>
            </w:pPr>
          </w:p>
        </w:tc>
      </w:tr>
      <w:tr w:rsidR="00820E9E" w:rsidRPr="00EA4A56" w:rsidTr="00C33FBD">
        <w:trPr>
          <w:jc w:val="center"/>
        </w:trPr>
        <w:tc>
          <w:tcPr>
            <w:tcW w:w="4876" w:type="dxa"/>
            <w:hideMark/>
          </w:tcPr>
          <w:p w:rsidR="00AF0131" w:rsidRPr="00EA4A56" w:rsidRDefault="006F2CA5" w:rsidP="00C33FBD">
            <w:pPr>
              <w:pStyle w:val="ColumnHeading"/>
              <w:keepNext/>
              <w:rPr>
                <w:lang w:val="es-ES_tradnl"/>
              </w:rPr>
            </w:pPr>
            <w:r w:rsidRPr="00EA4A56">
              <w:rPr>
                <w:lang w:val="es-ES_tradnl"/>
              </w:rPr>
              <w:t>Texto de la Comisión</w:t>
            </w:r>
          </w:p>
        </w:tc>
        <w:tc>
          <w:tcPr>
            <w:tcW w:w="4876" w:type="dxa"/>
            <w:hideMark/>
          </w:tcPr>
          <w:p w:rsidR="00AF0131" w:rsidRPr="00EA4A56" w:rsidRDefault="006F2CA5" w:rsidP="00C33FBD">
            <w:pPr>
              <w:pStyle w:val="ColumnHeading"/>
              <w:keepNext/>
              <w:rPr>
                <w:lang w:val="es-ES_tradnl"/>
              </w:rPr>
            </w:pPr>
            <w:r w:rsidRPr="00EA4A56">
              <w:rPr>
                <w:lang w:val="es-ES_tradnl"/>
              </w:rPr>
              <w:t>Enmienda</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lang w:val="es-ES_tradnl"/>
              </w:rPr>
              <w:t>(7)</w:t>
            </w:r>
            <w:r w:rsidRPr="00EA4A56">
              <w:rPr>
                <w:lang w:val="es-ES_tradnl"/>
              </w:rPr>
              <w:tab/>
            </w:r>
            <w:r w:rsidRPr="00EA4A56">
              <w:rPr>
                <w:lang w:val="es-ES_tradnl"/>
              </w:rPr>
              <w:t xml:space="preserve">El procedimiento de supervisión multilateral establecido en el artículo 121, apartados 2, 3 y 4, y en el artículo 148, apartado 4, del TFUE debe hacer un seguimiento, de conformidad con normas más detalladas, de toda la evolución de la economía </w:t>
            </w:r>
            <w:r w:rsidRPr="00EA4A56">
              <w:rPr>
                <w:b/>
                <w:bCs/>
                <w:i/>
                <w:iCs/>
                <w:lang w:val="es-ES_tradnl"/>
              </w:rPr>
              <w:t>y</w:t>
            </w:r>
            <w:r w:rsidRPr="00EA4A56">
              <w:rPr>
                <w:lang w:val="es-ES_tradnl"/>
              </w:rPr>
              <w:t xml:space="preserve"> el empleo</w:t>
            </w:r>
            <w:r w:rsidRPr="00EA4A56">
              <w:rPr>
                <w:lang w:val="es-ES_tradnl"/>
              </w:rPr>
              <w:t xml:space="preserve"> en cada uno de los Estados miembros y en la Unión. Esta supervisión incluye la detección de desequilibrios macroeconómicos y la prevención y corrección de desequilibrios excesivos, tal como se establece en los Reglamentos (UE) n.º 1174/2011</w:t>
            </w:r>
            <w:r w:rsidRPr="00EA4A56">
              <w:rPr>
                <w:vertAlign w:val="superscript"/>
                <w:lang w:val="es-ES_tradnl"/>
              </w:rPr>
              <w:t>23</w:t>
            </w:r>
            <w:r w:rsidRPr="00EA4A56">
              <w:rPr>
                <w:lang w:val="es-ES_tradnl"/>
              </w:rPr>
              <w:t xml:space="preserve"> y (UE) n.º 1</w:t>
            </w:r>
            <w:r w:rsidRPr="00EA4A56">
              <w:rPr>
                <w:lang w:val="es-ES_tradnl"/>
              </w:rPr>
              <w:t>176/2011</w:t>
            </w:r>
            <w:r w:rsidRPr="00EA4A56">
              <w:rPr>
                <w:vertAlign w:val="superscript"/>
                <w:lang w:val="es-ES_tradnl"/>
              </w:rPr>
              <w:t>24</w:t>
            </w:r>
            <w:r w:rsidRPr="00EA4A56">
              <w:rPr>
                <w:lang w:val="es-ES_tradnl"/>
              </w:rPr>
              <w:t xml:space="preserve"> del Parlamento Europeo y del Consejo. Para supervisar la evolución de la economía y el empleo, los Estados miembros deben presentar información en forma de planes estructurales de política fiscal a medio plazo.</w:t>
            </w:r>
          </w:p>
        </w:tc>
        <w:tc>
          <w:tcPr>
            <w:tcW w:w="4876" w:type="dxa"/>
            <w:hideMark/>
          </w:tcPr>
          <w:p w:rsidR="00AF0131" w:rsidRPr="00EA4A56" w:rsidRDefault="006F2CA5" w:rsidP="00C33FBD">
            <w:pPr>
              <w:pStyle w:val="Normal6"/>
              <w:rPr>
                <w:szCs w:val="24"/>
                <w:lang w:val="es-ES_tradnl"/>
              </w:rPr>
            </w:pPr>
            <w:r w:rsidRPr="00EA4A56">
              <w:rPr>
                <w:lang w:val="es-ES_tradnl"/>
              </w:rPr>
              <w:t>(7)</w:t>
            </w:r>
            <w:r w:rsidRPr="00EA4A56">
              <w:rPr>
                <w:lang w:val="es-ES_tradnl"/>
              </w:rPr>
              <w:tab/>
              <w:t>El procedimiento de supervisió</w:t>
            </w:r>
            <w:r w:rsidRPr="00EA4A56">
              <w:rPr>
                <w:lang w:val="es-ES_tradnl"/>
              </w:rPr>
              <w:t>n multilateral establecido en el artículo 121, apartados 2, 3 y 4, y en el artículo 148, apartado 4, del TFUE debe hacer un seguimiento, de conformidad con normas más detalladas, de toda la evolución de la economía</w:t>
            </w:r>
            <w:r w:rsidRPr="00EA4A56">
              <w:rPr>
                <w:b/>
                <w:bCs/>
                <w:i/>
                <w:iCs/>
                <w:lang w:val="es-ES_tradnl"/>
              </w:rPr>
              <w:t>,</w:t>
            </w:r>
            <w:r w:rsidRPr="00EA4A56">
              <w:rPr>
                <w:lang w:val="es-ES_tradnl"/>
              </w:rPr>
              <w:t xml:space="preserve"> el empleo </w:t>
            </w:r>
            <w:r w:rsidRPr="00EA4A56">
              <w:rPr>
                <w:b/>
                <w:bCs/>
                <w:i/>
                <w:iCs/>
                <w:lang w:val="es-ES_tradnl"/>
              </w:rPr>
              <w:t>y la sociedad</w:t>
            </w:r>
            <w:r w:rsidRPr="00EA4A56">
              <w:rPr>
                <w:lang w:val="es-ES_tradnl"/>
              </w:rPr>
              <w:t xml:space="preserve"> en cada uno de l</w:t>
            </w:r>
            <w:r w:rsidRPr="00EA4A56">
              <w:rPr>
                <w:lang w:val="es-ES_tradnl"/>
              </w:rPr>
              <w:t>os Estados miembros y en la Unión</w:t>
            </w:r>
            <w:r w:rsidRPr="00EA4A56">
              <w:rPr>
                <w:b/>
                <w:bCs/>
                <w:i/>
                <w:iCs/>
                <w:lang w:val="es-ES_tradnl"/>
              </w:rPr>
              <w:t>, vinculados a los objetivos principales, incluidos los avances hacia los objetivos nacionales, y a sus indicadores principales y secundarios del pilar europeo de derechos sociales</w:t>
            </w:r>
            <w:r w:rsidRPr="00EA4A56">
              <w:rPr>
                <w:lang w:val="es-ES_tradnl"/>
              </w:rPr>
              <w:t xml:space="preserve">. Esta supervisión incluye la detección de </w:t>
            </w:r>
            <w:r w:rsidRPr="00EA4A56">
              <w:rPr>
                <w:lang w:val="es-ES_tradnl"/>
              </w:rPr>
              <w:t>desequilibrios macroeconómicos y la prevención y corrección de desequilibrios excesivos, tal como se establece en los Reglamentos (UE) n.º 1174/2011</w:t>
            </w:r>
            <w:r w:rsidRPr="00EA4A56">
              <w:rPr>
                <w:vertAlign w:val="superscript"/>
                <w:lang w:val="es-ES_tradnl"/>
              </w:rPr>
              <w:t>23</w:t>
            </w:r>
            <w:r w:rsidRPr="00EA4A56">
              <w:rPr>
                <w:lang w:val="es-ES_tradnl"/>
              </w:rPr>
              <w:t xml:space="preserve"> y (UE) n.º 1176/2011</w:t>
            </w:r>
            <w:r w:rsidRPr="00EA4A56">
              <w:rPr>
                <w:vertAlign w:val="superscript"/>
                <w:lang w:val="es-ES_tradnl"/>
              </w:rPr>
              <w:t>24</w:t>
            </w:r>
            <w:r w:rsidRPr="00EA4A56">
              <w:rPr>
                <w:lang w:val="es-ES_tradnl"/>
              </w:rPr>
              <w:t xml:space="preserve"> del Parlamento Europeo y del Consejo. Para supervisar la evolución </w:t>
            </w:r>
            <w:r w:rsidRPr="00EA4A56">
              <w:rPr>
                <w:lang w:val="es-ES_tradnl"/>
              </w:rPr>
              <w:lastRenderedPageBreak/>
              <w:t>de la economía</w:t>
            </w:r>
            <w:r w:rsidRPr="00EA4A56">
              <w:rPr>
                <w:b/>
                <w:bCs/>
                <w:i/>
                <w:iCs/>
                <w:lang w:val="es-ES_tradnl"/>
              </w:rPr>
              <w:t>,</w:t>
            </w:r>
            <w:r w:rsidRPr="00EA4A56">
              <w:rPr>
                <w:lang w:val="es-ES_tradnl"/>
              </w:rPr>
              <w:t xml:space="preserve"> el empleo </w:t>
            </w:r>
            <w:r w:rsidRPr="00EA4A56">
              <w:rPr>
                <w:b/>
                <w:bCs/>
                <w:i/>
                <w:iCs/>
                <w:lang w:val="es-ES_tradnl"/>
              </w:rPr>
              <w:t>y</w:t>
            </w:r>
            <w:r w:rsidRPr="00EA4A56">
              <w:rPr>
                <w:lang w:val="es-ES_tradnl"/>
              </w:rPr>
              <w:t xml:space="preserve"> </w:t>
            </w:r>
            <w:r w:rsidRPr="00EA4A56">
              <w:rPr>
                <w:b/>
                <w:bCs/>
                <w:i/>
                <w:iCs/>
                <w:lang w:val="es-ES_tradnl"/>
              </w:rPr>
              <w:t>la convergencia social</w:t>
            </w:r>
            <w:r w:rsidRPr="00EA4A56">
              <w:rPr>
                <w:lang w:val="es-ES_tradnl"/>
              </w:rPr>
              <w:t>, los Estados miembros deben presentar información en forma de planes estructurales de política fiscal a medio plazo.</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lang w:val="es-ES_tradnl"/>
              </w:rPr>
              <w:lastRenderedPageBreak/>
              <w:t>__________________</w:t>
            </w:r>
          </w:p>
        </w:tc>
        <w:tc>
          <w:tcPr>
            <w:tcW w:w="4876" w:type="dxa"/>
            <w:hideMark/>
          </w:tcPr>
          <w:p w:rsidR="00AF0131" w:rsidRPr="00EA4A56" w:rsidRDefault="006F2CA5" w:rsidP="00C33FBD">
            <w:pPr>
              <w:pStyle w:val="Normal6"/>
              <w:rPr>
                <w:szCs w:val="24"/>
                <w:lang w:val="es-ES_tradnl"/>
              </w:rPr>
            </w:pPr>
            <w:r w:rsidRPr="00EA4A56">
              <w:rPr>
                <w:lang w:val="es-ES_tradnl"/>
              </w:rPr>
              <w:t>__________________</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vertAlign w:val="superscript"/>
                <w:lang w:val="es-ES_tradnl"/>
              </w:rPr>
              <w:t>23</w:t>
            </w:r>
            <w:r w:rsidRPr="00EA4A56">
              <w:rPr>
                <w:lang w:val="es-ES_tradnl"/>
              </w:rPr>
              <w:t xml:space="preserve"> Reglamento (UE) n.º 1174/2011 del Parlamento Europeo y del C</w:t>
            </w:r>
            <w:r w:rsidRPr="00EA4A56">
              <w:rPr>
                <w:lang w:val="es-ES_tradnl"/>
              </w:rPr>
              <w:t xml:space="preserve">onsejo, de </w:t>
            </w:r>
            <w:r w:rsidR="00EA4A56" w:rsidRPr="00EA4A56">
              <w:rPr>
                <w:lang w:val="es-ES_tradnl"/>
              </w:rPr>
              <w:t>16 de noviembre de 2011</w:t>
            </w:r>
            <w:r w:rsidRPr="00EA4A56">
              <w:rPr>
                <w:lang w:val="es-ES_tradnl"/>
              </w:rPr>
              <w:t>, relativo a las medidas de ejecución destinadas a corregir los desequilibrios macroeconómicos excesivos en la zona del euro (DO L 306 de 23.11.2011, p. 8).</w:t>
            </w:r>
          </w:p>
        </w:tc>
        <w:tc>
          <w:tcPr>
            <w:tcW w:w="4876" w:type="dxa"/>
            <w:hideMark/>
          </w:tcPr>
          <w:p w:rsidR="00AF0131" w:rsidRPr="00EA4A56" w:rsidRDefault="006F2CA5" w:rsidP="00EA4A56">
            <w:pPr>
              <w:pStyle w:val="Normal6"/>
              <w:rPr>
                <w:szCs w:val="24"/>
                <w:lang w:val="es-ES_tradnl"/>
              </w:rPr>
            </w:pPr>
            <w:r w:rsidRPr="00EA4A56">
              <w:rPr>
                <w:vertAlign w:val="superscript"/>
                <w:lang w:val="es-ES_tradnl"/>
              </w:rPr>
              <w:t>23</w:t>
            </w:r>
            <w:r w:rsidRPr="00EA4A56">
              <w:rPr>
                <w:lang w:val="es-ES_tradnl"/>
              </w:rPr>
              <w:t xml:space="preserve"> Reglamento (UE) n.º 1174/2011 del Parlamento Europeo y del Con</w:t>
            </w:r>
            <w:r w:rsidR="00EA4A56" w:rsidRPr="00EA4A56">
              <w:rPr>
                <w:lang w:val="es-ES_tradnl"/>
              </w:rPr>
              <w:t>sejo, de 16 </w:t>
            </w:r>
            <w:r w:rsidRPr="00EA4A56">
              <w:rPr>
                <w:lang w:val="es-ES_tradnl"/>
              </w:rPr>
              <w:t>de</w:t>
            </w:r>
            <w:r w:rsidR="00EA4A56" w:rsidRPr="00EA4A56">
              <w:rPr>
                <w:lang w:val="es-ES_tradnl"/>
              </w:rPr>
              <w:t> noviembre de </w:t>
            </w:r>
            <w:r w:rsidRPr="00EA4A56">
              <w:rPr>
                <w:lang w:val="es-ES_tradnl"/>
              </w:rPr>
              <w:t>2011, relativo a las medidas de ejecución destinadas a corregir los desequilibrios macroeconómicos excesivos en la zona del euro (DO L 306 de 23.11.2011, p. 8).</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vertAlign w:val="superscript"/>
                <w:lang w:val="es-ES_tradnl"/>
              </w:rPr>
              <w:t>24</w:t>
            </w:r>
            <w:r w:rsidRPr="00EA4A56">
              <w:rPr>
                <w:lang w:val="es-ES_tradnl"/>
              </w:rPr>
              <w:t xml:space="preserve"> Reglamento (UE) n.º 1176/2011 del Parlamento Europeo y del Cons</w:t>
            </w:r>
            <w:r w:rsidRPr="00EA4A56">
              <w:rPr>
                <w:lang w:val="es-ES_tradnl"/>
              </w:rPr>
              <w:t>ejo, de 16 de noviembre de 2011, relativo a la prevención y corrección de los desequilibrios macroeconómicos (DO L 306 de 23.11.2011, p. 25).</w:t>
            </w:r>
          </w:p>
        </w:tc>
        <w:tc>
          <w:tcPr>
            <w:tcW w:w="4876" w:type="dxa"/>
            <w:hideMark/>
          </w:tcPr>
          <w:p w:rsidR="00AF0131" w:rsidRPr="00EA4A56" w:rsidRDefault="006F2CA5" w:rsidP="00EA4A56">
            <w:pPr>
              <w:pStyle w:val="Normal6"/>
              <w:rPr>
                <w:szCs w:val="24"/>
                <w:lang w:val="es-ES_tradnl"/>
              </w:rPr>
            </w:pPr>
            <w:r w:rsidRPr="00EA4A56">
              <w:rPr>
                <w:vertAlign w:val="superscript"/>
                <w:lang w:val="es-ES_tradnl"/>
              </w:rPr>
              <w:t>24</w:t>
            </w:r>
            <w:r w:rsidRPr="00EA4A56">
              <w:rPr>
                <w:lang w:val="es-ES_tradnl"/>
              </w:rPr>
              <w:t xml:space="preserve"> Reglamento (UE) n.º 1176/2011 del Parlamento Europeo y del Consejo, de 16</w:t>
            </w:r>
            <w:r w:rsidR="00EA4A56" w:rsidRPr="00EA4A56">
              <w:rPr>
                <w:lang w:val="es-ES_tradnl"/>
              </w:rPr>
              <w:t> </w:t>
            </w:r>
            <w:r w:rsidRPr="00EA4A56">
              <w:rPr>
                <w:lang w:val="es-ES_tradnl"/>
              </w:rPr>
              <w:t>de</w:t>
            </w:r>
            <w:r w:rsidR="00EA4A56" w:rsidRPr="00EA4A56">
              <w:rPr>
                <w:lang w:val="es-ES_tradnl"/>
              </w:rPr>
              <w:t> noviembre de </w:t>
            </w:r>
            <w:r w:rsidRPr="00EA4A56">
              <w:rPr>
                <w:lang w:val="es-ES_tradnl"/>
              </w:rPr>
              <w:t>2011, relativo a la p</w:t>
            </w:r>
            <w:r w:rsidRPr="00EA4A56">
              <w:rPr>
                <w:lang w:val="es-ES_tradnl"/>
              </w:rPr>
              <w:t>revención y corrección de los desequilibrios macroeconómicos (DO</w:t>
            </w:r>
            <w:r w:rsidR="00EA4A56" w:rsidRPr="00EA4A56">
              <w:rPr>
                <w:lang w:val="es-ES_tradnl"/>
              </w:rPr>
              <w:t> L 3</w:t>
            </w:r>
            <w:r w:rsidRPr="00EA4A56">
              <w:rPr>
                <w:lang w:val="es-ES_tradnl"/>
              </w:rPr>
              <w:t>06 de 23.11.2011, p. 25).</w:t>
            </w:r>
          </w:p>
        </w:tc>
      </w:tr>
    </w:tbl>
    <w:p w:rsidR="00AF0131" w:rsidRPr="00EA4A56" w:rsidRDefault="006F2CA5" w:rsidP="00C56375">
      <w:pPr>
        <w:rPr>
          <w:rStyle w:val="HideTWBExt"/>
          <w:rFonts w:eastAsiaTheme="majorEastAsia"/>
        </w:rPr>
      </w:pPr>
      <w:r w:rsidRPr="00EA4A56">
        <w:rPr>
          <w:rStyle w:val="HideTWBExt"/>
        </w:rPr>
        <w:t>&lt;/Amend&gt;</w:t>
      </w:r>
    </w:p>
    <w:p w:rsidR="00AF0131" w:rsidRPr="00EA4A56" w:rsidRDefault="006F2CA5" w:rsidP="00AF0131">
      <w:pPr>
        <w:pStyle w:val="AmNumberTabs"/>
      </w:pPr>
      <w:r w:rsidRPr="00EA4A56">
        <w:rPr>
          <w:rStyle w:val="HideTWBExt"/>
          <w:b w:val="0"/>
        </w:rPr>
        <w:t>&lt;Amend&gt;</w:t>
      </w:r>
      <w:r w:rsidRPr="00EA4A56">
        <w:t>Enmienda</w:t>
      </w:r>
      <w:r w:rsidRPr="00EA4A56">
        <w:tab/>
      </w:r>
      <w:r w:rsidRPr="00EA4A56">
        <w:tab/>
      </w:r>
      <w:r w:rsidRPr="00EA4A56">
        <w:rPr>
          <w:rStyle w:val="HideTWBExt"/>
          <w:b w:val="0"/>
        </w:rPr>
        <w:t>&lt;NumAm&gt;</w:t>
      </w:r>
      <w:r w:rsidRPr="00EA4A56">
        <w:t>4</w:t>
      </w:r>
      <w:r w:rsidRPr="00EA4A56">
        <w:rPr>
          <w:rStyle w:val="HideTWBExt"/>
          <w:b w:val="0"/>
        </w:rPr>
        <w:t>&lt;/NumAm&gt;</w:t>
      </w:r>
    </w:p>
    <w:p w:rsidR="00AF0131" w:rsidRPr="00EA4A56" w:rsidRDefault="00AF0131" w:rsidP="00AF0131"/>
    <w:p w:rsidR="00AF0131" w:rsidRPr="00EA4A56" w:rsidRDefault="006F2CA5" w:rsidP="00AF0131">
      <w:pPr>
        <w:pStyle w:val="NormalBold"/>
        <w:keepNext/>
      </w:pPr>
      <w:r w:rsidRPr="00EA4A56">
        <w:rPr>
          <w:rStyle w:val="HideTWBExt"/>
          <w:b w:val="0"/>
        </w:rPr>
        <w:t>&lt;DocAmend&gt;</w:t>
      </w:r>
      <w:r w:rsidRPr="00EA4A56">
        <w:t>Propuesta de Reglamento</w:t>
      </w:r>
      <w:r w:rsidRPr="00EA4A56">
        <w:rPr>
          <w:rStyle w:val="HideTWBExt"/>
          <w:b w:val="0"/>
        </w:rPr>
        <w:t>&lt;/DocAmend&gt;</w:t>
      </w:r>
    </w:p>
    <w:p w:rsidR="00AF0131" w:rsidRPr="00EA4A56" w:rsidRDefault="006F2CA5" w:rsidP="00AF0131">
      <w:pPr>
        <w:pStyle w:val="NormalBold"/>
      </w:pPr>
      <w:r w:rsidRPr="00EA4A56">
        <w:rPr>
          <w:rStyle w:val="HideTWBExt"/>
          <w:b w:val="0"/>
        </w:rPr>
        <w:t>&lt;Article&gt;</w:t>
      </w:r>
      <w:r w:rsidRPr="00EA4A56">
        <w:t>Considerando 7 bis (nuevo)</w:t>
      </w:r>
      <w:r w:rsidRPr="00EA4A5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20E9E" w:rsidRPr="00EA4A56" w:rsidTr="00C33FBD">
        <w:trPr>
          <w:jc w:val="center"/>
        </w:trPr>
        <w:tc>
          <w:tcPr>
            <w:tcW w:w="9752" w:type="dxa"/>
            <w:gridSpan w:val="2"/>
          </w:tcPr>
          <w:p w:rsidR="00AF0131" w:rsidRPr="00EA4A56" w:rsidRDefault="00AF0131" w:rsidP="00C33FBD">
            <w:pPr>
              <w:keepNext/>
            </w:pPr>
          </w:p>
        </w:tc>
      </w:tr>
      <w:tr w:rsidR="00820E9E" w:rsidRPr="00EA4A56" w:rsidTr="00C33FBD">
        <w:trPr>
          <w:jc w:val="center"/>
        </w:trPr>
        <w:tc>
          <w:tcPr>
            <w:tcW w:w="4876" w:type="dxa"/>
            <w:hideMark/>
          </w:tcPr>
          <w:p w:rsidR="00AF0131" w:rsidRPr="00EA4A56" w:rsidRDefault="006F2CA5" w:rsidP="00C33FBD">
            <w:pPr>
              <w:pStyle w:val="ColumnHeading"/>
              <w:keepNext/>
              <w:rPr>
                <w:lang w:val="es-ES_tradnl"/>
              </w:rPr>
            </w:pPr>
            <w:r w:rsidRPr="00EA4A56">
              <w:rPr>
                <w:lang w:val="es-ES_tradnl"/>
              </w:rPr>
              <w:t>Texto de la Comisión</w:t>
            </w:r>
          </w:p>
        </w:tc>
        <w:tc>
          <w:tcPr>
            <w:tcW w:w="4876" w:type="dxa"/>
            <w:hideMark/>
          </w:tcPr>
          <w:p w:rsidR="00AF0131" w:rsidRPr="00EA4A56" w:rsidRDefault="006F2CA5" w:rsidP="00C33FBD">
            <w:pPr>
              <w:pStyle w:val="ColumnHeading"/>
              <w:keepNext/>
              <w:rPr>
                <w:lang w:val="es-ES_tradnl"/>
              </w:rPr>
            </w:pPr>
            <w:r w:rsidRPr="00EA4A56">
              <w:rPr>
                <w:lang w:val="es-ES_tradnl"/>
              </w:rPr>
              <w:t>Enmienda</w:t>
            </w:r>
          </w:p>
        </w:tc>
      </w:tr>
      <w:tr w:rsidR="00820E9E" w:rsidRPr="00EA4A56" w:rsidTr="00C33FBD">
        <w:trPr>
          <w:jc w:val="center"/>
        </w:trPr>
        <w:tc>
          <w:tcPr>
            <w:tcW w:w="4876" w:type="dxa"/>
          </w:tcPr>
          <w:p w:rsidR="00AF0131" w:rsidRPr="00EA4A56" w:rsidRDefault="00AF0131" w:rsidP="00C33FBD">
            <w:pPr>
              <w:pStyle w:val="Normal6"/>
              <w:rPr>
                <w:lang w:val="es-ES_tradnl"/>
              </w:rPr>
            </w:pPr>
          </w:p>
        </w:tc>
        <w:tc>
          <w:tcPr>
            <w:tcW w:w="4876" w:type="dxa"/>
            <w:hideMark/>
          </w:tcPr>
          <w:p w:rsidR="00AF0131" w:rsidRPr="00EA4A56" w:rsidRDefault="006F2CA5" w:rsidP="00C33FBD">
            <w:pPr>
              <w:pStyle w:val="Normal6"/>
              <w:rPr>
                <w:szCs w:val="24"/>
                <w:lang w:val="es-ES_tradnl"/>
              </w:rPr>
            </w:pPr>
            <w:r w:rsidRPr="00EA4A56">
              <w:rPr>
                <w:b/>
                <w:i/>
                <w:lang w:val="es-ES_tradnl"/>
              </w:rPr>
              <w:t>(7 bis)</w:t>
            </w:r>
            <w:r w:rsidRPr="00EA4A56">
              <w:rPr>
                <w:b/>
                <w:i/>
                <w:lang w:val="es-ES_tradnl"/>
              </w:rPr>
              <w:tab/>
              <w:t>Con el fin de promover la convergencia social al alza, el procedimiento de supervisión multilateral establecido en el artículo 148, apartado 4, del TFUE se complementa con un sistema de alerta temprana en el marco del Semestre Europeo (m</w:t>
            </w:r>
            <w:r w:rsidRPr="00EA4A56">
              <w:rPr>
                <w:b/>
                <w:i/>
                <w:lang w:val="es-ES_tradnl"/>
              </w:rPr>
              <w:t>arco de convergencia social). En el marco de convergencia social, la Comisión, de conformidad con el artículo 148 del TFUE, identifica en primer lugar los riesgos para la convergencia al alza para los Estados miembros en el informe conjunto sobre el empleo</w:t>
            </w:r>
            <w:r w:rsidRPr="00EA4A56">
              <w:rPr>
                <w:b/>
                <w:i/>
                <w:lang w:val="es-ES_tradnl"/>
              </w:rPr>
              <w:t xml:space="preserve"> basado en los indicadores principales del cuadro de indicadores sociales. En la segunda fase, la Comisión identifica a los Estados miembros que requieren un examen más </w:t>
            </w:r>
            <w:r w:rsidRPr="00EA4A56">
              <w:rPr>
                <w:b/>
                <w:i/>
                <w:lang w:val="es-ES_tradnl"/>
              </w:rPr>
              <w:lastRenderedPageBreak/>
              <w:t>detallado y publica los «informes de convergencia social» para aquellos Estados miembro</w:t>
            </w:r>
            <w:r w:rsidRPr="00EA4A56">
              <w:rPr>
                <w:b/>
                <w:i/>
                <w:lang w:val="es-ES_tradnl"/>
              </w:rPr>
              <w:t>s que se enfrentan a riesgos de cara a la convergencia social al alza. Las conclusiones específicas por país de las actividades de supervisión multilateral del nuevo marco deberían contribuir a la reflexión de la Comisión sobre las propuestas de recomendac</w:t>
            </w:r>
            <w:r w:rsidRPr="00EA4A56">
              <w:rPr>
                <w:b/>
                <w:i/>
                <w:lang w:val="es-ES_tradnl"/>
              </w:rPr>
              <w:t>iones específicas por país.</w:t>
            </w:r>
          </w:p>
        </w:tc>
      </w:tr>
    </w:tbl>
    <w:p w:rsidR="00AF0131" w:rsidRPr="00EA4A56" w:rsidRDefault="006F2CA5" w:rsidP="00C56375">
      <w:pPr>
        <w:rPr>
          <w:rStyle w:val="HideTWBExt"/>
          <w:rFonts w:ascii="Times New Roman" w:hAnsi="Times New Roman" w:cs="Times New Roman"/>
          <w:noProof w:val="0"/>
          <w:vanish w:val="0"/>
          <w:color w:val="auto"/>
          <w:sz w:val="24"/>
        </w:rPr>
      </w:pPr>
      <w:r w:rsidRPr="00EA4A56">
        <w:rPr>
          <w:rStyle w:val="HideTWBExt"/>
        </w:rPr>
        <w:lastRenderedPageBreak/>
        <w:t>&lt;/Amend&gt;</w:t>
      </w:r>
    </w:p>
    <w:p w:rsidR="00AF0131" w:rsidRPr="00EA4A56" w:rsidRDefault="006F2CA5" w:rsidP="00AF0131">
      <w:pPr>
        <w:pStyle w:val="AmNumberTabs"/>
      </w:pPr>
      <w:r w:rsidRPr="00EA4A56">
        <w:rPr>
          <w:rStyle w:val="HideTWBExt"/>
          <w:b w:val="0"/>
        </w:rPr>
        <w:t>&lt;Amend&gt;</w:t>
      </w:r>
      <w:r w:rsidRPr="00EA4A56">
        <w:t>Enmienda</w:t>
      </w:r>
      <w:r w:rsidRPr="00EA4A56">
        <w:tab/>
      </w:r>
      <w:r w:rsidRPr="00EA4A56">
        <w:tab/>
      </w:r>
      <w:r w:rsidRPr="00EA4A56">
        <w:rPr>
          <w:rStyle w:val="HideTWBExt"/>
          <w:b w:val="0"/>
        </w:rPr>
        <w:t>&lt;NumAm&gt;</w:t>
      </w:r>
      <w:r w:rsidRPr="00EA4A56">
        <w:t>5</w:t>
      </w:r>
      <w:r w:rsidRPr="00EA4A56">
        <w:rPr>
          <w:rStyle w:val="HideTWBExt"/>
          <w:b w:val="0"/>
        </w:rPr>
        <w:t>&lt;/NumAm&gt;</w:t>
      </w:r>
    </w:p>
    <w:p w:rsidR="00AF0131" w:rsidRPr="00EA4A56" w:rsidRDefault="00AF0131" w:rsidP="00AF0131"/>
    <w:p w:rsidR="00AF0131" w:rsidRPr="00EA4A56" w:rsidRDefault="006F2CA5" w:rsidP="00AF0131">
      <w:pPr>
        <w:pStyle w:val="NormalBold"/>
        <w:keepNext/>
      </w:pPr>
      <w:r w:rsidRPr="00EA4A56">
        <w:rPr>
          <w:rStyle w:val="HideTWBExt"/>
          <w:b w:val="0"/>
        </w:rPr>
        <w:t>&lt;DocAmend&gt;</w:t>
      </w:r>
      <w:r w:rsidRPr="00EA4A56">
        <w:t>Propuesta de Reglamento</w:t>
      </w:r>
      <w:r w:rsidRPr="00EA4A56">
        <w:rPr>
          <w:rStyle w:val="HideTWBExt"/>
          <w:b w:val="0"/>
        </w:rPr>
        <w:t>&lt;/DocAmend&gt;</w:t>
      </w:r>
    </w:p>
    <w:p w:rsidR="00AF0131" w:rsidRPr="00EA4A56" w:rsidRDefault="006F2CA5" w:rsidP="00AF0131">
      <w:pPr>
        <w:pStyle w:val="NormalBold"/>
      </w:pPr>
      <w:r w:rsidRPr="00EA4A56">
        <w:rPr>
          <w:rStyle w:val="HideTWBExt"/>
          <w:b w:val="0"/>
        </w:rPr>
        <w:t>&lt;Article&gt;</w:t>
      </w:r>
      <w:r w:rsidRPr="00EA4A56">
        <w:t>Considerando 8</w:t>
      </w:r>
      <w:r w:rsidRPr="00EA4A5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20E9E" w:rsidRPr="00EA4A56" w:rsidTr="00C33FBD">
        <w:trPr>
          <w:jc w:val="center"/>
        </w:trPr>
        <w:tc>
          <w:tcPr>
            <w:tcW w:w="9752" w:type="dxa"/>
            <w:gridSpan w:val="2"/>
          </w:tcPr>
          <w:p w:rsidR="00AF0131" w:rsidRPr="00EA4A56" w:rsidRDefault="00AF0131" w:rsidP="00C33FBD">
            <w:pPr>
              <w:keepNext/>
            </w:pPr>
          </w:p>
        </w:tc>
      </w:tr>
      <w:tr w:rsidR="00820E9E" w:rsidRPr="00EA4A56" w:rsidTr="00C33FBD">
        <w:trPr>
          <w:jc w:val="center"/>
        </w:trPr>
        <w:tc>
          <w:tcPr>
            <w:tcW w:w="4876" w:type="dxa"/>
            <w:hideMark/>
          </w:tcPr>
          <w:p w:rsidR="00AF0131" w:rsidRPr="00EA4A56" w:rsidRDefault="006F2CA5" w:rsidP="00C33FBD">
            <w:pPr>
              <w:pStyle w:val="ColumnHeading"/>
              <w:keepNext/>
              <w:rPr>
                <w:lang w:val="es-ES_tradnl"/>
              </w:rPr>
            </w:pPr>
            <w:r w:rsidRPr="00EA4A56">
              <w:rPr>
                <w:lang w:val="es-ES_tradnl"/>
              </w:rPr>
              <w:t>Texto de la Comisión</w:t>
            </w:r>
          </w:p>
        </w:tc>
        <w:tc>
          <w:tcPr>
            <w:tcW w:w="4876" w:type="dxa"/>
            <w:hideMark/>
          </w:tcPr>
          <w:p w:rsidR="00AF0131" w:rsidRPr="00EA4A56" w:rsidRDefault="006F2CA5" w:rsidP="00C33FBD">
            <w:pPr>
              <w:pStyle w:val="ColumnHeading"/>
              <w:keepNext/>
              <w:rPr>
                <w:lang w:val="es-ES_tradnl"/>
              </w:rPr>
            </w:pPr>
            <w:r w:rsidRPr="00EA4A56">
              <w:rPr>
                <w:lang w:val="es-ES_tradnl"/>
              </w:rPr>
              <w:t>Enmienda</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lang w:val="es-ES_tradnl"/>
              </w:rPr>
              <w:t>(8)</w:t>
            </w:r>
            <w:r w:rsidRPr="00EA4A56">
              <w:rPr>
                <w:lang w:val="es-ES_tradnl"/>
              </w:rPr>
              <w:tab/>
              <w:t xml:space="preserve">Por consiguiente, deben establecerse normas detalladas sobre el </w:t>
            </w:r>
            <w:r w:rsidRPr="00EA4A56">
              <w:rPr>
                <w:lang w:val="es-ES_tradnl"/>
              </w:rPr>
              <w:t>contenido, la presentación, la evaluación y el seguimiento de los planes estructurales nacionales de política fiscal a medio plazo, con el fin de promover la sostenibilidad de la deuda y un crecimiento sostenible e integrador en los Estados miembros y evit</w:t>
            </w:r>
            <w:r w:rsidRPr="00EA4A56">
              <w:rPr>
                <w:lang w:val="es-ES_tradnl"/>
              </w:rPr>
              <w:t>ar que se produzcan déficits públicos excesivos a través de una planificación a medio plazo.</w:t>
            </w:r>
          </w:p>
        </w:tc>
        <w:tc>
          <w:tcPr>
            <w:tcW w:w="4876" w:type="dxa"/>
            <w:hideMark/>
          </w:tcPr>
          <w:p w:rsidR="00AF0131" w:rsidRPr="00EA4A56" w:rsidRDefault="006F2CA5" w:rsidP="00C33FBD">
            <w:pPr>
              <w:pStyle w:val="Normal6"/>
              <w:rPr>
                <w:szCs w:val="24"/>
                <w:lang w:val="es-ES_tradnl"/>
              </w:rPr>
            </w:pPr>
            <w:r w:rsidRPr="00EA4A56">
              <w:rPr>
                <w:lang w:val="es-ES_tradnl"/>
              </w:rPr>
              <w:t>(8)</w:t>
            </w:r>
            <w:r w:rsidRPr="00EA4A56">
              <w:rPr>
                <w:lang w:val="es-ES_tradnl"/>
              </w:rPr>
              <w:tab/>
              <w:t>Por consiguiente, deben establecerse normas detalladas sobre el contenido, la presentación, la evaluación y el seguimiento de los planes estructurales nacional</w:t>
            </w:r>
            <w:r w:rsidRPr="00EA4A56">
              <w:rPr>
                <w:lang w:val="es-ES_tradnl"/>
              </w:rPr>
              <w:t xml:space="preserve">es de política fiscal a medio plazo, con el fin de promover la sostenibilidad de la deuda, un crecimiento sostenible e integrador </w:t>
            </w:r>
            <w:r w:rsidRPr="00EA4A56">
              <w:rPr>
                <w:b/>
                <w:bCs/>
                <w:i/>
                <w:iCs/>
                <w:lang w:val="es-ES_tradnl"/>
              </w:rPr>
              <w:t>y la convergencia social al alza</w:t>
            </w:r>
            <w:r w:rsidRPr="00EA4A56">
              <w:rPr>
                <w:lang w:val="es-ES_tradnl"/>
              </w:rPr>
              <w:t xml:space="preserve"> en los Estados miembros y evitar que se produzcan déficits públicos excesivos a través de una</w:t>
            </w:r>
            <w:r w:rsidRPr="00EA4A56">
              <w:rPr>
                <w:lang w:val="es-ES_tradnl"/>
              </w:rPr>
              <w:t xml:space="preserve"> planificación a medio plazo.</w:t>
            </w:r>
          </w:p>
        </w:tc>
      </w:tr>
    </w:tbl>
    <w:p w:rsidR="00AF0131" w:rsidRPr="00EA4A56" w:rsidRDefault="006F2CA5" w:rsidP="00C56375">
      <w:pPr>
        <w:rPr>
          <w:rStyle w:val="HideTWBExt"/>
          <w:rFonts w:ascii="Times New Roman" w:hAnsi="Times New Roman" w:cs="Times New Roman"/>
          <w:noProof w:val="0"/>
          <w:vanish w:val="0"/>
          <w:color w:val="auto"/>
          <w:sz w:val="24"/>
        </w:rPr>
      </w:pPr>
      <w:r w:rsidRPr="00EA4A56">
        <w:rPr>
          <w:rStyle w:val="HideTWBExt"/>
        </w:rPr>
        <w:t>&lt;/Amend&gt;</w:t>
      </w:r>
    </w:p>
    <w:p w:rsidR="00AF0131" w:rsidRPr="00EA4A56" w:rsidRDefault="006F2CA5" w:rsidP="00AF0131">
      <w:pPr>
        <w:pStyle w:val="AmNumberTabs"/>
      </w:pPr>
      <w:r w:rsidRPr="00EA4A56">
        <w:rPr>
          <w:rStyle w:val="HideTWBExt"/>
          <w:b w:val="0"/>
        </w:rPr>
        <w:t>&lt;Amend&gt;</w:t>
      </w:r>
      <w:r w:rsidRPr="00EA4A56">
        <w:t>Enmienda</w:t>
      </w:r>
      <w:r w:rsidRPr="00EA4A56">
        <w:tab/>
      </w:r>
      <w:r w:rsidRPr="00EA4A56">
        <w:tab/>
      </w:r>
      <w:r w:rsidRPr="00EA4A56">
        <w:rPr>
          <w:rStyle w:val="HideTWBExt"/>
          <w:b w:val="0"/>
        </w:rPr>
        <w:t>&lt;NumAm&gt;</w:t>
      </w:r>
      <w:r w:rsidRPr="00EA4A56">
        <w:t>6</w:t>
      </w:r>
      <w:r w:rsidRPr="00EA4A56">
        <w:rPr>
          <w:rStyle w:val="HideTWBExt"/>
          <w:b w:val="0"/>
        </w:rPr>
        <w:t>&lt;/NumAm&gt;</w:t>
      </w:r>
    </w:p>
    <w:p w:rsidR="00AF0131" w:rsidRPr="00EA4A56" w:rsidRDefault="00AF0131" w:rsidP="00AF0131"/>
    <w:p w:rsidR="00AF0131" w:rsidRPr="00EA4A56" w:rsidRDefault="006F2CA5" w:rsidP="00AF0131">
      <w:pPr>
        <w:pStyle w:val="NormalBold"/>
        <w:keepNext/>
      </w:pPr>
      <w:r w:rsidRPr="00EA4A56">
        <w:rPr>
          <w:rStyle w:val="HideTWBExt"/>
          <w:b w:val="0"/>
        </w:rPr>
        <w:t>&lt;DocAmend&gt;</w:t>
      </w:r>
      <w:r w:rsidRPr="00EA4A56">
        <w:t>Propuesta de Reglamento</w:t>
      </w:r>
      <w:r w:rsidRPr="00EA4A56">
        <w:rPr>
          <w:rStyle w:val="HideTWBExt"/>
          <w:b w:val="0"/>
        </w:rPr>
        <w:t>&lt;/DocAmend&gt;</w:t>
      </w:r>
    </w:p>
    <w:p w:rsidR="00AF0131" w:rsidRPr="00EA4A56" w:rsidRDefault="006F2CA5" w:rsidP="00AF0131">
      <w:pPr>
        <w:pStyle w:val="NormalBold"/>
      </w:pPr>
      <w:r w:rsidRPr="00EA4A56">
        <w:rPr>
          <w:rStyle w:val="HideTWBExt"/>
          <w:b w:val="0"/>
        </w:rPr>
        <w:t>&lt;Article&gt;</w:t>
      </w:r>
      <w:r w:rsidRPr="00EA4A56">
        <w:t>Considerando 9</w:t>
      </w:r>
      <w:r w:rsidRPr="00EA4A56">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820E9E" w:rsidRPr="00EA4A56" w:rsidTr="00C33FBD">
        <w:trPr>
          <w:jc w:val="center"/>
        </w:trPr>
        <w:tc>
          <w:tcPr>
            <w:tcW w:w="9752" w:type="dxa"/>
            <w:gridSpan w:val="2"/>
          </w:tcPr>
          <w:p w:rsidR="00AF0131" w:rsidRPr="00EA4A56" w:rsidRDefault="00AF0131" w:rsidP="00C33FBD">
            <w:pPr>
              <w:keepNext/>
            </w:pPr>
          </w:p>
        </w:tc>
      </w:tr>
      <w:tr w:rsidR="00820E9E" w:rsidRPr="00EA4A56" w:rsidTr="00C33FBD">
        <w:trPr>
          <w:jc w:val="center"/>
        </w:trPr>
        <w:tc>
          <w:tcPr>
            <w:tcW w:w="4876" w:type="dxa"/>
            <w:hideMark/>
          </w:tcPr>
          <w:p w:rsidR="00AF0131" w:rsidRPr="00EA4A56" w:rsidRDefault="006F2CA5" w:rsidP="00C33FBD">
            <w:pPr>
              <w:pStyle w:val="ColumnHeading"/>
              <w:keepNext/>
              <w:rPr>
                <w:lang w:val="es-ES_tradnl"/>
              </w:rPr>
            </w:pPr>
            <w:r w:rsidRPr="00EA4A56">
              <w:rPr>
                <w:lang w:val="es-ES_tradnl"/>
              </w:rPr>
              <w:t>Texto de la Comisión</w:t>
            </w:r>
          </w:p>
        </w:tc>
        <w:tc>
          <w:tcPr>
            <w:tcW w:w="4876" w:type="dxa"/>
            <w:hideMark/>
          </w:tcPr>
          <w:p w:rsidR="00AF0131" w:rsidRPr="00EA4A56" w:rsidRDefault="006F2CA5" w:rsidP="00C33FBD">
            <w:pPr>
              <w:pStyle w:val="ColumnHeading"/>
              <w:keepNext/>
              <w:rPr>
                <w:lang w:val="es-ES_tradnl"/>
              </w:rPr>
            </w:pPr>
            <w:r w:rsidRPr="00EA4A56">
              <w:rPr>
                <w:lang w:val="es-ES_tradnl"/>
              </w:rPr>
              <w:t>Enmienda</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lang w:val="es-ES_tradnl"/>
              </w:rPr>
              <w:t>(9)</w:t>
            </w:r>
            <w:r w:rsidRPr="00EA4A56">
              <w:rPr>
                <w:lang w:val="es-ES_tradnl"/>
              </w:rPr>
              <w:tab/>
              <w:t xml:space="preserve">Los planes estructurales nacionales de política fiscal a medio </w:t>
            </w:r>
            <w:r w:rsidRPr="00EA4A56">
              <w:rPr>
                <w:lang w:val="es-ES_tradnl"/>
              </w:rPr>
              <w:t>plazo deben reunir los compromisos presupuestarios, de reformas estructurales y de inversión de cada Estado miembro y han ser la piedra angular del marco de gobernanza económica de la Unión. Cada Estado miembro debe presentar un plan a medio plazo que esta</w:t>
            </w:r>
            <w:r w:rsidRPr="00EA4A56">
              <w:rPr>
                <w:lang w:val="es-ES_tradnl"/>
              </w:rPr>
              <w:t xml:space="preserve">blezca su trayectoria </w:t>
            </w:r>
            <w:r w:rsidRPr="00EA4A56">
              <w:rPr>
                <w:lang w:val="es-ES_tradnl"/>
              </w:rPr>
              <w:lastRenderedPageBreak/>
              <w:t>presupuestaria, así como compromisos prioritarios de inversión pública y reforma que, juntos, garanticen una reducción sostenida y gradual de la deuda y un crecimiento sostenible e integrador, evitando una política presupuestaria proc</w:t>
            </w:r>
            <w:r w:rsidRPr="00EA4A56">
              <w:rPr>
                <w:lang w:val="es-ES_tradnl"/>
              </w:rPr>
              <w:t>íclica, así como compromisos de reforma e inversión más amplios, también en relación con las transiciones ecológica y digital, la resiliencia social y económica y la aplicación del pilar europeo de derechos sociales. Durante el período de vigencia del Meca</w:t>
            </w:r>
            <w:r w:rsidRPr="00EA4A56">
              <w:rPr>
                <w:lang w:val="es-ES_tradnl"/>
              </w:rPr>
              <w:t>nismo de Recuperación y Resiliencia</w:t>
            </w:r>
            <w:r w:rsidRPr="00EA4A56">
              <w:rPr>
                <w:vertAlign w:val="superscript"/>
                <w:lang w:val="es-ES_tradnl"/>
              </w:rPr>
              <w:t>25</w:t>
            </w:r>
            <w:r w:rsidRPr="00EA4A56">
              <w:rPr>
                <w:lang w:val="es-ES_tradnl"/>
              </w:rPr>
              <w:t>, deben tenerse debidamente en cuenta los compromisos contraídos en los planes nacionales de recuperación y resiliencia.</w:t>
            </w:r>
          </w:p>
        </w:tc>
        <w:tc>
          <w:tcPr>
            <w:tcW w:w="4876" w:type="dxa"/>
            <w:hideMark/>
          </w:tcPr>
          <w:p w:rsidR="00AF0131" w:rsidRPr="00EA4A56" w:rsidRDefault="006F2CA5" w:rsidP="00C33FBD">
            <w:pPr>
              <w:pStyle w:val="Normal6"/>
              <w:rPr>
                <w:szCs w:val="24"/>
                <w:lang w:val="es-ES_tradnl"/>
              </w:rPr>
            </w:pPr>
            <w:r w:rsidRPr="00EA4A56">
              <w:rPr>
                <w:lang w:val="es-ES_tradnl"/>
              </w:rPr>
              <w:lastRenderedPageBreak/>
              <w:t>(9)</w:t>
            </w:r>
            <w:r w:rsidRPr="00EA4A56">
              <w:rPr>
                <w:lang w:val="es-ES_tradnl"/>
              </w:rPr>
              <w:tab/>
              <w:t xml:space="preserve">Los planes estructurales nacionales de política fiscal a medio plazo deben reunir los </w:t>
            </w:r>
            <w:r w:rsidRPr="00EA4A56">
              <w:rPr>
                <w:lang w:val="es-ES_tradnl"/>
              </w:rPr>
              <w:t>compromisos presupuestarios, de reformas estructurales y de inversión de cada Estado miembro y han ser la piedra angular del marco de gobernanza económica</w:t>
            </w:r>
            <w:r w:rsidRPr="00EA4A56">
              <w:rPr>
                <w:b/>
                <w:bCs/>
                <w:i/>
                <w:iCs/>
                <w:lang w:val="es-ES_tradnl"/>
              </w:rPr>
              <w:t xml:space="preserve"> y social</w:t>
            </w:r>
            <w:r w:rsidRPr="00EA4A56">
              <w:rPr>
                <w:lang w:val="es-ES_tradnl"/>
              </w:rPr>
              <w:t xml:space="preserve"> de la Unión. Cada Estado miembro debe presentar un plan a medio plazo que establezca su tray</w:t>
            </w:r>
            <w:r w:rsidRPr="00EA4A56">
              <w:rPr>
                <w:lang w:val="es-ES_tradnl"/>
              </w:rPr>
              <w:t xml:space="preserve">ectoria </w:t>
            </w:r>
            <w:r w:rsidRPr="00EA4A56">
              <w:rPr>
                <w:lang w:val="es-ES_tradnl"/>
              </w:rPr>
              <w:lastRenderedPageBreak/>
              <w:t>presupuestaria, así como compromisos prioritarios de inversión pública y reforma que, juntos, garanticen una reducción sostenida y gradual de la deuda y un crecimiento sostenible e integrador, evitando una política presupuestaria procíclica, así co</w:t>
            </w:r>
            <w:r w:rsidRPr="00EA4A56">
              <w:rPr>
                <w:lang w:val="es-ES_tradnl"/>
              </w:rPr>
              <w:t>mo compromisos de reforma e inversión más amplios, también en relación con las transiciones ecológica y digital, la resiliencia social y económica y la aplicación del pilar europeo de derechos sociales</w:t>
            </w:r>
            <w:r w:rsidRPr="00EA4A56">
              <w:rPr>
                <w:b/>
                <w:bCs/>
                <w:i/>
                <w:iCs/>
                <w:lang w:val="es-ES_tradnl"/>
              </w:rPr>
              <w:t>, incluidos los objetivos conexos en materia de empleo,</w:t>
            </w:r>
            <w:r w:rsidRPr="00EA4A56">
              <w:rPr>
                <w:b/>
                <w:bCs/>
                <w:i/>
                <w:iCs/>
                <w:lang w:val="es-ES_tradnl"/>
              </w:rPr>
              <w:t xml:space="preserve"> capacidades y reducción de la pobreza de aquí a 2030 </w:t>
            </w:r>
            <w:r w:rsidRPr="00EA4A56">
              <w:rPr>
                <w:b/>
                <w:bCs/>
                <w:i/>
                <w:iCs/>
                <w:vertAlign w:val="superscript"/>
                <w:lang w:val="es-ES_tradnl"/>
              </w:rPr>
              <w:t>25 bis</w:t>
            </w:r>
            <w:r w:rsidRPr="00EA4A56">
              <w:rPr>
                <w:lang w:val="es-ES_tradnl"/>
              </w:rPr>
              <w:t>. Durante el período de vigencia del Mecanismo de Recuperación y Resiliencia</w:t>
            </w:r>
            <w:r w:rsidRPr="00EA4A56">
              <w:rPr>
                <w:vertAlign w:val="superscript"/>
                <w:lang w:val="es-ES_tradnl"/>
              </w:rPr>
              <w:t>25</w:t>
            </w:r>
            <w:r w:rsidRPr="00EA4A56">
              <w:rPr>
                <w:lang w:val="es-ES_tradnl"/>
              </w:rPr>
              <w:t>, deben tenerse debidamente en cuenta los compromisos contraídos en los planes nacionales de recuperación y resilienci</w:t>
            </w:r>
            <w:r w:rsidRPr="00EA4A56">
              <w:rPr>
                <w:lang w:val="es-ES_tradnl"/>
              </w:rPr>
              <w:t>a.</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lang w:val="es-ES_tradnl"/>
              </w:rPr>
              <w:lastRenderedPageBreak/>
              <w:t>__________________</w:t>
            </w:r>
          </w:p>
        </w:tc>
        <w:tc>
          <w:tcPr>
            <w:tcW w:w="4876" w:type="dxa"/>
            <w:hideMark/>
          </w:tcPr>
          <w:p w:rsidR="00AF0131" w:rsidRPr="00EA4A56" w:rsidRDefault="006F2CA5" w:rsidP="00C33FBD">
            <w:pPr>
              <w:pStyle w:val="Normal6"/>
              <w:rPr>
                <w:szCs w:val="24"/>
                <w:lang w:val="es-ES_tradnl"/>
              </w:rPr>
            </w:pPr>
            <w:r w:rsidRPr="00EA4A56">
              <w:rPr>
                <w:lang w:val="es-ES_tradnl"/>
              </w:rPr>
              <w:t>__________________</w:t>
            </w:r>
          </w:p>
        </w:tc>
      </w:tr>
      <w:tr w:rsidR="00820E9E" w:rsidRPr="00EA4A56" w:rsidTr="00C33FBD">
        <w:trPr>
          <w:jc w:val="center"/>
        </w:trPr>
        <w:tc>
          <w:tcPr>
            <w:tcW w:w="4876" w:type="dxa"/>
          </w:tcPr>
          <w:p w:rsidR="00AF0131" w:rsidRPr="00EA4A56" w:rsidRDefault="00AF0131" w:rsidP="00C33FBD">
            <w:pPr>
              <w:pStyle w:val="Normal6"/>
              <w:rPr>
                <w:vertAlign w:val="superscript"/>
                <w:lang w:val="es-ES_tradnl"/>
              </w:rPr>
            </w:pPr>
          </w:p>
        </w:tc>
        <w:tc>
          <w:tcPr>
            <w:tcW w:w="4876" w:type="dxa"/>
          </w:tcPr>
          <w:p w:rsidR="00AF0131" w:rsidRPr="00EA4A56" w:rsidRDefault="006F2CA5" w:rsidP="00C33FBD">
            <w:pPr>
              <w:pStyle w:val="Normal6"/>
              <w:rPr>
                <w:vertAlign w:val="superscript"/>
                <w:lang w:val="es-ES_tradnl"/>
              </w:rPr>
            </w:pPr>
            <w:r w:rsidRPr="00EA4A56">
              <w:rPr>
                <w:b/>
                <w:bCs/>
                <w:i/>
                <w:iCs/>
                <w:vertAlign w:val="superscript"/>
                <w:lang w:val="es-ES_tradnl"/>
              </w:rPr>
              <w:t>25 bis</w:t>
            </w:r>
            <w:r w:rsidRPr="00EA4A56">
              <w:rPr>
                <w:b/>
                <w:bCs/>
                <w:i/>
                <w:iCs/>
                <w:lang w:val="es-ES_tradnl"/>
              </w:rPr>
              <w:t xml:space="preserve"> Comunicación de la Comisión al Parlamento Europeo, al Consejo, al Comité Económico y Social Europeo y al Comité de las Regiones, de 4 de marzo de 2021, titulada «Plan de Acción del Pilar Europeo de Derecho</w:t>
            </w:r>
            <w:r w:rsidRPr="00EA4A56">
              <w:rPr>
                <w:b/>
                <w:bCs/>
                <w:i/>
                <w:iCs/>
                <w:lang w:val="es-ES_tradnl"/>
              </w:rPr>
              <w:t>s Sociales» (COM(2021)0102).</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vertAlign w:val="superscript"/>
                <w:lang w:val="es-ES_tradnl"/>
              </w:rPr>
              <w:t>25</w:t>
            </w:r>
            <w:r w:rsidRPr="00EA4A56">
              <w:rPr>
                <w:lang w:val="es-ES_tradnl"/>
              </w:rPr>
              <w:t xml:space="preserve"> Reglamento (UE) 2021/241 del Parlamento Europeo y del Consejo, de 12 de febrero de 2021, por el que se establece el Mecanismo de Recuperación y Resiliencia (DO L 57 de 18.2.2021, p. 17).</w:t>
            </w:r>
          </w:p>
        </w:tc>
        <w:tc>
          <w:tcPr>
            <w:tcW w:w="4876" w:type="dxa"/>
            <w:hideMark/>
          </w:tcPr>
          <w:p w:rsidR="00AF0131" w:rsidRPr="00EA4A56" w:rsidRDefault="006F2CA5" w:rsidP="00C33FBD">
            <w:pPr>
              <w:pStyle w:val="Normal6"/>
              <w:rPr>
                <w:szCs w:val="24"/>
                <w:lang w:val="es-ES_tradnl"/>
              </w:rPr>
            </w:pPr>
            <w:r w:rsidRPr="00EA4A56">
              <w:rPr>
                <w:vertAlign w:val="superscript"/>
                <w:lang w:val="es-ES_tradnl"/>
              </w:rPr>
              <w:t>25</w:t>
            </w:r>
            <w:r w:rsidRPr="00EA4A56">
              <w:rPr>
                <w:lang w:val="es-ES_tradnl"/>
              </w:rPr>
              <w:t xml:space="preserve"> Reglamento (UE) 2021/241 del Parl</w:t>
            </w:r>
            <w:r w:rsidRPr="00EA4A56">
              <w:rPr>
                <w:lang w:val="es-ES_tradnl"/>
              </w:rPr>
              <w:t>amento Europeo y del Consejo, de 12 de febrero de 2021, por el que se establece el Mecanismo de Recuperación y Resiliencia (DO L 57 de 18.2.2021, p. 17).</w:t>
            </w:r>
          </w:p>
        </w:tc>
      </w:tr>
    </w:tbl>
    <w:p w:rsidR="002D23D0" w:rsidRPr="00EA4A56" w:rsidRDefault="006F2CA5" w:rsidP="00C56375">
      <w:pPr>
        <w:rPr>
          <w:rFonts w:eastAsiaTheme="majorEastAsia"/>
        </w:rPr>
      </w:pPr>
      <w:r w:rsidRPr="00EA4A56">
        <w:rPr>
          <w:rStyle w:val="HideTWBExt"/>
        </w:rPr>
        <w:t>&lt;/Amend&gt;</w:t>
      </w:r>
    </w:p>
    <w:p w:rsidR="00AF0131" w:rsidRPr="00EA4A56" w:rsidRDefault="006F2CA5" w:rsidP="002D23D0">
      <w:pPr>
        <w:pStyle w:val="AmNumberTabs"/>
      </w:pPr>
      <w:r w:rsidRPr="00EA4A56">
        <w:rPr>
          <w:rStyle w:val="HideTWBExt"/>
        </w:rPr>
        <w:t>&lt;Amend&gt;</w:t>
      </w:r>
      <w:r w:rsidRPr="00EA4A56">
        <w:t>Enmienda</w:t>
      </w:r>
      <w:r w:rsidRPr="00EA4A56">
        <w:tab/>
      </w:r>
      <w:r w:rsidRPr="00EA4A56">
        <w:tab/>
      </w:r>
      <w:r w:rsidRPr="00EA4A56">
        <w:rPr>
          <w:rStyle w:val="HideTWBExt"/>
          <w:b w:val="0"/>
        </w:rPr>
        <w:t>&lt;NumAm&gt;</w:t>
      </w:r>
      <w:r w:rsidRPr="00EA4A56">
        <w:t>7</w:t>
      </w:r>
      <w:r w:rsidRPr="00EA4A56">
        <w:rPr>
          <w:rStyle w:val="HideTWBExt"/>
          <w:b w:val="0"/>
        </w:rPr>
        <w:t>&lt;/NumAm&gt;</w:t>
      </w:r>
    </w:p>
    <w:p w:rsidR="00AF0131" w:rsidRPr="00EA4A56" w:rsidRDefault="00AF0131" w:rsidP="00AF0131"/>
    <w:p w:rsidR="00AF0131" w:rsidRPr="00EA4A56" w:rsidRDefault="006F2CA5" w:rsidP="00AF0131">
      <w:pPr>
        <w:pStyle w:val="NormalBold"/>
        <w:keepNext/>
      </w:pPr>
      <w:r w:rsidRPr="00EA4A56">
        <w:rPr>
          <w:rStyle w:val="HideTWBExt"/>
          <w:b w:val="0"/>
        </w:rPr>
        <w:t>&lt;DocAmend&gt;</w:t>
      </w:r>
      <w:r w:rsidRPr="00EA4A56">
        <w:t>Propuesta de Reglamento</w:t>
      </w:r>
      <w:r w:rsidRPr="00EA4A56">
        <w:rPr>
          <w:rStyle w:val="HideTWBExt"/>
          <w:b w:val="0"/>
        </w:rPr>
        <w:t>&lt;/DocAmend&gt;</w:t>
      </w:r>
    </w:p>
    <w:p w:rsidR="00AF0131" w:rsidRPr="00EA4A56" w:rsidRDefault="006F2CA5" w:rsidP="00AF0131">
      <w:pPr>
        <w:pStyle w:val="NormalBold"/>
      </w:pPr>
      <w:r w:rsidRPr="00EA4A56">
        <w:rPr>
          <w:rStyle w:val="HideTWBExt"/>
          <w:b w:val="0"/>
        </w:rPr>
        <w:t>&lt;Article&gt;</w:t>
      </w:r>
      <w:r w:rsidRPr="00EA4A56">
        <w:t>Considerando 10</w:t>
      </w:r>
      <w:r w:rsidRPr="00EA4A5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20E9E" w:rsidRPr="00EA4A56" w:rsidTr="00C33FBD">
        <w:trPr>
          <w:jc w:val="center"/>
        </w:trPr>
        <w:tc>
          <w:tcPr>
            <w:tcW w:w="9752" w:type="dxa"/>
            <w:gridSpan w:val="2"/>
          </w:tcPr>
          <w:p w:rsidR="00AF0131" w:rsidRPr="00EA4A56" w:rsidRDefault="00AF0131" w:rsidP="00C33FBD">
            <w:pPr>
              <w:keepNext/>
            </w:pPr>
          </w:p>
        </w:tc>
      </w:tr>
      <w:tr w:rsidR="00820E9E" w:rsidRPr="00EA4A56" w:rsidTr="00C33FBD">
        <w:trPr>
          <w:jc w:val="center"/>
        </w:trPr>
        <w:tc>
          <w:tcPr>
            <w:tcW w:w="4876" w:type="dxa"/>
            <w:hideMark/>
          </w:tcPr>
          <w:p w:rsidR="00AF0131" w:rsidRPr="00EA4A56" w:rsidRDefault="006F2CA5" w:rsidP="00C33FBD">
            <w:pPr>
              <w:pStyle w:val="ColumnHeading"/>
              <w:keepNext/>
              <w:rPr>
                <w:lang w:val="es-ES_tradnl"/>
              </w:rPr>
            </w:pPr>
            <w:r w:rsidRPr="00EA4A56">
              <w:rPr>
                <w:lang w:val="es-ES_tradnl"/>
              </w:rPr>
              <w:t>Texto de la Comisión</w:t>
            </w:r>
          </w:p>
        </w:tc>
        <w:tc>
          <w:tcPr>
            <w:tcW w:w="4876" w:type="dxa"/>
            <w:hideMark/>
          </w:tcPr>
          <w:p w:rsidR="00AF0131" w:rsidRPr="00EA4A56" w:rsidRDefault="006F2CA5" w:rsidP="00C33FBD">
            <w:pPr>
              <w:pStyle w:val="ColumnHeading"/>
              <w:keepNext/>
              <w:rPr>
                <w:lang w:val="es-ES_tradnl"/>
              </w:rPr>
            </w:pPr>
            <w:r w:rsidRPr="00EA4A56">
              <w:rPr>
                <w:lang w:val="es-ES_tradnl"/>
              </w:rPr>
              <w:t>Enmienda</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lang w:val="es-ES_tradnl"/>
              </w:rPr>
              <w:t>(10)</w:t>
            </w:r>
            <w:r w:rsidRPr="00EA4A56">
              <w:rPr>
                <w:lang w:val="es-ES_tradnl"/>
              </w:rPr>
              <w:tab/>
              <w:t xml:space="preserve">Los fondos de la política de cohesión también están sincronizados con el proceso del Semestre Europeo. Dado que conforman la política de inversión a largo </w:t>
            </w:r>
            <w:r w:rsidRPr="00EA4A56">
              <w:rPr>
                <w:lang w:val="es-ES_tradnl"/>
              </w:rPr>
              <w:lastRenderedPageBreak/>
              <w:t>plazo del presupuesto de la UE, las i</w:t>
            </w:r>
            <w:r w:rsidRPr="00EA4A56">
              <w:rPr>
                <w:lang w:val="es-ES_tradnl"/>
              </w:rPr>
              <w:t>nversiones y reformas en el marco de la política de cohesión también deben tenerse debidamente en cuenta en la elaboración de los planes estructurales nacionales de política fiscal a medio plazo. Cada Estado miembro también debe explicar cómo garantizará s</w:t>
            </w:r>
            <w:r w:rsidRPr="00EA4A56">
              <w:rPr>
                <w:lang w:val="es-ES_tradnl"/>
              </w:rPr>
              <w:t>u plan estructural nacional de política fiscal a medio plazo la coherencia con los gastos relativos a los programas de la UE plenamente compensados con los ingresos procedentes de los fondos de la UE y la cofinanciación nacional pertinente.</w:t>
            </w:r>
          </w:p>
        </w:tc>
        <w:tc>
          <w:tcPr>
            <w:tcW w:w="4876" w:type="dxa"/>
            <w:hideMark/>
          </w:tcPr>
          <w:p w:rsidR="00AF0131" w:rsidRPr="00EA4A56" w:rsidRDefault="006F2CA5" w:rsidP="00C33FBD">
            <w:pPr>
              <w:pStyle w:val="Normal6"/>
              <w:rPr>
                <w:szCs w:val="24"/>
                <w:lang w:val="es-ES_tradnl"/>
              </w:rPr>
            </w:pPr>
            <w:r w:rsidRPr="00EA4A56">
              <w:rPr>
                <w:lang w:val="es-ES_tradnl"/>
              </w:rPr>
              <w:lastRenderedPageBreak/>
              <w:t>(10)</w:t>
            </w:r>
            <w:r w:rsidRPr="00EA4A56">
              <w:rPr>
                <w:lang w:val="es-ES_tradnl"/>
              </w:rPr>
              <w:tab/>
              <w:t>Los fondos</w:t>
            </w:r>
            <w:r w:rsidRPr="00EA4A56">
              <w:rPr>
                <w:lang w:val="es-ES_tradnl"/>
              </w:rPr>
              <w:t xml:space="preserve"> de la política de cohesión también están sincronizados con el proceso del Semestre Europeo. Dado que conforman la política de inversión a largo </w:t>
            </w:r>
            <w:r w:rsidRPr="00EA4A56">
              <w:rPr>
                <w:lang w:val="es-ES_tradnl"/>
              </w:rPr>
              <w:lastRenderedPageBreak/>
              <w:t xml:space="preserve">plazo del presupuesto de la UE, </w:t>
            </w:r>
            <w:r w:rsidRPr="00EA4A56">
              <w:rPr>
                <w:b/>
                <w:bCs/>
                <w:i/>
                <w:iCs/>
                <w:lang w:val="es-ES_tradnl"/>
              </w:rPr>
              <w:t>al reforzar la cohesión económica, social y territorial,</w:t>
            </w:r>
            <w:r w:rsidRPr="00EA4A56">
              <w:rPr>
                <w:lang w:val="es-ES_tradnl"/>
              </w:rPr>
              <w:t xml:space="preserve"> las inversiones y refo</w:t>
            </w:r>
            <w:r w:rsidRPr="00EA4A56">
              <w:rPr>
                <w:lang w:val="es-ES_tradnl"/>
              </w:rPr>
              <w:t>rmas en el marco de la política de cohesión también deben tenerse debidamente en cuenta en la elaboración de los planes estructurales nacionales de política fiscal a medio plazo. Cada Estado miembro también debe explicar cómo garantizará su plan estructura</w:t>
            </w:r>
            <w:r w:rsidRPr="00EA4A56">
              <w:rPr>
                <w:lang w:val="es-ES_tradnl"/>
              </w:rPr>
              <w:t>l nacional de política fiscal a medio plazo la coherencia con los gastos relativos a los programas de la UE plenamente compensados con los ingresos procedentes de los fondos de la UE y la cofinanciación nacional pertinente.</w:t>
            </w:r>
          </w:p>
        </w:tc>
      </w:tr>
    </w:tbl>
    <w:p w:rsidR="00AF0131" w:rsidRPr="00EA4A56" w:rsidRDefault="006F2CA5" w:rsidP="00C56375">
      <w:r w:rsidRPr="00EA4A56">
        <w:rPr>
          <w:rStyle w:val="HideTWBExt"/>
        </w:rPr>
        <w:lastRenderedPageBreak/>
        <w:t>&lt;/Amend&gt;</w:t>
      </w:r>
    </w:p>
    <w:p w:rsidR="00AF0131" w:rsidRPr="00EA4A56" w:rsidRDefault="006F2CA5" w:rsidP="00AF0131">
      <w:pPr>
        <w:pStyle w:val="AmNumberTabs"/>
      </w:pPr>
      <w:r w:rsidRPr="00EA4A56">
        <w:rPr>
          <w:rStyle w:val="HideTWBExt"/>
          <w:b w:val="0"/>
        </w:rPr>
        <w:t>&lt;Amend&gt;</w:t>
      </w:r>
      <w:r w:rsidRPr="00EA4A56">
        <w:t>Enmienda</w:t>
      </w:r>
      <w:r w:rsidRPr="00EA4A56">
        <w:tab/>
      </w:r>
      <w:r w:rsidRPr="00EA4A56">
        <w:tab/>
      </w:r>
      <w:r w:rsidRPr="00EA4A56">
        <w:rPr>
          <w:rStyle w:val="HideTWBExt"/>
          <w:b w:val="0"/>
        </w:rPr>
        <w:t>&lt;NumAm&gt;</w:t>
      </w:r>
      <w:r w:rsidRPr="00EA4A56">
        <w:t>8</w:t>
      </w:r>
      <w:r w:rsidRPr="00EA4A56">
        <w:rPr>
          <w:rStyle w:val="HideTWBExt"/>
          <w:b w:val="0"/>
        </w:rPr>
        <w:t>&lt;/NumAm&gt;</w:t>
      </w:r>
    </w:p>
    <w:p w:rsidR="00AF0131" w:rsidRPr="00EA4A56" w:rsidRDefault="00AF0131" w:rsidP="00AF0131">
      <w:pPr>
        <w:rPr>
          <w:b/>
        </w:rPr>
      </w:pPr>
    </w:p>
    <w:p w:rsidR="00AF0131" w:rsidRPr="00EA4A56" w:rsidRDefault="006F2CA5" w:rsidP="00AF0131">
      <w:pPr>
        <w:pStyle w:val="NormalBold"/>
        <w:keepNext/>
      </w:pPr>
      <w:r w:rsidRPr="00EA4A56">
        <w:rPr>
          <w:rStyle w:val="HideTWBExt"/>
          <w:b w:val="0"/>
        </w:rPr>
        <w:t>&lt;DocAmend&gt;</w:t>
      </w:r>
      <w:r w:rsidRPr="00EA4A56">
        <w:t>Propuesta de Reglamento</w:t>
      </w:r>
      <w:r w:rsidRPr="00EA4A56">
        <w:rPr>
          <w:rStyle w:val="HideTWBExt"/>
          <w:b w:val="0"/>
        </w:rPr>
        <w:t>&lt;/DocAmend&gt;</w:t>
      </w:r>
    </w:p>
    <w:p w:rsidR="00AF0131" w:rsidRPr="00EA4A56" w:rsidRDefault="006F2CA5" w:rsidP="00AF0131">
      <w:pPr>
        <w:pStyle w:val="NormalBold"/>
      </w:pPr>
      <w:r w:rsidRPr="00EA4A56">
        <w:rPr>
          <w:rStyle w:val="HideTWBExt"/>
          <w:b w:val="0"/>
        </w:rPr>
        <w:t>&lt;Article&gt;</w:t>
      </w:r>
      <w:r w:rsidRPr="00EA4A56">
        <w:t>Considerando 13</w:t>
      </w:r>
      <w:r w:rsidRPr="00EA4A5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20E9E" w:rsidRPr="00EA4A56" w:rsidTr="00C33FBD">
        <w:trPr>
          <w:jc w:val="center"/>
        </w:trPr>
        <w:tc>
          <w:tcPr>
            <w:tcW w:w="9752" w:type="dxa"/>
            <w:gridSpan w:val="2"/>
          </w:tcPr>
          <w:p w:rsidR="00AF0131" w:rsidRPr="00EA4A56" w:rsidRDefault="00AF0131" w:rsidP="00C33FBD">
            <w:pPr>
              <w:keepNext/>
            </w:pPr>
          </w:p>
        </w:tc>
      </w:tr>
      <w:tr w:rsidR="00820E9E" w:rsidRPr="00EA4A56" w:rsidTr="00C33FBD">
        <w:trPr>
          <w:jc w:val="center"/>
        </w:trPr>
        <w:tc>
          <w:tcPr>
            <w:tcW w:w="4876" w:type="dxa"/>
            <w:hideMark/>
          </w:tcPr>
          <w:p w:rsidR="00AF0131" w:rsidRPr="00EA4A56" w:rsidRDefault="006F2CA5" w:rsidP="00C33FBD">
            <w:pPr>
              <w:pStyle w:val="ColumnHeading"/>
              <w:keepNext/>
              <w:rPr>
                <w:lang w:val="es-ES_tradnl"/>
              </w:rPr>
            </w:pPr>
            <w:r w:rsidRPr="00EA4A56">
              <w:rPr>
                <w:lang w:val="es-ES_tradnl"/>
              </w:rPr>
              <w:t>Texto de la Comisión</w:t>
            </w:r>
          </w:p>
        </w:tc>
        <w:tc>
          <w:tcPr>
            <w:tcW w:w="4876" w:type="dxa"/>
            <w:hideMark/>
          </w:tcPr>
          <w:p w:rsidR="00AF0131" w:rsidRPr="00EA4A56" w:rsidRDefault="006F2CA5" w:rsidP="00C33FBD">
            <w:pPr>
              <w:pStyle w:val="ColumnHeading"/>
              <w:keepNext/>
              <w:rPr>
                <w:lang w:val="es-ES_tradnl"/>
              </w:rPr>
            </w:pPr>
            <w:r w:rsidRPr="00EA4A56">
              <w:rPr>
                <w:lang w:val="es-ES_tradnl"/>
              </w:rPr>
              <w:t>Enmienda</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lang w:val="es-ES_tradnl"/>
              </w:rPr>
              <w:t>(13)</w:t>
            </w:r>
            <w:r w:rsidRPr="00EA4A56">
              <w:rPr>
                <w:lang w:val="es-ES_tradnl"/>
              </w:rPr>
              <w:tab/>
              <w:t>A fin de orientar a los Estados miembros en la elaboración de su plan estructural de política fiscal a medio plazo, la C</w:t>
            </w:r>
            <w:r w:rsidRPr="00EA4A56">
              <w:rPr>
                <w:lang w:val="es-ES_tradnl"/>
              </w:rPr>
              <w:t>omisión debe presentar una trayectoria técnica basada en un ajuste presupuestario mínimo que sitúe la trayectoria de la deuda del Estado miembro en una senda creíble y decreciente o mantenga la deuda en un nivel prudente. También debe garantizar que la rat</w:t>
            </w:r>
            <w:r w:rsidRPr="00EA4A56">
              <w:rPr>
                <w:lang w:val="es-ES_tradnl"/>
              </w:rPr>
              <w:t xml:space="preserve">io de deuda pública al final del horizonte de planificación disminuya situándose por debajo de su nivel del año anterior al inicio de la trayectoria técnica. </w:t>
            </w:r>
            <w:r w:rsidRPr="00EA4A56">
              <w:rPr>
                <w:b/>
                <w:i/>
                <w:lang w:val="es-ES_tradnl"/>
              </w:rPr>
              <w:t>La sostenibilidad de esta reducción de la deuda debe ser el resultado de políticas presupuestarias</w:t>
            </w:r>
            <w:r w:rsidRPr="00EA4A56">
              <w:rPr>
                <w:b/>
                <w:i/>
                <w:lang w:val="es-ES_tradnl"/>
              </w:rPr>
              <w:t xml:space="preserve"> adecuadas.</w:t>
            </w:r>
          </w:p>
        </w:tc>
        <w:tc>
          <w:tcPr>
            <w:tcW w:w="4876" w:type="dxa"/>
            <w:hideMark/>
          </w:tcPr>
          <w:p w:rsidR="00AF0131" w:rsidRPr="00EA4A56" w:rsidRDefault="006F2CA5" w:rsidP="00C33FBD">
            <w:pPr>
              <w:pStyle w:val="Normal6"/>
              <w:rPr>
                <w:szCs w:val="24"/>
                <w:lang w:val="es-ES_tradnl"/>
              </w:rPr>
            </w:pPr>
            <w:r w:rsidRPr="00EA4A56">
              <w:rPr>
                <w:lang w:val="es-ES_tradnl"/>
              </w:rPr>
              <w:t>(13)</w:t>
            </w:r>
            <w:r w:rsidRPr="00EA4A56">
              <w:rPr>
                <w:lang w:val="es-ES_tradnl"/>
              </w:rPr>
              <w:tab/>
              <w:t>A fin de orientar a los Estados miembros en la elaboración de su plan estructural de política fiscal a medio plazo, la Comisión debe presentar una trayectoria técnica basada en un ajuste presupuestario mínimo que sitúe la trayectoria de la</w:t>
            </w:r>
            <w:r w:rsidRPr="00EA4A56">
              <w:rPr>
                <w:lang w:val="es-ES_tradnl"/>
              </w:rPr>
              <w:t xml:space="preserve"> deuda del Estado miembro en una senda creíble y decreciente o mantenga la deuda en un nivel prudente</w:t>
            </w:r>
            <w:r w:rsidRPr="00EA4A56">
              <w:rPr>
                <w:b/>
                <w:bCs/>
                <w:i/>
                <w:iCs/>
                <w:lang w:val="es-ES_tradnl"/>
              </w:rPr>
              <w:t>, teniendo también en cuenta las necesidades específicas que se precisan para lograr las prioridades comunes de la Unión</w:t>
            </w:r>
            <w:r w:rsidRPr="00EA4A56">
              <w:rPr>
                <w:lang w:val="es-ES_tradnl"/>
              </w:rPr>
              <w:t>. También debe garantizar que la ra</w:t>
            </w:r>
            <w:r w:rsidRPr="00EA4A56">
              <w:rPr>
                <w:lang w:val="es-ES_tradnl"/>
              </w:rPr>
              <w:t>tio de deuda pública al final del horizonte de planificación disminuya situándose por debajo de su nivel del año anterior al inicio de la trayectoria técnica.</w:t>
            </w:r>
          </w:p>
        </w:tc>
      </w:tr>
    </w:tbl>
    <w:p w:rsidR="00AF0131" w:rsidRPr="00EA4A56" w:rsidRDefault="006F2CA5" w:rsidP="00C56375">
      <w:pPr>
        <w:rPr>
          <w:rStyle w:val="HideTWBExt"/>
          <w:rFonts w:ascii="Times New Roman" w:hAnsi="Times New Roman" w:cs="Times New Roman"/>
          <w:noProof w:val="0"/>
          <w:vanish w:val="0"/>
          <w:color w:val="auto"/>
          <w:sz w:val="24"/>
        </w:rPr>
      </w:pPr>
      <w:r w:rsidRPr="00EA4A56">
        <w:rPr>
          <w:rStyle w:val="HideTWBExt"/>
        </w:rPr>
        <w:t>&lt;/Amend&gt;</w:t>
      </w:r>
    </w:p>
    <w:p w:rsidR="00AF0131" w:rsidRPr="00EA4A56" w:rsidRDefault="006F2CA5" w:rsidP="00C56375">
      <w:pPr>
        <w:pStyle w:val="AmNumberTabs"/>
      </w:pPr>
      <w:r w:rsidRPr="00EA4A56">
        <w:rPr>
          <w:rStyle w:val="HideTWBExt"/>
          <w:b w:val="0"/>
        </w:rPr>
        <w:t>&lt;Amend&gt;</w:t>
      </w:r>
      <w:r w:rsidRPr="00EA4A56">
        <w:t>Enmienda</w:t>
      </w:r>
      <w:r w:rsidRPr="00EA4A56">
        <w:tab/>
      </w:r>
      <w:r w:rsidRPr="00EA4A56">
        <w:tab/>
      </w:r>
      <w:r w:rsidRPr="00EA4A56">
        <w:rPr>
          <w:rStyle w:val="HideTWBExt"/>
          <w:b w:val="0"/>
        </w:rPr>
        <w:t>&lt;NumAm&gt;</w:t>
      </w:r>
      <w:r w:rsidRPr="00EA4A56">
        <w:t>9</w:t>
      </w:r>
      <w:r w:rsidRPr="00EA4A56">
        <w:rPr>
          <w:rStyle w:val="HideTWBExt"/>
          <w:b w:val="0"/>
        </w:rPr>
        <w:t>&lt;/NumAm&gt;</w:t>
      </w:r>
    </w:p>
    <w:p w:rsidR="00AF0131" w:rsidRPr="00EA4A56" w:rsidRDefault="00AF0131" w:rsidP="00AF0131"/>
    <w:p w:rsidR="00AF0131" w:rsidRPr="00EA4A56" w:rsidRDefault="006F2CA5" w:rsidP="00AF0131">
      <w:pPr>
        <w:pStyle w:val="NormalBold"/>
        <w:keepNext/>
      </w:pPr>
      <w:r w:rsidRPr="00EA4A56">
        <w:rPr>
          <w:rStyle w:val="HideTWBExt"/>
          <w:b w:val="0"/>
        </w:rPr>
        <w:t>&lt;DocAmend&gt;</w:t>
      </w:r>
      <w:r w:rsidRPr="00EA4A56">
        <w:t>Propuesta de Reglamento</w:t>
      </w:r>
      <w:r w:rsidRPr="00EA4A56">
        <w:rPr>
          <w:rStyle w:val="HideTWBExt"/>
          <w:b w:val="0"/>
        </w:rPr>
        <w:t>&lt;/DocAmend&gt;</w:t>
      </w:r>
    </w:p>
    <w:p w:rsidR="00AF0131" w:rsidRPr="00EA4A56" w:rsidRDefault="006F2CA5" w:rsidP="00AF0131">
      <w:pPr>
        <w:pStyle w:val="NormalBold"/>
      </w:pPr>
      <w:r w:rsidRPr="00EA4A56">
        <w:rPr>
          <w:rStyle w:val="HideTWBExt"/>
          <w:b w:val="0"/>
        </w:rPr>
        <w:t>&lt;Articl</w:t>
      </w:r>
      <w:r w:rsidRPr="00EA4A56">
        <w:rPr>
          <w:rStyle w:val="HideTWBExt"/>
          <w:b w:val="0"/>
        </w:rPr>
        <w:t>e&gt;</w:t>
      </w:r>
      <w:r w:rsidRPr="00EA4A56">
        <w:t>Considerando 22</w:t>
      </w:r>
      <w:r w:rsidRPr="00EA4A5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20E9E" w:rsidRPr="00EA4A56" w:rsidTr="00C33FBD">
        <w:trPr>
          <w:jc w:val="center"/>
        </w:trPr>
        <w:tc>
          <w:tcPr>
            <w:tcW w:w="9752" w:type="dxa"/>
            <w:gridSpan w:val="2"/>
          </w:tcPr>
          <w:p w:rsidR="00AF0131" w:rsidRPr="00EA4A56" w:rsidRDefault="00AF0131" w:rsidP="00C33FBD">
            <w:pPr>
              <w:keepNext/>
            </w:pPr>
          </w:p>
        </w:tc>
      </w:tr>
      <w:tr w:rsidR="00820E9E" w:rsidRPr="00EA4A56" w:rsidTr="00C33FBD">
        <w:trPr>
          <w:jc w:val="center"/>
        </w:trPr>
        <w:tc>
          <w:tcPr>
            <w:tcW w:w="4876" w:type="dxa"/>
            <w:hideMark/>
          </w:tcPr>
          <w:p w:rsidR="00AF0131" w:rsidRPr="00EA4A56" w:rsidRDefault="006F2CA5" w:rsidP="00C33FBD">
            <w:pPr>
              <w:pStyle w:val="ColumnHeading"/>
              <w:keepNext/>
              <w:rPr>
                <w:lang w:val="es-ES_tradnl"/>
              </w:rPr>
            </w:pPr>
            <w:r w:rsidRPr="00EA4A56">
              <w:rPr>
                <w:lang w:val="es-ES_tradnl"/>
              </w:rPr>
              <w:t>Texto de la Comisión</w:t>
            </w:r>
          </w:p>
        </w:tc>
        <w:tc>
          <w:tcPr>
            <w:tcW w:w="4876" w:type="dxa"/>
            <w:hideMark/>
          </w:tcPr>
          <w:p w:rsidR="00AF0131" w:rsidRPr="00EA4A56" w:rsidRDefault="006F2CA5" w:rsidP="00C33FBD">
            <w:pPr>
              <w:pStyle w:val="ColumnHeading"/>
              <w:keepNext/>
              <w:rPr>
                <w:lang w:val="es-ES_tradnl"/>
              </w:rPr>
            </w:pPr>
            <w:r w:rsidRPr="00EA4A56">
              <w:rPr>
                <w:lang w:val="es-ES_tradnl"/>
              </w:rPr>
              <w:t>Enmienda</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lang w:val="es-ES_tradnl"/>
              </w:rPr>
              <w:t>(22)</w:t>
            </w:r>
            <w:r w:rsidRPr="00EA4A56">
              <w:rPr>
                <w:lang w:val="es-ES_tradnl"/>
              </w:rPr>
              <w:tab/>
              <w:t>Para garantizar una reducción más gradual de la deuda, el período de ajuste puede ampliarse por un máximo de tres años si el Estado miembro apuntala su plan estructural de políticas fiscales</w:t>
            </w:r>
            <w:r w:rsidRPr="00EA4A56">
              <w:rPr>
                <w:lang w:val="es-ES_tradnl"/>
              </w:rPr>
              <w:t xml:space="preserve"> a medio plazo con un conjunto de reformas e inversiones verificables y con plazos definidos que, consideradas en su conjunto, </w:t>
            </w:r>
            <w:r w:rsidRPr="00EA4A56">
              <w:rPr>
                <w:b/>
                <w:bCs/>
                <w:i/>
                <w:iCs/>
                <w:lang w:val="es-ES_tradnl"/>
              </w:rPr>
              <w:t>fomenten el crecimiento,</w:t>
            </w:r>
            <w:r w:rsidRPr="00EA4A56">
              <w:rPr>
                <w:lang w:val="es-ES_tradnl"/>
              </w:rPr>
              <w:t xml:space="preserve"> apoyen la sostenibilidad presupuestaria, aborden las prioridades comunes de la Unión, den seguimiento a </w:t>
            </w:r>
            <w:r w:rsidRPr="00EA4A56">
              <w:rPr>
                <w:lang w:val="es-ES_tradnl"/>
              </w:rPr>
              <w:t>las recomendaciones específicas de cada país pertinentes dirigidas al Estado miembro en el marco del Semestre Europeo y aborden las prioridades de inversión específicas de cada país sin dar lugar a recortes en otras inversiones públicas financiadas a nivel</w:t>
            </w:r>
            <w:r w:rsidRPr="00EA4A56">
              <w:rPr>
                <w:lang w:val="es-ES_tradnl"/>
              </w:rPr>
              <w:t xml:space="preserve"> nacional durante el período de ajuste, a fin de garantizar el impacto macroeconómico de las inversiones y evitar el efecto de expulsión de otras prioridades de inversión.</w:t>
            </w:r>
          </w:p>
        </w:tc>
        <w:tc>
          <w:tcPr>
            <w:tcW w:w="4876" w:type="dxa"/>
            <w:hideMark/>
          </w:tcPr>
          <w:p w:rsidR="00AF0131" w:rsidRPr="00EA4A56" w:rsidRDefault="006F2CA5" w:rsidP="00C33FBD">
            <w:pPr>
              <w:pStyle w:val="Normal6"/>
              <w:rPr>
                <w:szCs w:val="24"/>
                <w:lang w:val="es-ES_tradnl"/>
              </w:rPr>
            </w:pPr>
            <w:r w:rsidRPr="00EA4A56">
              <w:rPr>
                <w:lang w:val="es-ES_tradnl"/>
              </w:rPr>
              <w:t>(22)</w:t>
            </w:r>
            <w:r w:rsidRPr="00EA4A56">
              <w:rPr>
                <w:lang w:val="es-ES_tradnl"/>
              </w:rPr>
              <w:tab/>
              <w:t>Para garantizar una reducción más gradual de la deuda, el período de ajuste pue</w:t>
            </w:r>
            <w:r w:rsidRPr="00EA4A56">
              <w:rPr>
                <w:lang w:val="es-ES_tradnl"/>
              </w:rPr>
              <w:t>de ampliarse por un máximo de tres años si el Estado miembro apuntala su plan estructural de políticas fiscales a medio plazo con un conjunto de reformas e inversiones verificables y con plazos definidos que, consideradas en su conjunto, fomenten el crecim</w:t>
            </w:r>
            <w:r w:rsidRPr="00EA4A56">
              <w:rPr>
                <w:lang w:val="es-ES_tradnl"/>
              </w:rPr>
              <w:t xml:space="preserve">iento </w:t>
            </w:r>
            <w:r w:rsidRPr="00EA4A56">
              <w:rPr>
                <w:b/>
                <w:bCs/>
                <w:i/>
                <w:iCs/>
                <w:lang w:val="es-ES_tradnl"/>
              </w:rPr>
              <w:t>sostenible e integrador,</w:t>
            </w:r>
            <w:r w:rsidRPr="00EA4A56">
              <w:rPr>
                <w:lang w:val="es-ES_tradnl"/>
              </w:rPr>
              <w:t xml:space="preserve"> </w:t>
            </w:r>
            <w:r w:rsidRPr="00EA4A56">
              <w:rPr>
                <w:b/>
                <w:bCs/>
                <w:i/>
                <w:iCs/>
                <w:lang w:val="es-ES_tradnl"/>
              </w:rPr>
              <w:t>promuevan la convergencia social al alza</w:t>
            </w:r>
            <w:r w:rsidRPr="00EA4A56">
              <w:rPr>
                <w:lang w:val="es-ES_tradnl"/>
              </w:rPr>
              <w:t>, apoyen la sostenibilidad presupuestaria, aborden las prioridades comunes de la Unión, den seguimiento a las recomendaciones específicas de cada país pertinentes dirigidas al Estado mi</w:t>
            </w:r>
            <w:r w:rsidRPr="00EA4A56">
              <w:rPr>
                <w:lang w:val="es-ES_tradnl"/>
              </w:rPr>
              <w:t xml:space="preserve">embro en el marco del Semestre Europeo y aborden las prioridades de inversión específicas de cada país sin dar lugar a recortes en otras inversiones públicas financiadas a nivel nacional </w:t>
            </w:r>
            <w:r w:rsidRPr="00EA4A56">
              <w:rPr>
                <w:b/>
                <w:bCs/>
                <w:i/>
                <w:iCs/>
                <w:lang w:val="es-ES_tradnl"/>
              </w:rPr>
              <w:t>—incluidas las inversiones sociales—</w:t>
            </w:r>
            <w:r w:rsidRPr="00EA4A56">
              <w:rPr>
                <w:lang w:val="es-ES_tradnl"/>
              </w:rPr>
              <w:t xml:space="preserve"> durante el período de ajuste, a </w:t>
            </w:r>
            <w:r w:rsidRPr="00EA4A56">
              <w:rPr>
                <w:lang w:val="es-ES_tradnl"/>
              </w:rPr>
              <w:t>fin de garantizar el impacto macroeconómico de las inversiones y evitar el efecto de expulsión de otras prioridades de inversión.</w:t>
            </w:r>
          </w:p>
        </w:tc>
      </w:tr>
    </w:tbl>
    <w:p w:rsidR="00AF0131" w:rsidRPr="00EA4A56" w:rsidRDefault="006F2CA5" w:rsidP="00C56375">
      <w:pPr>
        <w:rPr>
          <w:rStyle w:val="HideTWBExt"/>
          <w:rFonts w:ascii="Times New Roman" w:hAnsi="Times New Roman" w:cs="Times New Roman"/>
          <w:noProof w:val="0"/>
          <w:vanish w:val="0"/>
          <w:color w:val="auto"/>
          <w:sz w:val="24"/>
        </w:rPr>
      </w:pPr>
      <w:r w:rsidRPr="00EA4A56">
        <w:rPr>
          <w:rStyle w:val="HideTWBExt"/>
        </w:rPr>
        <w:t>&lt;/Amend&gt;</w:t>
      </w:r>
    </w:p>
    <w:p w:rsidR="00AF0131" w:rsidRPr="00EA4A56" w:rsidRDefault="006F2CA5" w:rsidP="00AF0131">
      <w:pPr>
        <w:pStyle w:val="AmNumberTabs"/>
      </w:pPr>
      <w:r w:rsidRPr="00EA4A56">
        <w:rPr>
          <w:rStyle w:val="HideTWBExt"/>
          <w:b w:val="0"/>
        </w:rPr>
        <w:t>&lt;Amend&gt;</w:t>
      </w:r>
      <w:r w:rsidRPr="00EA4A56">
        <w:t>Enmienda</w:t>
      </w:r>
      <w:r w:rsidRPr="00EA4A56">
        <w:tab/>
      </w:r>
      <w:r w:rsidRPr="00EA4A56">
        <w:rPr>
          <w:rStyle w:val="HideTWBExt"/>
          <w:b w:val="0"/>
        </w:rPr>
        <w:t>&lt;NumAm&gt;</w:t>
      </w:r>
      <w:r w:rsidRPr="00EA4A56">
        <w:t>10</w:t>
      </w:r>
      <w:r w:rsidRPr="00EA4A56">
        <w:rPr>
          <w:rStyle w:val="HideTWBExt"/>
          <w:b w:val="0"/>
        </w:rPr>
        <w:t>&lt;/NumAm&gt;</w:t>
      </w:r>
    </w:p>
    <w:p w:rsidR="00AF0131" w:rsidRPr="00EA4A56" w:rsidRDefault="00AF0131" w:rsidP="00AF0131"/>
    <w:p w:rsidR="00AF0131" w:rsidRPr="00EA4A56" w:rsidRDefault="006F2CA5" w:rsidP="00AF0131">
      <w:pPr>
        <w:pStyle w:val="NormalBold"/>
        <w:keepNext/>
      </w:pPr>
      <w:r w:rsidRPr="00EA4A56">
        <w:rPr>
          <w:rStyle w:val="HideTWBExt"/>
          <w:b w:val="0"/>
        </w:rPr>
        <w:t>&lt;DocAmend&gt;</w:t>
      </w:r>
      <w:r w:rsidRPr="00EA4A56">
        <w:t>Propuesta de Reglamento</w:t>
      </w:r>
      <w:r w:rsidRPr="00EA4A56">
        <w:rPr>
          <w:rStyle w:val="HideTWBExt"/>
          <w:b w:val="0"/>
        </w:rPr>
        <w:t>&lt;/DocAmend&gt;</w:t>
      </w:r>
    </w:p>
    <w:p w:rsidR="00AF0131" w:rsidRPr="00EA4A56" w:rsidRDefault="006F2CA5" w:rsidP="00AF0131">
      <w:pPr>
        <w:pStyle w:val="NormalBold"/>
      </w:pPr>
      <w:r w:rsidRPr="00EA4A56">
        <w:rPr>
          <w:rStyle w:val="HideTWBExt"/>
          <w:b w:val="0"/>
        </w:rPr>
        <w:t>&lt;Article&gt;</w:t>
      </w:r>
      <w:r w:rsidRPr="00EA4A56">
        <w:t>Artículo 1 – apartado 1</w:t>
      </w:r>
      <w:r w:rsidRPr="00EA4A5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20E9E" w:rsidRPr="00EA4A56" w:rsidTr="00C33FBD">
        <w:trPr>
          <w:jc w:val="center"/>
        </w:trPr>
        <w:tc>
          <w:tcPr>
            <w:tcW w:w="9752" w:type="dxa"/>
            <w:gridSpan w:val="2"/>
          </w:tcPr>
          <w:p w:rsidR="00AF0131" w:rsidRPr="00EA4A56" w:rsidRDefault="00AF0131" w:rsidP="00C33FBD">
            <w:pPr>
              <w:keepNext/>
            </w:pPr>
          </w:p>
        </w:tc>
      </w:tr>
      <w:tr w:rsidR="00820E9E" w:rsidRPr="00EA4A56" w:rsidTr="00C33FBD">
        <w:trPr>
          <w:jc w:val="center"/>
        </w:trPr>
        <w:tc>
          <w:tcPr>
            <w:tcW w:w="4876" w:type="dxa"/>
            <w:hideMark/>
          </w:tcPr>
          <w:p w:rsidR="00AF0131" w:rsidRPr="00EA4A56" w:rsidRDefault="006F2CA5" w:rsidP="00C33FBD">
            <w:pPr>
              <w:pStyle w:val="ColumnHeading"/>
              <w:keepNext/>
              <w:rPr>
                <w:lang w:val="es-ES_tradnl"/>
              </w:rPr>
            </w:pPr>
            <w:r w:rsidRPr="00EA4A56">
              <w:rPr>
                <w:lang w:val="es-ES_tradnl"/>
              </w:rPr>
              <w:t>Texto de la Comisión</w:t>
            </w:r>
          </w:p>
        </w:tc>
        <w:tc>
          <w:tcPr>
            <w:tcW w:w="4876" w:type="dxa"/>
            <w:hideMark/>
          </w:tcPr>
          <w:p w:rsidR="00AF0131" w:rsidRPr="00EA4A56" w:rsidRDefault="006F2CA5" w:rsidP="00C33FBD">
            <w:pPr>
              <w:pStyle w:val="ColumnHeading"/>
              <w:keepNext/>
              <w:rPr>
                <w:lang w:val="es-ES_tradnl"/>
              </w:rPr>
            </w:pPr>
            <w:r w:rsidRPr="00EA4A56">
              <w:rPr>
                <w:lang w:val="es-ES_tradnl"/>
              </w:rPr>
              <w:t>Enmienda</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lang w:val="es-ES_tradnl"/>
              </w:rPr>
              <w:t xml:space="preserve">El presente Reglamento establece disposiciones que garanticen una coordinación eficaz de las políticas económicas de los Estados miembros, apoyando así la consecución de los objetivos de la Unión en materia de </w:t>
            </w:r>
            <w:r w:rsidRPr="00EA4A56">
              <w:rPr>
                <w:lang w:val="es-ES_tradnl"/>
              </w:rPr>
              <w:t>crecimiento y empleo.</w:t>
            </w:r>
          </w:p>
        </w:tc>
        <w:tc>
          <w:tcPr>
            <w:tcW w:w="4876" w:type="dxa"/>
            <w:hideMark/>
          </w:tcPr>
          <w:p w:rsidR="00AF0131" w:rsidRPr="00EA4A56" w:rsidRDefault="006F2CA5" w:rsidP="00C33FBD">
            <w:pPr>
              <w:pStyle w:val="Normal6"/>
              <w:rPr>
                <w:szCs w:val="24"/>
                <w:lang w:val="es-ES_tradnl"/>
              </w:rPr>
            </w:pPr>
            <w:r w:rsidRPr="00EA4A56">
              <w:rPr>
                <w:lang w:val="es-ES_tradnl"/>
              </w:rPr>
              <w:t xml:space="preserve">El presente Reglamento establece disposiciones que garanticen una coordinación eficaz de las políticas económicas de los Estados miembros, apoyando así la consecución de los objetivos de la Unión en materia de crecimiento </w:t>
            </w:r>
            <w:r w:rsidRPr="00EA4A56">
              <w:rPr>
                <w:b/>
                <w:bCs/>
                <w:i/>
                <w:iCs/>
                <w:lang w:val="es-ES_tradnl"/>
              </w:rPr>
              <w:t>sostenible e</w:t>
            </w:r>
            <w:r w:rsidRPr="00EA4A56">
              <w:rPr>
                <w:b/>
                <w:bCs/>
                <w:i/>
                <w:iCs/>
                <w:lang w:val="es-ES_tradnl"/>
              </w:rPr>
              <w:t xml:space="preserve"> integrador, resiliencia</w:t>
            </w:r>
            <w:r w:rsidRPr="00EA4A56">
              <w:rPr>
                <w:lang w:val="es-ES_tradnl"/>
              </w:rPr>
              <w:t xml:space="preserve"> y empleo</w:t>
            </w:r>
            <w:r w:rsidRPr="00EA4A56">
              <w:rPr>
                <w:b/>
                <w:bCs/>
                <w:i/>
                <w:iCs/>
                <w:lang w:val="es-ES_tradnl"/>
              </w:rPr>
              <w:t xml:space="preserve"> de calidad</w:t>
            </w:r>
            <w:r w:rsidRPr="00EA4A56">
              <w:rPr>
                <w:lang w:val="es-ES_tradnl"/>
              </w:rPr>
              <w:t>.</w:t>
            </w:r>
          </w:p>
        </w:tc>
      </w:tr>
    </w:tbl>
    <w:p w:rsidR="00AF0131" w:rsidRPr="00EA4A56" w:rsidRDefault="006F2CA5" w:rsidP="00AF0131">
      <w:r w:rsidRPr="00EA4A56">
        <w:rPr>
          <w:rStyle w:val="HideTWBExt"/>
        </w:rPr>
        <w:t>&lt;/Amend&gt;</w:t>
      </w:r>
    </w:p>
    <w:p w:rsidR="00AF0131" w:rsidRPr="00EA4A56" w:rsidRDefault="006F2CA5" w:rsidP="00AF0131">
      <w:pPr>
        <w:pStyle w:val="AmNumberTabs"/>
      </w:pPr>
      <w:r w:rsidRPr="00EA4A56">
        <w:rPr>
          <w:rStyle w:val="HideTWBExt"/>
          <w:b w:val="0"/>
        </w:rPr>
        <w:t>&lt;Amend&gt;</w:t>
      </w:r>
      <w:r w:rsidRPr="00EA4A56">
        <w:t>Enmienda</w:t>
      </w:r>
      <w:r w:rsidRPr="00EA4A56">
        <w:tab/>
      </w:r>
      <w:r w:rsidRPr="00EA4A56">
        <w:tab/>
      </w:r>
      <w:r w:rsidRPr="00EA4A56">
        <w:rPr>
          <w:rStyle w:val="HideTWBExt"/>
          <w:b w:val="0"/>
        </w:rPr>
        <w:t>&lt;NumAm&gt;</w:t>
      </w:r>
      <w:r w:rsidRPr="00EA4A56">
        <w:t>11</w:t>
      </w:r>
      <w:r w:rsidRPr="00EA4A56">
        <w:rPr>
          <w:rStyle w:val="HideTWBExt"/>
          <w:b w:val="0"/>
        </w:rPr>
        <w:t>&lt;/NumAm&gt;</w:t>
      </w:r>
    </w:p>
    <w:p w:rsidR="00AF0131" w:rsidRPr="00EA4A56" w:rsidRDefault="00AF0131" w:rsidP="00AF0131"/>
    <w:p w:rsidR="00AF0131" w:rsidRPr="00EA4A56" w:rsidRDefault="006F2CA5" w:rsidP="00AF0131">
      <w:pPr>
        <w:pStyle w:val="NormalBold"/>
        <w:keepNext/>
      </w:pPr>
      <w:r w:rsidRPr="00EA4A56">
        <w:rPr>
          <w:rStyle w:val="HideTWBExt"/>
          <w:b w:val="0"/>
        </w:rPr>
        <w:t>&lt;DocAmend&gt;</w:t>
      </w:r>
      <w:r w:rsidRPr="00EA4A56">
        <w:t>Propuesta de Reglamento</w:t>
      </w:r>
      <w:r w:rsidRPr="00EA4A56">
        <w:rPr>
          <w:rStyle w:val="HideTWBExt"/>
          <w:b w:val="0"/>
        </w:rPr>
        <w:t>&lt;/DocAmend&gt;</w:t>
      </w:r>
    </w:p>
    <w:p w:rsidR="00AF0131" w:rsidRPr="00EA4A56" w:rsidRDefault="006F2CA5" w:rsidP="00AF0131">
      <w:pPr>
        <w:pStyle w:val="NormalBold"/>
      </w:pPr>
      <w:r w:rsidRPr="00EA4A56">
        <w:rPr>
          <w:rStyle w:val="HideTWBExt"/>
          <w:b w:val="0"/>
        </w:rPr>
        <w:t>&lt;Article&gt;</w:t>
      </w:r>
      <w:r w:rsidRPr="00EA4A56">
        <w:t>Artículo 1 – apartado 2</w:t>
      </w:r>
      <w:r w:rsidRPr="00EA4A5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20E9E" w:rsidRPr="00EA4A56" w:rsidTr="00C33FBD">
        <w:trPr>
          <w:jc w:val="center"/>
        </w:trPr>
        <w:tc>
          <w:tcPr>
            <w:tcW w:w="9752" w:type="dxa"/>
            <w:gridSpan w:val="2"/>
          </w:tcPr>
          <w:p w:rsidR="00AF0131" w:rsidRPr="00EA4A56" w:rsidRDefault="00AF0131" w:rsidP="00C33FBD">
            <w:pPr>
              <w:keepNext/>
            </w:pPr>
          </w:p>
        </w:tc>
      </w:tr>
      <w:tr w:rsidR="00820E9E" w:rsidRPr="00EA4A56" w:rsidTr="00C33FBD">
        <w:trPr>
          <w:jc w:val="center"/>
        </w:trPr>
        <w:tc>
          <w:tcPr>
            <w:tcW w:w="4876" w:type="dxa"/>
            <w:hideMark/>
          </w:tcPr>
          <w:p w:rsidR="00AF0131" w:rsidRPr="00EA4A56" w:rsidRDefault="006F2CA5" w:rsidP="00C33FBD">
            <w:pPr>
              <w:pStyle w:val="ColumnHeading"/>
              <w:keepNext/>
              <w:rPr>
                <w:lang w:val="es-ES_tradnl"/>
              </w:rPr>
            </w:pPr>
            <w:r w:rsidRPr="00EA4A56">
              <w:rPr>
                <w:lang w:val="es-ES_tradnl"/>
              </w:rPr>
              <w:t>Texto de la Comisión</w:t>
            </w:r>
          </w:p>
        </w:tc>
        <w:tc>
          <w:tcPr>
            <w:tcW w:w="4876" w:type="dxa"/>
            <w:hideMark/>
          </w:tcPr>
          <w:p w:rsidR="00AF0131" w:rsidRPr="00EA4A56" w:rsidRDefault="006F2CA5" w:rsidP="00C33FBD">
            <w:pPr>
              <w:pStyle w:val="ColumnHeading"/>
              <w:keepNext/>
              <w:rPr>
                <w:lang w:val="es-ES_tradnl"/>
              </w:rPr>
            </w:pPr>
            <w:r w:rsidRPr="00EA4A56">
              <w:rPr>
                <w:lang w:val="es-ES_tradnl"/>
              </w:rPr>
              <w:t>Enmienda</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lang w:val="es-ES_tradnl"/>
              </w:rPr>
              <w:t>Establece normas detalladas sobre el contenido, la presentación, la evaluación y el seguimiento de los planes estructurales nacionales de política fiscal a medio plazo en el marco de la supervisión presupuestaria multilateral por parte del Consejo y la Com</w:t>
            </w:r>
            <w:r w:rsidRPr="00EA4A56">
              <w:rPr>
                <w:lang w:val="es-ES_tradnl"/>
              </w:rPr>
              <w:t xml:space="preserve">isión, con el fin de promover la sostenibilidad de la deuda </w:t>
            </w:r>
            <w:r w:rsidRPr="00EA4A56">
              <w:rPr>
                <w:b/>
                <w:bCs/>
                <w:i/>
                <w:iCs/>
                <w:lang w:val="es-ES_tradnl"/>
              </w:rPr>
              <w:t>y</w:t>
            </w:r>
            <w:r w:rsidRPr="00EA4A56">
              <w:rPr>
                <w:lang w:val="es-ES_tradnl"/>
              </w:rPr>
              <w:t xml:space="preserve"> un crecimiento sostenible e integrador en los Estados miembros y evitar que se produzcan déficits públicos excesivos, mediante una planificación a medio plazo.</w:t>
            </w:r>
          </w:p>
        </w:tc>
        <w:tc>
          <w:tcPr>
            <w:tcW w:w="4876" w:type="dxa"/>
            <w:hideMark/>
          </w:tcPr>
          <w:p w:rsidR="00AF0131" w:rsidRPr="00EA4A56" w:rsidRDefault="006F2CA5" w:rsidP="00C33FBD">
            <w:pPr>
              <w:pStyle w:val="Normal6"/>
              <w:rPr>
                <w:szCs w:val="24"/>
                <w:lang w:val="es-ES_tradnl"/>
              </w:rPr>
            </w:pPr>
            <w:r w:rsidRPr="00EA4A56">
              <w:rPr>
                <w:lang w:val="es-ES_tradnl"/>
              </w:rPr>
              <w:t xml:space="preserve">Establece normas detalladas sobre </w:t>
            </w:r>
            <w:r w:rsidRPr="00EA4A56">
              <w:rPr>
                <w:lang w:val="es-ES_tradnl"/>
              </w:rPr>
              <w:t>el contenido, la presentación, la evaluación y el seguimiento de los planes estructurales nacionales de política fiscal a medio plazo en el marco de la supervisión presupuestaria multilateral por parte del Consejo y la Comisión, con el fin de promover la s</w:t>
            </w:r>
            <w:r w:rsidRPr="00EA4A56">
              <w:rPr>
                <w:lang w:val="es-ES_tradnl"/>
              </w:rPr>
              <w:t>ostenibilidad de la deuda</w:t>
            </w:r>
            <w:r w:rsidRPr="00EA4A56">
              <w:rPr>
                <w:b/>
                <w:bCs/>
                <w:i/>
                <w:iCs/>
                <w:lang w:val="es-ES_tradnl"/>
              </w:rPr>
              <w:t>,</w:t>
            </w:r>
            <w:r w:rsidRPr="00EA4A56">
              <w:rPr>
                <w:lang w:val="es-ES_tradnl"/>
              </w:rPr>
              <w:t xml:space="preserve"> un crecimiento sostenible e integrador</w:t>
            </w:r>
            <w:r w:rsidRPr="00EA4A56">
              <w:rPr>
                <w:b/>
                <w:bCs/>
                <w:i/>
                <w:iCs/>
                <w:lang w:val="es-ES_tradnl"/>
              </w:rPr>
              <w:t xml:space="preserve"> y la convergencia social al alza</w:t>
            </w:r>
            <w:r w:rsidRPr="00EA4A56">
              <w:rPr>
                <w:lang w:val="es-ES_tradnl"/>
              </w:rPr>
              <w:t xml:space="preserve"> en los Estados miembros y evitar que se produzcan déficits públicos excesivos, mediante una planificación a medio plazo</w:t>
            </w:r>
            <w:r w:rsidRPr="00EA4A56">
              <w:rPr>
                <w:b/>
                <w:bCs/>
                <w:i/>
                <w:iCs/>
                <w:lang w:val="es-ES_tradnl"/>
              </w:rPr>
              <w:t>, al tiempo que se garantizan las inve</w:t>
            </w:r>
            <w:r w:rsidRPr="00EA4A56">
              <w:rPr>
                <w:b/>
                <w:bCs/>
                <w:i/>
                <w:iCs/>
                <w:lang w:val="es-ES_tradnl"/>
              </w:rPr>
              <w:t>rsiones económicas y sociales específicas en consonancia con las prioridades comunes de la Unión</w:t>
            </w:r>
            <w:r w:rsidRPr="00EA4A56">
              <w:rPr>
                <w:lang w:val="es-ES_tradnl"/>
              </w:rPr>
              <w:t>.</w:t>
            </w:r>
          </w:p>
        </w:tc>
      </w:tr>
    </w:tbl>
    <w:p w:rsidR="00AF0131" w:rsidRPr="00EA4A56" w:rsidRDefault="006F2CA5" w:rsidP="00C56375">
      <w:pPr>
        <w:rPr>
          <w:rStyle w:val="HideTWBExt"/>
          <w:rFonts w:ascii="Times New Roman" w:hAnsi="Times New Roman" w:cs="Times New Roman"/>
          <w:noProof w:val="0"/>
          <w:vanish w:val="0"/>
          <w:color w:val="auto"/>
          <w:sz w:val="24"/>
        </w:rPr>
      </w:pPr>
      <w:r w:rsidRPr="00EA4A56">
        <w:rPr>
          <w:rStyle w:val="HideTWBExt"/>
        </w:rPr>
        <w:t>&lt;/Amend&gt;</w:t>
      </w:r>
    </w:p>
    <w:p w:rsidR="00AF0131" w:rsidRPr="00EA4A56" w:rsidRDefault="006F2CA5" w:rsidP="00C56375">
      <w:pPr>
        <w:pStyle w:val="AmNumberTabs"/>
      </w:pPr>
      <w:r w:rsidRPr="00EA4A56">
        <w:rPr>
          <w:rStyle w:val="HideTWBExt"/>
          <w:b w:val="0"/>
        </w:rPr>
        <w:t>&lt;Amend&gt;</w:t>
      </w:r>
      <w:r w:rsidRPr="00EA4A56">
        <w:t>Enmienda</w:t>
      </w:r>
      <w:r w:rsidRPr="00EA4A56">
        <w:tab/>
      </w:r>
      <w:r w:rsidRPr="00EA4A56">
        <w:tab/>
      </w:r>
      <w:r w:rsidRPr="00EA4A56">
        <w:rPr>
          <w:rStyle w:val="HideTWBExt"/>
          <w:b w:val="0"/>
        </w:rPr>
        <w:t>&lt;NumAm&gt;</w:t>
      </w:r>
      <w:r w:rsidRPr="00EA4A56">
        <w:t>12</w:t>
      </w:r>
      <w:r w:rsidRPr="00EA4A56">
        <w:rPr>
          <w:rStyle w:val="HideTWBExt"/>
          <w:b w:val="0"/>
        </w:rPr>
        <w:t>&lt;/NumAm&gt;</w:t>
      </w:r>
    </w:p>
    <w:p w:rsidR="00AF0131" w:rsidRPr="00EA4A56" w:rsidRDefault="00AF0131" w:rsidP="00AF0131"/>
    <w:p w:rsidR="00AF0131" w:rsidRPr="00EA4A56" w:rsidRDefault="006F2CA5" w:rsidP="00AF0131">
      <w:pPr>
        <w:pStyle w:val="NormalBold"/>
        <w:keepNext/>
      </w:pPr>
      <w:r w:rsidRPr="00EA4A56">
        <w:rPr>
          <w:rStyle w:val="HideTWBExt"/>
          <w:b w:val="0"/>
        </w:rPr>
        <w:t>&lt;DocAmend&gt;</w:t>
      </w:r>
      <w:r w:rsidRPr="00EA4A56">
        <w:t>Propuesta de Reglamento</w:t>
      </w:r>
      <w:r w:rsidRPr="00EA4A56">
        <w:rPr>
          <w:rStyle w:val="HideTWBExt"/>
          <w:b w:val="0"/>
        </w:rPr>
        <w:t>&lt;/DocAmend&gt;</w:t>
      </w:r>
    </w:p>
    <w:p w:rsidR="00AF0131" w:rsidRPr="00EA4A56" w:rsidRDefault="006F2CA5" w:rsidP="00AF0131">
      <w:pPr>
        <w:pStyle w:val="NormalBold"/>
      </w:pPr>
      <w:r w:rsidRPr="00EA4A56">
        <w:rPr>
          <w:rStyle w:val="HideTWBExt"/>
          <w:b w:val="0"/>
        </w:rPr>
        <w:t>&lt;Article&gt;</w:t>
      </w:r>
      <w:r w:rsidRPr="00EA4A56">
        <w:t>Artículo 3 – apartado 1</w:t>
      </w:r>
      <w:r w:rsidRPr="00EA4A5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20E9E" w:rsidRPr="00EA4A56" w:rsidTr="00C33FBD">
        <w:trPr>
          <w:jc w:val="center"/>
        </w:trPr>
        <w:tc>
          <w:tcPr>
            <w:tcW w:w="9752" w:type="dxa"/>
            <w:gridSpan w:val="2"/>
          </w:tcPr>
          <w:p w:rsidR="00AF0131" w:rsidRPr="00EA4A56" w:rsidRDefault="00AF0131" w:rsidP="00C33FBD">
            <w:pPr>
              <w:keepNext/>
            </w:pPr>
          </w:p>
        </w:tc>
      </w:tr>
      <w:tr w:rsidR="00820E9E" w:rsidRPr="00EA4A56" w:rsidTr="00C33FBD">
        <w:trPr>
          <w:jc w:val="center"/>
        </w:trPr>
        <w:tc>
          <w:tcPr>
            <w:tcW w:w="4876" w:type="dxa"/>
            <w:hideMark/>
          </w:tcPr>
          <w:p w:rsidR="00AF0131" w:rsidRPr="00EA4A56" w:rsidRDefault="006F2CA5" w:rsidP="00C33FBD">
            <w:pPr>
              <w:pStyle w:val="ColumnHeading"/>
              <w:keepNext/>
              <w:rPr>
                <w:lang w:val="es-ES_tradnl"/>
              </w:rPr>
            </w:pPr>
            <w:r w:rsidRPr="00EA4A56">
              <w:rPr>
                <w:lang w:val="es-ES_tradnl"/>
              </w:rPr>
              <w:t>Texto de la Comisión</w:t>
            </w:r>
          </w:p>
        </w:tc>
        <w:tc>
          <w:tcPr>
            <w:tcW w:w="4876" w:type="dxa"/>
            <w:hideMark/>
          </w:tcPr>
          <w:p w:rsidR="00AF0131" w:rsidRPr="00EA4A56" w:rsidRDefault="006F2CA5" w:rsidP="00C33FBD">
            <w:pPr>
              <w:pStyle w:val="ColumnHeading"/>
              <w:keepNext/>
              <w:rPr>
                <w:lang w:val="es-ES_tradnl"/>
              </w:rPr>
            </w:pPr>
            <w:r w:rsidRPr="00EA4A56">
              <w:rPr>
                <w:lang w:val="es-ES_tradnl"/>
              </w:rPr>
              <w:t>Enmienda</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lang w:val="es-ES_tradnl"/>
              </w:rPr>
              <w:t xml:space="preserve">A fin de garantizar una coordinación más estrecha de las políticas económicas y una convergencia </w:t>
            </w:r>
            <w:r w:rsidRPr="00EA4A56">
              <w:rPr>
                <w:b/>
                <w:bCs/>
                <w:i/>
                <w:iCs/>
                <w:lang w:val="es-ES_tradnl"/>
              </w:rPr>
              <w:t>sostenida</w:t>
            </w:r>
            <w:r w:rsidRPr="00EA4A56">
              <w:rPr>
                <w:lang w:val="es-ES_tradnl"/>
              </w:rPr>
              <w:t xml:space="preserve"> de los resultados económicos y sociales de los Estados miembros, el Consejo y la Comisión llevarán a cabo una supervisión multilateral en e</w:t>
            </w:r>
            <w:r w:rsidRPr="00EA4A56">
              <w:rPr>
                <w:lang w:val="es-ES_tradnl"/>
              </w:rPr>
              <w:t>l marco del Semestre Europeo de conformidad con los objetivos y requisitos establecidos en el TFUE. La supervisión multilateral debe basarse en estadísticas independientes y de alta calidad elaboradas de conformidad con los principios establecidos en el Re</w:t>
            </w:r>
            <w:r w:rsidRPr="00EA4A56">
              <w:rPr>
                <w:lang w:val="es-ES_tradnl"/>
              </w:rPr>
              <w:t>glamento (CE) n.º 223/2009 del Parlamento Europeo y del Consejo.</w:t>
            </w:r>
          </w:p>
        </w:tc>
        <w:tc>
          <w:tcPr>
            <w:tcW w:w="4876" w:type="dxa"/>
            <w:hideMark/>
          </w:tcPr>
          <w:p w:rsidR="00AF0131" w:rsidRPr="00EA4A56" w:rsidRDefault="006F2CA5" w:rsidP="00C33FBD">
            <w:pPr>
              <w:pStyle w:val="Normal6"/>
              <w:rPr>
                <w:szCs w:val="24"/>
                <w:lang w:val="es-ES_tradnl"/>
              </w:rPr>
            </w:pPr>
            <w:r w:rsidRPr="00EA4A56">
              <w:rPr>
                <w:lang w:val="es-ES_tradnl"/>
              </w:rPr>
              <w:t>A fin de garantizar una coordinación más estrecha de las políticas económicas</w:t>
            </w:r>
            <w:r w:rsidRPr="00EA4A56">
              <w:rPr>
                <w:b/>
                <w:bCs/>
                <w:i/>
                <w:iCs/>
                <w:lang w:val="es-ES_tradnl"/>
              </w:rPr>
              <w:t xml:space="preserve"> y de empleo</w:t>
            </w:r>
            <w:r w:rsidRPr="00EA4A56">
              <w:rPr>
                <w:lang w:val="es-ES_tradnl"/>
              </w:rPr>
              <w:t xml:space="preserve"> y una convergencia</w:t>
            </w:r>
            <w:r w:rsidRPr="00EA4A56">
              <w:rPr>
                <w:b/>
                <w:bCs/>
                <w:i/>
                <w:iCs/>
                <w:lang w:val="es-ES_tradnl"/>
              </w:rPr>
              <w:t xml:space="preserve"> al alza</w:t>
            </w:r>
            <w:r w:rsidRPr="00EA4A56">
              <w:rPr>
                <w:lang w:val="es-ES_tradnl"/>
              </w:rPr>
              <w:t xml:space="preserve"> de los resultados económicos y sociales de los Estados miembros</w:t>
            </w:r>
            <w:r w:rsidRPr="00EA4A56">
              <w:rPr>
                <w:b/>
                <w:bCs/>
                <w:i/>
                <w:iCs/>
                <w:lang w:val="es-ES_tradnl"/>
              </w:rPr>
              <w:t xml:space="preserve"> en consona</w:t>
            </w:r>
            <w:r w:rsidRPr="00EA4A56">
              <w:rPr>
                <w:b/>
                <w:bCs/>
                <w:i/>
                <w:iCs/>
                <w:lang w:val="es-ES_tradnl"/>
              </w:rPr>
              <w:t>ncia con las prioridades comunes de la Unión</w:t>
            </w:r>
            <w:r w:rsidRPr="00EA4A56">
              <w:rPr>
                <w:lang w:val="es-ES_tradnl"/>
              </w:rPr>
              <w:t>, el Consejo y la Comisión llevarán a cabo una supervisión multilateral en el marco del Semestre Europeo de conformidad con los objetivos y requisitos establecidos en el TFUE. La supervisión multilateral debe bas</w:t>
            </w:r>
            <w:r w:rsidRPr="00EA4A56">
              <w:rPr>
                <w:lang w:val="es-ES_tradnl"/>
              </w:rPr>
              <w:t>arse en estadísticas independientes y de alta calidad elaboradas de conformidad con los principios establecidos en el Reglamento (CE) n.º 223/2009 del Parlamento Europeo y del Consejo.</w:t>
            </w:r>
          </w:p>
        </w:tc>
      </w:tr>
    </w:tbl>
    <w:p w:rsidR="00AF0131" w:rsidRPr="00EA4A56" w:rsidRDefault="006F2CA5" w:rsidP="00C56375">
      <w:pPr>
        <w:rPr>
          <w:rStyle w:val="HideTWBExt"/>
          <w:rFonts w:ascii="Times New Roman" w:hAnsi="Times New Roman" w:cs="Times New Roman"/>
          <w:noProof w:val="0"/>
          <w:vanish w:val="0"/>
          <w:color w:val="auto"/>
          <w:sz w:val="24"/>
        </w:rPr>
      </w:pPr>
      <w:r w:rsidRPr="00EA4A56">
        <w:rPr>
          <w:rStyle w:val="HideTWBExt"/>
        </w:rPr>
        <w:t>&lt;/Amend&gt;</w:t>
      </w:r>
    </w:p>
    <w:p w:rsidR="00AF0131" w:rsidRPr="00EA4A56" w:rsidRDefault="006F2CA5" w:rsidP="00AF0131">
      <w:pPr>
        <w:pStyle w:val="AmNumberTabs"/>
      </w:pPr>
      <w:r w:rsidRPr="00EA4A56">
        <w:rPr>
          <w:rStyle w:val="HideTWBExt"/>
          <w:b w:val="0"/>
        </w:rPr>
        <w:lastRenderedPageBreak/>
        <w:t>&lt;Amend&gt;</w:t>
      </w:r>
      <w:r w:rsidRPr="00EA4A56">
        <w:t>Enmienda</w:t>
      </w:r>
      <w:r w:rsidRPr="00EA4A56">
        <w:tab/>
      </w:r>
      <w:r w:rsidRPr="00EA4A56">
        <w:tab/>
      </w:r>
      <w:r w:rsidRPr="00EA4A56">
        <w:rPr>
          <w:rStyle w:val="HideTWBExt"/>
          <w:b w:val="0"/>
        </w:rPr>
        <w:t>&lt;NumAm&gt;</w:t>
      </w:r>
      <w:r w:rsidRPr="00EA4A56">
        <w:t>13</w:t>
      </w:r>
      <w:r w:rsidRPr="00EA4A56">
        <w:rPr>
          <w:rStyle w:val="HideTWBExt"/>
          <w:b w:val="0"/>
        </w:rPr>
        <w:t>&lt;/NumAm&gt;</w:t>
      </w:r>
    </w:p>
    <w:p w:rsidR="00AF0131" w:rsidRPr="00EA4A56" w:rsidRDefault="00AF0131" w:rsidP="00AF0131"/>
    <w:p w:rsidR="00AF0131" w:rsidRPr="00EA4A56" w:rsidRDefault="006F2CA5" w:rsidP="00AF0131">
      <w:pPr>
        <w:pStyle w:val="NormalBold"/>
        <w:keepNext/>
      </w:pPr>
      <w:r w:rsidRPr="00EA4A56">
        <w:rPr>
          <w:rStyle w:val="HideTWBExt"/>
          <w:b w:val="0"/>
        </w:rPr>
        <w:t>&lt;DocAmend&gt;</w:t>
      </w:r>
      <w:r w:rsidRPr="00EA4A56">
        <w:t>Propuesta de Re</w:t>
      </w:r>
      <w:r w:rsidRPr="00EA4A56">
        <w:t>glamento</w:t>
      </w:r>
      <w:r w:rsidRPr="00EA4A56">
        <w:rPr>
          <w:rStyle w:val="HideTWBExt"/>
          <w:b w:val="0"/>
        </w:rPr>
        <w:t>&lt;/DocAmend&gt;</w:t>
      </w:r>
    </w:p>
    <w:p w:rsidR="00AF0131" w:rsidRPr="00EA4A56" w:rsidRDefault="006F2CA5" w:rsidP="00AF0131">
      <w:pPr>
        <w:pStyle w:val="NormalBold"/>
      </w:pPr>
      <w:r w:rsidRPr="00EA4A56">
        <w:rPr>
          <w:rStyle w:val="HideTWBExt"/>
          <w:b w:val="0"/>
        </w:rPr>
        <w:t>&lt;Article&gt;</w:t>
      </w:r>
      <w:r w:rsidRPr="00EA4A56">
        <w:t>Artículo 3 – apartado 2 – letra b</w:t>
      </w:r>
      <w:r w:rsidRPr="00EA4A5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20E9E" w:rsidRPr="00EA4A56" w:rsidTr="00C33FBD">
        <w:trPr>
          <w:jc w:val="center"/>
        </w:trPr>
        <w:tc>
          <w:tcPr>
            <w:tcW w:w="9752" w:type="dxa"/>
            <w:gridSpan w:val="2"/>
          </w:tcPr>
          <w:p w:rsidR="00AF0131" w:rsidRPr="00EA4A56" w:rsidRDefault="00AF0131" w:rsidP="00C33FBD">
            <w:pPr>
              <w:keepNext/>
            </w:pPr>
          </w:p>
        </w:tc>
      </w:tr>
      <w:tr w:rsidR="00820E9E" w:rsidRPr="00EA4A56" w:rsidTr="00C33FBD">
        <w:trPr>
          <w:jc w:val="center"/>
        </w:trPr>
        <w:tc>
          <w:tcPr>
            <w:tcW w:w="4876" w:type="dxa"/>
            <w:hideMark/>
          </w:tcPr>
          <w:p w:rsidR="00AF0131" w:rsidRPr="00EA4A56" w:rsidRDefault="006F2CA5" w:rsidP="00C33FBD">
            <w:pPr>
              <w:pStyle w:val="ColumnHeading"/>
              <w:keepNext/>
              <w:rPr>
                <w:lang w:val="es-ES_tradnl"/>
              </w:rPr>
            </w:pPr>
            <w:r w:rsidRPr="00EA4A56">
              <w:rPr>
                <w:lang w:val="es-ES_tradnl"/>
              </w:rPr>
              <w:t>Texto de la Comisión</w:t>
            </w:r>
          </w:p>
        </w:tc>
        <w:tc>
          <w:tcPr>
            <w:tcW w:w="4876" w:type="dxa"/>
            <w:hideMark/>
          </w:tcPr>
          <w:p w:rsidR="00AF0131" w:rsidRPr="00EA4A56" w:rsidRDefault="006F2CA5" w:rsidP="00C33FBD">
            <w:pPr>
              <w:pStyle w:val="ColumnHeading"/>
              <w:keepNext/>
              <w:rPr>
                <w:lang w:val="es-ES_tradnl"/>
              </w:rPr>
            </w:pPr>
            <w:r w:rsidRPr="00EA4A56">
              <w:rPr>
                <w:lang w:val="es-ES_tradnl"/>
              </w:rPr>
              <w:t>Enmienda</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lang w:val="es-ES_tradnl"/>
              </w:rPr>
              <w:t>b)</w:t>
            </w:r>
            <w:r w:rsidRPr="00EA4A56">
              <w:rPr>
                <w:lang w:val="es-ES_tradnl"/>
              </w:rPr>
              <w:tab/>
            </w:r>
            <w:r w:rsidRPr="00EA4A56">
              <w:rPr>
                <w:lang w:val="es-ES_tradnl"/>
              </w:rPr>
              <w:t xml:space="preserve">la formulación y la supervisión de la aplicación de las orientaciones en materia de empleo que deben tener en cuenta los Estados miembros de conformidad con el artículo 148, apartado 2, del TFUE, </w:t>
            </w:r>
            <w:r w:rsidRPr="00EA4A56">
              <w:rPr>
                <w:b/>
                <w:bCs/>
                <w:i/>
                <w:iCs/>
                <w:lang w:val="es-ES_tradnl"/>
              </w:rPr>
              <w:t>incluido</w:t>
            </w:r>
            <w:r w:rsidRPr="00EA4A56">
              <w:rPr>
                <w:lang w:val="es-ES_tradnl"/>
              </w:rPr>
              <w:t xml:space="preserve"> </w:t>
            </w:r>
            <w:r w:rsidRPr="00EA4A56">
              <w:rPr>
                <w:b/>
                <w:bCs/>
                <w:i/>
                <w:iCs/>
                <w:lang w:val="es-ES_tradnl"/>
              </w:rPr>
              <w:t>el</w:t>
            </w:r>
            <w:r w:rsidRPr="00EA4A56">
              <w:rPr>
                <w:lang w:val="es-ES_tradnl"/>
              </w:rPr>
              <w:t xml:space="preserve"> pilar europeo de derechos sociales, y de las cor</w:t>
            </w:r>
            <w:r w:rsidRPr="00EA4A56">
              <w:rPr>
                <w:lang w:val="es-ES_tradnl"/>
              </w:rPr>
              <w:t>respondientes recomendaciones específicas por país;</w:t>
            </w:r>
          </w:p>
        </w:tc>
        <w:tc>
          <w:tcPr>
            <w:tcW w:w="4876" w:type="dxa"/>
            <w:hideMark/>
          </w:tcPr>
          <w:p w:rsidR="00AF0131" w:rsidRPr="00EA4A56" w:rsidRDefault="006F2CA5" w:rsidP="00C33FBD">
            <w:pPr>
              <w:pStyle w:val="Normal6"/>
              <w:rPr>
                <w:szCs w:val="24"/>
                <w:lang w:val="es-ES_tradnl"/>
              </w:rPr>
            </w:pPr>
            <w:r w:rsidRPr="00EA4A56">
              <w:rPr>
                <w:lang w:val="es-ES_tradnl"/>
              </w:rPr>
              <w:t>b)</w:t>
            </w:r>
            <w:r w:rsidRPr="00EA4A56">
              <w:rPr>
                <w:lang w:val="es-ES_tradnl"/>
              </w:rPr>
              <w:tab/>
              <w:t xml:space="preserve">la formulación y la supervisión de la aplicación de las orientaciones en materia de empleo que deben tener en cuenta los Estados miembros de conformidad con el artículo 148, apartado 2, del TFUE, </w:t>
            </w:r>
            <w:r w:rsidRPr="00EA4A56">
              <w:rPr>
                <w:b/>
                <w:bCs/>
                <w:i/>
                <w:iCs/>
                <w:lang w:val="es-ES_tradnl"/>
              </w:rPr>
              <w:t>del</w:t>
            </w:r>
            <w:r w:rsidRPr="00EA4A56">
              <w:rPr>
                <w:lang w:val="es-ES_tradnl"/>
              </w:rPr>
              <w:t xml:space="preserve"> p</w:t>
            </w:r>
            <w:r w:rsidRPr="00EA4A56">
              <w:rPr>
                <w:lang w:val="es-ES_tradnl"/>
              </w:rPr>
              <w:t xml:space="preserve">ilar europeo de derechos sociales </w:t>
            </w:r>
            <w:r w:rsidRPr="00EA4A56">
              <w:rPr>
                <w:b/>
                <w:bCs/>
                <w:i/>
                <w:iCs/>
                <w:lang w:val="es-ES_tradnl"/>
              </w:rPr>
              <w:t>y sus objetivos principales</w:t>
            </w:r>
            <w:r w:rsidRPr="00EA4A56">
              <w:rPr>
                <w:lang w:val="es-ES_tradnl"/>
              </w:rPr>
              <w:t>, y de las correspondientes recomendaciones específicas por país</w:t>
            </w:r>
            <w:r w:rsidRPr="00EA4A56">
              <w:rPr>
                <w:b/>
                <w:bCs/>
                <w:i/>
                <w:iCs/>
                <w:lang w:val="es-ES_tradnl"/>
              </w:rPr>
              <w:t>, así como del cuadro de indicadores sociales y sus indicadores principales y secundarios y del marco de convergencia social para p</w:t>
            </w:r>
            <w:r w:rsidRPr="00EA4A56">
              <w:rPr>
                <w:b/>
                <w:bCs/>
                <w:i/>
                <w:iCs/>
                <w:lang w:val="es-ES_tradnl"/>
              </w:rPr>
              <w:t>revenir e identificar los riesgos para la convergencia social</w:t>
            </w:r>
            <w:r w:rsidRPr="00EA4A56">
              <w:rPr>
                <w:lang w:val="es-ES_tradnl"/>
              </w:rPr>
              <w:t>;</w:t>
            </w:r>
          </w:p>
        </w:tc>
      </w:tr>
    </w:tbl>
    <w:p w:rsidR="00AF0131" w:rsidRPr="00EA4A56" w:rsidRDefault="006F2CA5" w:rsidP="00C56375">
      <w:pPr>
        <w:rPr>
          <w:rStyle w:val="HideTWBExt"/>
          <w:rFonts w:ascii="Times New Roman" w:hAnsi="Times New Roman" w:cs="Times New Roman"/>
          <w:noProof w:val="0"/>
          <w:vanish w:val="0"/>
          <w:color w:val="auto"/>
          <w:sz w:val="24"/>
        </w:rPr>
      </w:pPr>
      <w:r w:rsidRPr="00EA4A56">
        <w:rPr>
          <w:rStyle w:val="HideTWBExt"/>
        </w:rPr>
        <w:t>&lt;/Amend&gt;</w:t>
      </w:r>
    </w:p>
    <w:p w:rsidR="00AF0131" w:rsidRPr="00EA4A56" w:rsidRDefault="006F2CA5" w:rsidP="00AF0131">
      <w:pPr>
        <w:pStyle w:val="AmNumberTabs"/>
      </w:pPr>
      <w:r w:rsidRPr="00EA4A56">
        <w:rPr>
          <w:rStyle w:val="HideTWBExt"/>
          <w:b w:val="0"/>
        </w:rPr>
        <w:t>&lt;Amend&gt;</w:t>
      </w:r>
      <w:r w:rsidRPr="00EA4A56">
        <w:t>Enmienda</w:t>
      </w:r>
      <w:r w:rsidRPr="00EA4A56">
        <w:tab/>
      </w:r>
      <w:r w:rsidRPr="00EA4A56">
        <w:tab/>
      </w:r>
      <w:r w:rsidRPr="00EA4A56">
        <w:rPr>
          <w:rStyle w:val="HideTWBExt"/>
          <w:b w:val="0"/>
        </w:rPr>
        <w:t>&lt;NumAm&gt;</w:t>
      </w:r>
      <w:r w:rsidRPr="00EA4A56">
        <w:t>14</w:t>
      </w:r>
      <w:r w:rsidRPr="00EA4A56">
        <w:rPr>
          <w:rStyle w:val="HideTWBExt"/>
          <w:b w:val="0"/>
        </w:rPr>
        <w:t>&lt;/NumAm&gt;</w:t>
      </w:r>
    </w:p>
    <w:p w:rsidR="00AF0131" w:rsidRPr="00EA4A56" w:rsidRDefault="00AF0131" w:rsidP="00AF0131"/>
    <w:p w:rsidR="00AF0131" w:rsidRPr="00EA4A56" w:rsidRDefault="006F2CA5" w:rsidP="00AF0131">
      <w:pPr>
        <w:pStyle w:val="NormalBold"/>
        <w:keepNext/>
      </w:pPr>
      <w:r w:rsidRPr="00EA4A56">
        <w:rPr>
          <w:rStyle w:val="HideTWBExt"/>
          <w:b w:val="0"/>
        </w:rPr>
        <w:t>&lt;DocAmend&gt;</w:t>
      </w:r>
      <w:r w:rsidRPr="00EA4A56">
        <w:t>Propuesta de Reglamento</w:t>
      </w:r>
      <w:r w:rsidRPr="00EA4A56">
        <w:rPr>
          <w:rStyle w:val="HideTWBExt"/>
          <w:b w:val="0"/>
        </w:rPr>
        <w:t>&lt;/DocAmend&gt;</w:t>
      </w:r>
    </w:p>
    <w:p w:rsidR="00AF0131" w:rsidRPr="00EA4A56" w:rsidRDefault="006F2CA5" w:rsidP="00AF0131">
      <w:pPr>
        <w:pStyle w:val="NormalBold"/>
      </w:pPr>
      <w:r w:rsidRPr="00EA4A56">
        <w:rPr>
          <w:rStyle w:val="HideTWBExt"/>
          <w:b w:val="0"/>
        </w:rPr>
        <w:t>&lt;Article&gt;</w:t>
      </w:r>
      <w:r w:rsidRPr="00EA4A56">
        <w:t>Artículo 4 – apartado 1</w:t>
      </w:r>
      <w:r w:rsidRPr="00EA4A5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20E9E" w:rsidRPr="00EA4A56" w:rsidTr="00C33FBD">
        <w:trPr>
          <w:jc w:val="center"/>
        </w:trPr>
        <w:tc>
          <w:tcPr>
            <w:tcW w:w="9752" w:type="dxa"/>
            <w:gridSpan w:val="2"/>
          </w:tcPr>
          <w:p w:rsidR="00AF0131" w:rsidRPr="00EA4A56" w:rsidRDefault="00AF0131" w:rsidP="00C33FBD">
            <w:pPr>
              <w:keepNext/>
            </w:pPr>
          </w:p>
        </w:tc>
      </w:tr>
      <w:tr w:rsidR="00820E9E" w:rsidRPr="00EA4A56" w:rsidTr="00C33FBD">
        <w:trPr>
          <w:jc w:val="center"/>
        </w:trPr>
        <w:tc>
          <w:tcPr>
            <w:tcW w:w="4876" w:type="dxa"/>
            <w:hideMark/>
          </w:tcPr>
          <w:p w:rsidR="00AF0131" w:rsidRPr="00EA4A56" w:rsidRDefault="006F2CA5" w:rsidP="00C33FBD">
            <w:pPr>
              <w:pStyle w:val="ColumnHeading"/>
              <w:keepNext/>
              <w:rPr>
                <w:lang w:val="es-ES_tradnl"/>
              </w:rPr>
            </w:pPr>
            <w:r w:rsidRPr="00EA4A56">
              <w:rPr>
                <w:lang w:val="es-ES_tradnl"/>
              </w:rPr>
              <w:t>Texto de la Comisión</w:t>
            </w:r>
          </w:p>
        </w:tc>
        <w:tc>
          <w:tcPr>
            <w:tcW w:w="4876" w:type="dxa"/>
            <w:hideMark/>
          </w:tcPr>
          <w:p w:rsidR="00AF0131" w:rsidRPr="00EA4A56" w:rsidRDefault="006F2CA5" w:rsidP="00C33FBD">
            <w:pPr>
              <w:pStyle w:val="ColumnHeading"/>
              <w:keepNext/>
              <w:rPr>
                <w:lang w:val="es-ES_tradnl"/>
              </w:rPr>
            </w:pPr>
            <w:r w:rsidRPr="00EA4A56">
              <w:rPr>
                <w:lang w:val="es-ES_tradnl"/>
              </w:rPr>
              <w:t>Enmienda</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lang w:val="es-ES_tradnl"/>
              </w:rPr>
              <w:t>1.</w:t>
            </w:r>
            <w:r w:rsidRPr="00EA4A56">
              <w:rPr>
                <w:lang w:val="es-ES_tradnl"/>
              </w:rPr>
              <w:tab/>
            </w:r>
            <w:r w:rsidRPr="00EA4A56">
              <w:rPr>
                <w:lang w:val="es-ES_tradnl"/>
              </w:rPr>
              <w:t>En caso necesario, tras la evaluación con arreglo al presente Reglamento de los planes estructurales de política fiscal a medio plazo, de los informes de situación anuales y de la situación socioeconómica de los Estados miembros de que se trate, el Consejo</w:t>
            </w:r>
            <w:r w:rsidRPr="00EA4A56">
              <w:rPr>
                <w:lang w:val="es-ES_tradnl"/>
              </w:rPr>
              <w:t xml:space="preserve">, sobre la base de recomendaciones de la Comisión, dirigirá recomendaciones a dichos Estados miembros haciendo pleno uso de los instrumentos jurídicos previstos en los artículos 121 y 148 del TFUE y </w:t>
            </w:r>
            <w:r w:rsidRPr="00EA4A56">
              <w:rPr>
                <w:b/>
                <w:bCs/>
                <w:i/>
                <w:iCs/>
                <w:lang w:val="es-ES_tradnl"/>
              </w:rPr>
              <w:t>del</w:t>
            </w:r>
            <w:r w:rsidRPr="00EA4A56">
              <w:rPr>
                <w:lang w:val="es-ES_tradnl"/>
              </w:rPr>
              <w:t xml:space="preserve"> Derecho derivado conexo.</w:t>
            </w:r>
          </w:p>
        </w:tc>
        <w:tc>
          <w:tcPr>
            <w:tcW w:w="4876" w:type="dxa"/>
            <w:hideMark/>
          </w:tcPr>
          <w:p w:rsidR="00AF0131" w:rsidRPr="00EA4A56" w:rsidRDefault="006F2CA5" w:rsidP="00C33FBD">
            <w:pPr>
              <w:pStyle w:val="Normal6"/>
              <w:rPr>
                <w:szCs w:val="24"/>
                <w:lang w:val="es-ES_tradnl"/>
              </w:rPr>
            </w:pPr>
            <w:r w:rsidRPr="00EA4A56">
              <w:rPr>
                <w:lang w:val="es-ES_tradnl"/>
              </w:rPr>
              <w:t>1.</w:t>
            </w:r>
            <w:r w:rsidRPr="00EA4A56">
              <w:rPr>
                <w:lang w:val="es-ES_tradnl"/>
              </w:rPr>
              <w:tab/>
              <w:t>En caso necesario, tras l</w:t>
            </w:r>
            <w:r w:rsidRPr="00EA4A56">
              <w:rPr>
                <w:lang w:val="es-ES_tradnl"/>
              </w:rPr>
              <w:t>a evaluación con arreglo al presente Reglamento de los planes estructurales de política fiscal a medio plazo, de los informes de situación anuales y de la situación socioeconómica de los Estados miembros de que se trate, el Consejo, sobre la base de recome</w:t>
            </w:r>
            <w:r w:rsidRPr="00EA4A56">
              <w:rPr>
                <w:lang w:val="es-ES_tradnl"/>
              </w:rPr>
              <w:t xml:space="preserve">ndaciones de la Comisión, dirigirá recomendaciones a dichos Estados miembros haciendo pleno uso </w:t>
            </w:r>
            <w:r w:rsidRPr="00EA4A56">
              <w:rPr>
                <w:b/>
                <w:bCs/>
                <w:i/>
                <w:iCs/>
                <w:lang w:val="es-ES_tradnl"/>
              </w:rPr>
              <w:t>del pilar europeo de derechos sociales y</w:t>
            </w:r>
            <w:r w:rsidRPr="00EA4A56">
              <w:rPr>
                <w:lang w:val="es-ES_tradnl"/>
              </w:rPr>
              <w:t xml:space="preserve"> de los instrumentos jurídicos previstos en los artículos 121 y 148 del TFUE y </w:t>
            </w:r>
            <w:r w:rsidRPr="00EA4A56">
              <w:rPr>
                <w:b/>
                <w:bCs/>
                <w:i/>
                <w:iCs/>
                <w:lang w:val="es-ES_tradnl"/>
              </w:rPr>
              <w:t>el</w:t>
            </w:r>
            <w:r w:rsidRPr="00EA4A56">
              <w:rPr>
                <w:lang w:val="es-ES_tradnl"/>
              </w:rPr>
              <w:t xml:space="preserve"> Derecho derivado conexo.</w:t>
            </w:r>
          </w:p>
        </w:tc>
      </w:tr>
    </w:tbl>
    <w:p w:rsidR="00AF0131" w:rsidRPr="00EA4A56" w:rsidRDefault="006F2CA5" w:rsidP="00C56375">
      <w:pPr>
        <w:rPr>
          <w:rStyle w:val="HideTWBExt"/>
          <w:rFonts w:ascii="Times New Roman" w:hAnsi="Times New Roman" w:cs="Times New Roman"/>
          <w:noProof w:val="0"/>
          <w:vanish w:val="0"/>
          <w:color w:val="auto"/>
          <w:sz w:val="24"/>
        </w:rPr>
      </w:pPr>
      <w:r w:rsidRPr="00EA4A56">
        <w:rPr>
          <w:rStyle w:val="HideTWBExt"/>
        </w:rPr>
        <w:t>&lt;/Amend&gt;</w:t>
      </w:r>
    </w:p>
    <w:p w:rsidR="00AF0131" w:rsidRPr="00EA4A56" w:rsidRDefault="006F2CA5" w:rsidP="00AF0131">
      <w:pPr>
        <w:pStyle w:val="AmNumberTabs"/>
      </w:pPr>
      <w:r w:rsidRPr="00EA4A56">
        <w:rPr>
          <w:rStyle w:val="HideTWBExt"/>
          <w:b w:val="0"/>
        </w:rPr>
        <w:t>&lt;Am</w:t>
      </w:r>
      <w:r w:rsidRPr="00EA4A56">
        <w:rPr>
          <w:rStyle w:val="HideTWBExt"/>
          <w:b w:val="0"/>
        </w:rPr>
        <w:t>end&gt;</w:t>
      </w:r>
      <w:r w:rsidRPr="00EA4A56">
        <w:t>Enmienda</w:t>
      </w:r>
      <w:r w:rsidRPr="00EA4A56">
        <w:tab/>
      </w:r>
      <w:r w:rsidRPr="00EA4A56">
        <w:tab/>
      </w:r>
      <w:r w:rsidRPr="00EA4A56">
        <w:rPr>
          <w:rStyle w:val="HideTWBExt"/>
          <w:b w:val="0"/>
        </w:rPr>
        <w:t>&lt;NumAm&gt;</w:t>
      </w:r>
      <w:r w:rsidRPr="00EA4A56">
        <w:t>15</w:t>
      </w:r>
      <w:r w:rsidRPr="00EA4A56">
        <w:rPr>
          <w:rStyle w:val="HideTWBExt"/>
          <w:b w:val="0"/>
        </w:rPr>
        <w:t>&lt;/NumAm&gt;</w:t>
      </w:r>
    </w:p>
    <w:p w:rsidR="00AF0131" w:rsidRPr="00EA4A56" w:rsidRDefault="00AF0131" w:rsidP="00AF0131"/>
    <w:p w:rsidR="00AF0131" w:rsidRPr="00EA4A56" w:rsidRDefault="006F2CA5" w:rsidP="00AF0131">
      <w:pPr>
        <w:pStyle w:val="NormalBold"/>
        <w:keepNext/>
      </w:pPr>
      <w:r w:rsidRPr="00EA4A56">
        <w:rPr>
          <w:rStyle w:val="HideTWBExt"/>
          <w:b w:val="0"/>
        </w:rPr>
        <w:lastRenderedPageBreak/>
        <w:t>&lt;DocAmend&gt;</w:t>
      </w:r>
      <w:r w:rsidRPr="00EA4A56">
        <w:t>Propuesta de Reglamento</w:t>
      </w:r>
      <w:r w:rsidRPr="00EA4A56">
        <w:rPr>
          <w:rStyle w:val="HideTWBExt"/>
          <w:b w:val="0"/>
        </w:rPr>
        <w:t>&lt;/DocAmend&gt;</w:t>
      </w:r>
    </w:p>
    <w:p w:rsidR="00AF0131" w:rsidRPr="00EA4A56" w:rsidRDefault="006F2CA5" w:rsidP="00AF0131">
      <w:pPr>
        <w:pStyle w:val="NormalBold"/>
      </w:pPr>
      <w:r w:rsidRPr="00EA4A56">
        <w:rPr>
          <w:rStyle w:val="HideTWBExt"/>
          <w:b w:val="0"/>
        </w:rPr>
        <w:t>&lt;Article&gt;</w:t>
      </w:r>
      <w:r w:rsidRPr="00EA4A56">
        <w:t>Artículo 4 – apartado 3 – letra b bis (nueva)</w:t>
      </w:r>
      <w:r w:rsidRPr="00EA4A5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20E9E" w:rsidRPr="00EA4A56" w:rsidTr="00C33FBD">
        <w:trPr>
          <w:jc w:val="center"/>
        </w:trPr>
        <w:tc>
          <w:tcPr>
            <w:tcW w:w="9752" w:type="dxa"/>
            <w:gridSpan w:val="2"/>
          </w:tcPr>
          <w:p w:rsidR="00AF0131" w:rsidRPr="00EA4A56" w:rsidRDefault="00AF0131" w:rsidP="00C33FBD">
            <w:pPr>
              <w:keepNext/>
            </w:pPr>
          </w:p>
        </w:tc>
      </w:tr>
      <w:tr w:rsidR="00820E9E" w:rsidRPr="00EA4A56" w:rsidTr="00C33FBD">
        <w:trPr>
          <w:jc w:val="center"/>
        </w:trPr>
        <w:tc>
          <w:tcPr>
            <w:tcW w:w="4876" w:type="dxa"/>
            <w:hideMark/>
          </w:tcPr>
          <w:p w:rsidR="00AF0131" w:rsidRPr="00EA4A56" w:rsidRDefault="006F2CA5" w:rsidP="00C33FBD">
            <w:pPr>
              <w:pStyle w:val="ColumnHeading"/>
              <w:keepNext/>
              <w:rPr>
                <w:lang w:val="es-ES_tradnl"/>
              </w:rPr>
            </w:pPr>
            <w:r w:rsidRPr="00EA4A56">
              <w:rPr>
                <w:lang w:val="es-ES_tradnl"/>
              </w:rPr>
              <w:t>Texto de la Comisión</w:t>
            </w:r>
          </w:p>
        </w:tc>
        <w:tc>
          <w:tcPr>
            <w:tcW w:w="4876" w:type="dxa"/>
            <w:hideMark/>
          </w:tcPr>
          <w:p w:rsidR="00AF0131" w:rsidRPr="00EA4A56" w:rsidRDefault="006F2CA5" w:rsidP="00C33FBD">
            <w:pPr>
              <w:pStyle w:val="ColumnHeading"/>
              <w:keepNext/>
              <w:rPr>
                <w:lang w:val="es-ES_tradnl"/>
              </w:rPr>
            </w:pPr>
            <w:r w:rsidRPr="00EA4A56">
              <w:rPr>
                <w:lang w:val="es-ES_tradnl"/>
              </w:rPr>
              <w:t>Enmienda</w:t>
            </w:r>
          </w:p>
        </w:tc>
      </w:tr>
      <w:tr w:rsidR="00820E9E" w:rsidRPr="00EA4A56" w:rsidTr="00C33FBD">
        <w:trPr>
          <w:jc w:val="center"/>
        </w:trPr>
        <w:tc>
          <w:tcPr>
            <w:tcW w:w="4876" w:type="dxa"/>
          </w:tcPr>
          <w:p w:rsidR="00AF0131" w:rsidRPr="00EA4A56" w:rsidRDefault="00AF0131" w:rsidP="00C33FBD">
            <w:pPr>
              <w:pStyle w:val="Normal6"/>
              <w:rPr>
                <w:lang w:val="es-ES_tradnl"/>
              </w:rPr>
            </w:pPr>
          </w:p>
        </w:tc>
        <w:tc>
          <w:tcPr>
            <w:tcW w:w="4876" w:type="dxa"/>
            <w:hideMark/>
          </w:tcPr>
          <w:p w:rsidR="00AF0131" w:rsidRPr="00EA4A56" w:rsidRDefault="006F2CA5" w:rsidP="00C33FBD">
            <w:pPr>
              <w:pStyle w:val="Normal6"/>
              <w:rPr>
                <w:szCs w:val="24"/>
                <w:lang w:val="es-ES_tradnl"/>
              </w:rPr>
            </w:pPr>
            <w:r w:rsidRPr="00EA4A56">
              <w:rPr>
                <w:b/>
                <w:i/>
                <w:lang w:val="es-ES_tradnl"/>
              </w:rPr>
              <w:t>b bis)</w:t>
            </w:r>
            <w:r w:rsidRPr="00EA4A56">
              <w:rPr>
                <w:b/>
                <w:i/>
                <w:lang w:val="es-ES_tradnl"/>
              </w:rPr>
              <w:tab/>
              <w:t xml:space="preserve">una recomendación del Consejo basada en una propuesta de la Comisión de </w:t>
            </w:r>
            <w:r w:rsidRPr="00EA4A56">
              <w:rPr>
                <w:b/>
                <w:i/>
                <w:lang w:val="es-ES_tradnl"/>
              </w:rPr>
              <w:t>conformidad con el artículo 148, apartado 4, del TFUE o que refleje las conclusiones del marco de convergencia social;</w:t>
            </w:r>
          </w:p>
        </w:tc>
      </w:tr>
    </w:tbl>
    <w:p w:rsidR="00AF0131" w:rsidRPr="00EA4A56" w:rsidRDefault="006F2CA5" w:rsidP="00AF0131">
      <w:r w:rsidRPr="00EA4A56">
        <w:rPr>
          <w:rStyle w:val="HideTWBExt"/>
        </w:rPr>
        <w:t>&lt;/Amend&gt;</w:t>
      </w:r>
    </w:p>
    <w:p w:rsidR="00AF0131" w:rsidRPr="00EA4A56" w:rsidRDefault="006F2CA5" w:rsidP="00AF0131">
      <w:pPr>
        <w:pStyle w:val="AmNumberTabs"/>
      </w:pPr>
      <w:r w:rsidRPr="00EA4A56">
        <w:rPr>
          <w:rStyle w:val="HideTWBExt"/>
          <w:b w:val="0"/>
        </w:rPr>
        <w:t>&lt;Amend&gt;</w:t>
      </w:r>
      <w:r w:rsidRPr="00EA4A56">
        <w:t>Enmienda</w:t>
      </w:r>
      <w:r w:rsidRPr="00EA4A56">
        <w:tab/>
      </w:r>
      <w:r w:rsidRPr="00EA4A56">
        <w:rPr>
          <w:rStyle w:val="HideTWBExt"/>
          <w:b w:val="0"/>
        </w:rPr>
        <w:t>&lt;NumAm&gt;</w:t>
      </w:r>
      <w:r w:rsidRPr="00EA4A56">
        <w:t>16</w:t>
      </w:r>
      <w:r w:rsidRPr="00EA4A56">
        <w:rPr>
          <w:rStyle w:val="HideTWBExt"/>
          <w:b w:val="0"/>
        </w:rPr>
        <w:t>&lt;/NumAm&gt;</w:t>
      </w:r>
    </w:p>
    <w:p w:rsidR="00AF0131" w:rsidRPr="00EA4A56" w:rsidRDefault="00AF0131" w:rsidP="00AF0131"/>
    <w:p w:rsidR="00AF0131" w:rsidRPr="00EA4A56" w:rsidRDefault="006F2CA5" w:rsidP="00AF0131">
      <w:pPr>
        <w:pStyle w:val="NormalBold"/>
        <w:keepNext/>
      </w:pPr>
      <w:r w:rsidRPr="00EA4A56">
        <w:rPr>
          <w:rStyle w:val="HideTWBExt"/>
          <w:b w:val="0"/>
        </w:rPr>
        <w:t>&lt;DocAmend&gt;</w:t>
      </w:r>
      <w:r w:rsidRPr="00EA4A56">
        <w:t>Propuesta de Reglamento</w:t>
      </w:r>
      <w:r w:rsidRPr="00EA4A56">
        <w:rPr>
          <w:rStyle w:val="HideTWBExt"/>
          <w:b w:val="0"/>
        </w:rPr>
        <w:t>&lt;/DocAmend&gt;</w:t>
      </w:r>
    </w:p>
    <w:p w:rsidR="00AF0131" w:rsidRPr="00EA4A56" w:rsidRDefault="006F2CA5" w:rsidP="00AF0131">
      <w:pPr>
        <w:pStyle w:val="NormalBold"/>
      </w:pPr>
      <w:r w:rsidRPr="00EA4A56">
        <w:rPr>
          <w:rStyle w:val="HideTWBExt"/>
          <w:b w:val="0"/>
        </w:rPr>
        <w:t>&lt;Article&gt;</w:t>
      </w:r>
      <w:r w:rsidRPr="00EA4A56">
        <w:t>Artículo 7 – apartado 1 – letra b</w:t>
      </w:r>
      <w:r w:rsidRPr="00EA4A5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20E9E" w:rsidRPr="00EA4A56" w:rsidTr="00C33FBD">
        <w:trPr>
          <w:jc w:val="center"/>
        </w:trPr>
        <w:tc>
          <w:tcPr>
            <w:tcW w:w="9752" w:type="dxa"/>
            <w:gridSpan w:val="2"/>
          </w:tcPr>
          <w:p w:rsidR="00AF0131" w:rsidRPr="00EA4A56" w:rsidRDefault="00AF0131" w:rsidP="00C33FBD">
            <w:pPr>
              <w:keepNext/>
            </w:pPr>
          </w:p>
        </w:tc>
      </w:tr>
      <w:tr w:rsidR="00820E9E" w:rsidRPr="00EA4A56" w:rsidTr="00C33FBD">
        <w:trPr>
          <w:jc w:val="center"/>
        </w:trPr>
        <w:tc>
          <w:tcPr>
            <w:tcW w:w="4876" w:type="dxa"/>
            <w:hideMark/>
          </w:tcPr>
          <w:p w:rsidR="00AF0131" w:rsidRPr="00EA4A56" w:rsidRDefault="006F2CA5" w:rsidP="00C33FBD">
            <w:pPr>
              <w:pStyle w:val="ColumnHeading"/>
              <w:keepNext/>
              <w:rPr>
                <w:lang w:val="es-ES_tradnl"/>
              </w:rPr>
            </w:pPr>
            <w:r w:rsidRPr="00EA4A56">
              <w:rPr>
                <w:lang w:val="es-ES_tradnl"/>
              </w:rPr>
              <w:t>Texto de la Comisión</w:t>
            </w:r>
          </w:p>
        </w:tc>
        <w:tc>
          <w:tcPr>
            <w:tcW w:w="4876" w:type="dxa"/>
            <w:hideMark/>
          </w:tcPr>
          <w:p w:rsidR="00AF0131" w:rsidRPr="00EA4A56" w:rsidRDefault="006F2CA5" w:rsidP="00C33FBD">
            <w:pPr>
              <w:pStyle w:val="ColumnHeading"/>
              <w:keepNext/>
              <w:rPr>
                <w:lang w:val="es-ES_tradnl"/>
              </w:rPr>
            </w:pPr>
            <w:r w:rsidRPr="00EA4A56">
              <w:rPr>
                <w:lang w:val="es-ES_tradnl"/>
              </w:rPr>
              <w:t>Enmienda</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lang w:val="es-ES_tradnl"/>
              </w:rPr>
              <w:t>b)</w:t>
            </w:r>
            <w:r w:rsidRPr="00EA4A56">
              <w:rPr>
                <w:lang w:val="es-ES_tradnl"/>
              </w:rPr>
              <w:tab/>
              <w:t>sus previsiones macroeconómicas y sus hipótesis;</w:t>
            </w:r>
          </w:p>
        </w:tc>
        <w:tc>
          <w:tcPr>
            <w:tcW w:w="4876" w:type="dxa"/>
            <w:hideMark/>
          </w:tcPr>
          <w:p w:rsidR="00AF0131" w:rsidRPr="00EA4A56" w:rsidRDefault="006F2CA5" w:rsidP="00C33FBD">
            <w:pPr>
              <w:pStyle w:val="Normal6"/>
              <w:rPr>
                <w:szCs w:val="24"/>
                <w:lang w:val="es-ES_tradnl"/>
              </w:rPr>
            </w:pPr>
            <w:r w:rsidRPr="00EA4A56">
              <w:rPr>
                <w:lang w:val="es-ES_tradnl"/>
              </w:rPr>
              <w:t>b)</w:t>
            </w:r>
            <w:r w:rsidRPr="00EA4A56">
              <w:rPr>
                <w:lang w:val="es-ES_tradnl"/>
              </w:rPr>
              <w:tab/>
              <w:t xml:space="preserve">sus previsiones macroeconómicas y sus hipótesis; </w:t>
            </w:r>
            <w:r w:rsidRPr="00EA4A56">
              <w:rPr>
                <w:b/>
                <w:i/>
                <w:lang w:val="es-ES_tradnl"/>
              </w:rPr>
              <w:t>sus previsiones de riesgos sociales y sus hipótesis;</w:t>
            </w:r>
          </w:p>
        </w:tc>
      </w:tr>
    </w:tbl>
    <w:p w:rsidR="00AF0131" w:rsidRPr="00EA4A56" w:rsidRDefault="006F2CA5" w:rsidP="00AF0131">
      <w:r w:rsidRPr="00EA4A56">
        <w:rPr>
          <w:rStyle w:val="HideTWBExt"/>
        </w:rPr>
        <w:t>&lt;/Amend&gt;</w:t>
      </w:r>
    </w:p>
    <w:p w:rsidR="00AF0131" w:rsidRPr="00EA4A56" w:rsidRDefault="006F2CA5" w:rsidP="00AF0131">
      <w:pPr>
        <w:pStyle w:val="AmNumberTabs"/>
      </w:pPr>
      <w:r w:rsidRPr="00EA4A56">
        <w:rPr>
          <w:rStyle w:val="HideTWBExt"/>
          <w:b w:val="0"/>
        </w:rPr>
        <w:t>&lt;Amend&gt;</w:t>
      </w:r>
      <w:r w:rsidRPr="00EA4A56">
        <w:t>Enmienda</w:t>
      </w:r>
      <w:r w:rsidRPr="00EA4A56">
        <w:tab/>
      </w:r>
      <w:r w:rsidRPr="00EA4A56">
        <w:tab/>
      </w:r>
      <w:r w:rsidRPr="00EA4A56">
        <w:rPr>
          <w:rStyle w:val="HideTWBExt"/>
          <w:b w:val="0"/>
        </w:rPr>
        <w:t>&lt;NumAm&gt;</w:t>
      </w:r>
      <w:r w:rsidRPr="00EA4A56">
        <w:t>17</w:t>
      </w:r>
      <w:r w:rsidRPr="00EA4A56">
        <w:rPr>
          <w:rStyle w:val="HideTWBExt"/>
          <w:b w:val="0"/>
        </w:rPr>
        <w:t>&lt;/NumAm&gt;</w:t>
      </w:r>
    </w:p>
    <w:p w:rsidR="00AF0131" w:rsidRPr="00EA4A56" w:rsidRDefault="00AF0131" w:rsidP="00AF0131"/>
    <w:p w:rsidR="00AF0131" w:rsidRPr="00EA4A56" w:rsidRDefault="006F2CA5" w:rsidP="00AF0131">
      <w:pPr>
        <w:pStyle w:val="NormalBold"/>
        <w:keepNext/>
      </w:pPr>
      <w:r w:rsidRPr="00EA4A56">
        <w:rPr>
          <w:rStyle w:val="HideTWBExt"/>
          <w:b w:val="0"/>
        </w:rPr>
        <w:t>&lt;DocAmend&gt;</w:t>
      </w:r>
      <w:r w:rsidRPr="00EA4A56">
        <w:t>Propuesta de Reglamento</w:t>
      </w:r>
      <w:r w:rsidRPr="00EA4A56">
        <w:rPr>
          <w:rStyle w:val="HideTWBExt"/>
          <w:b w:val="0"/>
        </w:rPr>
        <w:t>&lt;/DocAmend&gt;</w:t>
      </w:r>
    </w:p>
    <w:p w:rsidR="00AF0131" w:rsidRPr="00EA4A56" w:rsidRDefault="006F2CA5" w:rsidP="00AF0131">
      <w:pPr>
        <w:pStyle w:val="NormalBold"/>
      </w:pPr>
      <w:r w:rsidRPr="00EA4A56">
        <w:rPr>
          <w:rStyle w:val="HideTWBExt"/>
          <w:b w:val="0"/>
        </w:rPr>
        <w:t>&lt;Article&gt;</w:t>
      </w:r>
      <w:r w:rsidRPr="00EA4A56">
        <w:t>Artículo 11 – apartado 1 – párrafo 2</w:t>
      </w:r>
      <w:r w:rsidRPr="00EA4A5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20E9E" w:rsidRPr="00EA4A56" w:rsidTr="00C33FBD">
        <w:trPr>
          <w:jc w:val="center"/>
        </w:trPr>
        <w:tc>
          <w:tcPr>
            <w:tcW w:w="9752" w:type="dxa"/>
            <w:gridSpan w:val="2"/>
          </w:tcPr>
          <w:p w:rsidR="00AF0131" w:rsidRPr="00EA4A56" w:rsidRDefault="00AF0131" w:rsidP="00C33FBD">
            <w:pPr>
              <w:keepNext/>
            </w:pPr>
          </w:p>
        </w:tc>
      </w:tr>
      <w:tr w:rsidR="00820E9E" w:rsidRPr="00EA4A56" w:rsidTr="00C33FBD">
        <w:trPr>
          <w:jc w:val="center"/>
        </w:trPr>
        <w:tc>
          <w:tcPr>
            <w:tcW w:w="4876" w:type="dxa"/>
            <w:hideMark/>
          </w:tcPr>
          <w:p w:rsidR="00AF0131" w:rsidRPr="00EA4A56" w:rsidRDefault="006F2CA5" w:rsidP="00C33FBD">
            <w:pPr>
              <w:pStyle w:val="ColumnHeading"/>
              <w:keepNext/>
              <w:rPr>
                <w:lang w:val="es-ES_tradnl"/>
              </w:rPr>
            </w:pPr>
            <w:r w:rsidRPr="00EA4A56">
              <w:rPr>
                <w:lang w:val="es-ES_tradnl"/>
              </w:rPr>
              <w:t>Texto de la Comisión</w:t>
            </w:r>
          </w:p>
        </w:tc>
        <w:tc>
          <w:tcPr>
            <w:tcW w:w="4876" w:type="dxa"/>
            <w:hideMark/>
          </w:tcPr>
          <w:p w:rsidR="00AF0131" w:rsidRPr="00EA4A56" w:rsidRDefault="006F2CA5" w:rsidP="00C33FBD">
            <w:pPr>
              <w:pStyle w:val="ColumnHeading"/>
              <w:keepNext/>
              <w:rPr>
                <w:lang w:val="es-ES_tradnl"/>
              </w:rPr>
            </w:pPr>
            <w:r w:rsidRPr="00EA4A56">
              <w:rPr>
                <w:lang w:val="es-ES_tradnl"/>
              </w:rPr>
              <w:t>Enmienda</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lang w:val="es-ES_tradnl"/>
              </w:rPr>
              <w:t xml:space="preserve">El plan estructural nacional de política fiscal a medio plazo también describirá las medidas adoptadas por el Estado </w:t>
            </w:r>
            <w:r w:rsidRPr="00EA4A56">
              <w:rPr>
                <w:lang w:val="es-ES_tradnl"/>
              </w:rPr>
              <w:t>miembro de que se trate para seguir las recomendaciones específicas por país, incluidas las que sean pertinentes para el procedimiento de desequilibrio macroeconómico y las advertencias de la Comisión, cuando proceda, o las recomendaciones del Consejo, cua</w:t>
            </w:r>
            <w:r w:rsidRPr="00EA4A56">
              <w:rPr>
                <w:lang w:val="es-ES_tradnl"/>
              </w:rPr>
              <w:t>ndo proceda, formuladas de conformidad con el artículo 121, apartado 4, del TFUE.</w:t>
            </w:r>
          </w:p>
        </w:tc>
        <w:tc>
          <w:tcPr>
            <w:tcW w:w="4876" w:type="dxa"/>
            <w:hideMark/>
          </w:tcPr>
          <w:p w:rsidR="00AF0131" w:rsidRPr="00EA4A56" w:rsidRDefault="006F2CA5" w:rsidP="00C33FBD">
            <w:pPr>
              <w:pStyle w:val="Normal6"/>
              <w:rPr>
                <w:szCs w:val="24"/>
                <w:lang w:val="es-ES_tradnl"/>
              </w:rPr>
            </w:pPr>
            <w:r w:rsidRPr="00EA4A56">
              <w:rPr>
                <w:lang w:val="es-ES_tradnl"/>
              </w:rPr>
              <w:t>El plan estructural nacional de política fiscal a medio plazo también describirá las medidas adoptadas por el Estado miembro de que se trate para seguir las recomendaciones e</w:t>
            </w:r>
            <w:r w:rsidRPr="00EA4A56">
              <w:rPr>
                <w:lang w:val="es-ES_tradnl"/>
              </w:rPr>
              <w:t>specíficas por país, incluidas las que sean pertinentes para el procedimiento de desequilibrio macroeconómico</w:t>
            </w:r>
            <w:r w:rsidRPr="00EA4A56">
              <w:rPr>
                <w:b/>
                <w:bCs/>
                <w:i/>
                <w:iCs/>
                <w:lang w:val="es-ES_tradnl"/>
              </w:rPr>
              <w:t>, así como los retos identificados en los informes por país y los informes de convergencia social en virtud del marco de convergencia social,</w:t>
            </w:r>
            <w:r w:rsidRPr="00EA4A56">
              <w:rPr>
                <w:lang w:val="es-ES_tradnl"/>
              </w:rPr>
              <w:t xml:space="preserve"> y las</w:t>
            </w:r>
            <w:r w:rsidRPr="00EA4A56">
              <w:rPr>
                <w:lang w:val="es-ES_tradnl"/>
              </w:rPr>
              <w:t xml:space="preserve"> advertencias de la Comisión, cuando proceda, o las recomendaciones del Consejo, cuando proceda, formuladas de conformidad con el artículo 121, apartado 4</w:t>
            </w:r>
            <w:r w:rsidRPr="00EA4A56">
              <w:rPr>
                <w:b/>
                <w:bCs/>
                <w:i/>
                <w:iCs/>
                <w:lang w:val="es-ES_tradnl"/>
              </w:rPr>
              <w:t>, y el artículo 148, apartado 4</w:t>
            </w:r>
            <w:r w:rsidRPr="00EA4A56">
              <w:rPr>
                <w:lang w:val="es-ES_tradnl"/>
              </w:rPr>
              <w:t xml:space="preserve"> </w:t>
            </w:r>
            <w:r w:rsidRPr="00EA4A56">
              <w:rPr>
                <w:lang w:val="es-ES_tradnl"/>
              </w:rPr>
              <w:lastRenderedPageBreak/>
              <w:t>del TFUE.</w:t>
            </w:r>
          </w:p>
        </w:tc>
      </w:tr>
    </w:tbl>
    <w:p w:rsidR="00AF0131" w:rsidRPr="00EA4A56" w:rsidRDefault="006F2CA5" w:rsidP="00C56375">
      <w:pPr>
        <w:rPr>
          <w:rStyle w:val="HideTWBExt"/>
          <w:rFonts w:ascii="Times New Roman" w:hAnsi="Times New Roman" w:cs="Times New Roman"/>
          <w:noProof w:val="0"/>
          <w:vanish w:val="0"/>
          <w:color w:val="auto"/>
          <w:sz w:val="24"/>
        </w:rPr>
      </w:pPr>
      <w:r w:rsidRPr="00EA4A56">
        <w:rPr>
          <w:rStyle w:val="HideTWBExt"/>
        </w:rPr>
        <w:lastRenderedPageBreak/>
        <w:t>&lt;/Amend&gt;</w:t>
      </w:r>
    </w:p>
    <w:p w:rsidR="00AF0131" w:rsidRPr="00EA4A56" w:rsidRDefault="006F2CA5" w:rsidP="00AF0131">
      <w:pPr>
        <w:pStyle w:val="AmNumberTabs"/>
      </w:pPr>
      <w:r w:rsidRPr="00EA4A56">
        <w:rPr>
          <w:rStyle w:val="HideTWBExt"/>
          <w:b w:val="0"/>
        </w:rPr>
        <w:t>&lt;Amend&gt;</w:t>
      </w:r>
      <w:r w:rsidRPr="00EA4A56">
        <w:t>Enmienda</w:t>
      </w:r>
      <w:r w:rsidRPr="00EA4A56">
        <w:tab/>
      </w:r>
      <w:r w:rsidRPr="00EA4A56">
        <w:tab/>
      </w:r>
      <w:r w:rsidRPr="00EA4A56">
        <w:rPr>
          <w:rStyle w:val="HideTWBExt"/>
          <w:b w:val="0"/>
        </w:rPr>
        <w:t>&lt;NumAm&gt;</w:t>
      </w:r>
      <w:r w:rsidRPr="00EA4A56">
        <w:t>18</w:t>
      </w:r>
      <w:r w:rsidRPr="00EA4A56">
        <w:rPr>
          <w:rStyle w:val="HideTWBExt"/>
          <w:b w:val="0"/>
        </w:rPr>
        <w:t>&lt;/NumAm&gt;</w:t>
      </w:r>
    </w:p>
    <w:p w:rsidR="00AF0131" w:rsidRPr="00EA4A56" w:rsidRDefault="00AF0131" w:rsidP="00AF0131"/>
    <w:p w:rsidR="00AF0131" w:rsidRPr="00EA4A56" w:rsidRDefault="006F2CA5" w:rsidP="00AF0131">
      <w:pPr>
        <w:pStyle w:val="NormalBold"/>
        <w:keepNext/>
      </w:pPr>
      <w:r w:rsidRPr="00EA4A56">
        <w:rPr>
          <w:rStyle w:val="HideTWBExt"/>
          <w:b w:val="0"/>
        </w:rPr>
        <w:t>&lt;DocAmend&gt;</w:t>
      </w:r>
      <w:r w:rsidRPr="00EA4A56">
        <w:t>Prop</w:t>
      </w:r>
      <w:r w:rsidRPr="00EA4A56">
        <w:t>uesta de Reglamento</w:t>
      </w:r>
      <w:r w:rsidRPr="00EA4A56">
        <w:rPr>
          <w:rStyle w:val="HideTWBExt"/>
          <w:b w:val="0"/>
        </w:rPr>
        <w:t>&lt;/DocAmend&gt;</w:t>
      </w:r>
    </w:p>
    <w:p w:rsidR="00AF0131" w:rsidRPr="00EA4A56" w:rsidRDefault="006F2CA5" w:rsidP="00AF0131">
      <w:pPr>
        <w:pStyle w:val="NormalBold"/>
      </w:pPr>
      <w:r w:rsidRPr="00EA4A56">
        <w:rPr>
          <w:rStyle w:val="HideTWBExt"/>
          <w:b w:val="0"/>
        </w:rPr>
        <w:t>&lt;Article&gt;</w:t>
      </w:r>
      <w:r w:rsidRPr="00EA4A56">
        <w:t>Artículo 12 – apartado 1 – letra b</w:t>
      </w:r>
      <w:r w:rsidRPr="00EA4A5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20E9E" w:rsidRPr="00EA4A56" w:rsidTr="00C33FBD">
        <w:trPr>
          <w:jc w:val="center"/>
        </w:trPr>
        <w:tc>
          <w:tcPr>
            <w:tcW w:w="9752" w:type="dxa"/>
            <w:gridSpan w:val="2"/>
          </w:tcPr>
          <w:p w:rsidR="00AF0131" w:rsidRPr="00EA4A56" w:rsidRDefault="00AF0131" w:rsidP="00C33FBD">
            <w:pPr>
              <w:keepNext/>
            </w:pPr>
          </w:p>
        </w:tc>
      </w:tr>
      <w:tr w:rsidR="00820E9E" w:rsidRPr="00EA4A56" w:rsidTr="00C33FBD">
        <w:trPr>
          <w:jc w:val="center"/>
        </w:trPr>
        <w:tc>
          <w:tcPr>
            <w:tcW w:w="4876" w:type="dxa"/>
            <w:hideMark/>
          </w:tcPr>
          <w:p w:rsidR="00AF0131" w:rsidRPr="00EA4A56" w:rsidRDefault="006F2CA5" w:rsidP="00C33FBD">
            <w:pPr>
              <w:pStyle w:val="ColumnHeading"/>
              <w:keepNext/>
              <w:rPr>
                <w:lang w:val="es-ES_tradnl"/>
              </w:rPr>
            </w:pPr>
            <w:r w:rsidRPr="00EA4A56">
              <w:rPr>
                <w:lang w:val="es-ES_tradnl"/>
              </w:rPr>
              <w:t>Texto de la Comisión</w:t>
            </w:r>
          </w:p>
        </w:tc>
        <w:tc>
          <w:tcPr>
            <w:tcW w:w="4876" w:type="dxa"/>
            <w:hideMark/>
          </w:tcPr>
          <w:p w:rsidR="00AF0131" w:rsidRPr="00EA4A56" w:rsidRDefault="006F2CA5" w:rsidP="00C33FBD">
            <w:pPr>
              <w:pStyle w:val="ColumnHeading"/>
              <w:keepNext/>
              <w:rPr>
                <w:lang w:val="es-ES_tradnl"/>
              </w:rPr>
            </w:pPr>
            <w:r w:rsidRPr="00EA4A56">
              <w:rPr>
                <w:lang w:val="es-ES_tradnl"/>
              </w:rPr>
              <w:t>Enmienda</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lang w:val="es-ES_tradnl"/>
              </w:rPr>
              <w:t>b)</w:t>
            </w:r>
            <w:r w:rsidRPr="00EA4A56">
              <w:rPr>
                <w:lang w:val="es-ES_tradnl"/>
              </w:rPr>
              <w:tab/>
              <w:t xml:space="preserve">explicará cómo garantizará la realización de inversiones y reformas que respondan a los principales retos señalados en las </w:t>
            </w:r>
            <w:r w:rsidRPr="00EA4A56">
              <w:rPr>
                <w:lang w:val="es-ES_tradnl"/>
              </w:rPr>
              <w:t>recomendaciones específicas por país en el marco del Semestre Europeo, corregirá, en su caso, los desequilibrios macroeconómicos detectados en el marco del procedimiento de desequilibrio macroeconómico y abordará las prioridades comunes de la Unión a que s</w:t>
            </w:r>
            <w:r w:rsidRPr="00EA4A56">
              <w:rPr>
                <w:lang w:val="es-ES_tradnl"/>
              </w:rPr>
              <w:t>e refiere el anexo VI del presente Reglamento, incluidos el Pacto Verde Europeo, el pilar europeo de derechos sociales y la Década Digital, al tiempo que será coherente con los planes nacionales actualizados en materia de energía y clima y las hojas de rut</w:t>
            </w:r>
            <w:r w:rsidRPr="00EA4A56">
              <w:rPr>
                <w:lang w:val="es-ES_tradnl"/>
              </w:rPr>
              <w:t>a nacionales para la Década Digital;</w:t>
            </w:r>
          </w:p>
        </w:tc>
        <w:tc>
          <w:tcPr>
            <w:tcW w:w="4876" w:type="dxa"/>
            <w:hideMark/>
          </w:tcPr>
          <w:p w:rsidR="00AF0131" w:rsidRPr="00EA4A56" w:rsidRDefault="006F2CA5" w:rsidP="00C33FBD">
            <w:pPr>
              <w:pStyle w:val="Normal6"/>
              <w:rPr>
                <w:szCs w:val="24"/>
                <w:lang w:val="es-ES_tradnl"/>
              </w:rPr>
            </w:pPr>
            <w:r w:rsidRPr="00EA4A56">
              <w:rPr>
                <w:lang w:val="es-ES_tradnl"/>
              </w:rPr>
              <w:t>b)</w:t>
            </w:r>
            <w:r w:rsidRPr="00EA4A56">
              <w:rPr>
                <w:lang w:val="es-ES_tradnl"/>
              </w:rPr>
              <w:tab/>
            </w:r>
            <w:r w:rsidRPr="00EA4A56">
              <w:rPr>
                <w:b/>
                <w:i/>
                <w:lang w:val="es-ES_tradnl"/>
              </w:rPr>
              <w:t>evaluará los déficits nacionales de inversión pública para alcanzar las prioridades comunes; sobre esta base, establecerá que el ajuste presupuestario previsto permita la inversión social necesaria para aplicar los p</w:t>
            </w:r>
            <w:r w:rsidRPr="00EA4A56">
              <w:rPr>
                <w:b/>
                <w:i/>
                <w:lang w:val="es-ES_tradnl"/>
              </w:rPr>
              <w:t xml:space="preserve">rincipios del pilar europeo de derechos sociales. </w:t>
            </w:r>
            <w:r w:rsidRPr="00EA4A56">
              <w:rPr>
                <w:b/>
                <w:bCs/>
                <w:i/>
                <w:iCs/>
                <w:lang w:val="es-ES_tradnl"/>
              </w:rPr>
              <w:t>Además,</w:t>
            </w:r>
            <w:r w:rsidRPr="00EA4A56">
              <w:rPr>
                <w:lang w:val="es-ES_tradnl"/>
              </w:rPr>
              <w:t xml:space="preserve"> explicará cómo garantizará la realización de inversiones y reformas que respondan a los principales retos señalados en las recomendaciones específicas por país en el marco del Semestre Europeo, corr</w:t>
            </w:r>
            <w:r w:rsidRPr="00EA4A56">
              <w:rPr>
                <w:lang w:val="es-ES_tradnl"/>
              </w:rPr>
              <w:t>egirá, en su caso, los desequilibrios macroeconómicos detectados en el marco del procedimiento de desequilibrio macroeconómico</w:t>
            </w:r>
            <w:r w:rsidRPr="00EA4A56">
              <w:rPr>
                <w:b/>
                <w:bCs/>
                <w:i/>
                <w:iCs/>
                <w:lang w:val="es-ES_tradnl"/>
              </w:rPr>
              <w:t xml:space="preserve"> y los riesgos para la convergencia social identificados en virtud del marco de convergencia social</w:t>
            </w:r>
            <w:r w:rsidRPr="00EA4A56">
              <w:rPr>
                <w:lang w:val="es-ES_tradnl"/>
              </w:rPr>
              <w:t xml:space="preserve"> y abordará las prioridades com</w:t>
            </w:r>
            <w:r w:rsidRPr="00EA4A56">
              <w:rPr>
                <w:lang w:val="es-ES_tradnl"/>
              </w:rPr>
              <w:t>unes de la Unión a que se refiere el artículo 1 del presente Reglamento, incluidos el Pacto Verde Europeo, el pilar europeo de derechos sociales</w:t>
            </w:r>
            <w:r w:rsidRPr="00EA4A56">
              <w:rPr>
                <w:b/>
                <w:bCs/>
                <w:i/>
                <w:iCs/>
                <w:lang w:val="es-ES_tradnl"/>
              </w:rPr>
              <w:t xml:space="preserve"> —incluidos los objetivos conexos en materia de empleo, formación y re</w:t>
            </w:r>
            <w:r w:rsidR="00EA4A56" w:rsidRPr="00EA4A56">
              <w:rPr>
                <w:b/>
                <w:bCs/>
                <w:i/>
                <w:iCs/>
                <w:lang w:val="es-ES_tradnl"/>
              </w:rPr>
              <w:t>ducción de la pobreza de aquí a </w:t>
            </w:r>
            <w:r w:rsidRPr="00EA4A56">
              <w:rPr>
                <w:b/>
                <w:bCs/>
                <w:i/>
                <w:iCs/>
                <w:lang w:val="es-ES_tradnl"/>
              </w:rPr>
              <w:t>2030—</w:t>
            </w:r>
            <w:r w:rsidRPr="00EA4A56">
              <w:rPr>
                <w:lang w:val="es-ES_tradnl"/>
              </w:rPr>
              <w:t>, y l</w:t>
            </w:r>
            <w:r w:rsidRPr="00EA4A56">
              <w:rPr>
                <w:lang w:val="es-ES_tradnl"/>
              </w:rPr>
              <w:t>a Década Digital, al tiempo que será coherente con los planes nacionales actualizados en materia de energía y clima y las hojas de ruta nacionales para la Década Digital.</w:t>
            </w:r>
            <w:r w:rsidRPr="00EA4A56">
              <w:rPr>
                <w:b/>
                <w:i/>
                <w:lang w:val="es-ES_tradnl"/>
              </w:rPr>
              <w:t xml:space="preserve"> </w:t>
            </w:r>
            <w:r w:rsidRPr="00EA4A56">
              <w:rPr>
                <w:b/>
                <w:bCs/>
                <w:i/>
                <w:iCs/>
                <w:lang w:val="es-ES_tradnl"/>
              </w:rPr>
              <w:t>Además, explicará cómo contribuye a la aplicación de las orientaciones generales para</w:t>
            </w:r>
            <w:r w:rsidRPr="00EA4A56">
              <w:rPr>
                <w:b/>
                <w:bCs/>
                <w:i/>
                <w:iCs/>
                <w:lang w:val="es-ES_tradnl"/>
              </w:rPr>
              <w:t xml:space="preserve"> las políticas económicas de los Estados miembros y a las orientaciones para las políticas de empleo, de conformidad con el artículo 121, apartado 2, y el artículo 148, apartado 2, del TFUE</w:t>
            </w:r>
            <w:r w:rsidRPr="00EA4A56">
              <w:rPr>
                <w:lang w:val="es-ES_tradnl"/>
              </w:rPr>
              <w:t>;</w:t>
            </w:r>
          </w:p>
        </w:tc>
      </w:tr>
    </w:tbl>
    <w:p w:rsidR="00AF0131" w:rsidRPr="00EA4A56" w:rsidRDefault="006F2CA5" w:rsidP="00C56375">
      <w:pPr>
        <w:rPr>
          <w:rStyle w:val="HideTWBExt"/>
          <w:rFonts w:ascii="Times New Roman" w:hAnsi="Times New Roman" w:cs="Times New Roman"/>
          <w:noProof w:val="0"/>
          <w:vanish w:val="0"/>
          <w:color w:val="auto"/>
          <w:sz w:val="24"/>
        </w:rPr>
      </w:pPr>
      <w:r w:rsidRPr="00EA4A56">
        <w:rPr>
          <w:rStyle w:val="HideTWBExt"/>
        </w:rPr>
        <w:t>&lt;/Amend&gt;</w:t>
      </w:r>
    </w:p>
    <w:p w:rsidR="00AF0131" w:rsidRPr="00EA4A56" w:rsidRDefault="006F2CA5" w:rsidP="00AF0131">
      <w:pPr>
        <w:pStyle w:val="AmNumberTabs"/>
      </w:pPr>
      <w:r w:rsidRPr="00EA4A56">
        <w:rPr>
          <w:rStyle w:val="HideTWBExt"/>
          <w:b w:val="0"/>
        </w:rPr>
        <w:lastRenderedPageBreak/>
        <w:t>&lt;Amend&gt;</w:t>
      </w:r>
      <w:r w:rsidRPr="00EA4A56">
        <w:t>Enmienda</w:t>
      </w:r>
      <w:r w:rsidRPr="00EA4A56">
        <w:tab/>
      </w:r>
      <w:r w:rsidRPr="00EA4A56">
        <w:tab/>
      </w:r>
      <w:r w:rsidRPr="00EA4A56">
        <w:rPr>
          <w:rStyle w:val="HideTWBExt"/>
          <w:b w:val="0"/>
        </w:rPr>
        <w:t>&lt;NumAm&gt;</w:t>
      </w:r>
      <w:r w:rsidRPr="00EA4A56">
        <w:t>19</w:t>
      </w:r>
      <w:r w:rsidRPr="00EA4A56">
        <w:rPr>
          <w:rStyle w:val="HideTWBExt"/>
          <w:b w:val="0"/>
        </w:rPr>
        <w:t>&lt;/NumAm&gt;</w:t>
      </w:r>
    </w:p>
    <w:p w:rsidR="00AF0131" w:rsidRPr="00EA4A56" w:rsidRDefault="00AF0131" w:rsidP="00AF0131"/>
    <w:p w:rsidR="00AF0131" w:rsidRPr="00EA4A56" w:rsidRDefault="006F2CA5" w:rsidP="00AF0131">
      <w:pPr>
        <w:pStyle w:val="NormalBold"/>
        <w:keepNext/>
      </w:pPr>
      <w:r w:rsidRPr="00EA4A56">
        <w:rPr>
          <w:rStyle w:val="HideTWBExt"/>
          <w:b w:val="0"/>
        </w:rPr>
        <w:t>&lt;DocAmend&gt;</w:t>
      </w:r>
      <w:r w:rsidRPr="00EA4A56">
        <w:t>Propuesta</w:t>
      </w:r>
      <w:r w:rsidRPr="00EA4A56">
        <w:t xml:space="preserve"> de Reglamento</w:t>
      </w:r>
      <w:r w:rsidRPr="00EA4A56">
        <w:rPr>
          <w:rStyle w:val="HideTWBExt"/>
          <w:b w:val="0"/>
        </w:rPr>
        <w:t>&lt;/DocAmend&gt;</w:t>
      </w:r>
    </w:p>
    <w:p w:rsidR="00AF0131" w:rsidRPr="00EA4A56" w:rsidRDefault="006F2CA5" w:rsidP="00AF0131">
      <w:pPr>
        <w:pStyle w:val="NormalBold"/>
      </w:pPr>
      <w:r w:rsidRPr="00EA4A56">
        <w:rPr>
          <w:rStyle w:val="HideTWBExt"/>
          <w:b w:val="0"/>
        </w:rPr>
        <w:t>&lt;Article&gt;</w:t>
      </w:r>
      <w:r w:rsidRPr="00EA4A56">
        <w:t>Artículo 12 – apartado 1 – letra d bis (nueva)</w:t>
      </w:r>
      <w:r w:rsidRPr="00EA4A5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20E9E" w:rsidRPr="00EA4A56" w:rsidTr="00C33FBD">
        <w:trPr>
          <w:jc w:val="center"/>
        </w:trPr>
        <w:tc>
          <w:tcPr>
            <w:tcW w:w="9752" w:type="dxa"/>
            <w:gridSpan w:val="2"/>
          </w:tcPr>
          <w:p w:rsidR="00AF0131" w:rsidRPr="00EA4A56" w:rsidRDefault="00AF0131" w:rsidP="00C33FBD">
            <w:pPr>
              <w:keepNext/>
            </w:pPr>
          </w:p>
        </w:tc>
      </w:tr>
      <w:tr w:rsidR="00820E9E" w:rsidRPr="00EA4A56" w:rsidTr="00C33FBD">
        <w:trPr>
          <w:jc w:val="center"/>
        </w:trPr>
        <w:tc>
          <w:tcPr>
            <w:tcW w:w="4876" w:type="dxa"/>
            <w:hideMark/>
          </w:tcPr>
          <w:p w:rsidR="00AF0131" w:rsidRPr="00EA4A56" w:rsidRDefault="006F2CA5" w:rsidP="00C33FBD">
            <w:pPr>
              <w:pStyle w:val="ColumnHeading"/>
              <w:keepNext/>
              <w:rPr>
                <w:lang w:val="es-ES_tradnl"/>
              </w:rPr>
            </w:pPr>
            <w:r w:rsidRPr="00EA4A56">
              <w:rPr>
                <w:lang w:val="es-ES_tradnl"/>
              </w:rPr>
              <w:t>Texto de la Comisión</w:t>
            </w:r>
          </w:p>
        </w:tc>
        <w:tc>
          <w:tcPr>
            <w:tcW w:w="4876" w:type="dxa"/>
            <w:hideMark/>
          </w:tcPr>
          <w:p w:rsidR="00AF0131" w:rsidRPr="00EA4A56" w:rsidRDefault="006F2CA5" w:rsidP="00C33FBD">
            <w:pPr>
              <w:pStyle w:val="ColumnHeading"/>
              <w:keepNext/>
              <w:rPr>
                <w:lang w:val="es-ES_tradnl"/>
              </w:rPr>
            </w:pPr>
            <w:r w:rsidRPr="00EA4A56">
              <w:rPr>
                <w:lang w:val="es-ES_tradnl"/>
              </w:rPr>
              <w:t>Enmienda</w:t>
            </w:r>
          </w:p>
        </w:tc>
      </w:tr>
      <w:tr w:rsidR="00820E9E" w:rsidRPr="00EA4A56" w:rsidTr="00C33FBD">
        <w:trPr>
          <w:jc w:val="center"/>
        </w:trPr>
        <w:tc>
          <w:tcPr>
            <w:tcW w:w="4876" w:type="dxa"/>
          </w:tcPr>
          <w:p w:rsidR="00AF0131" w:rsidRPr="00EA4A56" w:rsidRDefault="00AF0131" w:rsidP="00C33FBD">
            <w:pPr>
              <w:pStyle w:val="Normal6"/>
              <w:rPr>
                <w:lang w:val="es-ES_tradnl"/>
              </w:rPr>
            </w:pPr>
          </w:p>
        </w:tc>
        <w:tc>
          <w:tcPr>
            <w:tcW w:w="4876" w:type="dxa"/>
            <w:hideMark/>
          </w:tcPr>
          <w:p w:rsidR="00AF0131" w:rsidRPr="00EA4A56" w:rsidRDefault="006F2CA5" w:rsidP="00C33FBD">
            <w:pPr>
              <w:pStyle w:val="Normal6"/>
              <w:rPr>
                <w:szCs w:val="24"/>
                <w:lang w:val="es-ES_tradnl"/>
              </w:rPr>
            </w:pPr>
            <w:r w:rsidRPr="00EA4A56">
              <w:rPr>
                <w:b/>
                <w:i/>
                <w:lang w:val="es-ES_tradnl"/>
              </w:rPr>
              <w:t>d bis)</w:t>
            </w:r>
            <w:r w:rsidRPr="00EA4A56">
              <w:rPr>
                <w:b/>
                <w:i/>
                <w:lang w:val="es-ES_tradnl"/>
              </w:rPr>
              <w:tab/>
              <w:t xml:space="preserve">explicará el proceso de consulta, llevado a cabo de conformidad con el marco jurídico nacional, de las autoridades locales </w:t>
            </w:r>
            <w:r w:rsidRPr="00EA4A56">
              <w:rPr>
                <w:b/>
                <w:i/>
                <w:lang w:val="es-ES_tradnl"/>
              </w:rPr>
              <w:t>y regionales, los interlocutores sociales, las organizaciones de la sociedad civil y otras partes interesadas pertinentes, y cómo se reflejan las aportaciones de las partes interesadas en el plan y en el proceso de ejecución; y</w:t>
            </w:r>
          </w:p>
        </w:tc>
      </w:tr>
    </w:tbl>
    <w:p w:rsidR="00AF0131" w:rsidRPr="00EA4A56" w:rsidRDefault="006F2CA5" w:rsidP="00AF0131">
      <w:r w:rsidRPr="00EA4A56">
        <w:rPr>
          <w:rStyle w:val="HideTWBExt"/>
        </w:rPr>
        <w:t>&lt;/Amend&gt;</w:t>
      </w:r>
    </w:p>
    <w:p w:rsidR="00AF0131" w:rsidRPr="00EA4A56" w:rsidRDefault="006F2CA5" w:rsidP="00AF0131">
      <w:pPr>
        <w:pStyle w:val="AmNumberTabs"/>
      </w:pPr>
      <w:r w:rsidRPr="00EA4A56">
        <w:rPr>
          <w:rStyle w:val="HideTWBExt"/>
          <w:b w:val="0"/>
        </w:rPr>
        <w:t>&lt;Amend&gt;</w:t>
      </w:r>
      <w:r w:rsidRPr="00EA4A56">
        <w:t>Enmienda</w:t>
      </w:r>
      <w:r w:rsidRPr="00EA4A56">
        <w:tab/>
      </w:r>
      <w:r w:rsidRPr="00EA4A56">
        <w:tab/>
      </w:r>
      <w:r w:rsidRPr="00EA4A56">
        <w:rPr>
          <w:rStyle w:val="HideTWBExt"/>
          <w:b w:val="0"/>
        </w:rPr>
        <w:t>&lt;NumAm&gt;</w:t>
      </w:r>
      <w:r w:rsidRPr="00EA4A56">
        <w:t>20</w:t>
      </w:r>
      <w:r w:rsidRPr="00EA4A56">
        <w:rPr>
          <w:rStyle w:val="HideTWBExt"/>
          <w:b w:val="0"/>
        </w:rPr>
        <w:t>&lt;/NumAm&gt;</w:t>
      </w:r>
    </w:p>
    <w:p w:rsidR="00AF0131" w:rsidRPr="00EA4A56" w:rsidRDefault="00AF0131" w:rsidP="00AF0131"/>
    <w:p w:rsidR="00AF0131" w:rsidRPr="00EA4A56" w:rsidRDefault="006F2CA5" w:rsidP="00AF0131">
      <w:pPr>
        <w:pStyle w:val="NormalBold"/>
        <w:keepNext/>
      </w:pPr>
      <w:r w:rsidRPr="00EA4A56">
        <w:rPr>
          <w:rStyle w:val="HideTWBExt"/>
          <w:b w:val="0"/>
        </w:rPr>
        <w:t>&lt;DocAmend&gt;</w:t>
      </w:r>
      <w:r w:rsidRPr="00EA4A56">
        <w:t>Propuesta de Reglamento</w:t>
      </w:r>
      <w:r w:rsidRPr="00EA4A56">
        <w:rPr>
          <w:rStyle w:val="HideTWBExt"/>
          <w:b w:val="0"/>
        </w:rPr>
        <w:t>&lt;/DocAmend&gt;</w:t>
      </w:r>
    </w:p>
    <w:p w:rsidR="00AF0131" w:rsidRPr="00EA4A56" w:rsidRDefault="006F2CA5" w:rsidP="00AF0131">
      <w:pPr>
        <w:pStyle w:val="NormalBold"/>
      </w:pPr>
      <w:r w:rsidRPr="00EA4A56">
        <w:rPr>
          <w:rStyle w:val="HideTWBExt"/>
          <w:b w:val="0"/>
        </w:rPr>
        <w:t>&lt;Article&gt;</w:t>
      </w:r>
      <w:r w:rsidRPr="00EA4A56">
        <w:t>Artículo 13 – apartado 2 – párrafo 2 – inciso iv</w:t>
      </w:r>
      <w:r w:rsidRPr="00EA4A5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20E9E" w:rsidRPr="00EA4A56" w:rsidTr="00C33FBD">
        <w:trPr>
          <w:jc w:val="center"/>
        </w:trPr>
        <w:tc>
          <w:tcPr>
            <w:tcW w:w="9752" w:type="dxa"/>
            <w:gridSpan w:val="2"/>
          </w:tcPr>
          <w:p w:rsidR="00AF0131" w:rsidRPr="00EA4A56" w:rsidRDefault="00AF0131" w:rsidP="00C33FBD">
            <w:pPr>
              <w:keepNext/>
            </w:pPr>
          </w:p>
        </w:tc>
      </w:tr>
      <w:tr w:rsidR="00820E9E" w:rsidRPr="00EA4A56" w:rsidTr="00C33FBD">
        <w:trPr>
          <w:jc w:val="center"/>
        </w:trPr>
        <w:tc>
          <w:tcPr>
            <w:tcW w:w="4876" w:type="dxa"/>
            <w:hideMark/>
          </w:tcPr>
          <w:p w:rsidR="00AF0131" w:rsidRPr="00EA4A56" w:rsidRDefault="006F2CA5" w:rsidP="00C33FBD">
            <w:pPr>
              <w:pStyle w:val="ColumnHeading"/>
              <w:keepNext/>
              <w:rPr>
                <w:lang w:val="es-ES_tradnl"/>
              </w:rPr>
            </w:pPr>
            <w:r w:rsidRPr="00EA4A56">
              <w:rPr>
                <w:lang w:val="es-ES_tradnl"/>
              </w:rPr>
              <w:t>Texto de la Comisión</w:t>
            </w:r>
          </w:p>
        </w:tc>
        <w:tc>
          <w:tcPr>
            <w:tcW w:w="4876" w:type="dxa"/>
            <w:hideMark/>
          </w:tcPr>
          <w:p w:rsidR="00AF0131" w:rsidRPr="00EA4A56" w:rsidRDefault="006F2CA5" w:rsidP="00C33FBD">
            <w:pPr>
              <w:pStyle w:val="ColumnHeading"/>
              <w:keepNext/>
              <w:rPr>
                <w:lang w:val="es-ES_tradnl"/>
              </w:rPr>
            </w:pPr>
            <w:r w:rsidRPr="00EA4A56">
              <w:rPr>
                <w:lang w:val="es-ES_tradnl"/>
              </w:rPr>
              <w:t>Enmienda</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lang w:val="es-ES_tradnl"/>
              </w:rPr>
              <w:t>iv)</w:t>
            </w:r>
            <w:r w:rsidRPr="00EA4A56">
              <w:rPr>
                <w:lang w:val="es-ES_tradnl"/>
              </w:rPr>
              <w:tab/>
              <w:t>seguirá las recomendaciones específicas por país pertinentes dirigidas al Estado miembr</w:t>
            </w:r>
            <w:r w:rsidRPr="00EA4A56">
              <w:rPr>
                <w:lang w:val="es-ES_tradnl"/>
              </w:rPr>
              <w:t>o de que se trate, incluidas, en su caso, las recomendaciones formuladas en el marco del procedimiento de desequilibrio macroeconómico;</w:t>
            </w:r>
          </w:p>
        </w:tc>
        <w:tc>
          <w:tcPr>
            <w:tcW w:w="4876" w:type="dxa"/>
            <w:hideMark/>
          </w:tcPr>
          <w:p w:rsidR="00AF0131" w:rsidRPr="00EA4A56" w:rsidRDefault="006F2CA5" w:rsidP="00C33FBD">
            <w:pPr>
              <w:pStyle w:val="Normal6"/>
              <w:rPr>
                <w:szCs w:val="24"/>
                <w:lang w:val="es-ES_tradnl"/>
              </w:rPr>
            </w:pPr>
            <w:r w:rsidRPr="00EA4A56">
              <w:rPr>
                <w:lang w:val="es-ES_tradnl"/>
              </w:rPr>
              <w:t>iv)</w:t>
            </w:r>
            <w:r w:rsidRPr="00EA4A56">
              <w:rPr>
                <w:lang w:val="es-ES_tradnl"/>
              </w:rPr>
              <w:tab/>
              <w:t xml:space="preserve">seguirá las recomendaciones específicas por país pertinentes dirigidas al Estado miembro de que se trate, </w:t>
            </w:r>
            <w:r w:rsidRPr="00EA4A56">
              <w:rPr>
                <w:b/>
                <w:bCs/>
                <w:i/>
                <w:iCs/>
                <w:lang w:val="es-ES_tradnl"/>
              </w:rPr>
              <w:t xml:space="preserve">en virtud </w:t>
            </w:r>
            <w:r w:rsidRPr="00EA4A56">
              <w:rPr>
                <w:b/>
                <w:bCs/>
                <w:i/>
                <w:iCs/>
                <w:lang w:val="es-ES_tradnl"/>
              </w:rPr>
              <w:t>del artículo 121, apartado 4, y del artículo 148, apartado 4, del TFUE,</w:t>
            </w:r>
            <w:r w:rsidRPr="00EA4A56">
              <w:rPr>
                <w:lang w:val="es-ES_tradnl"/>
              </w:rPr>
              <w:t xml:space="preserve"> incluidas, en su caso, las recomendaciones formuladas en el marco del procedimiento de desequilibrio macroeconómico </w:t>
            </w:r>
            <w:r w:rsidRPr="00EA4A56">
              <w:rPr>
                <w:b/>
                <w:bCs/>
                <w:i/>
                <w:iCs/>
                <w:lang w:val="es-ES_tradnl"/>
              </w:rPr>
              <w:t>y en el marco de convergencia social</w:t>
            </w:r>
            <w:r w:rsidRPr="00EA4A56">
              <w:rPr>
                <w:lang w:val="es-ES_tradnl"/>
              </w:rPr>
              <w:t>;</w:t>
            </w:r>
          </w:p>
        </w:tc>
      </w:tr>
    </w:tbl>
    <w:p w:rsidR="00AF0131" w:rsidRPr="00EA4A56" w:rsidRDefault="006F2CA5" w:rsidP="00C56375">
      <w:pPr>
        <w:rPr>
          <w:rStyle w:val="HideTWBExt"/>
          <w:rFonts w:ascii="Times New Roman" w:hAnsi="Times New Roman" w:cs="Times New Roman"/>
          <w:noProof w:val="0"/>
          <w:vanish w:val="0"/>
          <w:color w:val="auto"/>
          <w:sz w:val="24"/>
        </w:rPr>
      </w:pPr>
      <w:r w:rsidRPr="00EA4A56">
        <w:rPr>
          <w:rStyle w:val="HideTWBExt"/>
        </w:rPr>
        <w:t>&lt;/Amend&gt;</w:t>
      </w:r>
    </w:p>
    <w:p w:rsidR="00AF0131" w:rsidRPr="00EA4A56" w:rsidRDefault="006F2CA5" w:rsidP="00AF0131">
      <w:pPr>
        <w:pStyle w:val="AmNumberTabs"/>
      </w:pPr>
      <w:r w:rsidRPr="00EA4A56">
        <w:rPr>
          <w:rStyle w:val="HideTWBExt"/>
          <w:b w:val="0"/>
        </w:rPr>
        <w:t>&lt;Amend&gt;</w:t>
      </w:r>
      <w:r w:rsidRPr="00EA4A56">
        <w:t>Enmienda</w:t>
      </w:r>
      <w:r w:rsidRPr="00EA4A56">
        <w:tab/>
      </w:r>
      <w:r w:rsidRPr="00EA4A56">
        <w:tab/>
      </w:r>
      <w:r w:rsidRPr="00EA4A56">
        <w:rPr>
          <w:rStyle w:val="HideTWBExt"/>
          <w:b w:val="0"/>
        </w:rPr>
        <w:t>&lt;NumAm&gt;</w:t>
      </w:r>
      <w:r w:rsidRPr="00EA4A56">
        <w:t>21</w:t>
      </w:r>
      <w:r w:rsidRPr="00EA4A56">
        <w:rPr>
          <w:rStyle w:val="HideTWBExt"/>
          <w:b w:val="0"/>
        </w:rPr>
        <w:t>&lt;/NumAm&gt;</w:t>
      </w:r>
    </w:p>
    <w:p w:rsidR="00AF0131" w:rsidRPr="00EA4A56" w:rsidRDefault="00AF0131" w:rsidP="00AF0131"/>
    <w:p w:rsidR="00AF0131" w:rsidRPr="00EA4A56" w:rsidRDefault="006F2CA5" w:rsidP="00AF0131">
      <w:pPr>
        <w:pStyle w:val="NormalBold"/>
        <w:keepNext/>
      </w:pPr>
      <w:r w:rsidRPr="00EA4A56">
        <w:rPr>
          <w:rStyle w:val="HideTWBExt"/>
          <w:b w:val="0"/>
        </w:rPr>
        <w:t>&lt;DocAmend&gt;</w:t>
      </w:r>
      <w:r w:rsidRPr="00EA4A56">
        <w:t>Propuesta de Reglamento</w:t>
      </w:r>
      <w:r w:rsidRPr="00EA4A56">
        <w:rPr>
          <w:rStyle w:val="HideTWBExt"/>
          <w:b w:val="0"/>
        </w:rPr>
        <w:t>&lt;/DocAmend&gt;</w:t>
      </w:r>
    </w:p>
    <w:p w:rsidR="00AF0131" w:rsidRPr="00EA4A56" w:rsidRDefault="006F2CA5" w:rsidP="00AF0131">
      <w:pPr>
        <w:pStyle w:val="NormalBold"/>
      </w:pPr>
      <w:r w:rsidRPr="00EA4A56">
        <w:rPr>
          <w:rStyle w:val="HideTWBExt"/>
          <w:b w:val="0"/>
        </w:rPr>
        <w:t>&lt;Article&gt;</w:t>
      </w:r>
      <w:r w:rsidRPr="00EA4A56">
        <w:t>Artículo 16 – apartado 1</w:t>
      </w:r>
      <w:r w:rsidRPr="00EA4A5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20E9E" w:rsidRPr="00EA4A56" w:rsidTr="00C33FBD">
        <w:trPr>
          <w:jc w:val="center"/>
        </w:trPr>
        <w:tc>
          <w:tcPr>
            <w:tcW w:w="9752" w:type="dxa"/>
            <w:gridSpan w:val="2"/>
          </w:tcPr>
          <w:p w:rsidR="00AF0131" w:rsidRPr="00EA4A56" w:rsidRDefault="00AF0131" w:rsidP="00C33FBD">
            <w:pPr>
              <w:keepNext/>
            </w:pPr>
          </w:p>
        </w:tc>
      </w:tr>
      <w:tr w:rsidR="00820E9E" w:rsidRPr="00EA4A56" w:rsidTr="00C33FBD">
        <w:trPr>
          <w:jc w:val="center"/>
        </w:trPr>
        <w:tc>
          <w:tcPr>
            <w:tcW w:w="4876" w:type="dxa"/>
            <w:hideMark/>
          </w:tcPr>
          <w:p w:rsidR="00AF0131" w:rsidRPr="00EA4A56" w:rsidRDefault="006F2CA5" w:rsidP="00C33FBD">
            <w:pPr>
              <w:pStyle w:val="ColumnHeading"/>
              <w:keepNext/>
              <w:rPr>
                <w:lang w:val="es-ES_tradnl"/>
              </w:rPr>
            </w:pPr>
            <w:r w:rsidRPr="00EA4A56">
              <w:rPr>
                <w:lang w:val="es-ES_tradnl"/>
              </w:rPr>
              <w:t>Texto de la Comisión</w:t>
            </w:r>
          </w:p>
        </w:tc>
        <w:tc>
          <w:tcPr>
            <w:tcW w:w="4876" w:type="dxa"/>
            <w:hideMark/>
          </w:tcPr>
          <w:p w:rsidR="00AF0131" w:rsidRPr="00EA4A56" w:rsidRDefault="006F2CA5" w:rsidP="00C33FBD">
            <w:pPr>
              <w:pStyle w:val="ColumnHeading"/>
              <w:keepNext/>
              <w:rPr>
                <w:lang w:val="es-ES_tradnl"/>
              </w:rPr>
            </w:pPr>
            <w:r w:rsidRPr="00EA4A56">
              <w:rPr>
                <w:lang w:val="es-ES_tradnl"/>
              </w:rPr>
              <w:t>Enmienda</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lang w:val="es-ES_tradnl"/>
              </w:rPr>
              <w:t>El Consejo, sobre la base de una recomendación de la Comisión, adoptará una recomendación que establezca la trayect</w:t>
            </w:r>
            <w:r w:rsidRPr="00EA4A56">
              <w:rPr>
                <w:lang w:val="es-ES_tradnl"/>
              </w:rPr>
              <w:t xml:space="preserve">oria de gasto neto del Estado miembro de que se trate y, en su caso, </w:t>
            </w:r>
            <w:r w:rsidRPr="00EA4A56">
              <w:rPr>
                <w:lang w:val="es-ES_tradnl"/>
              </w:rPr>
              <w:lastRenderedPageBreak/>
              <w:t>apruebe el conjunto de compromisos de reforma e inversión que sustentan una ampliación del período de ajuste incluido en su plan estructural nacional de política fiscal a medio plazo</w:t>
            </w:r>
            <w:r w:rsidRPr="00EA4A56">
              <w:rPr>
                <w:b/>
                <w:bCs/>
                <w:i/>
                <w:iCs/>
                <w:lang w:val="es-ES_tradnl"/>
              </w:rPr>
              <w:t xml:space="preserve"> en u</w:t>
            </w:r>
            <w:r w:rsidRPr="00EA4A56">
              <w:rPr>
                <w:b/>
                <w:bCs/>
                <w:i/>
                <w:iCs/>
                <w:lang w:val="es-ES_tradnl"/>
              </w:rPr>
              <w:t>n plazo de cuatro</w:t>
            </w:r>
            <w:r w:rsidRPr="00EA4A56">
              <w:rPr>
                <w:lang w:val="es-ES_tradnl"/>
              </w:rPr>
              <w:t xml:space="preserve"> semanas a partir de la adopción de la recomendación de la Comisión, por regla general.</w:t>
            </w:r>
          </w:p>
        </w:tc>
        <w:tc>
          <w:tcPr>
            <w:tcW w:w="4876" w:type="dxa"/>
            <w:hideMark/>
          </w:tcPr>
          <w:p w:rsidR="00AF0131" w:rsidRPr="00EA4A56" w:rsidRDefault="006F2CA5" w:rsidP="00C33FBD">
            <w:pPr>
              <w:pStyle w:val="Normal6"/>
              <w:rPr>
                <w:szCs w:val="24"/>
                <w:lang w:val="es-ES_tradnl"/>
              </w:rPr>
            </w:pPr>
            <w:r w:rsidRPr="00EA4A56">
              <w:rPr>
                <w:lang w:val="es-ES_tradnl"/>
              </w:rPr>
              <w:lastRenderedPageBreak/>
              <w:t xml:space="preserve">El Consejo, sobre la base de una recomendación de la Comisión </w:t>
            </w:r>
            <w:r w:rsidRPr="00EA4A56">
              <w:rPr>
                <w:b/>
                <w:bCs/>
                <w:i/>
                <w:iCs/>
                <w:lang w:val="es-ES_tradnl"/>
              </w:rPr>
              <w:t>y tras consultar a los comités consultivos pertinentes contemplados en el artículo 26</w:t>
            </w:r>
            <w:r w:rsidRPr="00EA4A56">
              <w:rPr>
                <w:lang w:val="es-ES_tradnl"/>
              </w:rPr>
              <w:t xml:space="preserve">, adoptará una recomendación </w:t>
            </w:r>
            <w:r w:rsidRPr="00EA4A56">
              <w:rPr>
                <w:lang w:val="es-ES_tradnl"/>
              </w:rPr>
              <w:lastRenderedPageBreak/>
              <w:t>que establezca la trayectoria de gasto neto del Estado miembro de que se trate y, en su caso, apruebe el conjunto de compromisos de reforma e inversión que sustentan una ampliación del período de ajuste incluido en su plan estr</w:t>
            </w:r>
            <w:r w:rsidRPr="00EA4A56">
              <w:rPr>
                <w:lang w:val="es-ES_tradnl"/>
              </w:rPr>
              <w:t xml:space="preserve">uctural nacional de política fiscal a medio plazo </w:t>
            </w:r>
            <w:r w:rsidRPr="00EA4A56">
              <w:rPr>
                <w:b/>
                <w:bCs/>
                <w:i/>
                <w:iCs/>
                <w:lang w:val="es-ES_tradnl"/>
              </w:rPr>
              <w:t>entre seis y diez</w:t>
            </w:r>
            <w:r w:rsidRPr="00EA4A56">
              <w:rPr>
                <w:lang w:val="es-ES_tradnl"/>
              </w:rPr>
              <w:t xml:space="preserve"> semanas a partir de la adopción de la recomendación de la Comisión, por regla general.</w:t>
            </w:r>
          </w:p>
        </w:tc>
      </w:tr>
    </w:tbl>
    <w:p w:rsidR="00AF0131" w:rsidRPr="00EA4A56" w:rsidRDefault="006F2CA5" w:rsidP="00C56375">
      <w:pPr>
        <w:rPr>
          <w:rStyle w:val="HideTWBExt"/>
          <w:rFonts w:ascii="Times New Roman" w:hAnsi="Times New Roman" w:cs="Times New Roman"/>
          <w:noProof w:val="0"/>
          <w:vanish w:val="0"/>
          <w:color w:val="auto"/>
          <w:sz w:val="24"/>
        </w:rPr>
      </w:pPr>
      <w:r w:rsidRPr="00EA4A56">
        <w:rPr>
          <w:rStyle w:val="HideTWBExt"/>
        </w:rPr>
        <w:lastRenderedPageBreak/>
        <w:t>&lt;/Amend&gt;</w:t>
      </w:r>
    </w:p>
    <w:p w:rsidR="00AF0131" w:rsidRPr="00EA4A56" w:rsidRDefault="006F2CA5" w:rsidP="00AF0131">
      <w:pPr>
        <w:pStyle w:val="AmNumberTabs"/>
      </w:pPr>
      <w:r w:rsidRPr="00EA4A56">
        <w:rPr>
          <w:rStyle w:val="HideTWBExt"/>
          <w:b w:val="0"/>
        </w:rPr>
        <w:t>&lt;Amend&gt;</w:t>
      </w:r>
      <w:r w:rsidRPr="00EA4A56">
        <w:t>Enmienda</w:t>
      </w:r>
      <w:r w:rsidRPr="00EA4A56">
        <w:tab/>
      </w:r>
      <w:r w:rsidRPr="00EA4A56">
        <w:tab/>
      </w:r>
      <w:r w:rsidRPr="00EA4A56">
        <w:rPr>
          <w:rStyle w:val="HideTWBExt"/>
          <w:b w:val="0"/>
        </w:rPr>
        <w:t>&lt;NumAm&gt;</w:t>
      </w:r>
      <w:r w:rsidRPr="00EA4A56">
        <w:t>22</w:t>
      </w:r>
      <w:r w:rsidRPr="00EA4A56">
        <w:rPr>
          <w:rStyle w:val="HideTWBExt"/>
          <w:b w:val="0"/>
        </w:rPr>
        <w:t>&lt;/NumAm&gt;</w:t>
      </w:r>
    </w:p>
    <w:p w:rsidR="00AF0131" w:rsidRPr="00EA4A56" w:rsidRDefault="00AF0131" w:rsidP="00AF0131"/>
    <w:p w:rsidR="00AF0131" w:rsidRPr="00EA4A56" w:rsidRDefault="006F2CA5" w:rsidP="00AF0131">
      <w:pPr>
        <w:pStyle w:val="NormalBold"/>
        <w:keepNext/>
      </w:pPr>
      <w:r w:rsidRPr="00EA4A56">
        <w:rPr>
          <w:rStyle w:val="HideTWBExt"/>
          <w:b w:val="0"/>
        </w:rPr>
        <w:t>&lt;DocAmend&gt;</w:t>
      </w:r>
      <w:r w:rsidRPr="00EA4A56">
        <w:t>Propuesta de Reglamento</w:t>
      </w:r>
      <w:r w:rsidRPr="00EA4A56">
        <w:rPr>
          <w:rStyle w:val="HideTWBExt"/>
          <w:b w:val="0"/>
        </w:rPr>
        <w:t>&lt;/DocAmend&gt;</w:t>
      </w:r>
    </w:p>
    <w:p w:rsidR="00AF0131" w:rsidRPr="00EA4A56" w:rsidRDefault="006F2CA5" w:rsidP="00AF0131">
      <w:pPr>
        <w:pStyle w:val="NormalBold"/>
      </w:pPr>
      <w:r w:rsidRPr="00EA4A56">
        <w:rPr>
          <w:rStyle w:val="HideTWBExt"/>
          <w:b w:val="0"/>
        </w:rPr>
        <w:t>&lt;Article&gt;</w:t>
      </w:r>
      <w:r w:rsidRPr="00EA4A56">
        <w:t>Artículo 17 – apartado 1</w:t>
      </w:r>
      <w:r w:rsidRPr="00EA4A5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20E9E" w:rsidRPr="00EA4A56" w:rsidTr="00C33FBD">
        <w:trPr>
          <w:jc w:val="center"/>
        </w:trPr>
        <w:tc>
          <w:tcPr>
            <w:tcW w:w="9752" w:type="dxa"/>
            <w:gridSpan w:val="2"/>
          </w:tcPr>
          <w:p w:rsidR="00AF0131" w:rsidRPr="00EA4A56" w:rsidRDefault="00AF0131" w:rsidP="00C33FBD">
            <w:pPr>
              <w:keepNext/>
            </w:pPr>
          </w:p>
        </w:tc>
      </w:tr>
      <w:tr w:rsidR="00820E9E" w:rsidRPr="00EA4A56" w:rsidTr="00C33FBD">
        <w:trPr>
          <w:jc w:val="center"/>
        </w:trPr>
        <w:tc>
          <w:tcPr>
            <w:tcW w:w="4876" w:type="dxa"/>
            <w:hideMark/>
          </w:tcPr>
          <w:p w:rsidR="00AF0131" w:rsidRPr="00EA4A56" w:rsidRDefault="006F2CA5" w:rsidP="00C33FBD">
            <w:pPr>
              <w:pStyle w:val="ColumnHeading"/>
              <w:keepNext/>
              <w:rPr>
                <w:lang w:val="es-ES_tradnl"/>
              </w:rPr>
            </w:pPr>
            <w:r w:rsidRPr="00EA4A56">
              <w:rPr>
                <w:lang w:val="es-ES_tradnl"/>
              </w:rPr>
              <w:t>Texto de la Comisión</w:t>
            </w:r>
          </w:p>
        </w:tc>
        <w:tc>
          <w:tcPr>
            <w:tcW w:w="4876" w:type="dxa"/>
            <w:hideMark/>
          </w:tcPr>
          <w:p w:rsidR="00AF0131" w:rsidRPr="00EA4A56" w:rsidRDefault="006F2CA5" w:rsidP="00C33FBD">
            <w:pPr>
              <w:pStyle w:val="ColumnHeading"/>
              <w:keepNext/>
              <w:rPr>
                <w:lang w:val="es-ES_tradnl"/>
              </w:rPr>
            </w:pPr>
            <w:r w:rsidRPr="00EA4A56">
              <w:rPr>
                <w:lang w:val="es-ES_tradnl"/>
              </w:rPr>
              <w:t>Enmienda</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lang w:val="es-ES_tradnl"/>
              </w:rPr>
              <w:t xml:space="preserve">Cuando considere que el plan no cumple los requisitos establecidos en el artículo 15, apartado 2, y apartado 3, letra a), el Consejo, sobre la base de una recomendación de la Comisión, </w:t>
            </w:r>
            <w:r w:rsidRPr="00EA4A56">
              <w:rPr>
                <w:lang w:val="es-ES_tradnl"/>
              </w:rPr>
              <w:t>recomendará al Estado miembro de que se trate que presente un plan estructural nacional de política fiscal a medio plazo revisado.</w:t>
            </w:r>
          </w:p>
        </w:tc>
        <w:tc>
          <w:tcPr>
            <w:tcW w:w="4876" w:type="dxa"/>
            <w:hideMark/>
          </w:tcPr>
          <w:p w:rsidR="00AF0131" w:rsidRPr="00EA4A56" w:rsidRDefault="006F2CA5" w:rsidP="00C33FBD">
            <w:pPr>
              <w:pStyle w:val="Normal6"/>
              <w:rPr>
                <w:szCs w:val="24"/>
                <w:lang w:val="es-ES_tradnl"/>
              </w:rPr>
            </w:pPr>
            <w:r w:rsidRPr="00EA4A56">
              <w:rPr>
                <w:lang w:val="es-ES_tradnl"/>
              </w:rPr>
              <w:t>Cuando considere que el plan no cumple los requisitos establecidos en el artículo 15, apartado 2, y apartado 3, letras a) y b</w:t>
            </w:r>
            <w:r w:rsidRPr="00EA4A56">
              <w:rPr>
                <w:lang w:val="es-ES_tradnl"/>
              </w:rPr>
              <w:t xml:space="preserve">), el Consejo, sobre la base de una recomendación de la Comisión </w:t>
            </w:r>
            <w:r w:rsidRPr="00EA4A56">
              <w:rPr>
                <w:b/>
                <w:bCs/>
                <w:i/>
                <w:iCs/>
                <w:lang w:val="es-ES_tradnl"/>
              </w:rPr>
              <w:t>y tras consultar a los comités consultivos pertinentes contemplados en el artículo 26</w:t>
            </w:r>
            <w:r w:rsidRPr="00EA4A56">
              <w:rPr>
                <w:lang w:val="es-ES_tradnl"/>
              </w:rPr>
              <w:t>, recomendará al Estado miembro de que se trate que presente un plan estructural nacional de política fisc</w:t>
            </w:r>
            <w:r w:rsidRPr="00EA4A56">
              <w:rPr>
                <w:lang w:val="es-ES_tradnl"/>
              </w:rPr>
              <w:t>al a medio plazo revisado.</w:t>
            </w:r>
          </w:p>
        </w:tc>
      </w:tr>
    </w:tbl>
    <w:p w:rsidR="00AF0131" w:rsidRPr="00EA4A56" w:rsidRDefault="006F2CA5" w:rsidP="00AF0131">
      <w:r w:rsidRPr="00EA4A56">
        <w:rPr>
          <w:rStyle w:val="HideTWBExt"/>
        </w:rPr>
        <w:t>&lt;/Amend&gt;</w:t>
      </w:r>
    </w:p>
    <w:p w:rsidR="00AF0131" w:rsidRPr="00EA4A56" w:rsidRDefault="006F2CA5" w:rsidP="00AF0131">
      <w:pPr>
        <w:pStyle w:val="AmNumberTabs"/>
      </w:pPr>
      <w:r w:rsidRPr="00EA4A56">
        <w:rPr>
          <w:rStyle w:val="HideTWBExt"/>
          <w:b w:val="0"/>
        </w:rPr>
        <w:t>&lt;Amend&gt;</w:t>
      </w:r>
      <w:r w:rsidRPr="00EA4A56">
        <w:t>Enmienda</w:t>
      </w:r>
      <w:r w:rsidRPr="00EA4A56">
        <w:tab/>
      </w:r>
      <w:r w:rsidRPr="00EA4A56">
        <w:tab/>
      </w:r>
      <w:r w:rsidRPr="00EA4A56">
        <w:rPr>
          <w:rStyle w:val="HideTWBExt"/>
          <w:b w:val="0"/>
        </w:rPr>
        <w:t>&lt;NumAm&gt;</w:t>
      </w:r>
      <w:r w:rsidRPr="00EA4A56">
        <w:t>23</w:t>
      </w:r>
      <w:r w:rsidRPr="00EA4A56">
        <w:rPr>
          <w:rStyle w:val="HideTWBExt"/>
          <w:b w:val="0"/>
        </w:rPr>
        <w:t>&lt;/NumAm&gt;</w:t>
      </w:r>
    </w:p>
    <w:p w:rsidR="00AF0131" w:rsidRPr="00EA4A56" w:rsidRDefault="00AF0131" w:rsidP="00AF0131"/>
    <w:p w:rsidR="00AF0131" w:rsidRPr="00EA4A56" w:rsidRDefault="006F2CA5" w:rsidP="00AF0131">
      <w:pPr>
        <w:pStyle w:val="NormalBold"/>
        <w:keepNext/>
      </w:pPr>
      <w:r w:rsidRPr="00EA4A56">
        <w:rPr>
          <w:rStyle w:val="HideTWBExt"/>
          <w:b w:val="0"/>
        </w:rPr>
        <w:t>&lt;DocAmend&gt;</w:t>
      </w:r>
      <w:r w:rsidRPr="00EA4A56">
        <w:t>Propuesta de Reglamento</w:t>
      </w:r>
      <w:r w:rsidRPr="00EA4A56">
        <w:rPr>
          <w:rStyle w:val="HideTWBExt"/>
          <w:b w:val="0"/>
        </w:rPr>
        <w:t>&lt;/DocAmend&gt;</w:t>
      </w:r>
    </w:p>
    <w:p w:rsidR="00AF0131" w:rsidRPr="00EA4A56" w:rsidRDefault="006F2CA5" w:rsidP="00AF0131">
      <w:pPr>
        <w:pStyle w:val="NormalBold"/>
      </w:pPr>
      <w:r w:rsidRPr="00EA4A56">
        <w:rPr>
          <w:rStyle w:val="HideTWBExt"/>
          <w:b w:val="0"/>
        </w:rPr>
        <w:t>&lt;Article&gt;</w:t>
      </w:r>
      <w:r w:rsidRPr="00EA4A56">
        <w:t>Artículo 20 – apartado 2</w:t>
      </w:r>
      <w:r w:rsidRPr="00EA4A5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20E9E" w:rsidRPr="00EA4A56" w:rsidTr="00C33FBD">
        <w:trPr>
          <w:jc w:val="center"/>
        </w:trPr>
        <w:tc>
          <w:tcPr>
            <w:tcW w:w="9752" w:type="dxa"/>
            <w:gridSpan w:val="2"/>
          </w:tcPr>
          <w:p w:rsidR="00AF0131" w:rsidRPr="00EA4A56" w:rsidRDefault="00AF0131" w:rsidP="00C33FBD">
            <w:pPr>
              <w:keepNext/>
            </w:pPr>
          </w:p>
        </w:tc>
      </w:tr>
      <w:tr w:rsidR="00820E9E" w:rsidRPr="00EA4A56" w:rsidTr="00C33FBD">
        <w:trPr>
          <w:jc w:val="center"/>
        </w:trPr>
        <w:tc>
          <w:tcPr>
            <w:tcW w:w="4876" w:type="dxa"/>
            <w:hideMark/>
          </w:tcPr>
          <w:p w:rsidR="00AF0131" w:rsidRPr="00EA4A56" w:rsidRDefault="006F2CA5" w:rsidP="00C33FBD">
            <w:pPr>
              <w:pStyle w:val="ColumnHeading"/>
              <w:keepNext/>
              <w:rPr>
                <w:lang w:val="es-ES_tradnl"/>
              </w:rPr>
            </w:pPr>
            <w:r w:rsidRPr="00EA4A56">
              <w:rPr>
                <w:lang w:val="es-ES_tradnl"/>
              </w:rPr>
              <w:t>Texto de la Comisión</w:t>
            </w:r>
          </w:p>
        </w:tc>
        <w:tc>
          <w:tcPr>
            <w:tcW w:w="4876" w:type="dxa"/>
            <w:hideMark/>
          </w:tcPr>
          <w:p w:rsidR="00AF0131" w:rsidRPr="00EA4A56" w:rsidRDefault="006F2CA5" w:rsidP="00C33FBD">
            <w:pPr>
              <w:pStyle w:val="ColumnHeading"/>
              <w:keepNext/>
              <w:rPr>
                <w:lang w:val="es-ES_tradnl"/>
              </w:rPr>
            </w:pPr>
            <w:r w:rsidRPr="00EA4A56">
              <w:rPr>
                <w:lang w:val="es-ES_tradnl"/>
              </w:rPr>
              <w:t>Enmienda</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lang w:val="es-ES_tradnl"/>
              </w:rPr>
              <w:t>2.</w:t>
            </w:r>
            <w:r w:rsidRPr="00EA4A56">
              <w:rPr>
                <w:lang w:val="es-ES_tradnl"/>
              </w:rPr>
              <w:tab/>
              <w:t xml:space="preserve">El informe anual de situación a que se refiere el </w:t>
            </w:r>
            <w:r w:rsidRPr="00EA4A56">
              <w:rPr>
                <w:lang w:val="es-ES_tradnl"/>
              </w:rPr>
              <w:t>apartado 1 contendrá, en particular, información sobre los avances en la aplicación de la trayectoria de gasto neto, la aplicación de compromisos más amplios de reforma e inversión en el contexto del Semestre Europeo y, en su caso, en la aplicación del con</w:t>
            </w:r>
            <w:r w:rsidRPr="00EA4A56">
              <w:rPr>
                <w:lang w:val="es-ES_tradnl"/>
              </w:rPr>
              <w:t xml:space="preserve">junto de compromisos de reforma e inversión que </w:t>
            </w:r>
            <w:r w:rsidRPr="00EA4A56">
              <w:rPr>
                <w:lang w:val="es-ES_tradnl"/>
              </w:rPr>
              <w:lastRenderedPageBreak/>
              <w:t>sustentan una ampliación del período de ajuste.</w:t>
            </w:r>
          </w:p>
        </w:tc>
        <w:tc>
          <w:tcPr>
            <w:tcW w:w="4876" w:type="dxa"/>
            <w:hideMark/>
          </w:tcPr>
          <w:p w:rsidR="00AF0131" w:rsidRPr="00EA4A56" w:rsidRDefault="006F2CA5" w:rsidP="00C33FBD">
            <w:pPr>
              <w:pStyle w:val="Normal6"/>
              <w:rPr>
                <w:szCs w:val="24"/>
                <w:lang w:val="es-ES_tradnl"/>
              </w:rPr>
            </w:pPr>
            <w:r w:rsidRPr="00EA4A56">
              <w:rPr>
                <w:lang w:val="es-ES_tradnl"/>
              </w:rPr>
              <w:lastRenderedPageBreak/>
              <w:t>2.</w:t>
            </w:r>
            <w:r w:rsidRPr="00EA4A56">
              <w:rPr>
                <w:lang w:val="es-ES_tradnl"/>
              </w:rPr>
              <w:tab/>
              <w:t>El informe anual de situación a que se refiere el apartado 1 contendrá, en particular, información sobre los avances en la aplicación de la trayectoria de ga</w:t>
            </w:r>
            <w:r w:rsidRPr="00EA4A56">
              <w:rPr>
                <w:lang w:val="es-ES_tradnl"/>
              </w:rPr>
              <w:t>sto neto, la aplicación de compromisos más amplios de reforma e inversión en el contexto del Semestre Europeo</w:t>
            </w:r>
            <w:r w:rsidRPr="00EA4A56">
              <w:rPr>
                <w:b/>
                <w:bCs/>
                <w:i/>
                <w:iCs/>
                <w:lang w:val="es-ES_tradnl"/>
              </w:rPr>
              <w:t xml:space="preserve">, incluidos los avances hacia los objetivos de la Unión y nacionales en materia de empleo, </w:t>
            </w:r>
            <w:r w:rsidRPr="00EA4A56">
              <w:rPr>
                <w:b/>
                <w:bCs/>
                <w:i/>
                <w:iCs/>
                <w:lang w:val="es-ES_tradnl"/>
              </w:rPr>
              <w:lastRenderedPageBreak/>
              <w:t xml:space="preserve">educación y reducción de la pobreza de aquí a 2030, así </w:t>
            </w:r>
            <w:r w:rsidRPr="00EA4A56">
              <w:rPr>
                <w:b/>
                <w:bCs/>
                <w:i/>
                <w:iCs/>
                <w:lang w:val="es-ES_tradnl"/>
              </w:rPr>
              <w:t>como las prioridades comunes de la Unión a que se refiere el anexo VI</w:t>
            </w:r>
            <w:r w:rsidRPr="00EA4A56">
              <w:rPr>
                <w:lang w:val="es-ES_tradnl"/>
              </w:rPr>
              <w:t xml:space="preserve"> y, en su caso, en la aplicación del conjunto de compromisos de reforma e inversión que sustentan una ampliación del período de ajuste.</w:t>
            </w:r>
          </w:p>
        </w:tc>
      </w:tr>
    </w:tbl>
    <w:p w:rsidR="00AF0131" w:rsidRPr="00EA4A56" w:rsidRDefault="006F2CA5" w:rsidP="00C56375">
      <w:pPr>
        <w:rPr>
          <w:rStyle w:val="HideTWBExt"/>
          <w:rFonts w:ascii="Times New Roman" w:hAnsi="Times New Roman" w:cs="Times New Roman"/>
          <w:noProof w:val="0"/>
          <w:vanish w:val="0"/>
          <w:color w:val="auto"/>
          <w:sz w:val="24"/>
        </w:rPr>
      </w:pPr>
      <w:r w:rsidRPr="00EA4A56">
        <w:rPr>
          <w:rStyle w:val="HideTWBExt"/>
        </w:rPr>
        <w:lastRenderedPageBreak/>
        <w:t>&lt;/Amend&gt;</w:t>
      </w:r>
    </w:p>
    <w:p w:rsidR="00AF0131" w:rsidRPr="00EA4A56" w:rsidRDefault="006F2CA5" w:rsidP="00AF0131">
      <w:pPr>
        <w:pStyle w:val="AmNumberTabs"/>
      </w:pPr>
      <w:r w:rsidRPr="00EA4A56">
        <w:rPr>
          <w:rStyle w:val="HideTWBExt"/>
          <w:b w:val="0"/>
        </w:rPr>
        <w:t>&lt;Amend&gt;</w:t>
      </w:r>
      <w:r w:rsidRPr="00EA4A56">
        <w:t>Enmienda</w:t>
      </w:r>
      <w:r w:rsidRPr="00EA4A56">
        <w:tab/>
      </w:r>
      <w:r w:rsidRPr="00EA4A56">
        <w:tab/>
      </w:r>
      <w:r w:rsidRPr="00EA4A56">
        <w:rPr>
          <w:rStyle w:val="HideTWBExt"/>
          <w:b w:val="0"/>
        </w:rPr>
        <w:t>&lt;NumAm&gt;</w:t>
      </w:r>
      <w:r w:rsidRPr="00EA4A56">
        <w:t>24</w:t>
      </w:r>
      <w:r w:rsidRPr="00EA4A56">
        <w:rPr>
          <w:rStyle w:val="HideTWBExt"/>
          <w:b w:val="0"/>
        </w:rPr>
        <w:t>&lt;/NumAm&gt;</w:t>
      </w:r>
    </w:p>
    <w:p w:rsidR="00AF0131" w:rsidRPr="00EA4A56" w:rsidRDefault="00AF0131" w:rsidP="00AF0131"/>
    <w:p w:rsidR="00AF0131" w:rsidRPr="00EA4A56" w:rsidRDefault="006F2CA5" w:rsidP="00AF0131">
      <w:pPr>
        <w:pStyle w:val="NormalBold"/>
        <w:keepNext/>
      </w:pPr>
      <w:r w:rsidRPr="00EA4A56">
        <w:rPr>
          <w:rStyle w:val="HideTWBExt"/>
          <w:b w:val="0"/>
        </w:rPr>
        <w:t>&lt;DocA</w:t>
      </w:r>
      <w:r w:rsidRPr="00EA4A56">
        <w:rPr>
          <w:rStyle w:val="HideTWBExt"/>
          <w:b w:val="0"/>
        </w:rPr>
        <w:t>mend&gt;</w:t>
      </w:r>
      <w:r w:rsidRPr="00EA4A56">
        <w:t>Propuesta de Reglamento</w:t>
      </w:r>
      <w:r w:rsidRPr="00EA4A56">
        <w:rPr>
          <w:rStyle w:val="HideTWBExt"/>
          <w:b w:val="0"/>
        </w:rPr>
        <w:t>&lt;/DocAmend&gt;</w:t>
      </w:r>
    </w:p>
    <w:p w:rsidR="00AF0131" w:rsidRPr="00EA4A56" w:rsidRDefault="006F2CA5" w:rsidP="00AF0131">
      <w:pPr>
        <w:pStyle w:val="NormalBold"/>
      </w:pPr>
      <w:r w:rsidRPr="00EA4A56">
        <w:rPr>
          <w:rStyle w:val="HideTWBExt"/>
          <w:b w:val="0"/>
        </w:rPr>
        <w:t>&lt;Article&gt;</w:t>
      </w:r>
      <w:r w:rsidRPr="00EA4A56">
        <w:t>Artículo 22 – apartado 1</w:t>
      </w:r>
      <w:r w:rsidRPr="00EA4A5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20E9E" w:rsidRPr="00EA4A56" w:rsidTr="00C33FBD">
        <w:trPr>
          <w:jc w:val="center"/>
        </w:trPr>
        <w:tc>
          <w:tcPr>
            <w:tcW w:w="9752" w:type="dxa"/>
            <w:gridSpan w:val="2"/>
          </w:tcPr>
          <w:p w:rsidR="00AF0131" w:rsidRPr="00EA4A56" w:rsidRDefault="00AF0131" w:rsidP="00C33FBD">
            <w:pPr>
              <w:keepNext/>
            </w:pPr>
          </w:p>
        </w:tc>
      </w:tr>
      <w:tr w:rsidR="00820E9E" w:rsidRPr="00EA4A56" w:rsidTr="00C33FBD">
        <w:trPr>
          <w:jc w:val="center"/>
        </w:trPr>
        <w:tc>
          <w:tcPr>
            <w:tcW w:w="4876" w:type="dxa"/>
            <w:hideMark/>
          </w:tcPr>
          <w:p w:rsidR="00AF0131" w:rsidRPr="00EA4A56" w:rsidRDefault="006F2CA5" w:rsidP="00C33FBD">
            <w:pPr>
              <w:pStyle w:val="ColumnHeading"/>
              <w:keepNext/>
              <w:rPr>
                <w:lang w:val="es-ES_tradnl"/>
              </w:rPr>
            </w:pPr>
            <w:r w:rsidRPr="00EA4A56">
              <w:rPr>
                <w:lang w:val="es-ES_tradnl"/>
              </w:rPr>
              <w:t>Texto de la Comisión</w:t>
            </w:r>
          </w:p>
        </w:tc>
        <w:tc>
          <w:tcPr>
            <w:tcW w:w="4876" w:type="dxa"/>
            <w:hideMark/>
          </w:tcPr>
          <w:p w:rsidR="00AF0131" w:rsidRPr="00EA4A56" w:rsidRDefault="006F2CA5" w:rsidP="00C33FBD">
            <w:pPr>
              <w:pStyle w:val="ColumnHeading"/>
              <w:keepNext/>
              <w:rPr>
                <w:lang w:val="es-ES_tradnl"/>
              </w:rPr>
            </w:pPr>
            <w:r w:rsidRPr="00EA4A56">
              <w:rPr>
                <w:lang w:val="es-ES_tradnl"/>
              </w:rPr>
              <w:t>Enmienda</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lang w:val="es-ES_tradnl"/>
              </w:rPr>
              <w:t xml:space="preserve">Cada institución fiscal independiente nacional a que se refiere el artículo 8 de la Directiva [...]32 del Consejo [relativa a los marcos </w:t>
            </w:r>
            <w:r w:rsidRPr="00EA4A56">
              <w:rPr>
                <w:lang w:val="es-ES_tradnl"/>
              </w:rPr>
              <w:t>presupuestarios nacionales] proporcionará una evaluación de la conformidad de los datos relativos a los resultados presupuestarios notificados en el informe de situación a que se refiere el artículo 20 con la trayectoria de gasto neto</w:t>
            </w:r>
            <w:r w:rsidRPr="00EA4A56">
              <w:rPr>
                <w:b/>
                <w:bCs/>
                <w:i/>
                <w:iCs/>
                <w:lang w:val="es-ES_tradnl"/>
              </w:rPr>
              <w:t>.</w:t>
            </w:r>
            <w:r w:rsidRPr="00EA4A56">
              <w:rPr>
                <w:lang w:val="es-ES_tradnl"/>
              </w:rPr>
              <w:t xml:space="preserve"> </w:t>
            </w:r>
            <w:r w:rsidRPr="00EA4A56">
              <w:rPr>
                <w:b/>
                <w:bCs/>
                <w:i/>
                <w:iCs/>
                <w:lang w:val="es-ES_tradnl"/>
              </w:rPr>
              <w:t>Cuando proceda, cada</w:t>
            </w:r>
            <w:r w:rsidRPr="00EA4A56">
              <w:rPr>
                <w:b/>
                <w:bCs/>
                <w:i/>
                <w:iCs/>
                <w:lang w:val="es-ES_tradnl"/>
              </w:rPr>
              <w:t xml:space="preserve"> institución fiscal independiente nacional</w:t>
            </w:r>
            <w:r w:rsidRPr="00EA4A56">
              <w:rPr>
                <w:lang w:val="es-ES_tradnl"/>
              </w:rPr>
              <w:t xml:space="preserve"> analizará también los factores subyacentes a una desviación respecto de la trayectoria de gasto neto.</w:t>
            </w:r>
          </w:p>
        </w:tc>
        <w:tc>
          <w:tcPr>
            <w:tcW w:w="4876" w:type="dxa"/>
            <w:hideMark/>
          </w:tcPr>
          <w:p w:rsidR="00AF0131" w:rsidRPr="00EA4A56" w:rsidRDefault="006F2CA5" w:rsidP="00C33FBD">
            <w:pPr>
              <w:pStyle w:val="Normal6"/>
              <w:rPr>
                <w:szCs w:val="24"/>
                <w:lang w:val="es-ES_tradnl"/>
              </w:rPr>
            </w:pPr>
            <w:r w:rsidRPr="00EA4A56">
              <w:rPr>
                <w:lang w:val="es-ES_tradnl"/>
              </w:rPr>
              <w:t>Cada institución fiscal independiente nacional a que se refiere el artículo 8 de la Directiva [...]</w:t>
            </w:r>
            <w:r w:rsidRPr="00EA4A56">
              <w:rPr>
                <w:vertAlign w:val="superscript"/>
                <w:lang w:val="es-ES_tradnl"/>
              </w:rPr>
              <w:t>32</w:t>
            </w:r>
            <w:r w:rsidRPr="00EA4A56">
              <w:rPr>
                <w:lang w:val="es-ES_tradnl"/>
              </w:rPr>
              <w:t xml:space="preserve"> del Conse</w:t>
            </w:r>
            <w:r w:rsidRPr="00EA4A56">
              <w:rPr>
                <w:lang w:val="es-ES_tradnl"/>
              </w:rPr>
              <w:t>jo [relativa a los marcos presupuestarios nacionales]</w:t>
            </w:r>
            <w:r w:rsidRPr="00EA4A56">
              <w:rPr>
                <w:b/>
                <w:bCs/>
                <w:i/>
                <w:iCs/>
                <w:lang w:val="es-ES_tradnl"/>
              </w:rPr>
              <w:t>:</w:t>
            </w:r>
          </w:p>
        </w:tc>
      </w:tr>
      <w:tr w:rsidR="00820E9E" w:rsidRPr="00EA4A56" w:rsidTr="00C33FBD">
        <w:trPr>
          <w:jc w:val="center"/>
        </w:trPr>
        <w:tc>
          <w:tcPr>
            <w:tcW w:w="4876" w:type="dxa"/>
          </w:tcPr>
          <w:p w:rsidR="00AF0131" w:rsidRPr="00EA4A56" w:rsidRDefault="00AF0131" w:rsidP="00C33FBD">
            <w:pPr>
              <w:pStyle w:val="Normal6"/>
              <w:rPr>
                <w:lang w:val="es-ES_tradnl"/>
              </w:rPr>
            </w:pPr>
          </w:p>
        </w:tc>
        <w:tc>
          <w:tcPr>
            <w:tcW w:w="4876" w:type="dxa"/>
            <w:hideMark/>
          </w:tcPr>
          <w:p w:rsidR="00AF0131" w:rsidRPr="00EA4A56" w:rsidRDefault="006F2CA5" w:rsidP="00C33FBD">
            <w:pPr>
              <w:pStyle w:val="Normal6"/>
              <w:rPr>
                <w:szCs w:val="24"/>
                <w:lang w:val="es-ES_tradnl"/>
              </w:rPr>
            </w:pPr>
            <w:r w:rsidRPr="00EA4A56">
              <w:rPr>
                <w:b/>
                <w:i/>
                <w:lang w:val="es-ES_tradnl"/>
              </w:rPr>
              <w:t>a)</w:t>
            </w:r>
            <w:r w:rsidRPr="00EA4A56">
              <w:rPr>
                <w:lang w:val="es-ES_tradnl"/>
              </w:rPr>
              <w:t xml:space="preserve"> </w:t>
            </w:r>
            <w:r w:rsidRPr="00EA4A56">
              <w:rPr>
                <w:lang w:val="es-ES_tradnl"/>
              </w:rPr>
              <w:tab/>
              <w:t xml:space="preserve">proporcionará una evaluación de la conformidad de los datos relativos a los resultados presupuestarios notificados en el informe de situación a que se refiere el artículo 20 </w:t>
            </w:r>
            <w:r w:rsidRPr="00EA4A56">
              <w:rPr>
                <w:b/>
                <w:bCs/>
                <w:i/>
                <w:iCs/>
                <w:lang w:val="es-ES_tradnl"/>
              </w:rPr>
              <w:t>del presente Reglamen</w:t>
            </w:r>
            <w:r w:rsidRPr="00EA4A56">
              <w:rPr>
                <w:b/>
                <w:bCs/>
                <w:i/>
                <w:iCs/>
                <w:lang w:val="es-ES_tradnl"/>
              </w:rPr>
              <w:t>to</w:t>
            </w:r>
            <w:r w:rsidRPr="00EA4A56">
              <w:rPr>
                <w:lang w:val="es-ES_tradnl"/>
              </w:rPr>
              <w:t xml:space="preserve"> con la trayectoria de gasto neto</w:t>
            </w:r>
            <w:r w:rsidRPr="00EA4A56">
              <w:rPr>
                <w:b/>
                <w:bCs/>
                <w:i/>
                <w:iCs/>
                <w:lang w:val="es-ES_tradnl"/>
              </w:rPr>
              <w:t>;</w:t>
            </w:r>
          </w:p>
        </w:tc>
      </w:tr>
      <w:tr w:rsidR="00820E9E" w:rsidRPr="00EA4A56" w:rsidTr="00C33FBD">
        <w:trPr>
          <w:jc w:val="center"/>
        </w:trPr>
        <w:tc>
          <w:tcPr>
            <w:tcW w:w="4876" w:type="dxa"/>
          </w:tcPr>
          <w:p w:rsidR="00AF0131" w:rsidRPr="00EA4A56" w:rsidRDefault="00AF0131" w:rsidP="00C33FBD">
            <w:pPr>
              <w:pStyle w:val="Normal6"/>
              <w:rPr>
                <w:lang w:val="es-ES_tradnl"/>
              </w:rPr>
            </w:pPr>
          </w:p>
        </w:tc>
        <w:tc>
          <w:tcPr>
            <w:tcW w:w="4876" w:type="dxa"/>
            <w:hideMark/>
          </w:tcPr>
          <w:p w:rsidR="00AF0131" w:rsidRPr="00EA4A56" w:rsidRDefault="006F2CA5" w:rsidP="00C33FBD">
            <w:pPr>
              <w:pStyle w:val="Normal6"/>
              <w:rPr>
                <w:szCs w:val="24"/>
                <w:lang w:val="es-ES_tradnl"/>
              </w:rPr>
            </w:pPr>
            <w:r w:rsidRPr="00EA4A56">
              <w:rPr>
                <w:b/>
                <w:i/>
                <w:lang w:val="es-ES_tradnl"/>
              </w:rPr>
              <w:t>b)</w:t>
            </w:r>
            <w:r w:rsidRPr="00EA4A56">
              <w:rPr>
                <w:lang w:val="es-ES_tradnl"/>
              </w:rPr>
              <w:t xml:space="preserve"> </w:t>
            </w:r>
            <w:r w:rsidRPr="00EA4A56">
              <w:rPr>
                <w:lang w:val="es-ES_tradnl"/>
              </w:rPr>
              <w:tab/>
              <w:t>analizará también</w:t>
            </w:r>
            <w:r w:rsidRPr="00EA4A56">
              <w:rPr>
                <w:b/>
                <w:bCs/>
                <w:i/>
                <w:iCs/>
                <w:lang w:val="es-ES_tradnl"/>
              </w:rPr>
              <w:t>, cuando proceda,</w:t>
            </w:r>
            <w:r w:rsidRPr="00EA4A56">
              <w:rPr>
                <w:lang w:val="es-ES_tradnl"/>
              </w:rPr>
              <w:t xml:space="preserve"> los factores subyacentes a una desviación respecto de la trayectoria de gasto neto</w:t>
            </w:r>
            <w:r w:rsidRPr="00EA4A56">
              <w:rPr>
                <w:b/>
                <w:bCs/>
                <w:i/>
                <w:iCs/>
                <w:lang w:val="es-ES_tradnl"/>
              </w:rPr>
              <w:t>;</w:t>
            </w:r>
          </w:p>
        </w:tc>
      </w:tr>
      <w:tr w:rsidR="00820E9E" w:rsidRPr="00EA4A56" w:rsidTr="00C33FBD">
        <w:trPr>
          <w:jc w:val="center"/>
        </w:trPr>
        <w:tc>
          <w:tcPr>
            <w:tcW w:w="4876" w:type="dxa"/>
          </w:tcPr>
          <w:p w:rsidR="00AF0131" w:rsidRPr="00EA4A56" w:rsidRDefault="00AF0131" w:rsidP="00C33FBD">
            <w:pPr>
              <w:pStyle w:val="Normal6"/>
              <w:rPr>
                <w:lang w:val="es-ES_tradnl"/>
              </w:rPr>
            </w:pPr>
          </w:p>
        </w:tc>
        <w:tc>
          <w:tcPr>
            <w:tcW w:w="4876" w:type="dxa"/>
            <w:hideMark/>
          </w:tcPr>
          <w:p w:rsidR="00AF0131" w:rsidRPr="00EA4A56" w:rsidRDefault="006F2CA5" w:rsidP="00C33FBD">
            <w:pPr>
              <w:pStyle w:val="Normal6"/>
              <w:rPr>
                <w:szCs w:val="24"/>
                <w:lang w:val="es-ES_tradnl"/>
              </w:rPr>
            </w:pPr>
            <w:r w:rsidRPr="00EA4A56">
              <w:rPr>
                <w:b/>
                <w:i/>
                <w:lang w:val="es-ES_tradnl"/>
              </w:rPr>
              <w:t xml:space="preserve">c) </w:t>
            </w:r>
            <w:r w:rsidRPr="00EA4A56">
              <w:rPr>
                <w:lang w:val="es-ES_tradnl"/>
              </w:rPr>
              <w:tab/>
            </w:r>
            <w:r w:rsidRPr="00EA4A56">
              <w:rPr>
                <w:b/>
                <w:bCs/>
                <w:i/>
                <w:iCs/>
                <w:lang w:val="es-ES_tradnl"/>
              </w:rPr>
              <w:t xml:space="preserve">proporcionará una evaluación del impacto social de las decisiones de la política de </w:t>
            </w:r>
            <w:r w:rsidRPr="00EA4A56">
              <w:rPr>
                <w:b/>
                <w:bCs/>
                <w:i/>
                <w:iCs/>
                <w:lang w:val="es-ES_tradnl"/>
              </w:rPr>
              <w:t>ajuste presupuestario.</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lang w:val="es-ES_tradnl"/>
              </w:rPr>
              <w:t>__________________</w:t>
            </w:r>
          </w:p>
        </w:tc>
        <w:tc>
          <w:tcPr>
            <w:tcW w:w="4876" w:type="dxa"/>
            <w:hideMark/>
          </w:tcPr>
          <w:p w:rsidR="00AF0131" w:rsidRPr="00EA4A56" w:rsidRDefault="006F2CA5" w:rsidP="00C33FBD">
            <w:pPr>
              <w:pStyle w:val="Normal6"/>
              <w:rPr>
                <w:szCs w:val="24"/>
                <w:lang w:val="es-ES_tradnl"/>
              </w:rPr>
            </w:pPr>
            <w:r w:rsidRPr="00EA4A56">
              <w:rPr>
                <w:lang w:val="es-ES_tradnl"/>
              </w:rPr>
              <w:t>__________________</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vertAlign w:val="superscript"/>
                <w:lang w:val="es-ES_tradnl"/>
              </w:rPr>
              <w:t>32</w:t>
            </w:r>
            <w:r w:rsidRPr="00EA4A56">
              <w:rPr>
                <w:lang w:val="es-ES_tradnl"/>
              </w:rPr>
              <w:t xml:space="preserve"> Directiva [...] del Consejo de [...] [por la que se modifica la Directiva 2011/85/UE del Consejo sobre los requisitos aplicables a los marcos presupuestarios de los Estados </w:t>
            </w:r>
            <w:r w:rsidRPr="00EA4A56">
              <w:rPr>
                <w:lang w:val="es-ES_tradnl"/>
              </w:rPr>
              <w:lastRenderedPageBreak/>
              <w:t>miembros] (DO L..</w:t>
            </w:r>
            <w:r w:rsidRPr="00EA4A56">
              <w:rPr>
                <w:lang w:val="es-ES_tradnl"/>
              </w:rPr>
              <w:t>. de..., p</w:t>
            </w:r>
            <w:r w:rsidR="00EA4A56" w:rsidRPr="00EA4A56">
              <w:rPr>
                <w:lang w:val="es-ES_tradnl"/>
              </w:rPr>
              <w:t> </w:t>
            </w:r>
            <w:r w:rsidRPr="00EA4A56">
              <w:rPr>
                <w:lang w:val="es-ES_tradnl"/>
              </w:rPr>
              <w:t>…).</w:t>
            </w:r>
          </w:p>
        </w:tc>
        <w:tc>
          <w:tcPr>
            <w:tcW w:w="4876" w:type="dxa"/>
            <w:hideMark/>
          </w:tcPr>
          <w:p w:rsidR="00AF0131" w:rsidRPr="00EA4A56" w:rsidRDefault="006F2CA5" w:rsidP="00EA4A56">
            <w:pPr>
              <w:pStyle w:val="Normal6"/>
              <w:rPr>
                <w:szCs w:val="24"/>
                <w:lang w:val="es-ES_tradnl"/>
              </w:rPr>
            </w:pPr>
            <w:r w:rsidRPr="00EA4A56">
              <w:rPr>
                <w:vertAlign w:val="superscript"/>
                <w:lang w:val="es-ES_tradnl"/>
              </w:rPr>
              <w:lastRenderedPageBreak/>
              <w:t>32</w:t>
            </w:r>
            <w:r w:rsidRPr="00EA4A56">
              <w:rPr>
                <w:lang w:val="es-ES_tradnl"/>
              </w:rPr>
              <w:t xml:space="preserve"> Directiva [...] del Consejo de [...] [por la que se modifica la Directiva 2011/85/UE del Consejo sobre los requisitos aplicables a los marcos presupuestarios de los Estados </w:t>
            </w:r>
            <w:r w:rsidRPr="00EA4A56">
              <w:rPr>
                <w:lang w:val="es-ES_tradnl"/>
              </w:rPr>
              <w:lastRenderedPageBreak/>
              <w:t>miembros] (DO</w:t>
            </w:r>
            <w:r w:rsidR="00EA4A56" w:rsidRPr="00EA4A56">
              <w:rPr>
                <w:lang w:val="es-ES_tradnl"/>
              </w:rPr>
              <w:t> </w:t>
            </w:r>
            <w:r w:rsidRPr="00EA4A56">
              <w:rPr>
                <w:lang w:val="es-ES_tradnl"/>
              </w:rPr>
              <w:t>L...</w:t>
            </w:r>
            <w:r w:rsidR="00EA4A56" w:rsidRPr="00EA4A56">
              <w:rPr>
                <w:lang w:val="es-ES_tradnl"/>
              </w:rPr>
              <w:t> </w:t>
            </w:r>
            <w:r w:rsidRPr="00EA4A56">
              <w:rPr>
                <w:lang w:val="es-ES_tradnl"/>
              </w:rPr>
              <w:t>de..., p</w:t>
            </w:r>
            <w:r w:rsidR="00EA4A56" w:rsidRPr="00EA4A56">
              <w:rPr>
                <w:lang w:val="es-ES_tradnl"/>
              </w:rPr>
              <w:t> </w:t>
            </w:r>
            <w:r w:rsidRPr="00EA4A56">
              <w:rPr>
                <w:lang w:val="es-ES_tradnl"/>
              </w:rPr>
              <w:t>…).</w:t>
            </w:r>
          </w:p>
        </w:tc>
      </w:tr>
    </w:tbl>
    <w:p w:rsidR="00AF0131" w:rsidRPr="00EA4A56" w:rsidRDefault="006F2CA5" w:rsidP="00C56375">
      <w:pPr>
        <w:rPr>
          <w:rStyle w:val="HideTWBExt"/>
          <w:rFonts w:ascii="Times New Roman" w:hAnsi="Times New Roman" w:cs="Times New Roman"/>
          <w:noProof w:val="0"/>
          <w:vanish w:val="0"/>
          <w:color w:val="auto"/>
          <w:sz w:val="24"/>
        </w:rPr>
      </w:pPr>
      <w:r w:rsidRPr="00EA4A56">
        <w:rPr>
          <w:rStyle w:val="HideTWBExt"/>
        </w:rPr>
        <w:lastRenderedPageBreak/>
        <w:t>&lt;/Amend&gt;</w:t>
      </w:r>
    </w:p>
    <w:p w:rsidR="00AF0131" w:rsidRPr="00EA4A56" w:rsidRDefault="006F2CA5" w:rsidP="00AF0131">
      <w:pPr>
        <w:pStyle w:val="AmNumberTabs"/>
      </w:pPr>
      <w:r w:rsidRPr="00EA4A56">
        <w:rPr>
          <w:rStyle w:val="HideTWBExt"/>
          <w:b w:val="0"/>
        </w:rPr>
        <w:t>&lt;Amend&gt;</w:t>
      </w:r>
      <w:r w:rsidRPr="00EA4A56">
        <w:t>Enmienda</w:t>
      </w:r>
      <w:r w:rsidRPr="00EA4A56">
        <w:tab/>
      </w:r>
      <w:r w:rsidRPr="00EA4A56">
        <w:tab/>
      </w:r>
      <w:r w:rsidRPr="00EA4A56">
        <w:rPr>
          <w:rStyle w:val="HideTWBExt"/>
          <w:b w:val="0"/>
        </w:rPr>
        <w:t>&lt;NumAm&gt;</w:t>
      </w:r>
      <w:r w:rsidRPr="00EA4A56">
        <w:t>2</w:t>
      </w:r>
      <w:r w:rsidRPr="00EA4A56">
        <w:t>5</w:t>
      </w:r>
      <w:r w:rsidRPr="00EA4A56">
        <w:rPr>
          <w:rStyle w:val="HideTWBExt"/>
          <w:b w:val="0"/>
        </w:rPr>
        <w:t>&lt;/NumAm&gt;</w:t>
      </w:r>
    </w:p>
    <w:p w:rsidR="00AF0131" w:rsidRPr="00EA4A56" w:rsidRDefault="00AF0131" w:rsidP="00AF0131"/>
    <w:p w:rsidR="00AF0131" w:rsidRPr="00EA4A56" w:rsidRDefault="006F2CA5" w:rsidP="00AF0131">
      <w:pPr>
        <w:pStyle w:val="NormalBold"/>
        <w:keepNext/>
      </w:pPr>
      <w:r w:rsidRPr="00EA4A56">
        <w:rPr>
          <w:rStyle w:val="HideTWBExt"/>
          <w:b w:val="0"/>
        </w:rPr>
        <w:t>&lt;DocAmend&gt;</w:t>
      </w:r>
      <w:r w:rsidRPr="00EA4A56">
        <w:t>Propuesta de Reglamento</w:t>
      </w:r>
      <w:r w:rsidRPr="00EA4A56">
        <w:rPr>
          <w:rStyle w:val="HideTWBExt"/>
          <w:b w:val="0"/>
        </w:rPr>
        <w:t>&lt;/DocAmend&gt;</w:t>
      </w:r>
    </w:p>
    <w:p w:rsidR="00AF0131" w:rsidRPr="00EA4A56" w:rsidRDefault="006F2CA5" w:rsidP="00AF0131">
      <w:pPr>
        <w:pStyle w:val="NormalBold"/>
      </w:pPr>
      <w:r w:rsidRPr="00EA4A56">
        <w:rPr>
          <w:rStyle w:val="HideTWBExt"/>
          <w:b w:val="0"/>
        </w:rPr>
        <w:t>&lt;Article&gt;</w:t>
      </w:r>
      <w:r w:rsidRPr="00EA4A56">
        <w:t>Artículo 26 – apartado 1</w:t>
      </w:r>
      <w:r w:rsidRPr="00EA4A5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20E9E" w:rsidRPr="00EA4A56" w:rsidTr="00C33FBD">
        <w:trPr>
          <w:jc w:val="center"/>
        </w:trPr>
        <w:tc>
          <w:tcPr>
            <w:tcW w:w="9752" w:type="dxa"/>
            <w:gridSpan w:val="2"/>
          </w:tcPr>
          <w:p w:rsidR="00AF0131" w:rsidRPr="00EA4A56" w:rsidRDefault="00AF0131" w:rsidP="00C33FBD">
            <w:pPr>
              <w:keepNext/>
            </w:pPr>
          </w:p>
        </w:tc>
      </w:tr>
      <w:tr w:rsidR="00820E9E" w:rsidRPr="00EA4A56" w:rsidTr="00C33FBD">
        <w:trPr>
          <w:jc w:val="center"/>
        </w:trPr>
        <w:tc>
          <w:tcPr>
            <w:tcW w:w="4876" w:type="dxa"/>
            <w:hideMark/>
          </w:tcPr>
          <w:p w:rsidR="00AF0131" w:rsidRPr="00EA4A56" w:rsidRDefault="006F2CA5" w:rsidP="00C33FBD">
            <w:pPr>
              <w:pStyle w:val="ColumnHeading"/>
              <w:keepNext/>
              <w:rPr>
                <w:lang w:val="es-ES_tradnl"/>
              </w:rPr>
            </w:pPr>
            <w:r w:rsidRPr="00EA4A56">
              <w:rPr>
                <w:lang w:val="es-ES_tradnl"/>
              </w:rPr>
              <w:t>Texto de la Comisión</w:t>
            </w:r>
          </w:p>
        </w:tc>
        <w:tc>
          <w:tcPr>
            <w:tcW w:w="4876" w:type="dxa"/>
            <w:hideMark/>
          </w:tcPr>
          <w:p w:rsidR="00AF0131" w:rsidRPr="00EA4A56" w:rsidRDefault="006F2CA5" w:rsidP="00C33FBD">
            <w:pPr>
              <w:pStyle w:val="ColumnHeading"/>
              <w:keepNext/>
              <w:rPr>
                <w:lang w:val="es-ES_tradnl"/>
              </w:rPr>
            </w:pPr>
            <w:r w:rsidRPr="00EA4A56">
              <w:rPr>
                <w:lang w:val="es-ES_tradnl"/>
              </w:rPr>
              <w:t>Enmienda</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lang w:val="es-ES_tradnl"/>
              </w:rPr>
              <w:t xml:space="preserve">El Parlamento Europeo será debidamente asociado al Semestre Europeo, con el fin de reforzar la transparencia, la </w:t>
            </w:r>
            <w:r w:rsidRPr="00EA4A56">
              <w:rPr>
                <w:lang w:val="es-ES_tradnl"/>
              </w:rPr>
              <w:t>implicación y la responsabilidad en relación con las decisiones que se adopten, en particular por medio de un diálogo económico. Si procede, se consultará en el marco del Semestre Europeo al Comité Económico y Financiero, al Comité de Política Económica, a</w:t>
            </w:r>
            <w:r w:rsidRPr="00EA4A56">
              <w:rPr>
                <w:lang w:val="es-ES_tradnl"/>
              </w:rPr>
              <w:t>l Comité de Empleo y al Comité de Protección Social. Si procede, en el marco del Semestre Europeo, se implicará a las partes interesadas pertinentes, en particular a los interlocutores sociales, en las principales cuestiones políticas, de conformidad con l</w:t>
            </w:r>
            <w:r w:rsidRPr="00EA4A56">
              <w:rPr>
                <w:lang w:val="es-ES_tradnl"/>
              </w:rPr>
              <w:t>as disposiciones del TFUE y las disposiciones jurídicas y políticas nacionales.</w:t>
            </w:r>
          </w:p>
        </w:tc>
        <w:tc>
          <w:tcPr>
            <w:tcW w:w="4876" w:type="dxa"/>
            <w:hideMark/>
          </w:tcPr>
          <w:p w:rsidR="00AF0131" w:rsidRPr="00EA4A56" w:rsidRDefault="006F2CA5" w:rsidP="00C33FBD">
            <w:pPr>
              <w:pStyle w:val="Normal6"/>
              <w:rPr>
                <w:szCs w:val="24"/>
                <w:lang w:val="es-ES_tradnl"/>
              </w:rPr>
            </w:pPr>
            <w:r w:rsidRPr="00EA4A56">
              <w:rPr>
                <w:lang w:val="es-ES_tradnl"/>
              </w:rPr>
              <w:t>El Parlamento Europeo será debidamente asociado al Semestre Europeo, con el fin de reforzar la transparencia, la implicación y la responsabilidad en relación con las decisiones</w:t>
            </w:r>
            <w:r w:rsidRPr="00EA4A56">
              <w:rPr>
                <w:lang w:val="es-ES_tradnl"/>
              </w:rPr>
              <w:t xml:space="preserve"> que se adopten, en particular por medio de un diálogo económico </w:t>
            </w:r>
            <w:r w:rsidRPr="00EA4A56">
              <w:rPr>
                <w:b/>
                <w:bCs/>
                <w:i/>
                <w:iCs/>
                <w:lang w:val="es-ES_tradnl"/>
              </w:rPr>
              <w:t>y sobre el empleo, y para definir las prioridades de las políticas macroeconómicas y sociales</w:t>
            </w:r>
            <w:r w:rsidRPr="00EA4A56">
              <w:rPr>
                <w:lang w:val="es-ES_tradnl"/>
              </w:rPr>
              <w:t xml:space="preserve">. Si procede, se consultará en el marco del Semestre Europeo al Comité Económico y Financiero, al </w:t>
            </w:r>
            <w:r w:rsidRPr="00EA4A56">
              <w:rPr>
                <w:lang w:val="es-ES_tradnl"/>
              </w:rPr>
              <w:t xml:space="preserve">Comité de Política Económica, al Comité de Empleo y al Comité de Protección Social. </w:t>
            </w:r>
            <w:r w:rsidRPr="00EA4A56">
              <w:rPr>
                <w:b/>
                <w:bCs/>
                <w:i/>
                <w:iCs/>
                <w:lang w:val="es-ES_tradnl"/>
              </w:rPr>
              <w:t>Cuando proceda, también se consultará al Comité Económico y Social Europeo y al Comité de las Regiones en el marco del Semestre Europeo.</w:t>
            </w:r>
            <w:r w:rsidRPr="00EA4A56">
              <w:rPr>
                <w:lang w:val="es-ES_tradnl"/>
              </w:rPr>
              <w:t xml:space="preserve"> Si procede, en el marco del Semestr</w:t>
            </w:r>
            <w:r w:rsidRPr="00EA4A56">
              <w:rPr>
                <w:lang w:val="es-ES_tradnl"/>
              </w:rPr>
              <w:t>e Europeo, se implicará a las partes interesadas pertinentes, en particular a los interlocutores sociales</w:t>
            </w:r>
            <w:r w:rsidRPr="00EA4A56">
              <w:rPr>
                <w:b/>
                <w:bCs/>
                <w:i/>
                <w:iCs/>
                <w:lang w:val="es-ES_tradnl"/>
              </w:rPr>
              <w:t xml:space="preserve"> y a las organizaciones de la sociedad civil</w:t>
            </w:r>
            <w:r w:rsidRPr="00EA4A56">
              <w:rPr>
                <w:lang w:val="es-ES_tradnl"/>
              </w:rPr>
              <w:t>, en las principales cuestiones políticas, de conformidad con las disposiciones del TFUE y las disposicione</w:t>
            </w:r>
            <w:r w:rsidRPr="00EA4A56">
              <w:rPr>
                <w:lang w:val="es-ES_tradnl"/>
              </w:rPr>
              <w:t>s jurídicas y políticas nacionales.</w:t>
            </w:r>
          </w:p>
        </w:tc>
      </w:tr>
    </w:tbl>
    <w:p w:rsidR="00AF0131" w:rsidRPr="00EA4A56" w:rsidRDefault="006F2CA5" w:rsidP="00C56375">
      <w:pPr>
        <w:rPr>
          <w:rFonts w:eastAsiaTheme="majorEastAsia"/>
        </w:rPr>
      </w:pPr>
      <w:r w:rsidRPr="00EA4A56">
        <w:rPr>
          <w:rStyle w:val="HideTWBExt"/>
        </w:rPr>
        <w:t>&lt;/Amend&gt;</w:t>
      </w:r>
    </w:p>
    <w:p w:rsidR="00AF0131" w:rsidRPr="00EA4A56" w:rsidRDefault="006F2CA5" w:rsidP="00AF0131">
      <w:pPr>
        <w:pStyle w:val="AmNumberTabs"/>
      </w:pPr>
      <w:r w:rsidRPr="00EA4A56">
        <w:rPr>
          <w:rStyle w:val="HideTWBExt"/>
          <w:b w:val="0"/>
        </w:rPr>
        <w:t>&lt;Amend&gt;</w:t>
      </w:r>
      <w:r w:rsidRPr="00EA4A56">
        <w:t>Enmienda</w:t>
      </w:r>
      <w:r w:rsidRPr="00EA4A56">
        <w:tab/>
      </w:r>
      <w:r w:rsidRPr="00EA4A56">
        <w:tab/>
      </w:r>
      <w:r w:rsidRPr="00EA4A56">
        <w:rPr>
          <w:rStyle w:val="HideTWBExt"/>
          <w:b w:val="0"/>
        </w:rPr>
        <w:t>&lt;NumAm&gt;</w:t>
      </w:r>
      <w:r w:rsidRPr="00EA4A56">
        <w:t>26</w:t>
      </w:r>
      <w:r w:rsidRPr="00EA4A56">
        <w:rPr>
          <w:rStyle w:val="HideTWBExt"/>
          <w:b w:val="0"/>
        </w:rPr>
        <w:t>&lt;/NumAm&gt;</w:t>
      </w:r>
    </w:p>
    <w:p w:rsidR="00AF0131" w:rsidRPr="00EA4A56" w:rsidRDefault="00AF0131" w:rsidP="00AF0131"/>
    <w:p w:rsidR="00AF0131" w:rsidRPr="00EA4A56" w:rsidRDefault="006F2CA5" w:rsidP="00AF0131">
      <w:pPr>
        <w:pStyle w:val="NormalBold"/>
        <w:keepNext/>
      </w:pPr>
      <w:r w:rsidRPr="00EA4A56">
        <w:rPr>
          <w:rStyle w:val="HideTWBExt"/>
          <w:b w:val="0"/>
        </w:rPr>
        <w:t>&lt;DocAmend&gt;</w:t>
      </w:r>
      <w:r w:rsidRPr="00EA4A56">
        <w:t>Propuesta de Reglamento</w:t>
      </w:r>
      <w:r w:rsidRPr="00EA4A56">
        <w:rPr>
          <w:rStyle w:val="HideTWBExt"/>
          <w:b w:val="0"/>
        </w:rPr>
        <w:t>&lt;/DocAmend&gt;</w:t>
      </w:r>
    </w:p>
    <w:p w:rsidR="00AF0131" w:rsidRPr="00EA4A56" w:rsidRDefault="006F2CA5" w:rsidP="00AF0131">
      <w:pPr>
        <w:pStyle w:val="NormalBold"/>
      </w:pPr>
      <w:r w:rsidRPr="00EA4A56">
        <w:rPr>
          <w:rStyle w:val="HideTWBExt"/>
          <w:b w:val="0"/>
        </w:rPr>
        <w:t>&lt;Article&gt;</w:t>
      </w:r>
      <w:r w:rsidRPr="00EA4A56">
        <w:t>Artículo 26 – apartado 2</w:t>
      </w:r>
      <w:r w:rsidRPr="00EA4A5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20E9E" w:rsidRPr="00EA4A56" w:rsidTr="00C33FBD">
        <w:trPr>
          <w:jc w:val="center"/>
        </w:trPr>
        <w:tc>
          <w:tcPr>
            <w:tcW w:w="9752" w:type="dxa"/>
            <w:gridSpan w:val="2"/>
          </w:tcPr>
          <w:p w:rsidR="00AF0131" w:rsidRPr="00EA4A56" w:rsidRDefault="00AF0131" w:rsidP="00C33FBD">
            <w:pPr>
              <w:keepNext/>
            </w:pPr>
          </w:p>
        </w:tc>
      </w:tr>
      <w:tr w:rsidR="00820E9E" w:rsidRPr="00EA4A56" w:rsidTr="00C33FBD">
        <w:trPr>
          <w:jc w:val="center"/>
        </w:trPr>
        <w:tc>
          <w:tcPr>
            <w:tcW w:w="4876" w:type="dxa"/>
            <w:hideMark/>
          </w:tcPr>
          <w:p w:rsidR="00AF0131" w:rsidRPr="00EA4A56" w:rsidRDefault="006F2CA5" w:rsidP="00C33FBD">
            <w:pPr>
              <w:pStyle w:val="ColumnHeading"/>
              <w:keepNext/>
              <w:rPr>
                <w:lang w:val="es-ES_tradnl"/>
              </w:rPr>
            </w:pPr>
            <w:r w:rsidRPr="00EA4A56">
              <w:rPr>
                <w:lang w:val="es-ES_tradnl"/>
              </w:rPr>
              <w:t>Texto de la Comisión</w:t>
            </w:r>
          </w:p>
        </w:tc>
        <w:tc>
          <w:tcPr>
            <w:tcW w:w="4876" w:type="dxa"/>
            <w:hideMark/>
          </w:tcPr>
          <w:p w:rsidR="00AF0131" w:rsidRPr="00EA4A56" w:rsidRDefault="006F2CA5" w:rsidP="00C33FBD">
            <w:pPr>
              <w:pStyle w:val="ColumnHeading"/>
              <w:keepNext/>
              <w:rPr>
                <w:lang w:val="es-ES_tradnl"/>
              </w:rPr>
            </w:pPr>
            <w:r w:rsidRPr="00EA4A56">
              <w:rPr>
                <w:lang w:val="es-ES_tradnl"/>
              </w:rPr>
              <w:t>Enmienda</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lang w:val="es-ES_tradnl"/>
              </w:rPr>
              <w:t xml:space="preserve">Con el fin de reforzar el diálogo entre las </w:t>
            </w:r>
            <w:r w:rsidRPr="00EA4A56">
              <w:rPr>
                <w:lang w:val="es-ES_tradnl"/>
              </w:rPr>
              <w:t xml:space="preserve">instituciones de la Unión, en particular el Parlamento Europeo, el Consejo y la Comisión, y de garantizar la transparencia </w:t>
            </w:r>
            <w:r w:rsidRPr="00EA4A56">
              <w:rPr>
                <w:lang w:val="es-ES_tradnl"/>
              </w:rPr>
              <w:lastRenderedPageBreak/>
              <w:t xml:space="preserve">y la responsabilidad, el Parlamento Europeo podrá invitar al presidente del Consejo, de la Comisión y, si procede, al presidente del </w:t>
            </w:r>
            <w:r w:rsidRPr="00EA4A56">
              <w:rPr>
                <w:lang w:val="es-ES_tradnl"/>
              </w:rPr>
              <w:t>Consejo Europeo o al presidente del Eurogrupo a que comparezcan ante él para debatir las orientaciones políticas formuladas a los Estados miembros por la Comisión, las conclusiones del Consejo Europeo y los resultados de la supervisión multilateral llevada</w:t>
            </w:r>
            <w:r w:rsidRPr="00EA4A56">
              <w:rPr>
                <w:lang w:val="es-ES_tradnl"/>
              </w:rPr>
              <w:t xml:space="preserve"> a cabo en virtud del presente Reglamento.</w:t>
            </w:r>
          </w:p>
        </w:tc>
        <w:tc>
          <w:tcPr>
            <w:tcW w:w="4876" w:type="dxa"/>
            <w:hideMark/>
          </w:tcPr>
          <w:p w:rsidR="00AF0131" w:rsidRPr="00EA4A56" w:rsidRDefault="006F2CA5" w:rsidP="00C33FBD">
            <w:pPr>
              <w:pStyle w:val="Normal6"/>
              <w:rPr>
                <w:szCs w:val="24"/>
                <w:lang w:val="es-ES_tradnl"/>
              </w:rPr>
            </w:pPr>
            <w:r w:rsidRPr="00EA4A56">
              <w:rPr>
                <w:lang w:val="es-ES_tradnl"/>
              </w:rPr>
              <w:lastRenderedPageBreak/>
              <w:t xml:space="preserve">Con el fin de reforzar el diálogo entre las instituciones de la Unión, en particular el Parlamento Europeo, el Consejo y la Comisión, y de garantizar la transparencia </w:t>
            </w:r>
            <w:r w:rsidRPr="00EA4A56">
              <w:rPr>
                <w:lang w:val="es-ES_tradnl"/>
              </w:rPr>
              <w:lastRenderedPageBreak/>
              <w:t>y la responsabilidad, el Parlamento Europeo po</w:t>
            </w:r>
            <w:r w:rsidRPr="00EA4A56">
              <w:rPr>
                <w:lang w:val="es-ES_tradnl"/>
              </w:rPr>
              <w:t>drá invitar al presidente del Consejo, de la Comisión y, si procede, al presidente del Consejo Europeo o al presidente del Eurogrupo a que comparezcan ante él para debatir las orientaciones políticas formuladas a los Estados miembros por la Comisión, las c</w:t>
            </w:r>
            <w:r w:rsidRPr="00EA4A56">
              <w:rPr>
                <w:lang w:val="es-ES_tradnl"/>
              </w:rPr>
              <w:t>onclusiones del Consejo Europeo y los resultados de la supervisión multilateral llevada a cabo en virtud del presente Reglamento</w:t>
            </w:r>
            <w:r w:rsidRPr="00EA4A56">
              <w:rPr>
                <w:b/>
                <w:bCs/>
                <w:i/>
                <w:iCs/>
                <w:lang w:val="es-ES_tradnl"/>
              </w:rPr>
              <w:t>, incluidos los sistemas de alerta rápida establecidos conforme a los artículos 121, apartado 4, y 148 del TFUE</w:t>
            </w:r>
            <w:r w:rsidRPr="00EA4A56">
              <w:rPr>
                <w:lang w:val="es-ES_tradnl"/>
              </w:rPr>
              <w:t>.</w:t>
            </w:r>
          </w:p>
        </w:tc>
      </w:tr>
    </w:tbl>
    <w:p w:rsidR="00AF0131" w:rsidRPr="00EA4A56" w:rsidRDefault="006F2CA5" w:rsidP="00C56375">
      <w:pPr>
        <w:rPr>
          <w:rStyle w:val="HideTWBExt"/>
          <w:rFonts w:ascii="Times New Roman" w:hAnsi="Times New Roman" w:cs="Times New Roman"/>
          <w:noProof w:val="0"/>
          <w:vanish w:val="0"/>
          <w:color w:val="auto"/>
          <w:sz w:val="24"/>
        </w:rPr>
      </w:pPr>
      <w:r w:rsidRPr="00EA4A56">
        <w:rPr>
          <w:rStyle w:val="HideTWBExt"/>
        </w:rPr>
        <w:lastRenderedPageBreak/>
        <w:t>&lt;/Amend&gt;</w:t>
      </w:r>
    </w:p>
    <w:p w:rsidR="00AF0131" w:rsidRPr="00EA4A56" w:rsidRDefault="006F2CA5" w:rsidP="00AF0131">
      <w:pPr>
        <w:pStyle w:val="AmNumberTabs"/>
      </w:pPr>
      <w:r w:rsidRPr="00EA4A56">
        <w:rPr>
          <w:rStyle w:val="HideTWBExt"/>
          <w:b w:val="0"/>
        </w:rPr>
        <w:t>&lt;Amen</w:t>
      </w:r>
      <w:r w:rsidRPr="00EA4A56">
        <w:rPr>
          <w:rStyle w:val="HideTWBExt"/>
          <w:b w:val="0"/>
        </w:rPr>
        <w:t>d&gt;</w:t>
      </w:r>
      <w:r w:rsidRPr="00EA4A56">
        <w:t>Enmienda</w:t>
      </w:r>
      <w:r w:rsidRPr="00EA4A56">
        <w:tab/>
      </w:r>
      <w:r w:rsidRPr="00EA4A56">
        <w:tab/>
      </w:r>
      <w:r w:rsidRPr="00EA4A56">
        <w:rPr>
          <w:rStyle w:val="HideTWBExt"/>
          <w:b w:val="0"/>
        </w:rPr>
        <w:t>&lt;NumAm&gt;</w:t>
      </w:r>
      <w:r w:rsidRPr="00EA4A56">
        <w:t>27</w:t>
      </w:r>
      <w:r w:rsidRPr="00EA4A56">
        <w:rPr>
          <w:rStyle w:val="HideTWBExt"/>
          <w:b w:val="0"/>
        </w:rPr>
        <w:t>&lt;/NumAm&gt;</w:t>
      </w:r>
    </w:p>
    <w:p w:rsidR="00AF0131" w:rsidRPr="00EA4A56" w:rsidRDefault="00AF0131" w:rsidP="00AF0131"/>
    <w:p w:rsidR="00AF0131" w:rsidRPr="00EA4A56" w:rsidRDefault="006F2CA5" w:rsidP="00AF0131">
      <w:pPr>
        <w:pStyle w:val="NormalBold"/>
        <w:keepNext/>
      </w:pPr>
      <w:r w:rsidRPr="00EA4A56">
        <w:rPr>
          <w:rStyle w:val="HideTWBExt"/>
          <w:b w:val="0"/>
        </w:rPr>
        <w:t>&lt;DocAmend&gt;</w:t>
      </w:r>
      <w:r w:rsidRPr="00EA4A56">
        <w:t>Propuesta de Reglamento</w:t>
      </w:r>
      <w:r w:rsidRPr="00EA4A56">
        <w:rPr>
          <w:rStyle w:val="HideTWBExt"/>
          <w:b w:val="0"/>
        </w:rPr>
        <w:t>&lt;/DocAmend&gt;</w:t>
      </w:r>
    </w:p>
    <w:p w:rsidR="00AF0131" w:rsidRPr="00EA4A56" w:rsidRDefault="006F2CA5" w:rsidP="00AF0131">
      <w:pPr>
        <w:pStyle w:val="NormalBold"/>
      </w:pPr>
      <w:r w:rsidRPr="00EA4A56">
        <w:rPr>
          <w:rStyle w:val="HideTWBExt"/>
          <w:b w:val="0"/>
        </w:rPr>
        <w:t>&lt;Article&gt;</w:t>
      </w:r>
      <w:r w:rsidRPr="00EA4A56">
        <w:t>Artículo 26 – apartado 3 bis (nuevo)</w:t>
      </w:r>
      <w:r w:rsidRPr="00EA4A5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20E9E" w:rsidRPr="00EA4A56" w:rsidTr="00C33FBD">
        <w:trPr>
          <w:jc w:val="center"/>
        </w:trPr>
        <w:tc>
          <w:tcPr>
            <w:tcW w:w="9752" w:type="dxa"/>
            <w:gridSpan w:val="2"/>
          </w:tcPr>
          <w:p w:rsidR="00AF0131" w:rsidRPr="00EA4A56" w:rsidRDefault="00AF0131" w:rsidP="00C33FBD">
            <w:pPr>
              <w:keepNext/>
            </w:pPr>
          </w:p>
        </w:tc>
      </w:tr>
      <w:tr w:rsidR="00820E9E" w:rsidRPr="00EA4A56" w:rsidTr="00C33FBD">
        <w:trPr>
          <w:jc w:val="center"/>
        </w:trPr>
        <w:tc>
          <w:tcPr>
            <w:tcW w:w="4876" w:type="dxa"/>
            <w:hideMark/>
          </w:tcPr>
          <w:p w:rsidR="00AF0131" w:rsidRPr="00EA4A56" w:rsidRDefault="006F2CA5" w:rsidP="00C33FBD">
            <w:pPr>
              <w:pStyle w:val="ColumnHeading"/>
              <w:keepNext/>
              <w:rPr>
                <w:lang w:val="es-ES_tradnl"/>
              </w:rPr>
            </w:pPr>
            <w:r w:rsidRPr="00EA4A56">
              <w:rPr>
                <w:lang w:val="es-ES_tradnl"/>
              </w:rPr>
              <w:t>Texto de la Comisión</w:t>
            </w:r>
          </w:p>
        </w:tc>
        <w:tc>
          <w:tcPr>
            <w:tcW w:w="4876" w:type="dxa"/>
            <w:hideMark/>
          </w:tcPr>
          <w:p w:rsidR="00AF0131" w:rsidRPr="00EA4A56" w:rsidRDefault="006F2CA5" w:rsidP="00C33FBD">
            <w:pPr>
              <w:pStyle w:val="ColumnHeading"/>
              <w:keepNext/>
              <w:rPr>
                <w:lang w:val="es-ES_tradnl"/>
              </w:rPr>
            </w:pPr>
            <w:r w:rsidRPr="00EA4A56">
              <w:rPr>
                <w:lang w:val="es-ES_tradnl"/>
              </w:rPr>
              <w:t>Enmienda</w:t>
            </w:r>
          </w:p>
        </w:tc>
      </w:tr>
      <w:tr w:rsidR="00820E9E" w:rsidRPr="00EA4A56" w:rsidTr="00C33FBD">
        <w:trPr>
          <w:jc w:val="center"/>
        </w:trPr>
        <w:tc>
          <w:tcPr>
            <w:tcW w:w="4876" w:type="dxa"/>
          </w:tcPr>
          <w:p w:rsidR="00AF0131" w:rsidRPr="00EA4A56" w:rsidRDefault="00AF0131" w:rsidP="00C33FBD">
            <w:pPr>
              <w:pStyle w:val="Normal6"/>
              <w:rPr>
                <w:lang w:val="es-ES_tradnl"/>
              </w:rPr>
            </w:pPr>
          </w:p>
        </w:tc>
        <w:tc>
          <w:tcPr>
            <w:tcW w:w="4876" w:type="dxa"/>
            <w:hideMark/>
          </w:tcPr>
          <w:p w:rsidR="00AF0131" w:rsidRPr="00EA4A56" w:rsidRDefault="006F2CA5" w:rsidP="00C33FBD">
            <w:pPr>
              <w:pStyle w:val="Normal6"/>
              <w:rPr>
                <w:szCs w:val="24"/>
                <w:lang w:val="es-ES_tradnl"/>
              </w:rPr>
            </w:pPr>
            <w:r w:rsidRPr="00EA4A56">
              <w:rPr>
                <w:b/>
                <w:i/>
                <w:lang w:val="es-ES_tradnl"/>
              </w:rPr>
              <w:t xml:space="preserve">Las comisiones competentes del Parlamento Europeo podrán invitar a la Comisión a debatir </w:t>
            </w:r>
            <w:r w:rsidRPr="00EA4A56">
              <w:rPr>
                <w:b/>
                <w:i/>
                <w:lang w:val="es-ES_tradnl"/>
              </w:rPr>
              <w:t>los siguientes asuntos:</w:t>
            </w:r>
          </w:p>
        </w:tc>
      </w:tr>
      <w:tr w:rsidR="00820E9E" w:rsidRPr="00EA4A56" w:rsidTr="00C33FBD">
        <w:trPr>
          <w:jc w:val="center"/>
        </w:trPr>
        <w:tc>
          <w:tcPr>
            <w:tcW w:w="4876" w:type="dxa"/>
          </w:tcPr>
          <w:p w:rsidR="00AF0131" w:rsidRPr="00EA4A56" w:rsidRDefault="00AF0131" w:rsidP="00C33FBD">
            <w:pPr>
              <w:pStyle w:val="Normal6"/>
              <w:rPr>
                <w:lang w:val="es-ES_tradnl"/>
              </w:rPr>
            </w:pPr>
          </w:p>
        </w:tc>
        <w:tc>
          <w:tcPr>
            <w:tcW w:w="4876" w:type="dxa"/>
            <w:hideMark/>
          </w:tcPr>
          <w:p w:rsidR="00AF0131" w:rsidRPr="00EA4A56" w:rsidRDefault="006F2CA5" w:rsidP="00C33FBD">
            <w:pPr>
              <w:pStyle w:val="Normal6"/>
              <w:rPr>
                <w:szCs w:val="24"/>
                <w:lang w:val="es-ES_tradnl"/>
              </w:rPr>
            </w:pPr>
            <w:r w:rsidRPr="00EA4A56">
              <w:rPr>
                <w:b/>
                <w:i/>
                <w:lang w:val="es-ES_tradnl"/>
              </w:rPr>
              <w:t>a)</w:t>
            </w:r>
            <w:r w:rsidRPr="00EA4A56">
              <w:rPr>
                <w:b/>
                <w:i/>
                <w:lang w:val="es-ES_tradnl"/>
              </w:rPr>
              <w:tab/>
              <w:t>la evaluación de la proyección de la deuda pública a medio plazo de la Comisión de los planes estructurales nacionales de política fiscal a medio plazo, así como el análisis de la sostenibilidad de la deuda;</w:t>
            </w:r>
          </w:p>
        </w:tc>
      </w:tr>
      <w:tr w:rsidR="00820E9E" w:rsidRPr="00EA4A56" w:rsidTr="00C33FBD">
        <w:trPr>
          <w:jc w:val="center"/>
        </w:trPr>
        <w:tc>
          <w:tcPr>
            <w:tcW w:w="4876" w:type="dxa"/>
          </w:tcPr>
          <w:p w:rsidR="00AF0131" w:rsidRPr="00EA4A56" w:rsidRDefault="00AF0131" w:rsidP="00C33FBD">
            <w:pPr>
              <w:pStyle w:val="Normal6"/>
              <w:rPr>
                <w:lang w:val="es-ES_tradnl"/>
              </w:rPr>
            </w:pPr>
          </w:p>
        </w:tc>
        <w:tc>
          <w:tcPr>
            <w:tcW w:w="4876" w:type="dxa"/>
            <w:hideMark/>
          </w:tcPr>
          <w:p w:rsidR="00AF0131" w:rsidRPr="00EA4A56" w:rsidRDefault="006F2CA5" w:rsidP="00C33FBD">
            <w:pPr>
              <w:pStyle w:val="Normal6"/>
              <w:rPr>
                <w:szCs w:val="24"/>
                <w:lang w:val="es-ES_tradnl"/>
              </w:rPr>
            </w:pPr>
            <w:r w:rsidRPr="00EA4A56">
              <w:rPr>
                <w:b/>
                <w:i/>
                <w:lang w:val="es-ES_tradnl"/>
              </w:rPr>
              <w:t>b)</w:t>
            </w:r>
            <w:r w:rsidRPr="00EA4A56">
              <w:rPr>
                <w:b/>
                <w:i/>
                <w:lang w:val="es-ES_tradnl"/>
              </w:rPr>
              <w:tab/>
              <w:t xml:space="preserve"> la evaluación</w:t>
            </w:r>
            <w:r w:rsidRPr="00EA4A56">
              <w:rPr>
                <w:b/>
                <w:i/>
                <w:lang w:val="es-ES_tradnl"/>
              </w:rPr>
              <w:t xml:space="preserve"> de la información facilitada por los Estados miembros en los informes anuales de situación;</w:t>
            </w:r>
          </w:p>
        </w:tc>
      </w:tr>
      <w:tr w:rsidR="00820E9E" w:rsidRPr="00EA4A56" w:rsidTr="00C33FBD">
        <w:trPr>
          <w:jc w:val="center"/>
        </w:trPr>
        <w:tc>
          <w:tcPr>
            <w:tcW w:w="4876" w:type="dxa"/>
          </w:tcPr>
          <w:p w:rsidR="00AF0131" w:rsidRPr="00EA4A56" w:rsidRDefault="00AF0131" w:rsidP="00C33FBD">
            <w:pPr>
              <w:pStyle w:val="Normal6"/>
              <w:rPr>
                <w:lang w:val="es-ES_tradnl"/>
              </w:rPr>
            </w:pPr>
          </w:p>
        </w:tc>
        <w:tc>
          <w:tcPr>
            <w:tcW w:w="4876" w:type="dxa"/>
            <w:hideMark/>
          </w:tcPr>
          <w:p w:rsidR="00AF0131" w:rsidRPr="00EA4A56" w:rsidRDefault="006F2CA5" w:rsidP="00C33FBD">
            <w:pPr>
              <w:pStyle w:val="Normal6"/>
              <w:rPr>
                <w:szCs w:val="24"/>
                <w:lang w:val="es-ES_tradnl"/>
              </w:rPr>
            </w:pPr>
            <w:r w:rsidRPr="00EA4A56">
              <w:rPr>
                <w:b/>
                <w:i/>
                <w:lang w:val="es-ES_tradnl"/>
              </w:rPr>
              <w:t>c)</w:t>
            </w:r>
            <w:r w:rsidRPr="00EA4A56">
              <w:rPr>
                <w:b/>
                <w:i/>
                <w:lang w:val="es-ES_tradnl"/>
              </w:rPr>
              <w:tab/>
              <w:t>la evaluación del conjunto de compromisos de reforma e inversión que sustentan la ampliación del período de ajuste;</w:t>
            </w:r>
          </w:p>
        </w:tc>
      </w:tr>
      <w:tr w:rsidR="00820E9E" w:rsidRPr="00EA4A56" w:rsidTr="00C33FBD">
        <w:trPr>
          <w:jc w:val="center"/>
        </w:trPr>
        <w:tc>
          <w:tcPr>
            <w:tcW w:w="4876" w:type="dxa"/>
          </w:tcPr>
          <w:p w:rsidR="00AF0131" w:rsidRPr="00EA4A56" w:rsidRDefault="00AF0131" w:rsidP="00C33FBD">
            <w:pPr>
              <w:pStyle w:val="Normal6"/>
              <w:rPr>
                <w:lang w:val="es-ES_tradnl"/>
              </w:rPr>
            </w:pPr>
          </w:p>
        </w:tc>
        <w:tc>
          <w:tcPr>
            <w:tcW w:w="4876" w:type="dxa"/>
            <w:hideMark/>
          </w:tcPr>
          <w:p w:rsidR="00AF0131" w:rsidRPr="00EA4A56" w:rsidRDefault="006F2CA5" w:rsidP="00C33FBD">
            <w:pPr>
              <w:pStyle w:val="Normal6"/>
              <w:rPr>
                <w:szCs w:val="24"/>
                <w:lang w:val="es-ES_tradnl"/>
              </w:rPr>
            </w:pPr>
            <w:r w:rsidRPr="00EA4A56">
              <w:rPr>
                <w:b/>
                <w:i/>
                <w:lang w:val="es-ES_tradnl"/>
              </w:rPr>
              <w:t xml:space="preserve">d) la evaluación de las recomendaciones </w:t>
            </w:r>
            <w:r w:rsidRPr="00EA4A56">
              <w:rPr>
                <w:b/>
                <w:i/>
                <w:lang w:val="es-ES_tradnl"/>
              </w:rPr>
              <w:t>específicas por país y los riesgos en materia de convergencia social, y el avance hacia la aplicación de los principios del pilar europeo de derechos sociales.</w:t>
            </w:r>
          </w:p>
        </w:tc>
      </w:tr>
    </w:tbl>
    <w:p w:rsidR="00AF0131" w:rsidRPr="00EA4A56" w:rsidRDefault="006F2CA5" w:rsidP="00C56375">
      <w:pPr>
        <w:rPr>
          <w:rStyle w:val="HideTWBExt"/>
          <w:rFonts w:eastAsiaTheme="majorEastAsia"/>
          <w:b/>
        </w:rPr>
      </w:pPr>
      <w:r w:rsidRPr="00EA4A56">
        <w:rPr>
          <w:rStyle w:val="HideTWBExt"/>
        </w:rPr>
        <w:lastRenderedPageBreak/>
        <w:t>&lt;/Amend&gt;</w:t>
      </w:r>
    </w:p>
    <w:p w:rsidR="00AF0131" w:rsidRPr="00EA4A56" w:rsidRDefault="006F2CA5" w:rsidP="00AF0131">
      <w:pPr>
        <w:pStyle w:val="AmNumberTabs"/>
      </w:pPr>
      <w:r w:rsidRPr="00EA4A56">
        <w:rPr>
          <w:rStyle w:val="HideTWBExt"/>
          <w:b w:val="0"/>
        </w:rPr>
        <w:t>&lt;Amend&gt;</w:t>
      </w:r>
      <w:r w:rsidRPr="00EA4A56">
        <w:t>Enmienda</w:t>
      </w:r>
      <w:r w:rsidRPr="00EA4A56">
        <w:tab/>
      </w:r>
      <w:r w:rsidRPr="00EA4A56">
        <w:tab/>
      </w:r>
      <w:r w:rsidRPr="00EA4A56">
        <w:rPr>
          <w:rStyle w:val="HideTWBExt"/>
          <w:b w:val="0"/>
        </w:rPr>
        <w:t>&lt;NumAm&gt;</w:t>
      </w:r>
      <w:r w:rsidRPr="00EA4A56">
        <w:t>28</w:t>
      </w:r>
      <w:r w:rsidRPr="00EA4A56">
        <w:rPr>
          <w:rStyle w:val="HideTWBExt"/>
          <w:b w:val="0"/>
        </w:rPr>
        <w:t>&lt;/NumAm&gt;</w:t>
      </w:r>
    </w:p>
    <w:p w:rsidR="00AF0131" w:rsidRPr="00EA4A56" w:rsidRDefault="00AF0131" w:rsidP="00AF0131"/>
    <w:p w:rsidR="00AF0131" w:rsidRPr="00EA4A56" w:rsidRDefault="006F2CA5" w:rsidP="00AF0131">
      <w:pPr>
        <w:pStyle w:val="NormalBold"/>
        <w:keepNext/>
      </w:pPr>
      <w:r w:rsidRPr="00EA4A56">
        <w:rPr>
          <w:rStyle w:val="HideTWBExt"/>
          <w:b w:val="0"/>
        </w:rPr>
        <w:t>&lt;DocAmend&gt;</w:t>
      </w:r>
      <w:r w:rsidRPr="00EA4A56">
        <w:t>Propuesta de Reglamento</w:t>
      </w:r>
      <w:r w:rsidRPr="00EA4A56">
        <w:rPr>
          <w:rStyle w:val="HideTWBExt"/>
          <w:b w:val="0"/>
        </w:rPr>
        <w:t>&lt;/DocAmend&gt;</w:t>
      </w:r>
    </w:p>
    <w:p w:rsidR="00AF0131" w:rsidRPr="00EA4A56" w:rsidRDefault="006F2CA5" w:rsidP="00AF0131">
      <w:pPr>
        <w:pStyle w:val="NormalBold"/>
      </w:pPr>
      <w:r w:rsidRPr="00EA4A56">
        <w:rPr>
          <w:rStyle w:val="HideTWBExt"/>
          <w:b w:val="0"/>
        </w:rPr>
        <w:t>&lt;Arti</w:t>
      </w:r>
      <w:r w:rsidRPr="00EA4A56">
        <w:rPr>
          <w:rStyle w:val="HideTWBExt"/>
          <w:b w:val="0"/>
        </w:rPr>
        <w:t>cle&gt;</w:t>
      </w:r>
      <w:r w:rsidRPr="00EA4A56">
        <w:t>Anexo II – apartado 1 – letra d</w:t>
      </w:r>
      <w:r w:rsidRPr="00EA4A5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20E9E" w:rsidRPr="00EA4A56" w:rsidTr="00C33FBD">
        <w:trPr>
          <w:jc w:val="center"/>
        </w:trPr>
        <w:tc>
          <w:tcPr>
            <w:tcW w:w="9752" w:type="dxa"/>
            <w:gridSpan w:val="2"/>
          </w:tcPr>
          <w:p w:rsidR="00AF0131" w:rsidRPr="00EA4A56" w:rsidRDefault="00AF0131" w:rsidP="00C33FBD">
            <w:pPr>
              <w:keepNext/>
            </w:pPr>
          </w:p>
        </w:tc>
      </w:tr>
      <w:tr w:rsidR="00820E9E" w:rsidRPr="00EA4A56" w:rsidTr="00C33FBD">
        <w:trPr>
          <w:jc w:val="center"/>
        </w:trPr>
        <w:tc>
          <w:tcPr>
            <w:tcW w:w="4876" w:type="dxa"/>
            <w:hideMark/>
          </w:tcPr>
          <w:p w:rsidR="00AF0131" w:rsidRPr="00EA4A56" w:rsidRDefault="006F2CA5" w:rsidP="00C33FBD">
            <w:pPr>
              <w:pStyle w:val="ColumnHeading"/>
              <w:keepNext/>
              <w:rPr>
                <w:lang w:val="es-ES_tradnl"/>
              </w:rPr>
            </w:pPr>
            <w:r w:rsidRPr="00EA4A56">
              <w:rPr>
                <w:lang w:val="es-ES_tradnl"/>
              </w:rPr>
              <w:t>Texto de la Comisión</w:t>
            </w:r>
          </w:p>
        </w:tc>
        <w:tc>
          <w:tcPr>
            <w:tcW w:w="4876" w:type="dxa"/>
            <w:hideMark/>
          </w:tcPr>
          <w:p w:rsidR="00AF0131" w:rsidRPr="00EA4A56" w:rsidRDefault="006F2CA5" w:rsidP="00C33FBD">
            <w:pPr>
              <w:pStyle w:val="ColumnHeading"/>
              <w:keepNext/>
              <w:rPr>
                <w:lang w:val="es-ES_tradnl"/>
              </w:rPr>
            </w:pPr>
            <w:r w:rsidRPr="00EA4A56">
              <w:rPr>
                <w:lang w:val="es-ES_tradnl"/>
              </w:rPr>
              <w:t>Enmienda</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lang w:val="es-ES_tradnl"/>
              </w:rPr>
              <w:t>d)</w:t>
            </w:r>
            <w:r w:rsidRPr="00EA4A56">
              <w:rPr>
                <w:lang w:val="es-ES_tradnl"/>
              </w:rPr>
              <w:tab/>
              <w:t xml:space="preserve">Información sobre los pasivos implícitos </w:t>
            </w:r>
            <w:r w:rsidRPr="00EA4A56">
              <w:rPr>
                <w:b/>
                <w:bCs/>
                <w:i/>
                <w:iCs/>
                <w:lang w:val="es-ES_tradnl"/>
              </w:rPr>
              <w:t>relacionados con el envejecimiento de la población y los pasivos</w:t>
            </w:r>
            <w:r w:rsidRPr="00EA4A56">
              <w:rPr>
                <w:lang w:val="es-ES_tradnl"/>
              </w:rPr>
              <w:t xml:space="preserve"> contingentes que puedan tener un impacto significativo en los presupuestos públicos, incluidas las garantías públicas, los préstamos no productivos y los pasivos derivados del funcionamiento de las sociedades públicas, incluido su alcance, los posibles ga</w:t>
            </w:r>
            <w:r w:rsidRPr="00EA4A56">
              <w:rPr>
                <w:lang w:val="es-ES_tradnl"/>
              </w:rPr>
              <w:t>stos y obligaciones derivados de procesos judiciales y, en la medida de lo posible, información sobre pasivos contingentes relacionados con catástrofes y con el clima.</w:t>
            </w:r>
          </w:p>
        </w:tc>
        <w:tc>
          <w:tcPr>
            <w:tcW w:w="4876" w:type="dxa"/>
            <w:hideMark/>
          </w:tcPr>
          <w:p w:rsidR="00AF0131" w:rsidRPr="00EA4A56" w:rsidRDefault="006F2CA5" w:rsidP="00C33FBD">
            <w:pPr>
              <w:pStyle w:val="Normal6"/>
              <w:rPr>
                <w:szCs w:val="24"/>
                <w:lang w:val="es-ES_tradnl"/>
              </w:rPr>
            </w:pPr>
            <w:r w:rsidRPr="00EA4A56">
              <w:rPr>
                <w:lang w:val="es-ES_tradnl"/>
              </w:rPr>
              <w:t>d)</w:t>
            </w:r>
            <w:r w:rsidRPr="00EA4A56">
              <w:rPr>
                <w:lang w:val="es-ES_tradnl"/>
              </w:rPr>
              <w:tab/>
              <w:t xml:space="preserve">Información sobre los pasivos implícitos </w:t>
            </w:r>
            <w:r w:rsidRPr="00EA4A56">
              <w:rPr>
                <w:b/>
                <w:bCs/>
                <w:i/>
                <w:iCs/>
                <w:lang w:val="es-ES_tradnl"/>
              </w:rPr>
              <w:t>y</w:t>
            </w:r>
            <w:r w:rsidRPr="00EA4A56">
              <w:rPr>
                <w:lang w:val="es-ES_tradnl"/>
              </w:rPr>
              <w:t xml:space="preserve"> contingentes que puedan tener un impacto significativo en los presupuestos públicos, incluidas las garantías públicas, los préstamos no productivos y los pasivos derivados del funcionamiento de las sociedades públicas, incluido su alcance, los posibles ga</w:t>
            </w:r>
            <w:r w:rsidRPr="00EA4A56">
              <w:rPr>
                <w:lang w:val="es-ES_tradnl"/>
              </w:rPr>
              <w:t>stos y obligaciones derivados de procesos judiciales y, en la medida de lo posible, información sobre pasivos contingentes relacionados con catástrofes y con el clima.</w:t>
            </w:r>
          </w:p>
        </w:tc>
      </w:tr>
    </w:tbl>
    <w:p w:rsidR="00AF0131" w:rsidRPr="00EA4A56" w:rsidRDefault="006F2CA5" w:rsidP="00AF0131">
      <w:pPr>
        <w:pStyle w:val="AMNumberTabs0"/>
        <w:keepNext/>
        <w:rPr>
          <w:lang w:val="es-ES_tradnl"/>
        </w:rPr>
      </w:pPr>
      <w:r w:rsidRPr="00EA4A56">
        <w:rPr>
          <w:rStyle w:val="HideTWBExt"/>
          <w:lang w:val="es-ES_tradnl"/>
        </w:rPr>
        <w:t>&lt;/Amend&gt;</w:t>
      </w:r>
    </w:p>
    <w:p w:rsidR="00AF0131" w:rsidRPr="00EA4A56" w:rsidRDefault="006F2CA5" w:rsidP="00AF0131">
      <w:pPr>
        <w:pStyle w:val="AmNumberTabs"/>
      </w:pPr>
      <w:r w:rsidRPr="00EA4A56">
        <w:rPr>
          <w:rStyle w:val="HideTWBExt"/>
          <w:b w:val="0"/>
        </w:rPr>
        <w:t>&lt;Amend&gt;</w:t>
      </w:r>
      <w:r w:rsidRPr="00EA4A56">
        <w:t>Enmienda</w:t>
      </w:r>
      <w:r w:rsidRPr="00EA4A56">
        <w:tab/>
      </w:r>
      <w:r w:rsidRPr="00EA4A56">
        <w:tab/>
      </w:r>
      <w:r w:rsidRPr="00EA4A56">
        <w:rPr>
          <w:rStyle w:val="HideTWBExt"/>
          <w:b w:val="0"/>
        </w:rPr>
        <w:t>&lt;NumAm&gt;</w:t>
      </w:r>
      <w:r w:rsidRPr="00EA4A56">
        <w:t>29</w:t>
      </w:r>
      <w:r w:rsidRPr="00EA4A56">
        <w:rPr>
          <w:rStyle w:val="HideTWBExt"/>
          <w:b w:val="0"/>
        </w:rPr>
        <w:t>&lt;/NumAm&gt;</w:t>
      </w:r>
    </w:p>
    <w:p w:rsidR="00AF0131" w:rsidRPr="00EA4A56" w:rsidRDefault="00AF0131" w:rsidP="00AF0131"/>
    <w:p w:rsidR="00AF0131" w:rsidRPr="00EA4A56" w:rsidRDefault="006F2CA5" w:rsidP="00AF0131">
      <w:pPr>
        <w:pStyle w:val="NormalBold"/>
        <w:keepNext/>
      </w:pPr>
      <w:r w:rsidRPr="00EA4A56">
        <w:rPr>
          <w:rStyle w:val="HideTWBExt"/>
          <w:b w:val="0"/>
        </w:rPr>
        <w:t>&lt;DocAmend&gt;</w:t>
      </w:r>
      <w:r w:rsidRPr="00EA4A56">
        <w:t>Propuesta de Reglamento</w:t>
      </w:r>
      <w:r w:rsidRPr="00EA4A56">
        <w:rPr>
          <w:rStyle w:val="HideTWBExt"/>
          <w:b w:val="0"/>
        </w:rPr>
        <w:t>&lt;/DocAmen</w:t>
      </w:r>
      <w:r w:rsidRPr="00EA4A56">
        <w:rPr>
          <w:rStyle w:val="HideTWBExt"/>
          <w:b w:val="0"/>
        </w:rPr>
        <w:t>d&gt;</w:t>
      </w:r>
    </w:p>
    <w:p w:rsidR="00AF0131" w:rsidRPr="00EA4A56" w:rsidRDefault="006F2CA5" w:rsidP="00AF0131">
      <w:pPr>
        <w:pStyle w:val="NormalBold"/>
      </w:pPr>
      <w:r w:rsidRPr="00EA4A56">
        <w:rPr>
          <w:rStyle w:val="HideTWBExt"/>
          <w:b w:val="0"/>
        </w:rPr>
        <w:t>&lt;Article&gt;</w:t>
      </w:r>
      <w:r w:rsidRPr="00EA4A56">
        <w:t>Anexo II – apartado 1 – letra f</w:t>
      </w:r>
      <w:r w:rsidRPr="00EA4A5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20E9E" w:rsidRPr="00EA4A56" w:rsidTr="00C33FBD">
        <w:trPr>
          <w:jc w:val="center"/>
        </w:trPr>
        <w:tc>
          <w:tcPr>
            <w:tcW w:w="9752" w:type="dxa"/>
            <w:gridSpan w:val="2"/>
          </w:tcPr>
          <w:p w:rsidR="00AF0131" w:rsidRPr="00EA4A56" w:rsidRDefault="00AF0131" w:rsidP="00C33FBD">
            <w:pPr>
              <w:keepNext/>
            </w:pPr>
          </w:p>
        </w:tc>
      </w:tr>
      <w:tr w:rsidR="00820E9E" w:rsidRPr="00EA4A56" w:rsidTr="00C33FBD">
        <w:trPr>
          <w:jc w:val="center"/>
        </w:trPr>
        <w:tc>
          <w:tcPr>
            <w:tcW w:w="4876" w:type="dxa"/>
            <w:hideMark/>
          </w:tcPr>
          <w:p w:rsidR="00AF0131" w:rsidRPr="00EA4A56" w:rsidRDefault="006F2CA5" w:rsidP="00C33FBD">
            <w:pPr>
              <w:pStyle w:val="ColumnHeading"/>
              <w:keepNext/>
              <w:rPr>
                <w:lang w:val="es-ES_tradnl"/>
              </w:rPr>
            </w:pPr>
            <w:r w:rsidRPr="00EA4A56">
              <w:rPr>
                <w:lang w:val="es-ES_tradnl"/>
              </w:rPr>
              <w:t>Texto de la Comisión</w:t>
            </w:r>
          </w:p>
        </w:tc>
        <w:tc>
          <w:tcPr>
            <w:tcW w:w="4876" w:type="dxa"/>
            <w:hideMark/>
          </w:tcPr>
          <w:p w:rsidR="00AF0131" w:rsidRPr="00EA4A56" w:rsidRDefault="006F2CA5" w:rsidP="00C33FBD">
            <w:pPr>
              <w:pStyle w:val="ColumnHeading"/>
              <w:keepNext/>
              <w:rPr>
                <w:lang w:val="es-ES_tradnl"/>
              </w:rPr>
            </w:pPr>
            <w:r w:rsidRPr="00EA4A56">
              <w:rPr>
                <w:lang w:val="es-ES_tradnl"/>
              </w:rPr>
              <w:t>Enmienda</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lang w:val="es-ES_tradnl"/>
              </w:rPr>
              <w:t>f)</w:t>
            </w:r>
            <w:r w:rsidRPr="00EA4A56">
              <w:rPr>
                <w:lang w:val="es-ES_tradnl"/>
              </w:rPr>
              <w:tab/>
              <w:t xml:space="preserve">En caso de que el Estado miembro utilice hipótesis a que se refiere la letra e) que difieran de las hipótesis de la Comisión durante el período de ajuste del plan </w:t>
            </w:r>
            <w:r w:rsidRPr="00EA4A56">
              <w:rPr>
                <w:lang w:val="es-ES_tradnl"/>
              </w:rPr>
              <w:t>estructural nacional de política fiscal a medio plazo y el período siguiente de diez años en ausencia de nuevas medidas presupuestarias, la explicación y justificación debidas de estas diferencias, basadas en argumentos económicos sólidos.</w:t>
            </w:r>
          </w:p>
        </w:tc>
        <w:tc>
          <w:tcPr>
            <w:tcW w:w="4876" w:type="dxa"/>
            <w:hideMark/>
          </w:tcPr>
          <w:p w:rsidR="00AF0131" w:rsidRPr="00EA4A56" w:rsidRDefault="006F2CA5" w:rsidP="00C33FBD">
            <w:pPr>
              <w:pStyle w:val="Normal6"/>
              <w:rPr>
                <w:szCs w:val="24"/>
                <w:lang w:val="es-ES_tradnl"/>
              </w:rPr>
            </w:pPr>
            <w:r w:rsidRPr="00EA4A56">
              <w:rPr>
                <w:lang w:val="es-ES_tradnl"/>
              </w:rPr>
              <w:t>f)</w:t>
            </w:r>
            <w:r w:rsidRPr="00EA4A56">
              <w:rPr>
                <w:lang w:val="es-ES_tradnl"/>
              </w:rPr>
              <w:tab/>
              <w:t>En caso de qu</w:t>
            </w:r>
            <w:r w:rsidRPr="00EA4A56">
              <w:rPr>
                <w:lang w:val="es-ES_tradnl"/>
              </w:rPr>
              <w:t>e el Estado miembro utilice hipótesis a que se refiere la letra e) que difieran de las hipótesis de la Comisión durante el período de ajuste del plan estructural nacional de política fiscal a medio plazo y el período siguiente de diez años en ausencia de n</w:t>
            </w:r>
            <w:r w:rsidRPr="00EA4A56">
              <w:rPr>
                <w:lang w:val="es-ES_tradnl"/>
              </w:rPr>
              <w:t>uevas medidas presupuestarias, la explicación y justificación debidas de estas diferencias, basadas en argumentos económicos</w:t>
            </w:r>
            <w:r w:rsidRPr="00EA4A56">
              <w:rPr>
                <w:b/>
                <w:bCs/>
                <w:i/>
                <w:iCs/>
                <w:lang w:val="es-ES_tradnl"/>
              </w:rPr>
              <w:t xml:space="preserve"> y sociales</w:t>
            </w:r>
            <w:r w:rsidRPr="00EA4A56">
              <w:rPr>
                <w:lang w:val="es-ES_tradnl"/>
              </w:rPr>
              <w:t xml:space="preserve"> sólidos.</w:t>
            </w:r>
          </w:p>
        </w:tc>
      </w:tr>
    </w:tbl>
    <w:p w:rsidR="00AF0131" w:rsidRPr="00EA4A56" w:rsidRDefault="006F2CA5" w:rsidP="00AF0131">
      <w:r w:rsidRPr="00EA4A56">
        <w:rPr>
          <w:rStyle w:val="HideTWBExt"/>
        </w:rPr>
        <w:t>&lt;/Amend&gt;</w:t>
      </w:r>
    </w:p>
    <w:p w:rsidR="00AF0131" w:rsidRPr="00EA4A56" w:rsidRDefault="006F2CA5" w:rsidP="00AF0131">
      <w:pPr>
        <w:pStyle w:val="AmNumberTabs"/>
      </w:pPr>
      <w:r w:rsidRPr="00EA4A56">
        <w:rPr>
          <w:rStyle w:val="HideTWBExt"/>
          <w:b w:val="0"/>
        </w:rPr>
        <w:t>&lt;Amend&gt;</w:t>
      </w:r>
      <w:r w:rsidRPr="00EA4A56">
        <w:t>Enmienda</w:t>
      </w:r>
      <w:r w:rsidRPr="00EA4A56">
        <w:tab/>
      </w:r>
      <w:r w:rsidRPr="00EA4A56">
        <w:tab/>
      </w:r>
      <w:r w:rsidRPr="00EA4A56">
        <w:rPr>
          <w:rStyle w:val="HideTWBExt"/>
          <w:b w:val="0"/>
        </w:rPr>
        <w:t>&lt;NumAm&gt;</w:t>
      </w:r>
      <w:r w:rsidRPr="00EA4A56">
        <w:t>30</w:t>
      </w:r>
      <w:r w:rsidRPr="00EA4A56">
        <w:rPr>
          <w:rStyle w:val="HideTWBExt"/>
          <w:b w:val="0"/>
        </w:rPr>
        <w:t>&lt;/NumAm&gt;</w:t>
      </w:r>
    </w:p>
    <w:p w:rsidR="00AF0131" w:rsidRPr="00EA4A56" w:rsidRDefault="00AF0131" w:rsidP="00AF0131"/>
    <w:p w:rsidR="00AF0131" w:rsidRPr="00EA4A56" w:rsidRDefault="006F2CA5" w:rsidP="00AF0131">
      <w:pPr>
        <w:pStyle w:val="NormalBold"/>
        <w:keepNext/>
      </w:pPr>
      <w:r w:rsidRPr="00EA4A56">
        <w:rPr>
          <w:rStyle w:val="HideTWBExt"/>
          <w:b w:val="0"/>
        </w:rPr>
        <w:lastRenderedPageBreak/>
        <w:t>&lt;DocAmend&gt;</w:t>
      </w:r>
      <w:r w:rsidRPr="00EA4A56">
        <w:t>Propuesta de Reglamento</w:t>
      </w:r>
      <w:r w:rsidRPr="00EA4A56">
        <w:rPr>
          <w:rStyle w:val="HideTWBExt"/>
          <w:b w:val="0"/>
        </w:rPr>
        <w:t>&lt;/DocAmend&gt;</w:t>
      </w:r>
    </w:p>
    <w:p w:rsidR="00AF0131" w:rsidRPr="00EA4A56" w:rsidRDefault="006F2CA5" w:rsidP="00AF0131">
      <w:pPr>
        <w:pStyle w:val="NormalBold"/>
      </w:pPr>
      <w:r w:rsidRPr="00EA4A56">
        <w:rPr>
          <w:rStyle w:val="HideTWBExt"/>
          <w:b w:val="0"/>
        </w:rPr>
        <w:t>&lt;Article&gt;</w:t>
      </w:r>
      <w:r w:rsidRPr="00EA4A56">
        <w:t xml:space="preserve">Anexo II – </w:t>
      </w:r>
      <w:r w:rsidRPr="00EA4A56">
        <w:t>apartado 1 – letra g</w:t>
      </w:r>
      <w:r w:rsidRPr="00EA4A5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20E9E" w:rsidRPr="00EA4A56" w:rsidTr="00C33FBD">
        <w:trPr>
          <w:jc w:val="center"/>
        </w:trPr>
        <w:tc>
          <w:tcPr>
            <w:tcW w:w="9752" w:type="dxa"/>
            <w:gridSpan w:val="2"/>
          </w:tcPr>
          <w:p w:rsidR="00AF0131" w:rsidRPr="00EA4A56" w:rsidRDefault="00AF0131" w:rsidP="00C33FBD">
            <w:pPr>
              <w:keepNext/>
            </w:pPr>
          </w:p>
        </w:tc>
      </w:tr>
      <w:tr w:rsidR="00820E9E" w:rsidRPr="00EA4A56" w:rsidTr="00C33FBD">
        <w:trPr>
          <w:jc w:val="center"/>
        </w:trPr>
        <w:tc>
          <w:tcPr>
            <w:tcW w:w="4876" w:type="dxa"/>
            <w:hideMark/>
          </w:tcPr>
          <w:p w:rsidR="00AF0131" w:rsidRPr="00EA4A56" w:rsidRDefault="006F2CA5" w:rsidP="00C33FBD">
            <w:pPr>
              <w:pStyle w:val="ColumnHeading"/>
              <w:keepNext/>
              <w:rPr>
                <w:lang w:val="es-ES_tradnl"/>
              </w:rPr>
            </w:pPr>
            <w:r w:rsidRPr="00EA4A56">
              <w:rPr>
                <w:lang w:val="es-ES_tradnl"/>
              </w:rPr>
              <w:t>Texto de la Comisión</w:t>
            </w:r>
          </w:p>
        </w:tc>
        <w:tc>
          <w:tcPr>
            <w:tcW w:w="4876" w:type="dxa"/>
            <w:hideMark/>
          </w:tcPr>
          <w:p w:rsidR="00AF0131" w:rsidRPr="00EA4A56" w:rsidRDefault="006F2CA5" w:rsidP="00C33FBD">
            <w:pPr>
              <w:pStyle w:val="ColumnHeading"/>
              <w:keepNext/>
              <w:rPr>
                <w:lang w:val="es-ES_tradnl"/>
              </w:rPr>
            </w:pPr>
            <w:r w:rsidRPr="00EA4A56">
              <w:rPr>
                <w:lang w:val="es-ES_tradnl"/>
              </w:rPr>
              <w:t>Enmienda</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lang w:val="es-ES_tradnl"/>
              </w:rPr>
              <w:t>g)</w:t>
            </w:r>
            <w:r w:rsidRPr="00EA4A56">
              <w:rPr>
                <w:lang w:val="es-ES_tradnl"/>
              </w:rPr>
              <w:tab/>
              <w:t>Un análisis de cómo los cambios en los principales supuestos económicos afectarían a la situación presupuestaria y de deuda del Estado miembro.</w:t>
            </w:r>
          </w:p>
        </w:tc>
        <w:tc>
          <w:tcPr>
            <w:tcW w:w="4876" w:type="dxa"/>
            <w:hideMark/>
          </w:tcPr>
          <w:p w:rsidR="00AF0131" w:rsidRPr="00EA4A56" w:rsidRDefault="006F2CA5" w:rsidP="00C33FBD">
            <w:pPr>
              <w:pStyle w:val="Normal6"/>
              <w:rPr>
                <w:szCs w:val="24"/>
                <w:lang w:val="es-ES_tradnl"/>
              </w:rPr>
            </w:pPr>
            <w:r w:rsidRPr="00EA4A56">
              <w:rPr>
                <w:lang w:val="es-ES_tradnl"/>
              </w:rPr>
              <w:t>g)</w:t>
            </w:r>
            <w:r w:rsidRPr="00EA4A56">
              <w:rPr>
                <w:lang w:val="es-ES_tradnl"/>
              </w:rPr>
              <w:tab/>
              <w:t>Un análisis de cómo los cambios en los pri</w:t>
            </w:r>
            <w:r w:rsidRPr="00EA4A56">
              <w:rPr>
                <w:lang w:val="es-ES_tradnl"/>
              </w:rPr>
              <w:t xml:space="preserve">ncipales supuestos económicos </w:t>
            </w:r>
            <w:r w:rsidRPr="00EA4A56">
              <w:rPr>
                <w:b/>
                <w:bCs/>
                <w:i/>
                <w:iCs/>
                <w:lang w:val="es-ES_tradnl"/>
              </w:rPr>
              <w:t>y sociales</w:t>
            </w:r>
            <w:r w:rsidRPr="00EA4A56">
              <w:rPr>
                <w:lang w:val="es-ES_tradnl"/>
              </w:rPr>
              <w:t xml:space="preserve"> afectarían a la situación presupuestaria y de deuda del Estado miembro</w:t>
            </w:r>
            <w:r w:rsidRPr="00EA4A56">
              <w:rPr>
                <w:b/>
                <w:bCs/>
                <w:i/>
                <w:iCs/>
                <w:lang w:val="es-ES_tradnl"/>
              </w:rPr>
              <w:t>, así como a la consecución de los objetivos nacionales, vinculados a los objetivos principales del pilar europeo de derechos sociales y sus indi</w:t>
            </w:r>
            <w:r w:rsidRPr="00EA4A56">
              <w:rPr>
                <w:b/>
                <w:bCs/>
                <w:i/>
                <w:iCs/>
                <w:lang w:val="es-ES_tradnl"/>
              </w:rPr>
              <w:t>cadores principales y secundarios y a las prioridades comunes de la Unión</w:t>
            </w:r>
            <w:r w:rsidRPr="00EA4A56">
              <w:rPr>
                <w:lang w:val="es-ES_tradnl"/>
              </w:rPr>
              <w:t>.</w:t>
            </w:r>
          </w:p>
        </w:tc>
      </w:tr>
    </w:tbl>
    <w:p w:rsidR="00AF0131" w:rsidRPr="00EA4A56" w:rsidRDefault="006F2CA5" w:rsidP="00AF0131">
      <w:r w:rsidRPr="00EA4A56">
        <w:rPr>
          <w:rStyle w:val="HideTWBExt"/>
        </w:rPr>
        <w:t>&lt;/Amend&gt;</w:t>
      </w:r>
    </w:p>
    <w:p w:rsidR="00AF0131" w:rsidRPr="00EA4A56" w:rsidRDefault="006F2CA5" w:rsidP="00AF0131">
      <w:pPr>
        <w:pStyle w:val="AmNumberTabs"/>
      </w:pPr>
      <w:r w:rsidRPr="00EA4A56">
        <w:rPr>
          <w:rStyle w:val="HideTWBExt"/>
          <w:b w:val="0"/>
        </w:rPr>
        <w:t>&lt;Amend&gt;</w:t>
      </w:r>
      <w:r w:rsidRPr="00EA4A56">
        <w:t>Enmienda</w:t>
      </w:r>
      <w:r w:rsidRPr="00EA4A56">
        <w:tab/>
      </w:r>
      <w:r w:rsidRPr="00EA4A56">
        <w:tab/>
      </w:r>
      <w:r w:rsidRPr="00EA4A56">
        <w:rPr>
          <w:rStyle w:val="HideTWBExt"/>
          <w:b w:val="0"/>
        </w:rPr>
        <w:t>&lt;NumAm&gt;</w:t>
      </w:r>
      <w:r w:rsidRPr="00EA4A56">
        <w:t>31</w:t>
      </w:r>
      <w:r w:rsidRPr="00EA4A56">
        <w:rPr>
          <w:rStyle w:val="HideTWBExt"/>
          <w:b w:val="0"/>
        </w:rPr>
        <w:t>&lt;/NumAm&gt;</w:t>
      </w:r>
    </w:p>
    <w:p w:rsidR="00AF0131" w:rsidRPr="00EA4A56" w:rsidRDefault="00AF0131" w:rsidP="00AF0131"/>
    <w:p w:rsidR="00AF0131" w:rsidRPr="00EA4A56" w:rsidRDefault="006F2CA5" w:rsidP="00AF0131">
      <w:pPr>
        <w:pStyle w:val="NormalBold"/>
        <w:keepNext/>
      </w:pPr>
      <w:r w:rsidRPr="00EA4A56">
        <w:rPr>
          <w:rStyle w:val="HideTWBExt"/>
          <w:b w:val="0"/>
        </w:rPr>
        <w:t>&lt;DocAmend&gt;</w:t>
      </w:r>
      <w:r w:rsidRPr="00EA4A56">
        <w:t>Propuesta de Reglamento</w:t>
      </w:r>
      <w:r w:rsidRPr="00EA4A56">
        <w:rPr>
          <w:rStyle w:val="HideTWBExt"/>
          <w:b w:val="0"/>
        </w:rPr>
        <w:t>&lt;/DocAmend&gt;</w:t>
      </w:r>
    </w:p>
    <w:p w:rsidR="00AF0131" w:rsidRPr="00EA4A56" w:rsidRDefault="006F2CA5" w:rsidP="00AF0131">
      <w:pPr>
        <w:pStyle w:val="NormalBold"/>
      </w:pPr>
      <w:r w:rsidRPr="00EA4A56">
        <w:rPr>
          <w:rStyle w:val="HideTWBExt"/>
          <w:b w:val="0"/>
        </w:rPr>
        <w:t>&lt;Article&gt;</w:t>
      </w:r>
      <w:r w:rsidRPr="00EA4A56">
        <w:t>Anexo II – apartado 1 – letra h</w:t>
      </w:r>
      <w:r w:rsidRPr="00EA4A5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20E9E" w:rsidRPr="00EA4A56" w:rsidTr="00C33FBD">
        <w:trPr>
          <w:jc w:val="center"/>
        </w:trPr>
        <w:tc>
          <w:tcPr>
            <w:tcW w:w="9752" w:type="dxa"/>
            <w:gridSpan w:val="2"/>
          </w:tcPr>
          <w:p w:rsidR="00AF0131" w:rsidRPr="00EA4A56" w:rsidRDefault="00AF0131" w:rsidP="00C33FBD">
            <w:pPr>
              <w:keepNext/>
            </w:pPr>
          </w:p>
        </w:tc>
      </w:tr>
      <w:tr w:rsidR="00820E9E" w:rsidRPr="00EA4A56" w:rsidTr="00C33FBD">
        <w:trPr>
          <w:jc w:val="center"/>
        </w:trPr>
        <w:tc>
          <w:tcPr>
            <w:tcW w:w="4876" w:type="dxa"/>
            <w:hideMark/>
          </w:tcPr>
          <w:p w:rsidR="00AF0131" w:rsidRPr="00EA4A56" w:rsidRDefault="006F2CA5" w:rsidP="00C33FBD">
            <w:pPr>
              <w:pStyle w:val="ColumnHeading"/>
              <w:keepNext/>
              <w:rPr>
                <w:lang w:val="es-ES_tradnl"/>
              </w:rPr>
            </w:pPr>
            <w:r w:rsidRPr="00EA4A56">
              <w:rPr>
                <w:lang w:val="es-ES_tradnl"/>
              </w:rPr>
              <w:t>Texto de la Comisión</w:t>
            </w:r>
          </w:p>
        </w:tc>
        <w:tc>
          <w:tcPr>
            <w:tcW w:w="4876" w:type="dxa"/>
            <w:hideMark/>
          </w:tcPr>
          <w:p w:rsidR="00AF0131" w:rsidRPr="00EA4A56" w:rsidRDefault="006F2CA5" w:rsidP="00C33FBD">
            <w:pPr>
              <w:pStyle w:val="ColumnHeading"/>
              <w:keepNext/>
              <w:rPr>
                <w:lang w:val="es-ES_tradnl"/>
              </w:rPr>
            </w:pPr>
            <w:r w:rsidRPr="00EA4A56">
              <w:rPr>
                <w:lang w:val="es-ES_tradnl"/>
              </w:rPr>
              <w:t>Enmienda</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lang w:val="es-ES_tradnl"/>
              </w:rPr>
              <w:t>h)</w:t>
            </w:r>
            <w:r w:rsidRPr="00EA4A56">
              <w:rPr>
                <w:lang w:val="es-ES_tradnl"/>
              </w:rPr>
              <w:tab/>
              <w:t xml:space="preserve">Si </w:t>
            </w:r>
            <w:r w:rsidRPr="00EA4A56">
              <w:rPr>
                <w:lang w:val="es-ES_tradnl"/>
              </w:rPr>
              <w:t>procede, las razones debidamente justificadas (con argumentos económicos sólidos y verificables pertinentes) para desviarse de la trayectoria técnica presentada por la Comisión.</w:t>
            </w:r>
          </w:p>
        </w:tc>
        <w:tc>
          <w:tcPr>
            <w:tcW w:w="4876" w:type="dxa"/>
            <w:hideMark/>
          </w:tcPr>
          <w:p w:rsidR="00AF0131" w:rsidRPr="00EA4A56" w:rsidRDefault="006F2CA5" w:rsidP="00C33FBD">
            <w:pPr>
              <w:pStyle w:val="Normal6"/>
              <w:rPr>
                <w:szCs w:val="24"/>
                <w:lang w:val="es-ES_tradnl"/>
              </w:rPr>
            </w:pPr>
            <w:r w:rsidRPr="00EA4A56">
              <w:rPr>
                <w:lang w:val="es-ES_tradnl"/>
              </w:rPr>
              <w:t>h)</w:t>
            </w:r>
            <w:r w:rsidRPr="00EA4A56">
              <w:rPr>
                <w:lang w:val="es-ES_tradnl"/>
              </w:rPr>
              <w:tab/>
              <w:t>Si procede, las razones debidamente justificadas (con argumentos económicos</w:t>
            </w:r>
            <w:r w:rsidRPr="00EA4A56">
              <w:rPr>
                <w:lang w:val="es-ES_tradnl"/>
              </w:rPr>
              <w:t xml:space="preserve"> </w:t>
            </w:r>
            <w:r w:rsidRPr="00EA4A56">
              <w:rPr>
                <w:b/>
                <w:bCs/>
                <w:i/>
                <w:iCs/>
                <w:lang w:val="es-ES_tradnl"/>
              </w:rPr>
              <w:t>y sociales</w:t>
            </w:r>
            <w:r w:rsidRPr="00EA4A56">
              <w:rPr>
                <w:lang w:val="es-ES_tradnl"/>
              </w:rPr>
              <w:t xml:space="preserve"> sólidos y verificables pertinentes) para desviarse de la trayectoria técnica presentada por la Comisión.</w:t>
            </w:r>
          </w:p>
        </w:tc>
      </w:tr>
    </w:tbl>
    <w:p w:rsidR="00AF0131" w:rsidRPr="00EA4A56" w:rsidRDefault="006F2CA5" w:rsidP="00C56375">
      <w:pPr>
        <w:rPr>
          <w:rStyle w:val="HideTWBExt"/>
          <w:rFonts w:ascii="Times New Roman" w:hAnsi="Times New Roman" w:cs="Times New Roman"/>
          <w:noProof w:val="0"/>
          <w:vanish w:val="0"/>
          <w:color w:val="auto"/>
          <w:sz w:val="24"/>
        </w:rPr>
      </w:pPr>
      <w:r w:rsidRPr="00EA4A56">
        <w:rPr>
          <w:rStyle w:val="HideTWBExt"/>
        </w:rPr>
        <w:t>&lt;/Amend&gt;</w:t>
      </w:r>
    </w:p>
    <w:p w:rsidR="00AF0131" w:rsidRPr="00EA4A56" w:rsidRDefault="006F2CA5" w:rsidP="00AF0131">
      <w:pPr>
        <w:pStyle w:val="AmNumberTabs"/>
      </w:pPr>
      <w:r w:rsidRPr="00EA4A56">
        <w:rPr>
          <w:rStyle w:val="HideTWBExt"/>
          <w:b w:val="0"/>
        </w:rPr>
        <w:t>&lt;Amend&gt;</w:t>
      </w:r>
      <w:r w:rsidRPr="00EA4A56">
        <w:t>Enmienda</w:t>
      </w:r>
      <w:r w:rsidRPr="00EA4A56">
        <w:tab/>
      </w:r>
      <w:r w:rsidRPr="00EA4A56">
        <w:tab/>
      </w:r>
      <w:r w:rsidRPr="00EA4A56">
        <w:rPr>
          <w:rStyle w:val="HideTWBExt"/>
          <w:b w:val="0"/>
        </w:rPr>
        <w:t>&lt;NumAm&gt;</w:t>
      </w:r>
      <w:r w:rsidRPr="00EA4A56">
        <w:t>32</w:t>
      </w:r>
      <w:r w:rsidRPr="00EA4A56">
        <w:rPr>
          <w:rStyle w:val="HideTWBExt"/>
          <w:b w:val="0"/>
        </w:rPr>
        <w:t>&lt;/NumAm&gt;</w:t>
      </w:r>
    </w:p>
    <w:p w:rsidR="00AF0131" w:rsidRPr="00EA4A56" w:rsidRDefault="00AF0131" w:rsidP="00AF0131"/>
    <w:p w:rsidR="00AF0131" w:rsidRPr="00EA4A56" w:rsidRDefault="006F2CA5" w:rsidP="00AF0131">
      <w:pPr>
        <w:pStyle w:val="NormalBold"/>
        <w:keepNext/>
      </w:pPr>
      <w:r w:rsidRPr="00EA4A56">
        <w:rPr>
          <w:rStyle w:val="HideTWBExt"/>
          <w:b w:val="0"/>
        </w:rPr>
        <w:t>&lt;DocAmend&gt;</w:t>
      </w:r>
      <w:r w:rsidRPr="00EA4A56">
        <w:t>Propuesta de Reglamento</w:t>
      </w:r>
      <w:r w:rsidRPr="00EA4A56">
        <w:rPr>
          <w:rStyle w:val="HideTWBExt"/>
          <w:b w:val="0"/>
        </w:rPr>
        <w:t>&lt;/DocAmend&gt;</w:t>
      </w:r>
    </w:p>
    <w:p w:rsidR="00AF0131" w:rsidRPr="00EA4A56" w:rsidRDefault="006F2CA5" w:rsidP="00AF0131">
      <w:pPr>
        <w:pStyle w:val="NormalBold"/>
      </w:pPr>
      <w:r w:rsidRPr="00EA4A56">
        <w:rPr>
          <w:rStyle w:val="HideTWBExt"/>
          <w:b w:val="0"/>
        </w:rPr>
        <w:t>&lt;Article&gt;</w:t>
      </w:r>
      <w:r w:rsidRPr="00EA4A56">
        <w:t>Anexo II – apartado 1 – letra j</w:t>
      </w:r>
      <w:r w:rsidRPr="00EA4A5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20E9E" w:rsidRPr="00EA4A56" w:rsidTr="00C33FBD">
        <w:trPr>
          <w:jc w:val="center"/>
        </w:trPr>
        <w:tc>
          <w:tcPr>
            <w:tcW w:w="9752" w:type="dxa"/>
            <w:gridSpan w:val="2"/>
          </w:tcPr>
          <w:p w:rsidR="00AF0131" w:rsidRPr="00EA4A56" w:rsidRDefault="00AF0131" w:rsidP="00C33FBD">
            <w:pPr>
              <w:keepNext/>
            </w:pPr>
          </w:p>
        </w:tc>
      </w:tr>
      <w:tr w:rsidR="00820E9E" w:rsidRPr="00EA4A56" w:rsidTr="00C33FBD">
        <w:trPr>
          <w:jc w:val="center"/>
        </w:trPr>
        <w:tc>
          <w:tcPr>
            <w:tcW w:w="4876" w:type="dxa"/>
            <w:hideMark/>
          </w:tcPr>
          <w:p w:rsidR="00AF0131" w:rsidRPr="00EA4A56" w:rsidRDefault="006F2CA5" w:rsidP="00C33FBD">
            <w:pPr>
              <w:pStyle w:val="ColumnHeading"/>
              <w:keepNext/>
              <w:rPr>
                <w:lang w:val="es-ES_tradnl"/>
              </w:rPr>
            </w:pPr>
            <w:r w:rsidRPr="00EA4A56">
              <w:rPr>
                <w:lang w:val="es-ES_tradnl"/>
              </w:rPr>
              <w:t>Texto de la Comisión</w:t>
            </w:r>
          </w:p>
        </w:tc>
        <w:tc>
          <w:tcPr>
            <w:tcW w:w="4876" w:type="dxa"/>
            <w:hideMark/>
          </w:tcPr>
          <w:p w:rsidR="00AF0131" w:rsidRPr="00EA4A56" w:rsidRDefault="006F2CA5" w:rsidP="00C33FBD">
            <w:pPr>
              <w:pStyle w:val="ColumnHeading"/>
              <w:keepNext/>
              <w:rPr>
                <w:lang w:val="es-ES_tradnl"/>
              </w:rPr>
            </w:pPr>
            <w:r w:rsidRPr="00EA4A56">
              <w:rPr>
                <w:lang w:val="es-ES_tradnl"/>
              </w:rPr>
              <w:t>Enmienda</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lang w:val="es-ES_tradnl"/>
              </w:rPr>
              <w:t>j)</w:t>
            </w:r>
            <w:r w:rsidRPr="00EA4A56">
              <w:rPr>
                <w:lang w:val="es-ES_tradnl"/>
              </w:rPr>
              <w:tab/>
              <w:t>El gasto total en inversión pública, así como las reformas y el gasto en inversión pública para cumplir las prioridades comunes de la Unión a que se refiere el anexo VI.</w:t>
            </w:r>
          </w:p>
        </w:tc>
        <w:tc>
          <w:tcPr>
            <w:tcW w:w="4876" w:type="dxa"/>
            <w:hideMark/>
          </w:tcPr>
          <w:p w:rsidR="00AF0131" w:rsidRPr="00EA4A56" w:rsidRDefault="006F2CA5" w:rsidP="00C33FBD">
            <w:pPr>
              <w:pStyle w:val="Normal6"/>
              <w:rPr>
                <w:szCs w:val="24"/>
                <w:lang w:val="es-ES_tradnl"/>
              </w:rPr>
            </w:pPr>
            <w:r w:rsidRPr="00EA4A56">
              <w:rPr>
                <w:lang w:val="es-ES_tradnl"/>
              </w:rPr>
              <w:t>j)</w:t>
            </w:r>
            <w:r w:rsidRPr="00EA4A56">
              <w:rPr>
                <w:lang w:val="es-ES_tradnl"/>
              </w:rPr>
              <w:tab/>
              <w:t>El gasto total en inversión pública,</w:t>
            </w:r>
            <w:r w:rsidRPr="00EA4A56">
              <w:rPr>
                <w:lang w:val="es-ES_tradnl"/>
              </w:rPr>
              <w:t xml:space="preserve"> así como las reformas y el gasto en inversión pública para cumplir </w:t>
            </w:r>
            <w:r w:rsidRPr="00EA4A56">
              <w:rPr>
                <w:b/>
                <w:bCs/>
                <w:i/>
                <w:iCs/>
                <w:lang w:val="es-ES_tradnl"/>
              </w:rPr>
              <w:t>cada una de</w:t>
            </w:r>
            <w:r w:rsidRPr="00EA4A56">
              <w:rPr>
                <w:lang w:val="es-ES_tradnl"/>
              </w:rPr>
              <w:t xml:space="preserve"> las prioridades comunes de la Unión a que se refiere el anexo VI.</w:t>
            </w:r>
          </w:p>
        </w:tc>
      </w:tr>
    </w:tbl>
    <w:p w:rsidR="00AF0131" w:rsidRPr="00EA4A56" w:rsidRDefault="006F2CA5" w:rsidP="00C56375">
      <w:pPr>
        <w:rPr>
          <w:rFonts w:eastAsiaTheme="majorEastAsia"/>
        </w:rPr>
      </w:pPr>
      <w:r w:rsidRPr="00EA4A56">
        <w:rPr>
          <w:rStyle w:val="HideTWBExt"/>
        </w:rPr>
        <w:t>&lt;/Amend&gt;</w:t>
      </w:r>
    </w:p>
    <w:p w:rsidR="00AF0131" w:rsidRPr="00EA4A56" w:rsidRDefault="006F2CA5" w:rsidP="00AF0131">
      <w:pPr>
        <w:pStyle w:val="AmNumberTabs"/>
      </w:pPr>
      <w:r w:rsidRPr="00EA4A56">
        <w:rPr>
          <w:rStyle w:val="HideTWBExt"/>
          <w:b w:val="0"/>
        </w:rPr>
        <w:t>&lt;Amend&gt;</w:t>
      </w:r>
      <w:r w:rsidRPr="00EA4A56">
        <w:t>Enmienda</w:t>
      </w:r>
      <w:r w:rsidRPr="00EA4A56">
        <w:tab/>
      </w:r>
      <w:r w:rsidRPr="00EA4A56">
        <w:tab/>
      </w:r>
      <w:r w:rsidRPr="00EA4A56">
        <w:rPr>
          <w:rStyle w:val="HideTWBExt"/>
          <w:b w:val="0"/>
        </w:rPr>
        <w:t>&lt;NumAm&gt;</w:t>
      </w:r>
      <w:r w:rsidRPr="00EA4A56">
        <w:t>33</w:t>
      </w:r>
      <w:r w:rsidRPr="00EA4A56">
        <w:rPr>
          <w:rStyle w:val="HideTWBExt"/>
          <w:b w:val="0"/>
        </w:rPr>
        <w:t>&lt;/NumAm&gt;</w:t>
      </w:r>
    </w:p>
    <w:p w:rsidR="00AF0131" w:rsidRPr="00EA4A56" w:rsidRDefault="00AF0131" w:rsidP="00AF0131"/>
    <w:p w:rsidR="00AF0131" w:rsidRPr="00EA4A56" w:rsidRDefault="006F2CA5" w:rsidP="00AF0131">
      <w:pPr>
        <w:pStyle w:val="NormalBold"/>
        <w:keepNext/>
      </w:pPr>
      <w:r w:rsidRPr="00EA4A56">
        <w:rPr>
          <w:rStyle w:val="HideTWBExt"/>
          <w:b w:val="0"/>
        </w:rPr>
        <w:lastRenderedPageBreak/>
        <w:t>&lt;DocAmend&gt;</w:t>
      </w:r>
      <w:r w:rsidRPr="00EA4A56">
        <w:t>Propuesta de Reglamento</w:t>
      </w:r>
      <w:r w:rsidRPr="00EA4A56">
        <w:rPr>
          <w:rStyle w:val="HideTWBExt"/>
          <w:b w:val="0"/>
        </w:rPr>
        <w:t>&lt;/DocAmend&gt;</w:t>
      </w:r>
    </w:p>
    <w:p w:rsidR="00AF0131" w:rsidRPr="00EA4A56" w:rsidRDefault="006F2CA5" w:rsidP="00AF0131">
      <w:pPr>
        <w:pStyle w:val="NormalBold"/>
      </w:pPr>
      <w:r w:rsidRPr="00EA4A56">
        <w:rPr>
          <w:rStyle w:val="HideTWBExt"/>
          <w:b w:val="0"/>
        </w:rPr>
        <w:t>&lt;Article&gt;</w:t>
      </w:r>
      <w:r w:rsidRPr="00EA4A56">
        <w:t>Anexo II –</w:t>
      </w:r>
      <w:r w:rsidRPr="00EA4A56">
        <w:t xml:space="preserve"> apartado 1 – letra k</w:t>
      </w:r>
      <w:r w:rsidRPr="00EA4A5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20E9E" w:rsidRPr="00EA4A56" w:rsidTr="00C33FBD">
        <w:trPr>
          <w:jc w:val="center"/>
        </w:trPr>
        <w:tc>
          <w:tcPr>
            <w:tcW w:w="9752" w:type="dxa"/>
            <w:gridSpan w:val="2"/>
          </w:tcPr>
          <w:p w:rsidR="00AF0131" w:rsidRPr="00EA4A56" w:rsidRDefault="00AF0131" w:rsidP="00C33FBD">
            <w:pPr>
              <w:keepNext/>
            </w:pPr>
          </w:p>
        </w:tc>
      </w:tr>
      <w:tr w:rsidR="00820E9E" w:rsidRPr="00EA4A56" w:rsidTr="00C33FBD">
        <w:trPr>
          <w:jc w:val="center"/>
        </w:trPr>
        <w:tc>
          <w:tcPr>
            <w:tcW w:w="4876" w:type="dxa"/>
            <w:hideMark/>
          </w:tcPr>
          <w:p w:rsidR="00AF0131" w:rsidRPr="00EA4A56" w:rsidRDefault="006F2CA5" w:rsidP="00C33FBD">
            <w:pPr>
              <w:pStyle w:val="ColumnHeading"/>
              <w:keepNext/>
              <w:rPr>
                <w:lang w:val="es-ES_tradnl"/>
              </w:rPr>
            </w:pPr>
            <w:r w:rsidRPr="00EA4A56">
              <w:rPr>
                <w:lang w:val="es-ES_tradnl"/>
              </w:rPr>
              <w:t>Texto de la Comisión</w:t>
            </w:r>
          </w:p>
        </w:tc>
        <w:tc>
          <w:tcPr>
            <w:tcW w:w="4876" w:type="dxa"/>
            <w:hideMark/>
          </w:tcPr>
          <w:p w:rsidR="00AF0131" w:rsidRPr="00EA4A56" w:rsidRDefault="006F2CA5" w:rsidP="00C33FBD">
            <w:pPr>
              <w:pStyle w:val="ColumnHeading"/>
              <w:keepNext/>
              <w:rPr>
                <w:lang w:val="es-ES_tradnl"/>
              </w:rPr>
            </w:pPr>
            <w:r w:rsidRPr="00EA4A56">
              <w:rPr>
                <w:lang w:val="es-ES_tradnl"/>
              </w:rPr>
              <w:t>Enmienda</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lang w:val="es-ES_tradnl"/>
              </w:rPr>
              <w:t>k)</w:t>
            </w:r>
            <w:r w:rsidRPr="00EA4A56">
              <w:rPr>
                <w:lang w:val="es-ES_tradnl"/>
              </w:rPr>
              <w:tab/>
              <w:t>Si procede, información sobre un conjunto específico de compromisos de reforma e inversión, con plazos definidos y verificable, que sustente una ampliación del período de ajuste con arregl</w:t>
            </w:r>
            <w:r w:rsidRPr="00EA4A56">
              <w:rPr>
                <w:lang w:val="es-ES_tradnl"/>
              </w:rPr>
              <w:t>o al artículo 13, un calendario para su aplicación, así como argumentos económicos sólidos de que este conjunto de compromisos de reforma e inversión cumple los criterios establecidos en el artículo 13, teniendo en cuenta los criterios de evaluación del an</w:t>
            </w:r>
            <w:r w:rsidRPr="00EA4A56">
              <w:rPr>
                <w:lang w:val="es-ES_tradnl"/>
              </w:rPr>
              <w:t>exo VII.</w:t>
            </w:r>
          </w:p>
        </w:tc>
        <w:tc>
          <w:tcPr>
            <w:tcW w:w="4876" w:type="dxa"/>
            <w:hideMark/>
          </w:tcPr>
          <w:p w:rsidR="00AF0131" w:rsidRPr="00EA4A56" w:rsidRDefault="006F2CA5" w:rsidP="00C33FBD">
            <w:pPr>
              <w:pStyle w:val="Normal6"/>
              <w:rPr>
                <w:szCs w:val="24"/>
                <w:lang w:val="es-ES_tradnl"/>
              </w:rPr>
            </w:pPr>
            <w:r w:rsidRPr="00EA4A56">
              <w:rPr>
                <w:lang w:val="es-ES_tradnl"/>
              </w:rPr>
              <w:t>k)</w:t>
            </w:r>
            <w:r w:rsidRPr="00EA4A56">
              <w:rPr>
                <w:lang w:val="es-ES_tradnl"/>
              </w:rPr>
              <w:tab/>
              <w:t xml:space="preserve">Si procede, información sobre un conjunto específico de compromisos de reforma e inversión, con plazos definidos y verificable, que sustente una ampliación del período de ajuste con arreglo al artículo 13, un calendario para su aplicación, así </w:t>
            </w:r>
            <w:r w:rsidRPr="00EA4A56">
              <w:rPr>
                <w:lang w:val="es-ES_tradnl"/>
              </w:rPr>
              <w:t>como argumentos económicos</w:t>
            </w:r>
            <w:r w:rsidRPr="00EA4A56">
              <w:rPr>
                <w:b/>
                <w:bCs/>
                <w:i/>
                <w:iCs/>
                <w:lang w:val="es-ES_tradnl"/>
              </w:rPr>
              <w:t xml:space="preserve"> y sociales</w:t>
            </w:r>
            <w:r w:rsidRPr="00EA4A56">
              <w:rPr>
                <w:lang w:val="es-ES_tradnl"/>
              </w:rPr>
              <w:t xml:space="preserve"> sólidos de que este conjunto de compromisos de reforma e inversión cumple los criterios establecidos en el artículo 13, teniendo en cuenta los criterios de evaluación del anexo VII.</w:t>
            </w:r>
          </w:p>
        </w:tc>
      </w:tr>
    </w:tbl>
    <w:p w:rsidR="00AF0131" w:rsidRPr="00EA4A56" w:rsidRDefault="006F2CA5" w:rsidP="00C56375">
      <w:pPr>
        <w:rPr>
          <w:rStyle w:val="HideTWBExt"/>
          <w:rFonts w:ascii="Times New Roman" w:hAnsi="Times New Roman" w:cs="Times New Roman"/>
          <w:noProof w:val="0"/>
          <w:vanish w:val="0"/>
          <w:color w:val="auto"/>
          <w:sz w:val="24"/>
        </w:rPr>
      </w:pPr>
      <w:r w:rsidRPr="00EA4A56">
        <w:rPr>
          <w:rStyle w:val="HideTWBExt"/>
        </w:rPr>
        <w:t>&lt;/Amend&gt;</w:t>
      </w:r>
    </w:p>
    <w:p w:rsidR="00AF0131" w:rsidRPr="00EA4A56" w:rsidRDefault="006F2CA5" w:rsidP="00AF0131">
      <w:pPr>
        <w:pStyle w:val="AmNumberTabs"/>
      </w:pPr>
      <w:r w:rsidRPr="00EA4A56">
        <w:rPr>
          <w:rStyle w:val="HideTWBExt"/>
          <w:b w:val="0"/>
        </w:rPr>
        <w:t>&lt;Amend&gt;</w:t>
      </w:r>
      <w:r w:rsidRPr="00EA4A56">
        <w:t>Enmienda</w:t>
      </w:r>
      <w:r w:rsidRPr="00EA4A56">
        <w:tab/>
      </w:r>
      <w:r w:rsidRPr="00EA4A56">
        <w:tab/>
      </w:r>
      <w:r w:rsidRPr="00EA4A56">
        <w:rPr>
          <w:rStyle w:val="HideTWBExt"/>
          <w:b w:val="0"/>
        </w:rPr>
        <w:t>&lt;NumAm&gt;</w:t>
      </w:r>
      <w:r w:rsidRPr="00EA4A56">
        <w:t>34</w:t>
      </w:r>
      <w:r w:rsidRPr="00EA4A56">
        <w:rPr>
          <w:rStyle w:val="HideTWBExt"/>
          <w:b w:val="0"/>
        </w:rPr>
        <w:t>&lt;/NumAm&gt;</w:t>
      </w:r>
    </w:p>
    <w:p w:rsidR="00AF0131" w:rsidRPr="00EA4A56" w:rsidRDefault="00AF0131" w:rsidP="00AF0131"/>
    <w:p w:rsidR="00AF0131" w:rsidRPr="00EA4A56" w:rsidRDefault="006F2CA5" w:rsidP="00AF0131">
      <w:pPr>
        <w:pStyle w:val="NormalBold"/>
        <w:keepNext/>
      </w:pPr>
      <w:r w:rsidRPr="00EA4A56">
        <w:rPr>
          <w:rStyle w:val="HideTWBExt"/>
          <w:b w:val="0"/>
        </w:rPr>
        <w:t>&lt;DocAmend&gt;</w:t>
      </w:r>
      <w:r w:rsidRPr="00EA4A56">
        <w:t>Propuesta de Reglamento</w:t>
      </w:r>
      <w:r w:rsidRPr="00EA4A56">
        <w:rPr>
          <w:rStyle w:val="HideTWBExt"/>
          <w:b w:val="0"/>
        </w:rPr>
        <w:t>&lt;/DocAmend&gt;</w:t>
      </w:r>
    </w:p>
    <w:p w:rsidR="00AF0131" w:rsidRPr="00EA4A56" w:rsidRDefault="006F2CA5" w:rsidP="00AF0131">
      <w:pPr>
        <w:pStyle w:val="NormalBold"/>
      </w:pPr>
      <w:r w:rsidRPr="00EA4A56">
        <w:rPr>
          <w:rStyle w:val="HideTWBExt"/>
          <w:b w:val="0"/>
        </w:rPr>
        <w:t>&lt;Article&gt;</w:t>
      </w:r>
      <w:r w:rsidRPr="00EA4A56">
        <w:t>Anexo II – apartado 1 – letra l</w:t>
      </w:r>
      <w:r w:rsidRPr="00EA4A5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20E9E" w:rsidRPr="00EA4A56" w:rsidTr="00C33FBD">
        <w:trPr>
          <w:jc w:val="center"/>
        </w:trPr>
        <w:tc>
          <w:tcPr>
            <w:tcW w:w="9752" w:type="dxa"/>
            <w:gridSpan w:val="2"/>
          </w:tcPr>
          <w:p w:rsidR="00AF0131" w:rsidRPr="00EA4A56" w:rsidRDefault="00AF0131" w:rsidP="00C33FBD">
            <w:pPr>
              <w:keepNext/>
            </w:pPr>
          </w:p>
        </w:tc>
      </w:tr>
      <w:tr w:rsidR="00820E9E" w:rsidRPr="00EA4A56" w:rsidTr="00C33FBD">
        <w:trPr>
          <w:jc w:val="center"/>
        </w:trPr>
        <w:tc>
          <w:tcPr>
            <w:tcW w:w="4876" w:type="dxa"/>
            <w:hideMark/>
          </w:tcPr>
          <w:p w:rsidR="00AF0131" w:rsidRPr="00EA4A56" w:rsidRDefault="006F2CA5" w:rsidP="00C33FBD">
            <w:pPr>
              <w:pStyle w:val="ColumnHeading"/>
              <w:keepNext/>
              <w:rPr>
                <w:lang w:val="es-ES_tradnl"/>
              </w:rPr>
            </w:pPr>
            <w:r w:rsidRPr="00EA4A56">
              <w:rPr>
                <w:lang w:val="es-ES_tradnl"/>
              </w:rPr>
              <w:t>Texto de la Comisión</w:t>
            </w:r>
          </w:p>
        </w:tc>
        <w:tc>
          <w:tcPr>
            <w:tcW w:w="4876" w:type="dxa"/>
            <w:hideMark/>
          </w:tcPr>
          <w:p w:rsidR="00AF0131" w:rsidRPr="00EA4A56" w:rsidRDefault="006F2CA5" w:rsidP="00C33FBD">
            <w:pPr>
              <w:pStyle w:val="ColumnHeading"/>
              <w:keepNext/>
              <w:rPr>
                <w:lang w:val="es-ES_tradnl"/>
              </w:rPr>
            </w:pPr>
            <w:r w:rsidRPr="00EA4A56">
              <w:rPr>
                <w:lang w:val="es-ES_tradnl"/>
              </w:rPr>
              <w:t>Enmienda</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lang w:val="es-ES_tradnl"/>
              </w:rPr>
              <w:t>(l)</w:t>
            </w:r>
            <w:r w:rsidRPr="00EA4A56">
              <w:rPr>
                <w:lang w:val="es-ES_tradnl"/>
              </w:rPr>
              <w:tab/>
              <w:t xml:space="preserve">Una cuantificación, en la medida de lo posible, de los efectos previstos de las reformas y la inversión a que se </w:t>
            </w:r>
            <w:r w:rsidRPr="00EA4A56">
              <w:rPr>
                <w:lang w:val="es-ES_tradnl"/>
              </w:rPr>
              <w:t>refiere la letra k) sobre la sostenibilidad presupuestaria, el crecimiento y el empleo, en su caso en consonancia con metodologías adoptadas de común acuerdo.</w:t>
            </w:r>
          </w:p>
        </w:tc>
        <w:tc>
          <w:tcPr>
            <w:tcW w:w="4876" w:type="dxa"/>
            <w:hideMark/>
          </w:tcPr>
          <w:p w:rsidR="00AF0131" w:rsidRPr="00EA4A56" w:rsidRDefault="006F2CA5" w:rsidP="00C33FBD">
            <w:pPr>
              <w:pStyle w:val="Normal6"/>
              <w:rPr>
                <w:szCs w:val="24"/>
                <w:lang w:val="es-ES_tradnl"/>
              </w:rPr>
            </w:pPr>
            <w:r w:rsidRPr="00EA4A56">
              <w:rPr>
                <w:lang w:val="es-ES_tradnl"/>
              </w:rPr>
              <w:t>(l)</w:t>
            </w:r>
            <w:r w:rsidRPr="00EA4A56">
              <w:rPr>
                <w:lang w:val="es-ES_tradnl"/>
              </w:rPr>
              <w:tab/>
              <w:t>Una cuantificación, en la medida de lo posible, de los efectos previstos de las reformas y la</w:t>
            </w:r>
            <w:r w:rsidRPr="00EA4A56">
              <w:rPr>
                <w:lang w:val="es-ES_tradnl"/>
              </w:rPr>
              <w:t xml:space="preserve"> inversión a que se refiere la letra k) sobre la sostenibilidad presupuestaria, el crecimiento </w:t>
            </w:r>
            <w:r w:rsidRPr="00EA4A56">
              <w:rPr>
                <w:b/>
                <w:bCs/>
                <w:i/>
                <w:iCs/>
                <w:lang w:val="es-ES_tradnl"/>
              </w:rPr>
              <w:t>sostenible e inclusivo, la competitividad</w:t>
            </w:r>
            <w:r w:rsidRPr="00EA4A56">
              <w:rPr>
                <w:lang w:val="es-ES_tradnl"/>
              </w:rPr>
              <w:t xml:space="preserve"> y el empleo </w:t>
            </w:r>
            <w:r w:rsidRPr="00EA4A56">
              <w:rPr>
                <w:b/>
                <w:bCs/>
                <w:i/>
                <w:iCs/>
                <w:lang w:val="es-ES_tradnl"/>
              </w:rPr>
              <w:t>de calidad, así como sobre la convergencia social al alza</w:t>
            </w:r>
            <w:r w:rsidRPr="00EA4A56">
              <w:rPr>
                <w:lang w:val="es-ES_tradnl"/>
              </w:rPr>
              <w:t>, en su caso en consonancia con metodologías adopt</w:t>
            </w:r>
            <w:r w:rsidRPr="00EA4A56">
              <w:rPr>
                <w:lang w:val="es-ES_tradnl"/>
              </w:rPr>
              <w:t>adas de común acuerdo.</w:t>
            </w:r>
          </w:p>
        </w:tc>
      </w:tr>
    </w:tbl>
    <w:p w:rsidR="00AF0131" w:rsidRPr="00EA4A56" w:rsidRDefault="006F2CA5" w:rsidP="00C56375">
      <w:pPr>
        <w:rPr>
          <w:rStyle w:val="HideTWBExt"/>
          <w:rFonts w:ascii="Times New Roman" w:hAnsi="Times New Roman" w:cs="Times New Roman"/>
          <w:noProof w:val="0"/>
          <w:vanish w:val="0"/>
          <w:color w:val="auto"/>
          <w:sz w:val="24"/>
        </w:rPr>
      </w:pPr>
      <w:r w:rsidRPr="00EA4A56">
        <w:rPr>
          <w:rStyle w:val="HideTWBExt"/>
        </w:rPr>
        <w:t>&lt;/Amend&gt;</w:t>
      </w:r>
    </w:p>
    <w:p w:rsidR="00AF0131" w:rsidRPr="00EA4A56" w:rsidRDefault="006F2CA5" w:rsidP="00AF0131">
      <w:pPr>
        <w:pStyle w:val="AmNumberTabs"/>
      </w:pPr>
      <w:r w:rsidRPr="00EA4A56">
        <w:rPr>
          <w:rStyle w:val="HideTWBExt"/>
          <w:b w:val="0"/>
        </w:rPr>
        <w:t>&lt;Amend&gt;</w:t>
      </w:r>
      <w:r w:rsidRPr="00EA4A56">
        <w:t>Enmienda</w:t>
      </w:r>
      <w:r w:rsidRPr="00EA4A56">
        <w:tab/>
      </w:r>
      <w:r w:rsidRPr="00EA4A56">
        <w:tab/>
      </w:r>
      <w:r w:rsidRPr="00EA4A56">
        <w:rPr>
          <w:rStyle w:val="HideTWBExt"/>
          <w:b w:val="0"/>
        </w:rPr>
        <w:t>&lt;NumAm&gt;</w:t>
      </w:r>
      <w:r w:rsidRPr="00EA4A56">
        <w:t>35</w:t>
      </w:r>
      <w:r w:rsidRPr="00EA4A56">
        <w:rPr>
          <w:rStyle w:val="HideTWBExt"/>
          <w:b w:val="0"/>
        </w:rPr>
        <w:t>&lt;/NumAm&gt;</w:t>
      </w:r>
    </w:p>
    <w:p w:rsidR="00AF0131" w:rsidRPr="00EA4A56" w:rsidRDefault="00AF0131" w:rsidP="00AF0131"/>
    <w:p w:rsidR="00AF0131" w:rsidRPr="00EA4A56" w:rsidRDefault="006F2CA5" w:rsidP="00AF0131">
      <w:pPr>
        <w:pStyle w:val="NormalBold"/>
        <w:keepNext/>
      </w:pPr>
      <w:r w:rsidRPr="00EA4A56">
        <w:rPr>
          <w:rStyle w:val="HideTWBExt"/>
          <w:b w:val="0"/>
        </w:rPr>
        <w:t>&lt;DocAmend&gt;</w:t>
      </w:r>
      <w:r w:rsidRPr="00EA4A56">
        <w:t>Propuesta de Reglamento</w:t>
      </w:r>
      <w:r w:rsidRPr="00EA4A56">
        <w:rPr>
          <w:rStyle w:val="HideTWBExt"/>
          <w:b w:val="0"/>
        </w:rPr>
        <w:t>&lt;/DocAmend&gt;</w:t>
      </w:r>
    </w:p>
    <w:p w:rsidR="00AF0131" w:rsidRPr="00EA4A56" w:rsidRDefault="006F2CA5" w:rsidP="00AF0131">
      <w:pPr>
        <w:pStyle w:val="NormalBold"/>
      </w:pPr>
      <w:r w:rsidRPr="00EA4A56">
        <w:rPr>
          <w:rStyle w:val="HideTWBExt"/>
          <w:b w:val="0"/>
        </w:rPr>
        <w:t>&lt;Article&gt;</w:t>
      </w:r>
      <w:r w:rsidRPr="00EA4A56">
        <w:t>Anexo II – apartado 1 – letra n bis (nueva)</w:t>
      </w:r>
      <w:r w:rsidRPr="00EA4A5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20E9E" w:rsidRPr="00EA4A56" w:rsidTr="00C33FBD">
        <w:trPr>
          <w:jc w:val="center"/>
        </w:trPr>
        <w:tc>
          <w:tcPr>
            <w:tcW w:w="9752" w:type="dxa"/>
            <w:gridSpan w:val="2"/>
          </w:tcPr>
          <w:p w:rsidR="00AF0131" w:rsidRPr="00EA4A56" w:rsidRDefault="00AF0131" w:rsidP="00C33FBD">
            <w:pPr>
              <w:keepNext/>
            </w:pPr>
          </w:p>
        </w:tc>
      </w:tr>
      <w:tr w:rsidR="00820E9E" w:rsidRPr="00EA4A56" w:rsidTr="00C33FBD">
        <w:trPr>
          <w:jc w:val="center"/>
        </w:trPr>
        <w:tc>
          <w:tcPr>
            <w:tcW w:w="4876" w:type="dxa"/>
            <w:hideMark/>
          </w:tcPr>
          <w:p w:rsidR="00AF0131" w:rsidRPr="00EA4A56" w:rsidRDefault="006F2CA5" w:rsidP="00C33FBD">
            <w:pPr>
              <w:pStyle w:val="ColumnHeading"/>
              <w:keepNext/>
              <w:rPr>
                <w:lang w:val="es-ES_tradnl"/>
              </w:rPr>
            </w:pPr>
            <w:r w:rsidRPr="00EA4A56">
              <w:rPr>
                <w:lang w:val="es-ES_tradnl"/>
              </w:rPr>
              <w:t>Texto de la Comisión</w:t>
            </w:r>
          </w:p>
        </w:tc>
        <w:tc>
          <w:tcPr>
            <w:tcW w:w="4876" w:type="dxa"/>
            <w:hideMark/>
          </w:tcPr>
          <w:p w:rsidR="00AF0131" w:rsidRPr="00EA4A56" w:rsidRDefault="006F2CA5" w:rsidP="00C33FBD">
            <w:pPr>
              <w:pStyle w:val="ColumnHeading"/>
              <w:keepNext/>
              <w:rPr>
                <w:lang w:val="es-ES_tradnl"/>
              </w:rPr>
            </w:pPr>
            <w:r w:rsidRPr="00EA4A56">
              <w:rPr>
                <w:lang w:val="es-ES_tradnl"/>
              </w:rPr>
              <w:t>Enmienda</w:t>
            </w:r>
          </w:p>
        </w:tc>
      </w:tr>
      <w:tr w:rsidR="00820E9E" w:rsidRPr="00EA4A56" w:rsidTr="00C33FBD">
        <w:trPr>
          <w:jc w:val="center"/>
        </w:trPr>
        <w:tc>
          <w:tcPr>
            <w:tcW w:w="4876" w:type="dxa"/>
          </w:tcPr>
          <w:p w:rsidR="00AF0131" w:rsidRPr="00EA4A56" w:rsidRDefault="00AF0131" w:rsidP="00C33FBD">
            <w:pPr>
              <w:pStyle w:val="Normal6"/>
              <w:rPr>
                <w:lang w:val="es-ES_tradnl"/>
              </w:rPr>
            </w:pPr>
          </w:p>
        </w:tc>
        <w:tc>
          <w:tcPr>
            <w:tcW w:w="4876" w:type="dxa"/>
            <w:hideMark/>
          </w:tcPr>
          <w:p w:rsidR="00AF0131" w:rsidRPr="00EA4A56" w:rsidRDefault="006F2CA5" w:rsidP="00C33FBD">
            <w:pPr>
              <w:pStyle w:val="Normal6"/>
              <w:rPr>
                <w:szCs w:val="24"/>
                <w:lang w:val="es-ES_tradnl"/>
              </w:rPr>
            </w:pPr>
            <w:r w:rsidRPr="00EA4A56">
              <w:rPr>
                <w:b/>
                <w:i/>
                <w:lang w:val="es-ES_tradnl"/>
              </w:rPr>
              <w:t>n bis)</w:t>
            </w:r>
            <w:r w:rsidRPr="00EA4A56">
              <w:rPr>
                <w:b/>
                <w:i/>
                <w:lang w:val="es-ES_tradnl"/>
              </w:rPr>
              <w:tab/>
              <w:t xml:space="preserve">Si procede, reformas e inversiones </w:t>
            </w:r>
            <w:r w:rsidRPr="00EA4A56">
              <w:rPr>
                <w:b/>
                <w:i/>
                <w:lang w:val="es-ES_tradnl"/>
              </w:rPr>
              <w:t xml:space="preserve">para corregir los riesgos detectados en materia de convergencia social en virtud </w:t>
            </w:r>
            <w:r w:rsidRPr="00EA4A56">
              <w:rPr>
                <w:b/>
                <w:i/>
                <w:lang w:val="es-ES_tradnl"/>
              </w:rPr>
              <w:lastRenderedPageBreak/>
              <w:t>del marco de convergencia social.</w:t>
            </w:r>
          </w:p>
        </w:tc>
      </w:tr>
    </w:tbl>
    <w:p w:rsidR="00AF0131" w:rsidRPr="00EA4A56" w:rsidRDefault="006F2CA5" w:rsidP="00C56375">
      <w:pPr>
        <w:rPr>
          <w:rFonts w:eastAsiaTheme="majorEastAsia"/>
        </w:rPr>
      </w:pPr>
      <w:r w:rsidRPr="00EA4A56">
        <w:rPr>
          <w:rStyle w:val="HideTWBExt"/>
        </w:rPr>
        <w:lastRenderedPageBreak/>
        <w:t>&lt;/Amend&gt;</w:t>
      </w:r>
    </w:p>
    <w:p w:rsidR="00AF0131" w:rsidRPr="00EA4A56" w:rsidRDefault="006F2CA5" w:rsidP="00AF0131">
      <w:pPr>
        <w:pStyle w:val="AmNumberTabs"/>
      </w:pPr>
      <w:r w:rsidRPr="00EA4A56">
        <w:rPr>
          <w:rStyle w:val="HideTWBExt"/>
          <w:b w:val="0"/>
        </w:rPr>
        <w:t>&lt;Amend&gt;</w:t>
      </w:r>
      <w:r w:rsidRPr="00EA4A56">
        <w:t>Enmienda</w:t>
      </w:r>
      <w:r w:rsidRPr="00EA4A56">
        <w:tab/>
      </w:r>
      <w:r w:rsidRPr="00EA4A56">
        <w:tab/>
      </w:r>
      <w:r w:rsidRPr="00EA4A56">
        <w:rPr>
          <w:rStyle w:val="HideTWBExt"/>
          <w:b w:val="0"/>
        </w:rPr>
        <w:t>&lt;NumAm&gt;</w:t>
      </w:r>
      <w:r w:rsidRPr="00EA4A56">
        <w:t>36</w:t>
      </w:r>
      <w:r w:rsidRPr="00EA4A56">
        <w:rPr>
          <w:rStyle w:val="HideTWBExt"/>
          <w:b w:val="0"/>
        </w:rPr>
        <w:t>&lt;/NumAm&gt;</w:t>
      </w:r>
    </w:p>
    <w:p w:rsidR="00AF0131" w:rsidRPr="00EA4A56" w:rsidRDefault="00AF0131" w:rsidP="00AF0131"/>
    <w:p w:rsidR="00AF0131" w:rsidRPr="00EA4A56" w:rsidRDefault="006F2CA5" w:rsidP="00AF0131">
      <w:pPr>
        <w:pStyle w:val="NormalBold"/>
        <w:keepNext/>
      </w:pPr>
      <w:r w:rsidRPr="00EA4A56">
        <w:rPr>
          <w:rStyle w:val="HideTWBExt"/>
          <w:b w:val="0"/>
        </w:rPr>
        <w:t>&lt;DocAmend&gt;</w:t>
      </w:r>
      <w:r w:rsidRPr="00EA4A56">
        <w:t>Propuesta de Reglamento</w:t>
      </w:r>
      <w:r w:rsidRPr="00EA4A56">
        <w:rPr>
          <w:rStyle w:val="HideTWBExt"/>
          <w:b w:val="0"/>
        </w:rPr>
        <w:t>&lt;/DocAmend&gt;</w:t>
      </w:r>
    </w:p>
    <w:p w:rsidR="00AF0131" w:rsidRPr="00EA4A56" w:rsidRDefault="006F2CA5" w:rsidP="00AF0131">
      <w:pPr>
        <w:pStyle w:val="NormalBold"/>
      </w:pPr>
      <w:r w:rsidRPr="00EA4A56">
        <w:rPr>
          <w:rStyle w:val="HideTWBExt"/>
          <w:b w:val="0"/>
        </w:rPr>
        <w:t>&lt;Article&gt;</w:t>
      </w:r>
      <w:r w:rsidRPr="00EA4A56">
        <w:t>Anexo II – apartado 1 – letra p</w:t>
      </w:r>
      <w:r w:rsidRPr="00EA4A5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20E9E" w:rsidRPr="00EA4A56" w:rsidTr="00C33FBD">
        <w:trPr>
          <w:jc w:val="center"/>
        </w:trPr>
        <w:tc>
          <w:tcPr>
            <w:tcW w:w="9752" w:type="dxa"/>
            <w:gridSpan w:val="2"/>
          </w:tcPr>
          <w:p w:rsidR="00AF0131" w:rsidRPr="00EA4A56" w:rsidRDefault="00AF0131" w:rsidP="00C33FBD">
            <w:pPr>
              <w:keepNext/>
            </w:pPr>
          </w:p>
        </w:tc>
      </w:tr>
      <w:tr w:rsidR="00820E9E" w:rsidRPr="00EA4A56" w:rsidTr="00C33FBD">
        <w:trPr>
          <w:jc w:val="center"/>
        </w:trPr>
        <w:tc>
          <w:tcPr>
            <w:tcW w:w="4876" w:type="dxa"/>
            <w:hideMark/>
          </w:tcPr>
          <w:p w:rsidR="00AF0131" w:rsidRPr="00EA4A56" w:rsidRDefault="006F2CA5" w:rsidP="00C33FBD">
            <w:pPr>
              <w:pStyle w:val="ColumnHeading"/>
              <w:keepNext/>
              <w:rPr>
                <w:lang w:val="es-ES_tradnl"/>
              </w:rPr>
            </w:pPr>
            <w:r w:rsidRPr="00EA4A56">
              <w:rPr>
                <w:lang w:val="es-ES_tradnl"/>
              </w:rPr>
              <w:t>Texto de la Comisión</w:t>
            </w:r>
          </w:p>
        </w:tc>
        <w:tc>
          <w:tcPr>
            <w:tcW w:w="4876" w:type="dxa"/>
            <w:hideMark/>
          </w:tcPr>
          <w:p w:rsidR="00AF0131" w:rsidRPr="00EA4A56" w:rsidRDefault="006F2CA5" w:rsidP="00C33FBD">
            <w:pPr>
              <w:pStyle w:val="ColumnHeading"/>
              <w:keepNext/>
              <w:rPr>
                <w:lang w:val="es-ES_tradnl"/>
              </w:rPr>
            </w:pPr>
            <w:r w:rsidRPr="00EA4A56">
              <w:rPr>
                <w:lang w:val="es-ES_tradnl"/>
              </w:rPr>
              <w:t>Enmienda</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lang w:val="es-ES_tradnl"/>
              </w:rPr>
              <w:t>p)</w:t>
            </w:r>
            <w:r w:rsidRPr="00EA4A56">
              <w:rPr>
                <w:lang w:val="es-ES_tradnl"/>
              </w:rPr>
              <w:tab/>
              <w:t>En el caso de los Estados miembros con dificultades de menor importancia en materia de deuda pública, pero con grandes pasivos implícitos, la trayectoria nacional de gasto neto y las reformas de los planes estructurales</w:t>
            </w:r>
            <w:r w:rsidRPr="00EA4A56">
              <w:rPr>
                <w:lang w:val="es-ES_tradnl"/>
              </w:rPr>
              <w:t xml:space="preserve"> nacionales de política fiscal a medio plazo deben tener debidamente en cuenta los retos a los que se enfrentan las finanzas públicas para la sostenibilidad presupuestaria a largo plazo.</w:t>
            </w:r>
          </w:p>
        </w:tc>
        <w:tc>
          <w:tcPr>
            <w:tcW w:w="4876" w:type="dxa"/>
            <w:hideMark/>
          </w:tcPr>
          <w:p w:rsidR="00AF0131" w:rsidRPr="00EA4A56" w:rsidRDefault="006F2CA5" w:rsidP="00C33FBD">
            <w:pPr>
              <w:pStyle w:val="Normal6"/>
              <w:rPr>
                <w:szCs w:val="24"/>
                <w:lang w:val="es-ES_tradnl"/>
              </w:rPr>
            </w:pPr>
            <w:r w:rsidRPr="00EA4A56">
              <w:rPr>
                <w:lang w:val="es-ES_tradnl"/>
              </w:rPr>
              <w:t>p)</w:t>
            </w:r>
            <w:r w:rsidRPr="00EA4A56">
              <w:rPr>
                <w:lang w:val="es-ES_tradnl"/>
              </w:rPr>
              <w:tab/>
              <w:t>En el caso de los Estados miembros con dificultades de menor impor</w:t>
            </w:r>
            <w:r w:rsidRPr="00EA4A56">
              <w:rPr>
                <w:lang w:val="es-ES_tradnl"/>
              </w:rPr>
              <w:t>tancia en materia de deuda pública, pero con grandes pasivos implícitos, la trayectoria nacional de gasto neto y las reformas de los planes estructurales nacionales de política fiscal a medio plazo deben tener debidamente en cuenta los retos a los que se e</w:t>
            </w:r>
            <w:r w:rsidRPr="00EA4A56">
              <w:rPr>
                <w:lang w:val="es-ES_tradnl"/>
              </w:rPr>
              <w:t>nfrentan las finanzas públicas para la sostenibilidad presupuestaria a largo plazo</w:t>
            </w:r>
            <w:r w:rsidRPr="00EA4A56">
              <w:rPr>
                <w:b/>
                <w:bCs/>
                <w:i/>
                <w:iCs/>
                <w:lang w:val="es-ES_tradnl"/>
              </w:rPr>
              <w:t>, así como los riesgos en materia de divergencia social establecidos en los seguimientos más recientes</w:t>
            </w:r>
            <w:r w:rsidRPr="00EA4A56">
              <w:rPr>
                <w:lang w:val="es-ES_tradnl"/>
              </w:rPr>
              <w:t>.</w:t>
            </w:r>
          </w:p>
        </w:tc>
      </w:tr>
    </w:tbl>
    <w:p w:rsidR="00AF0131" w:rsidRPr="00EA4A56" w:rsidRDefault="006F2CA5" w:rsidP="00C56375">
      <w:pPr>
        <w:rPr>
          <w:rStyle w:val="HideTWBExt"/>
          <w:rFonts w:ascii="Times New Roman" w:hAnsi="Times New Roman" w:cs="Times New Roman"/>
          <w:noProof w:val="0"/>
          <w:vanish w:val="0"/>
          <w:color w:val="auto"/>
          <w:sz w:val="24"/>
        </w:rPr>
      </w:pPr>
      <w:r w:rsidRPr="00EA4A56">
        <w:rPr>
          <w:rStyle w:val="HideTWBExt"/>
        </w:rPr>
        <w:t>&lt;/Amend&gt;</w:t>
      </w:r>
    </w:p>
    <w:p w:rsidR="00AF0131" w:rsidRPr="00EA4A56" w:rsidRDefault="006F2CA5" w:rsidP="00AF0131">
      <w:pPr>
        <w:pStyle w:val="AmNumberTabs"/>
      </w:pPr>
      <w:r w:rsidRPr="00EA4A56">
        <w:rPr>
          <w:rStyle w:val="HideTWBExt"/>
          <w:b w:val="0"/>
        </w:rPr>
        <w:t>&lt;Amend&gt;</w:t>
      </w:r>
      <w:r w:rsidRPr="00EA4A56">
        <w:t>Enmienda</w:t>
      </w:r>
      <w:r w:rsidRPr="00EA4A56">
        <w:tab/>
      </w:r>
      <w:r w:rsidRPr="00EA4A56">
        <w:tab/>
      </w:r>
      <w:r w:rsidRPr="00EA4A56">
        <w:rPr>
          <w:rStyle w:val="HideTWBExt"/>
          <w:b w:val="0"/>
        </w:rPr>
        <w:t>&lt;NumAm&gt;</w:t>
      </w:r>
      <w:r w:rsidRPr="00EA4A56">
        <w:t>37</w:t>
      </w:r>
      <w:r w:rsidRPr="00EA4A56">
        <w:rPr>
          <w:rStyle w:val="HideTWBExt"/>
          <w:b w:val="0"/>
        </w:rPr>
        <w:t>&lt;/NumAm&gt;</w:t>
      </w:r>
    </w:p>
    <w:p w:rsidR="00AF0131" w:rsidRPr="00EA4A56" w:rsidRDefault="00AF0131" w:rsidP="00AF0131"/>
    <w:p w:rsidR="00AF0131" w:rsidRPr="00EA4A56" w:rsidRDefault="006F2CA5" w:rsidP="00AF0131">
      <w:pPr>
        <w:pStyle w:val="NormalBold"/>
        <w:keepNext/>
      </w:pPr>
      <w:r w:rsidRPr="00EA4A56">
        <w:rPr>
          <w:rStyle w:val="HideTWBExt"/>
          <w:b w:val="0"/>
        </w:rPr>
        <w:t>&lt;DocAmend&gt;</w:t>
      </w:r>
      <w:r w:rsidRPr="00EA4A56">
        <w:t xml:space="preserve">Propuesta de </w:t>
      </w:r>
      <w:r w:rsidRPr="00EA4A56">
        <w:t>Reglamento</w:t>
      </w:r>
      <w:r w:rsidRPr="00EA4A56">
        <w:rPr>
          <w:rStyle w:val="HideTWBExt"/>
          <w:b w:val="0"/>
        </w:rPr>
        <w:t>&lt;/DocAmend&gt;</w:t>
      </w:r>
    </w:p>
    <w:p w:rsidR="00AF0131" w:rsidRPr="00EA4A56" w:rsidRDefault="006F2CA5" w:rsidP="00AF0131">
      <w:pPr>
        <w:pStyle w:val="NormalBold"/>
      </w:pPr>
      <w:r w:rsidRPr="00EA4A56">
        <w:rPr>
          <w:rStyle w:val="HideTWBExt"/>
          <w:b w:val="0"/>
        </w:rPr>
        <w:t>&lt;Article&gt;</w:t>
      </w:r>
      <w:r w:rsidRPr="00EA4A56">
        <w:t>Anexo II – apartado 1 – letra q</w:t>
      </w:r>
      <w:r w:rsidRPr="00EA4A5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20E9E" w:rsidRPr="00EA4A56" w:rsidTr="00C33FBD">
        <w:trPr>
          <w:jc w:val="center"/>
        </w:trPr>
        <w:tc>
          <w:tcPr>
            <w:tcW w:w="9752" w:type="dxa"/>
            <w:gridSpan w:val="2"/>
          </w:tcPr>
          <w:p w:rsidR="00AF0131" w:rsidRPr="00EA4A56" w:rsidRDefault="00AF0131" w:rsidP="00C33FBD">
            <w:pPr>
              <w:keepNext/>
            </w:pPr>
          </w:p>
        </w:tc>
      </w:tr>
      <w:tr w:rsidR="00820E9E" w:rsidRPr="00EA4A56" w:rsidTr="00C33FBD">
        <w:trPr>
          <w:jc w:val="center"/>
        </w:trPr>
        <w:tc>
          <w:tcPr>
            <w:tcW w:w="4876" w:type="dxa"/>
            <w:hideMark/>
          </w:tcPr>
          <w:p w:rsidR="00AF0131" w:rsidRPr="00EA4A56" w:rsidRDefault="006F2CA5" w:rsidP="00C33FBD">
            <w:pPr>
              <w:pStyle w:val="ColumnHeading"/>
              <w:keepNext/>
              <w:rPr>
                <w:lang w:val="es-ES_tradnl"/>
              </w:rPr>
            </w:pPr>
            <w:r w:rsidRPr="00EA4A56">
              <w:rPr>
                <w:lang w:val="es-ES_tradnl"/>
              </w:rPr>
              <w:t>Texto de la Comisión</w:t>
            </w:r>
          </w:p>
        </w:tc>
        <w:tc>
          <w:tcPr>
            <w:tcW w:w="4876" w:type="dxa"/>
            <w:hideMark/>
          </w:tcPr>
          <w:p w:rsidR="00AF0131" w:rsidRPr="00EA4A56" w:rsidRDefault="006F2CA5" w:rsidP="00C33FBD">
            <w:pPr>
              <w:pStyle w:val="ColumnHeading"/>
              <w:keepNext/>
              <w:rPr>
                <w:lang w:val="es-ES_tradnl"/>
              </w:rPr>
            </w:pPr>
            <w:r w:rsidRPr="00EA4A56">
              <w:rPr>
                <w:lang w:val="es-ES_tradnl"/>
              </w:rPr>
              <w:t>Enmienda</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lang w:val="es-ES_tradnl"/>
              </w:rPr>
              <w:t>q)</w:t>
            </w:r>
            <w:r w:rsidRPr="00EA4A56">
              <w:rPr>
                <w:lang w:val="es-ES_tradnl"/>
              </w:rPr>
              <w:tab/>
              <w:t>Información sobre las consultas con los interlocutores sociales, las organizaciones de la sociedad civil y otras partes interesadas pertinentes con</w:t>
            </w:r>
            <w:r w:rsidRPr="00EA4A56">
              <w:rPr>
                <w:lang w:val="es-ES_tradnl"/>
              </w:rPr>
              <w:t xml:space="preserve"> vistas a la preparación del plan.</w:t>
            </w:r>
          </w:p>
        </w:tc>
        <w:tc>
          <w:tcPr>
            <w:tcW w:w="4876" w:type="dxa"/>
            <w:hideMark/>
          </w:tcPr>
          <w:p w:rsidR="00AF0131" w:rsidRPr="00EA4A56" w:rsidRDefault="006F2CA5" w:rsidP="00C33FBD">
            <w:pPr>
              <w:pStyle w:val="Normal6"/>
              <w:rPr>
                <w:szCs w:val="24"/>
                <w:lang w:val="es-ES_tradnl"/>
              </w:rPr>
            </w:pPr>
            <w:r w:rsidRPr="00EA4A56">
              <w:rPr>
                <w:lang w:val="es-ES_tradnl"/>
              </w:rPr>
              <w:t>q)</w:t>
            </w:r>
            <w:r w:rsidRPr="00EA4A56">
              <w:rPr>
                <w:lang w:val="es-ES_tradnl"/>
              </w:rPr>
              <w:tab/>
              <w:t xml:space="preserve">Información sobre las consultas </w:t>
            </w:r>
            <w:r w:rsidRPr="00EA4A56">
              <w:rPr>
                <w:b/>
                <w:bCs/>
                <w:i/>
                <w:iCs/>
                <w:lang w:val="es-ES_tradnl"/>
              </w:rPr>
              <w:t>efectivas</w:t>
            </w:r>
            <w:r w:rsidRPr="00EA4A56">
              <w:rPr>
                <w:lang w:val="es-ES_tradnl"/>
              </w:rPr>
              <w:t xml:space="preserve"> con los interlocutores sociales, las organizaciones de la sociedad civil y otras partes interesadas pertinentes con vistas a la preparación del plan.</w:t>
            </w:r>
          </w:p>
        </w:tc>
      </w:tr>
    </w:tbl>
    <w:p w:rsidR="00AF0131" w:rsidRPr="00EA4A56" w:rsidRDefault="006F2CA5" w:rsidP="00C56375">
      <w:pPr>
        <w:rPr>
          <w:rStyle w:val="HideTWBExt"/>
          <w:rFonts w:ascii="Times New Roman" w:hAnsi="Times New Roman" w:cs="Times New Roman"/>
          <w:noProof w:val="0"/>
          <w:vanish w:val="0"/>
          <w:color w:val="auto"/>
          <w:sz w:val="24"/>
        </w:rPr>
      </w:pPr>
      <w:r w:rsidRPr="00EA4A56">
        <w:rPr>
          <w:rStyle w:val="HideTWBExt"/>
        </w:rPr>
        <w:t>&lt;/Amend&gt;</w:t>
      </w:r>
    </w:p>
    <w:p w:rsidR="00AF0131" w:rsidRPr="00EA4A56" w:rsidRDefault="006F2CA5" w:rsidP="00AF0131">
      <w:pPr>
        <w:pStyle w:val="AmNumberTabs"/>
      </w:pPr>
      <w:r w:rsidRPr="00EA4A56">
        <w:rPr>
          <w:rStyle w:val="HideTWBExt"/>
          <w:b w:val="0"/>
        </w:rPr>
        <w:t>&lt;Amend&gt;</w:t>
      </w:r>
      <w:r w:rsidRPr="00EA4A56">
        <w:t>Enmienda</w:t>
      </w:r>
      <w:r w:rsidRPr="00EA4A56">
        <w:tab/>
      </w:r>
      <w:r w:rsidRPr="00EA4A56">
        <w:tab/>
      </w:r>
      <w:r w:rsidRPr="00EA4A56">
        <w:rPr>
          <w:rStyle w:val="HideTWBExt"/>
          <w:b w:val="0"/>
        </w:rPr>
        <w:t>&lt;NumAm&gt;</w:t>
      </w:r>
      <w:r w:rsidRPr="00EA4A56">
        <w:t>38</w:t>
      </w:r>
      <w:r w:rsidRPr="00EA4A56">
        <w:rPr>
          <w:rStyle w:val="HideTWBExt"/>
          <w:b w:val="0"/>
        </w:rPr>
        <w:t>&lt;/NumAm&gt;</w:t>
      </w:r>
    </w:p>
    <w:p w:rsidR="00AF0131" w:rsidRPr="00EA4A56" w:rsidRDefault="00AF0131" w:rsidP="00AF0131"/>
    <w:p w:rsidR="00AF0131" w:rsidRPr="00EA4A56" w:rsidRDefault="006F2CA5" w:rsidP="00AF0131">
      <w:pPr>
        <w:pStyle w:val="NormalBold"/>
        <w:keepNext/>
      </w:pPr>
      <w:r w:rsidRPr="00EA4A56">
        <w:rPr>
          <w:rStyle w:val="HideTWBExt"/>
          <w:b w:val="0"/>
        </w:rPr>
        <w:t>&lt;DocAmend&gt;</w:t>
      </w:r>
      <w:r w:rsidRPr="00EA4A56">
        <w:t>Propuesta de Reglamento</w:t>
      </w:r>
      <w:r w:rsidRPr="00EA4A56">
        <w:rPr>
          <w:rStyle w:val="HideTWBExt"/>
          <w:b w:val="0"/>
        </w:rPr>
        <w:t>&lt;/DocAmend&gt;</w:t>
      </w:r>
    </w:p>
    <w:p w:rsidR="00AF0131" w:rsidRPr="00EA4A56" w:rsidRDefault="006F2CA5" w:rsidP="00AF0131">
      <w:pPr>
        <w:pStyle w:val="NormalBold"/>
      </w:pPr>
      <w:r w:rsidRPr="00EA4A56">
        <w:rPr>
          <w:rStyle w:val="HideTWBExt"/>
          <w:b w:val="0"/>
        </w:rPr>
        <w:t>&lt;Article&gt;</w:t>
      </w:r>
      <w:r w:rsidRPr="00EA4A56">
        <w:t>Anexo III – apartado 1 – letra b</w:t>
      </w:r>
      <w:r w:rsidRPr="00EA4A5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20E9E" w:rsidRPr="00EA4A56" w:rsidTr="00C33FBD">
        <w:trPr>
          <w:jc w:val="center"/>
        </w:trPr>
        <w:tc>
          <w:tcPr>
            <w:tcW w:w="9752" w:type="dxa"/>
            <w:gridSpan w:val="2"/>
          </w:tcPr>
          <w:p w:rsidR="00AF0131" w:rsidRPr="00EA4A56" w:rsidRDefault="00AF0131" w:rsidP="00C33FBD">
            <w:pPr>
              <w:keepNext/>
            </w:pPr>
          </w:p>
        </w:tc>
      </w:tr>
      <w:tr w:rsidR="00820E9E" w:rsidRPr="00EA4A56" w:rsidTr="00C33FBD">
        <w:trPr>
          <w:jc w:val="center"/>
        </w:trPr>
        <w:tc>
          <w:tcPr>
            <w:tcW w:w="4876" w:type="dxa"/>
            <w:hideMark/>
          </w:tcPr>
          <w:p w:rsidR="00AF0131" w:rsidRPr="00EA4A56" w:rsidRDefault="006F2CA5" w:rsidP="00C33FBD">
            <w:pPr>
              <w:pStyle w:val="ColumnHeading"/>
              <w:keepNext/>
              <w:rPr>
                <w:lang w:val="es-ES_tradnl"/>
              </w:rPr>
            </w:pPr>
            <w:r w:rsidRPr="00EA4A56">
              <w:rPr>
                <w:lang w:val="es-ES_tradnl"/>
              </w:rPr>
              <w:t>Texto de la Comisión</w:t>
            </w:r>
          </w:p>
        </w:tc>
        <w:tc>
          <w:tcPr>
            <w:tcW w:w="4876" w:type="dxa"/>
            <w:hideMark/>
          </w:tcPr>
          <w:p w:rsidR="00AF0131" w:rsidRPr="00EA4A56" w:rsidRDefault="006F2CA5" w:rsidP="00C33FBD">
            <w:pPr>
              <w:pStyle w:val="ColumnHeading"/>
              <w:keepNext/>
              <w:rPr>
                <w:lang w:val="es-ES_tradnl"/>
              </w:rPr>
            </w:pPr>
            <w:r w:rsidRPr="00EA4A56">
              <w:rPr>
                <w:lang w:val="es-ES_tradnl"/>
              </w:rPr>
              <w:t>Enmienda</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lang w:val="es-ES_tradnl"/>
              </w:rPr>
              <w:t>b)</w:t>
            </w:r>
            <w:r w:rsidRPr="00EA4A56">
              <w:rPr>
                <w:lang w:val="es-ES_tradnl"/>
              </w:rPr>
              <w:tab/>
              <w:t xml:space="preserve">Una comparación, desde el principio del plan estructural nacional de </w:t>
            </w:r>
            <w:r w:rsidRPr="00EA4A56">
              <w:rPr>
                <w:lang w:val="es-ES_tradnl"/>
              </w:rPr>
              <w:lastRenderedPageBreak/>
              <w:t xml:space="preserve">política fiscal a medio plazo, </w:t>
            </w:r>
            <w:r w:rsidRPr="00EA4A56">
              <w:rPr>
                <w:lang w:val="es-ES_tradnl"/>
              </w:rPr>
              <w:t>entre las proyecciones de las principales variables económicas presentadas en dicho plan y los datos de resultados de estas variables, así como las implicaciones para el cumplimiento de la trayectoria de gasto neto establecida por el Consejo y las implicac</w:t>
            </w:r>
            <w:r w:rsidRPr="00EA4A56">
              <w:rPr>
                <w:lang w:val="es-ES_tradnl"/>
              </w:rPr>
              <w:t>iones en la trayectoria prevista de la ratio de deuda pública indicada en dicho plan.</w:t>
            </w:r>
          </w:p>
        </w:tc>
        <w:tc>
          <w:tcPr>
            <w:tcW w:w="4876" w:type="dxa"/>
            <w:hideMark/>
          </w:tcPr>
          <w:p w:rsidR="00AF0131" w:rsidRPr="00EA4A56" w:rsidRDefault="006F2CA5" w:rsidP="00C33FBD">
            <w:pPr>
              <w:pStyle w:val="Normal6"/>
              <w:rPr>
                <w:szCs w:val="24"/>
                <w:lang w:val="es-ES_tradnl"/>
              </w:rPr>
            </w:pPr>
            <w:r w:rsidRPr="00EA4A56">
              <w:rPr>
                <w:lang w:val="es-ES_tradnl"/>
              </w:rPr>
              <w:lastRenderedPageBreak/>
              <w:t>b)</w:t>
            </w:r>
            <w:r w:rsidRPr="00EA4A56">
              <w:rPr>
                <w:lang w:val="es-ES_tradnl"/>
              </w:rPr>
              <w:tab/>
              <w:t xml:space="preserve">Una comparación, desde el principio del plan estructural nacional de </w:t>
            </w:r>
            <w:r w:rsidRPr="00EA4A56">
              <w:rPr>
                <w:lang w:val="es-ES_tradnl"/>
              </w:rPr>
              <w:lastRenderedPageBreak/>
              <w:t xml:space="preserve">política fiscal a medio plazo, entre las proyecciones de las principales variables económicas </w:t>
            </w:r>
            <w:r w:rsidRPr="00EA4A56">
              <w:rPr>
                <w:b/>
                <w:bCs/>
                <w:i/>
                <w:iCs/>
                <w:lang w:val="es-ES_tradnl"/>
              </w:rPr>
              <w:t>y so</w:t>
            </w:r>
            <w:r w:rsidRPr="00EA4A56">
              <w:rPr>
                <w:b/>
                <w:bCs/>
                <w:i/>
                <w:iCs/>
                <w:lang w:val="es-ES_tradnl"/>
              </w:rPr>
              <w:t>ciales</w:t>
            </w:r>
            <w:r w:rsidRPr="00EA4A56">
              <w:rPr>
                <w:lang w:val="es-ES_tradnl"/>
              </w:rPr>
              <w:t xml:space="preserve"> presentadas en dicho plan y los datos de resultados de estas variables, así como las implicaciones para el cumplimiento de la trayectoria de gasto neto establecida por el Consejo y las implicaciones en la trayectoria prevista de la ratio de deuda pú</w:t>
            </w:r>
            <w:r w:rsidRPr="00EA4A56">
              <w:rPr>
                <w:lang w:val="es-ES_tradnl"/>
              </w:rPr>
              <w:t xml:space="preserve">blica indicada en dicho plan </w:t>
            </w:r>
            <w:r w:rsidRPr="00EA4A56">
              <w:rPr>
                <w:b/>
                <w:bCs/>
                <w:i/>
                <w:iCs/>
                <w:lang w:val="es-ES_tradnl"/>
              </w:rPr>
              <w:t>y el cumplimiento de los objetivos nacionales, vinculados a los objetivos principales del pilar europeo de derechos sociales</w:t>
            </w:r>
            <w:r w:rsidRPr="00EA4A56">
              <w:rPr>
                <w:lang w:val="es-ES_tradnl"/>
              </w:rPr>
              <w:t>.</w:t>
            </w:r>
          </w:p>
        </w:tc>
      </w:tr>
    </w:tbl>
    <w:p w:rsidR="00AF0131" w:rsidRPr="00EA4A56" w:rsidRDefault="006F2CA5" w:rsidP="00AF0131">
      <w:r w:rsidRPr="00EA4A56">
        <w:rPr>
          <w:rStyle w:val="HideTWBExt"/>
        </w:rPr>
        <w:lastRenderedPageBreak/>
        <w:t>&lt;/Amend&gt;</w:t>
      </w:r>
    </w:p>
    <w:p w:rsidR="00AF0131" w:rsidRPr="00EA4A56" w:rsidRDefault="006F2CA5" w:rsidP="00AF0131">
      <w:pPr>
        <w:pStyle w:val="AmNumberTabs"/>
      </w:pPr>
      <w:r w:rsidRPr="00EA4A56">
        <w:rPr>
          <w:rStyle w:val="HideTWBExt"/>
          <w:b w:val="0"/>
        </w:rPr>
        <w:t>&lt;Amend&gt;</w:t>
      </w:r>
      <w:r w:rsidRPr="00EA4A56">
        <w:t>Enmienda</w:t>
      </w:r>
      <w:r w:rsidRPr="00EA4A56">
        <w:tab/>
      </w:r>
      <w:r w:rsidRPr="00EA4A56">
        <w:tab/>
      </w:r>
      <w:r w:rsidRPr="00EA4A56">
        <w:rPr>
          <w:rStyle w:val="HideTWBExt"/>
          <w:b w:val="0"/>
        </w:rPr>
        <w:t>&lt;NumAm&gt;</w:t>
      </w:r>
      <w:r w:rsidRPr="00EA4A56">
        <w:t>39</w:t>
      </w:r>
      <w:r w:rsidRPr="00EA4A56">
        <w:rPr>
          <w:rStyle w:val="HideTWBExt"/>
          <w:b w:val="0"/>
        </w:rPr>
        <w:t>&lt;/NumAm&gt;</w:t>
      </w:r>
    </w:p>
    <w:p w:rsidR="00AF0131" w:rsidRPr="00EA4A56" w:rsidRDefault="00AF0131" w:rsidP="00AF0131"/>
    <w:p w:rsidR="00AF0131" w:rsidRPr="00EA4A56" w:rsidRDefault="006F2CA5" w:rsidP="00AF0131">
      <w:pPr>
        <w:pStyle w:val="NormalBold"/>
        <w:keepNext/>
      </w:pPr>
      <w:r w:rsidRPr="00EA4A56">
        <w:rPr>
          <w:rStyle w:val="HideTWBExt"/>
          <w:b w:val="0"/>
        </w:rPr>
        <w:t>&lt;DocAmend&gt;</w:t>
      </w:r>
      <w:r w:rsidRPr="00EA4A56">
        <w:t>Propuesta de Reglamento</w:t>
      </w:r>
      <w:r w:rsidRPr="00EA4A56">
        <w:rPr>
          <w:rStyle w:val="HideTWBExt"/>
          <w:b w:val="0"/>
        </w:rPr>
        <w:t>&lt;/DocAmend&gt;</w:t>
      </w:r>
    </w:p>
    <w:p w:rsidR="00AF0131" w:rsidRPr="00EA4A56" w:rsidRDefault="006F2CA5" w:rsidP="00AF0131">
      <w:pPr>
        <w:pStyle w:val="NormalBold"/>
      </w:pPr>
      <w:r w:rsidRPr="00EA4A56">
        <w:rPr>
          <w:rStyle w:val="HideTWBExt"/>
          <w:b w:val="0"/>
        </w:rPr>
        <w:t>&lt;Article&gt;</w:t>
      </w:r>
      <w:r w:rsidRPr="00EA4A56">
        <w:t>Anexo III – apartado 1 – letra h</w:t>
      </w:r>
      <w:r w:rsidRPr="00EA4A5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20E9E" w:rsidRPr="00EA4A56" w:rsidTr="00C33FBD">
        <w:trPr>
          <w:jc w:val="center"/>
        </w:trPr>
        <w:tc>
          <w:tcPr>
            <w:tcW w:w="9752" w:type="dxa"/>
            <w:gridSpan w:val="2"/>
          </w:tcPr>
          <w:p w:rsidR="00AF0131" w:rsidRPr="00EA4A56" w:rsidRDefault="00AF0131" w:rsidP="00C33FBD">
            <w:pPr>
              <w:keepNext/>
            </w:pPr>
          </w:p>
        </w:tc>
      </w:tr>
      <w:tr w:rsidR="00820E9E" w:rsidRPr="00EA4A56" w:rsidTr="00C33FBD">
        <w:trPr>
          <w:jc w:val="center"/>
        </w:trPr>
        <w:tc>
          <w:tcPr>
            <w:tcW w:w="4876" w:type="dxa"/>
            <w:hideMark/>
          </w:tcPr>
          <w:p w:rsidR="00AF0131" w:rsidRPr="00EA4A56" w:rsidRDefault="006F2CA5" w:rsidP="00C33FBD">
            <w:pPr>
              <w:pStyle w:val="ColumnHeading"/>
              <w:keepNext/>
              <w:rPr>
                <w:lang w:val="es-ES_tradnl"/>
              </w:rPr>
            </w:pPr>
            <w:r w:rsidRPr="00EA4A56">
              <w:rPr>
                <w:lang w:val="es-ES_tradnl"/>
              </w:rPr>
              <w:t>Texto de la Comisión</w:t>
            </w:r>
          </w:p>
        </w:tc>
        <w:tc>
          <w:tcPr>
            <w:tcW w:w="4876" w:type="dxa"/>
            <w:hideMark/>
          </w:tcPr>
          <w:p w:rsidR="00AF0131" w:rsidRPr="00EA4A56" w:rsidRDefault="006F2CA5" w:rsidP="00C33FBD">
            <w:pPr>
              <w:pStyle w:val="ColumnHeading"/>
              <w:keepNext/>
              <w:rPr>
                <w:lang w:val="es-ES_tradnl"/>
              </w:rPr>
            </w:pPr>
            <w:r w:rsidRPr="00EA4A56">
              <w:rPr>
                <w:lang w:val="es-ES_tradnl"/>
              </w:rPr>
              <w:t>Enmienda</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lang w:val="es-ES_tradnl"/>
              </w:rPr>
              <w:t>h)</w:t>
            </w:r>
            <w:r w:rsidRPr="00EA4A56">
              <w:rPr>
                <w:lang w:val="es-ES_tradnl"/>
              </w:rPr>
              <w:tab/>
              <w:t>Los principales supuestos sobre la evolución económica prevista y las principales variables económicas para los años siguientes del período de ajuste, incluida la ratio de deuda</w:t>
            </w:r>
            <w:r w:rsidRPr="00EA4A56">
              <w:rPr>
                <w:lang w:val="es-ES_tradnl"/>
              </w:rPr>
              <w:t xml:space="preserve"> pública.</w:t>
            </w:r>
          </w:p>
        </w:tc>
        <w:tc>
          <w:tcPr>
            <w:tcW w:w="4876" w:type="dxa"/>
            <w:hideMark/>
          </w:tcPr>
          <w:p w:rsidR="00AF0131" w:rsidRPr="00EA4A56" w:rsidRDefault="006F2CA5" w:rsidP="00C33FBD">
            <w:pPr>
              <w:pStyle w:val="Normal6"/>
              <w:rPr>
                <w:szCs w:val="24"/>
                <w:lang w:val="es-ES_tradnl"/>
              </w:rPr>
            </w:pPr>
            <w:r w:rsidRPr="00EA4A56">
              <w:rPr>
                <w:lang w:val="es-ES_tradnl"/>
              </w:rPr>
              <w:t>h)</w:t>
            </w:r>
            <w:r w:rsidRPr="00EA4A56">
              <w:rPr>
                <w:lang w:val="es-ES_tradnl"/>
              </w:rPr>
              <w:tab/>
              <w:t>Los principales supuestos sobre la evolución económica</w:t>
            </w:r>
            <w:r w:rsidRPr="00EA4A56">
              <w:rPr>
                <w:b/>
                <w:bCs/>
                <w:i/>
                <w:iCs/>
                <w:lang w:val="es-ES_tradnl"/>
              </w:rPr>
              <w:t xml:space="preserve"> y social</w:t>
            </w:r>
            <w:r w:rsidRPr="00EA4A56">
              <w:rPr>
                <w:lang w:val="es-ES_tradnl"/>
              </w:rPr>
              <w:t xml:space="preserve"> prevista y las principales variables económicas</w:t>
            </w:r>
            <w:r w:rsidRPr="00EA4A56">
              <w:rPr>
                <w:b/>
                <w:bCs/>
                <w:i/>
                <w:iCs/>
                <w:lang w:val="es-ES_tradnl"/>
              </w:rPr>
              <w:t xml:space="preserve"> y sociales</w:t>
            </w:r>
            <w:r w:rsidRPr="00EA4A56">
              <w:rPr>
                <w:lang w:val="es-ES_tradnl"/>
              </w:rPr>
              <w:t xml:space="preserve"> para los años siguientes del período de ajuste, incluida la ratio de deuda pública.</w:t>
            </w:r>
          </w:p>
        </w:tc>
      </w:tr>
    </w:tbl>
    <w:p w:rsidR="00AF0131" w:rsidRPr="00EA4A56" w:rsidRDefault="006F2CA5" w:rsidP="00C56375">
      <w:pPr>
        <w:rPr>
          <w:rStyle w:val="HideTWBExt"/>
          <w:rFonts w:ascii="Times New Roman" w:hAnsi="Times New Roman" w:cs="Times New Roman"/>
          <w:noProof w:val="0"/>
          <w:vanish w:val="0"/>
          <w:color w:val="auto"/>
          <w:sz w:val="24"/>
        </w:rPr>
      </w:pPr>
      <w:r w:rsidRPr="00EA4A56">
        <w:rPr>
          <w:rStyle w:val="HideTWBExt"/>
        </w:rPr>
        <w:t>&lt;/Amend&gt;</w:t>
      </w:r>
    </w:p>
    <w:p w:rsidR="00AF0131" w:rsidRPr="00EA4A56" w:rsidRDefault="006F2CA5" w:rsidP="00AF0131">
      <w:pPr>
        <w:pStyle w:val="AmNumberTabs"/>
      </w:pPr>
      <w:r w:rsidRPr="00EA4A56">
        <w:rPr>
          <w:rStyle w:val="HideTWBExt"/>
          <w:b w:val="0"/>
        </w:rPr>
        <w:t>&lt;Amend&gt;</w:t>
      </w:r>
      <w:r w:rsidRPr="00EA4A56">
        <w:t>Enmienda</w:t>
      </w:r>
      <w:r w:rsidRPr="00EA4A56">
        <w:tab/>
      </w:r>
      <w:r w:rsidRPr="00EA4A56">
        <w:tab/>
      </w:r>
      <w:r w:rsidRPr="00EA4A56">
        <w:rPr>
          <w:rStyle w:val="HideTWBExt"/>
          <w:b w:val="0"/>
        </w:rPr>
        <w:t>&lt;NumAm&gt;</w:t>
      </w:r>
      <w:r w:rsidRPr="00EA4A56">
        <w:t>40</w:t>
      </w:r>
      <w:r w:rsidRPr="00EA4A56">
        <w:rPr>
          <w:rStyle w:val="HideTWBExt"/>
          <w:b w:val="0"/>
        </w:rPr>
        <w:t>&lt;/NumAm&gt;</w:t>
      </w:r>
    </w:p>
    <w:p w:rsidR="00AF0131" w:rsidRPr="00EA4A56" w:rsidRDefault="00AF0131" w:rsidP="00AF0131"/>
    <w:p w:rsidR="00AF0131" w:rsidRPr="00EA4A56" w:rsidRDefault="006F2CA5" w:rsidP="00AF0131">
      <w:pPr>
        <w:pStyle w:val="NormalBold"/>
        <w:keepNext/>
      </w:pPr>
      <w:r w:rsidRPr="00EA4A56">
        <w:rPr>
          <w:rStyle w:val="HideTWBExt"/>
          <w:b w:val="0"/>
        </w:rPr>
        <w:t>&lt;DocAmend&gt;</w:t>
      </w:r>
      <w:r w:rsidRPr="00EA4A56">
        <w:t>Propuesta de Reglamento</w:t>
      </w:r>
      <w:r w:rsidRPr="00EA4A56">
        <w:rPr>
          <w:rStyle w:val="HideTWBExt"/>
          <w:b w:val="0"/>
        </w:rPr>
        <w:t>&lt;/DocAmend&gt;</w:t>
      </w:r>
    </w:p>
    <w:p w:rsidR="00AF0131" w:rsidRPr="00EA4A56" w:rsidRDefault="006F2CA5" w:rsidP="00AF0131">
      <w:pPr>
        <w:pStyle w:val="NormalBold"/>
      </w:pPr>
      <w:r w:rsidRPr="00EA4A56">
        <w:rPr>
          <w:rStyle w:val="HideTWBExt"/>
          <w:b w:val="0"/>
        </w:rPr>
        <w:t>&lt;Article&gt;</w:t>
      </w:r>
      <w:r w:rsidRPr="00EA4A56">
        <w:t>Anexo III – apartado 1 – letra l</w:t>
      </w:r>
      <w:r w:rsidRPr="00EA4A5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20E9E" w:rsidRPr="00EA4A56" w:rsidTr="00C33FBD">
        <w:trPr>
          <w:jc w:val="center"/>
        </w:trPr>
        <w:tc>
          <w:tcPr>
            <w:tcW w:w="9752" w:type="dxa"/>
            <w:gridSpan w:val="2"/>
          </w:tcPr>
          <w:p w:rsidR="00AF0131" w:rsidRPr="00EA4A56" w:rsidRDefault="00AF0131" w:rsidP="00C33FBD">
            <w:pPr>
              <w:keepNext/>
            </w:pPr>
          </w:p>
        </w:tc>
      </w:tr>
      <w:tr w:rsidR="00820E9E" w:rsidRPr="00EA4A56" w:rsidTr="00C33FBD">
        <w:trPr>
          <w:jc w:val="center"/>
        </w:trPr>
        <w:tc>
          <w:tcPr>
            <w:tcW w:w="4876" w:type="dxa"/>
            <w:hideMark/>
          </w:tcPr>
          <w:p w:rsidR="00AF0131" w:rsidRPr="00EA4A56" w:rsidRDefault="006F2CA5" w:rsidP="00C33FBD">
            <w:pPr>
              <w:pStyle w:val="ColumnHeading"/>
              <w:keepNext/>
              <w:rPr>
                <w:lang w:val="es-ES_tradnl"/>
              </w:rPr>
            </w:pPr>
            <w:r w:rsidRPr="00EA4A56">
              <w:rPr>
                <w:lang w:val="es-ES_tradnl"/>
              </w:rPr>
              <w:t>Texto de la Comisión</w:t>
            </w:r>
          </w:p>
        </w:tc>
        <w:tc>
          <w:tcPr>
            <w:tcW w:w="4876" w:type="dxa"/>
            <w:hideMark/>
          </w:tcPr>
          <w:p w:rsidR="00AF0131" w:rsidRPr="00EA4A56" w:rsidRDefault="006F2CA5" w:rsidP="00C33FBD">
            <w:pPr>
              <w:pStyle w:val="ColumnHeading"/>
              <w:keepNext/>
              <w:rPr>
                <w:lang w:val="es-ES_tradnl"/>
              </w:rPr>
            </w:pPr>
            <w:r w:rsidRPr="00EA4A56">
              <w:rPr>
                <w:lang w:val="es-ES_tradnl"/>
              </w:rPr>
              <w:t>Enmienda</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lang w:val="es-ES_tradnl"/>
              </w:rPr>
              <w:t>(l)</w:t>
            </w:r>
            <w:r w:rsidRPr="00EA4A56">
              <w:rPr>
                <w:lang w:val="es-ES_tradnl"/>
              </w:rPr>
              <w:tab/>
              <w:t>Un análisis de la evolución de los desequilibrios macroeconómicos detectados en el marco del procedimiento de de</w:t>
            </w:r>
            <w:r w:rsidRPr="00EA4A56">
              <w:rPr>
                <w:lang w:val="es-ES_tradnl"/>
              </w:rPr>
              <w:t xml:space="preserve">sequilibrio macroeconómico y del impacto que tendría sobre ellos la aplicación de las reformas e inversiones pertinentes notificadas en el plan estructural nacional de política fiscal a medio plazo, de conformidad con el anexo II, </w:t>
            </w:r>
            <w:r w:rsidRPr="00EA4A56">
              <w:rPr>
                <w:b/>
                <w:bCs/>
                <w:i/>
                <w:iCs/>
                <w:lang w:val="es-ES_tradnl"/>
              </w:rPr>
              <w:t>letra</w:t>
            </w:r>
            <w:r w:rsidRPr="00EA4A56">
              <w:rPr>
                <w:lang w:val="es-ES_tradnl"/>
              </w:rPr>
              <w:t xml:space="preserve"> n), cuando proceda.</w:t>
            </w:r>
          </w:p>
        </w:tc>
        <w:tc>
          <w:tcPr>
            <w:tcW w:w="4876" w:type="dxa"/>
            <w:hideMark/>
          </w:tcPr>
          <w:p w:rsidR="00AF0131" w:rsidRPr="00EA4A56" w:rsidRDefault="006F2CA5" w:rsidP="00C33FBD">
            <w:pPr>
              <w:pStyle w:val="Normal6"/>
              <w:rPr>
                <w:szCs w:val="24"/>
                <w:lang w:val="es-ES_tradnl"/>
              </w:rPr>
            </w:pPr>
            <w:r w:rsidRPr="00EA4A56">
              <w:rPr>
                <w:lang w:val="es-ES_tradnl"/>
              </w:rPr>
              <w:t>(l)</w:t>
            </w:r>
            <w:r w:rsidRPr="00EA4A56">
              <w:rPr>
                <w:lang w:val="es-ES_tradnl"/>
              </w:rPr>
              <w:tab/>
              <w:t>Un análisis de la evolución de los desequilibrios macroeconómicos detectados en el marco del procedimiento de desequilibrio macroeconómico</w:t>
            </w:r>
            <w:r w:rsidRPr="00EA4A56">
              <w:rPr>
                <w:b/>
                <w:bCs/>
                <w:i/>
                <w:iCs/>
                <w:lang w:val="es-ES_tradnl"/>
              </w:rPr>
              <w:t>, así como de los riesgos en materia de convergencia social identificados en virtud del marco de convergencia soc</w:t>
            </w:r>
            <w:r w:rsidRPr="00EA4A56">
              <w:rPr>
                <w:b/>
                <w:bCs/>
                <w:i/>
                <w:iCs/>
                <w:lang w:val="es-ES_tradnl"/>
              </w:rPr>
              <w:t>ial,</w:t>
            </w:r>
            <w:r w:rsidRPr="00EA4A56">
              <w:rPr>
                <w:lang w:val="es-ES_tradnl"/>
              </w:rPr>
              <w:t xml:space="preserve"> y del impacto que tendría sobre ellos la aplicación de las reformas e inversiones pertinentes notificadas en el plan estructural nacional de política fiscal a medio plazo, de conformidad con el </w:t>
            </w:r>
            <w:r w:rsidRPr="00EA4A56">
              <w:rPr>
                <w:lang w:val="es-ES_tradnl"/>
              </w:rPr>
              <w:lastRenderedPageBreak/>
              <w:t xml:space="preserve">anexo II, </w:t>
            </w:r>
            <w:r w:rsidRPr="00EA4A56">
              <w:rPr>
                <w:b/>
                <w:bCs/>
                <w:i/>
                <w:iCs/>
                <w:lang w:val="es-ES_tradnl"/>
              </w:rPr>
              <w:t>letras</w:t>
            </w:r>
            <w:r w:rsidRPr="00EA4A56">
              <w:rPr>
                <w:lang w:val="es-ES_tradnl"/>
              </w:rPr>
              <w:t xml:space="preserve"> n) </w:t>
            </w:r>
            <w:r w:rsidRPr="00EA4A56">
              <w:rPr>
                <w:b/>
                <w:bCs/>
                <w:i/>
                <w:iCs/>
                <w:lang w:val="es-ES_tradnl"/>
              </w:rPr>
              <w:t>y o)</w:t>
            </w:r>
            <w:r w:rsidRPr="00EA4A56">
              <w:rPr>
                <w:lang w:val="es-ES_tradnl"/>
              </w:rPr>
              <w:t>, cuando proceda.</w:t>
            </w:r>
          </w:p>
        </w:tc>
      </w:tr>
    </w:tbl>
    <w:p w:rsidR="00AF0131" w:rsidRPr="00EA4A56" w:rsidRDefault="006F2CA5" w:rsidP="00C56375">
      <w:pPr>
        <w:rPr>
          <w:rStyle w:val="HideTWBExt"/>
          <w:rFonts w:ascii="Times New Roman" w:hAnsi="Times New Roman" w:cs="Times New Roman"/>
          <w:noProof w:val="0"/>
          <w:vanish w:val="0"/>
          <w:color w:val="auto"/>
          <w:sz w:val="24"/>
        </w:rPr>
      </w:pPr>
      <w:r w:rsidRPr="00EA4A56">
        <w:rPr>
          <w:rStyle w:val="HideTWBExt"/>
        </w:rPr>
        <w:lastRenderedPageBreak/>
        <w:t>&lt;/Amend&gt;</w:t>
      </w:r>
    </w:p>
    <w:p w:rsidR="00AF0131" w:rsidRPr="00EA4A56" w:rsidRDefault="006F2CA5" w:rsidP="00AF0131">
      <w:pPr>
        <w:pStyle w:val="AmNumberTabs"/>
      </w:pPr>
      <w:r w:rsidRPr="00EA4A56">
        <w:rPr>
          <w:rStyle w:val="HideTWBExt"/>
          <w:b w:val="0"/>
        </w:rPr>
        <w:t>&lt;Amend&gt;</w:t>
      </w:r>
      <w:r w:rsidRPr="00EA4A56">
        <w:t>Enmienda</w:t>
      </w:r>
      <w:r w:rsidRPr="00EA4A56">
        <w:tab/>
      </w:r>
      <w:r w:rsidRPr="00EA4A56">
        <w:tab/>
      </w:r>
      <w:r w:rsidRPr="00EA4A56">
        <w:rPr>
          <w:rStyle w:val="HideTWBExt"/>
          <w:b w:val="0"/>
        </w:rPr>
        <w:t>&lt;NumAm&gt;</w:t>
      </w:r>
      <w:r w:rsidRPr="00EA4A56">
        <w:t>41</w:t>
      </w:r>
      <w:r w:rsidRPr="00EA4A56">
        <w:rPr>
          <w:rStyle w:val="HideTWBExt"/>
          <w:b w:val="0"/>
        </w:rPr>
        <w:t>&lt;/NumAm&gt;</w:t>
      </w:r>
    </w:p>
    <w:p w:rsidR="00AF0131" w:rsidRPr="00EA4A56" w:rsidRDefault="00AF0131" w:rsidP="00AF0131"/>
    <w:p w:rsidR="00AF0131" w:rsidRPr="00EA4A56" w:rsidRDefault="006F2CA5" w:rsidP="00AF0131">
      <w:pPr>
        <w:pStyle w:val="NormalBold"/>
        <w:keepNext/>
      </w:pPr>
      <w:r w:rsidRPr="00EA4A56">
        <w:rPr>
          <w:rStyle w:val="HideTWBExt"/>
          <w:b w:val="0"/>
        </w:rPr>
        <w:t>&lt;DocAmend&gt;</w:t>
      </w:r>
      <w:r w:rsidRPr="00EA4A56">
        <w:t>Propuesta de Reglamento</w:t>
      </w:r>
      <w:r w:rsidRPr="00EA4A56">
        <w:rPr>
          <w:rStyle w:val="HideTWBExt"/>
          <w:b w:val="0"/>
        </w:rPr>
        <w:t>&lt;/DocAmend&gt;</w:t>
      </w:r>
    </w:p>
    <w:p w:rsidR="00AF0131" w:rsidRPr="00EA4A56" w:rsidRDefault="006F2CA5" w:rsidP="00AF0131">
      <w:pPr>
        <w:pStyle w:val="NormalBold"/>
      </w:pPr>
      <w:r w:rsidRPr="00EA4A56">
        <w:rPr>
          <w:rStyle w:val="HideTWBExt"/>
          <w:b w:val="0"/>
        </w:rPr>
        <w:t>&lt;Article&gt;</w:t>
      </w:r>
      <w:r w:rsidRPr="00EA4A56">
        <w:t>Anexo III – apartado 1 – letra n</w:t>
      </w:r>
      <w:r w:rsidRPr="00EA4A5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20E9E" w:rsidRPr="00EA4A56" w:rsidTr="00C33FBD">
        <w:trPr>
          <w:jc w:val="center"/>
        </w:trPr>
        <w:tc>
          <w:tcPr>
            <w:tcW w:w="9752" w:type="dxa"/>
            <w:gridSpan w:val="2"/>
          </w:tcPr>
          <w:p w:rsidR="00AF0131" w:rsidRPr="00EA4A56" w:rsidRDefault="00AF0131" w:rsidP="00C33FBD">
            <w:pPr>
              <w:keepNext/>
            </w:pPr>
          </w:p>
        </w:tc>
      </w:tr>
      <w:tr w:rsidR="00820E9E" w:rsidRPr="00EA4A56" w:rsidTr="00C33FBD">
        <w:trPr>
          <w:jc w:val="center"/>
        </w:trPr>
        <w:tc>
          <w:tcPr>
            <w:tcW w:w="4876" w:type="dxa"/>
            <w:hideMark/>
          </w:tcPr>
          <w:p w:rsidR="00AF0131" w:rsidRPr="00EA4A56" w:rsidRDefault="006F2CA5" w:rsidP="00C33FBD">
            <w:pPr>
              <w:pStyle w:val="ColumnHeading"/>
              <w:keepNext/>
              <w:rPr>
                <w:lang w:val="es-ES_tradnl"/>
              </w:rPr>
            </w:pPr>
            <w:r w:rsidRPr="00EA4A56">
              <w:rPr>
                <w:lang w:val="es-ES_tradnl"/>
              </w:rPr>
              <w:t>Texto de la Comisión</w:t>
            </w:r>
          </w:p>
        </w:tc>
        <w:tc>
          <w:tcPr>
            <w:tcW w:w="4876" w:type="dxa"/>
            <w:hideMark/>
          </w:tcPr>
          <w:p w:rsidR="00AF0131" w:rsidRPr="00EA4A56" w:rsidRDefault="006F2CA5" w:rsidP="00C33FBD">
            <w:pPr>
              <w:pStyle w:val="ColumnHeading"/>
              <w:keepNext/>
              <w:rPr>
                <w:lang w:val="es-ES_tradnl"/>
              </w:rPr>
            </w:pPr>
            <w:r w:rsidRPr="00EA4A56">
              <w:rPr>
                <w:lang w:val="es-ES_tradnl"/>
              </w:rPr>
              <w:t>Enmienda</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lang w:val="es-ES_tradnl"/>
              </w:rPr>
              <w:t>n)</w:t>
            </w:r>
            <w:r w:rsidRPr="00EA4A56">
              <w:rPr>
                <w:lang w:val="es-ES_tradnl"/>
              </w:rPr>
              <w:tab/>
              <w:t>Información sobre la evolución del mercado de trabajo, las capacidades y la política so</w:t>
            </w:r>
            <w:r w:rsidRPr="00EA4A56">
              <w:rPr>
                <w:lang w:val="es-ES_tradnl"/>
              </w:rPr>
              <w:t>cial, y sobre la aplicación de las medidas de actuación adoptadas que fomenten la convergencia social ascendente entre los Estados miembros hacia unas mejores condiciones de vida y de trabajo, en consonancia con los principios del pilar europeo de derechos</w:t>
            </w:r>
            <w:r w:rsidRPr="00EA4A56">
              <w:rPr>
                <w:lang w:val="es-ES_tradnl"/>
              </w:rPr>
              <w:t xml:space="preserve"> sociales y las orientaciones para las políticas de empleo con arreglo al artículo 148 del TFUE. Esto incluye el impacto previsto de las medidas en relación con los avances en los objetivos nacionales en materia de empleo, capacidades y reducción de la pob</w:t>
            </w:r>
            <w:r w:rsidRPr="00EA4A56">
              <w:rPr>
                <w:lang w:val="es-ES_tradnl"/>
              </w:rPr>
              <w:t>reza de aquí a 2030.</w:t>
            </w:r>
          </w:p>
        </w:tc>
        <w:tc>
          <w:tcPr>
            <w:tcW w:w="4876" w:type="dxa"/>
            <w:hideMark/>
          </w:tcPr>
          <w:p w:rsidR="00AF0131" w:rsidRPr="00EA4A56" w:rsidRDefault="006F2CA5" w:rsidP="00C33FBD">
            <w:pPr>
              <w:pStyle w:val="Normal6"/>
              <w:rPr>
                <w:szCs w:val="24"/>
                <w:lang w:val="es-ES_tradnl"/>
              </w:rPr>
            </w:pPr>
            <w:r w:rsidRPr="00EA4A56">
              <w:rPr>
                <w:lang w:val="es-ES_tradnl"/>
              </w:rPr>
              <w:t>n)</w:t>
            </w:r>
            <w:r w:rsidRPr="00EA4A56">
              <w:rPr>
                <w:lang w:val="es-ES_tradnl"/>
              </w:rPr>
              <w:tab/>
            </w:r>
            <w:r w:rsidRPr="00EA4A56">
              <w:rPr>
                <w:lang w:val="es-ES_tradnl"/>
              </w:rPr>
              <w:t>Información sobre la evolución del mercado de trabajo, las capacidades y la política social, y sobre la aplicación de las medidas de actuación adoptadas que fomenten la convergencia social ascendente entre los Estados miembros hacia unas mejores condicione</w:t>
            </w:r>
            <w:r w:rsidRPr="00EA4A56">
              <w:rPr>
                <w:lang w:val="es-ES_tradnl"/>
              </w:rPr>
              <w:t xml:space="preserve">s de vida y de trabajo, en consonancia con los principios del pilar europeo de derechos sociales y las orientaciones para las políticas de empleo con arreglo al artículo 148 del TFUE </w:t>
            </w:r>
            <w:r w:rsidRPr="00EA4A56">
              <w:rPr>
                <w:b/>
                <w:bCs/>
                <w:i/>
                <w:iCs/>
                <w:lang w:val="es-ES_tradnl"/>
              </w:rPr>
              <w:t>y el marco de convergencia social</w:t>
            </w:r>
            <w:r w:rsidRPr="00EA4A56">
              <w:rPr>
                <w:lang w:val="es-ES_tradnl"/>
              </w:rPr>
              <w:t>. Esto incluye el impacto previsto de la</w:t>
            </w:r>
            <w:r w:rsidRPr="00EA4A56">
              <w:rPr>
                <w:lang w:val="es-ES_tradnl"/>
              </w:rPr>
              <w:t xml:space="preserve">s medidas en relación con los avances en los objetivos nacionales en materia de empleo, capacidades y reducción de la pobreza de aquí a 2030 </w:t>
            </w:r>
            <w:r w:rsidRPr="00EA4A56">
              <w:rPr>
                <w:b/>
                <w:bCs/>
                <w:i/>
                <w:iCs/>
                <w:lang w:val="es-ES_tradnl"/>
              </w:rPr>
              <w:t>y, en su caso, el impacto previsto de las medidas destinadas a corregir los riesgos para la convergencia social ide</w:t>
            </w:r>
            <w:r w:rsidRPr="00EA4A56">
              <w:rPr>
                <w:b/>
                <w:bCs/>
                <w:i/>
                <w:iCs/>
                <w:lang w:val="es-ES_tradnl"/>
              </w:rPr>
              <w:t>ntificados en virtud del marco de convergencia social</w:t>
            </w:r>
            <w:r w:rsidRPr="00EA4A56">
              <w:rPr>
                <w:lang w:val="es-ES_tradnl"/>
              </w:rPr>
              <w:t>.</w:t>
            </w:r>
          </w:p>
        </w:tc>
      </w:tr>
    </w:tbl>
    <w:p w:rsidR="00AF0131" w:rsidRPr="00EA4A56" w:rsidRDefault="006F2CA5" w:rsidP="00AF0131">
      <w:r w:rsidRPr="00EA4A56">
        <w:rPr>
          <w:rStyle w:val="HideTWBExt"/>
        </w:rPr>
        <w:t>&lt;/Amend&gt;</w:t>
      </w:r>
    </w:p>
    <w:p w:rsidR="00AF0131" w:rsidRPr="00EA4A56" w:rsidRDefault="006F2CA5" w:rsidP="00AF0131">
      <w:pPr>
        <w:pStyle w:val="AmNumberTabs"/>
      </w:pPr>
      <w:r w:rsidRPr="00EA4A56">
        <w:rPr>
          <w:rStyle w:val="HideTWBExt"/>
          <w:b w:val="0"/>
        </w:rPr>
        <w:t>&lt;Amend&gt;</w:t>
      </w:r>
      <w:r w:rsidRPr="00EA4A56">
        <w:t>Enmienda</w:t>
      </w:r>
      <w:r w:rsidRPr="00EA4A56">
        <w:tab/>
      </w:r>
      <w:r w:rsidRPr="00EA4A56">
        <w:tab/>
      </w:r>
      <w:r w:rsidRPr="00EA4A56">
        <w:rPr>
          <w:rStyle w:val="HideTWBExt"/>
          <w:b w:val="0"/>
        </w:rPr>
        <w:t>&lt;NumAm&gt;</w:t>
      </w:r>
      <w:r w:rsidRPr="00EA4A56">
        <w:t>42</w:t>
      </w:r>
      <w:r w:rsidRPr="00EA4A56">
        <w:rPr>
          <w:rStyle w:val="HideTWBExt"/>
          <w:b w:val="0"/>
        </w:rPr>
        <w:t>&lt;/NumAm&gt;</w:t>
      </w:r>
    </w:p>
    <w:p w:rsidR="00AF0131" w:rsidRPr="00EA4A56" w:rsidRDefault="00AF0131" w:rsidP="00AF0131"/>
    <w:p w:rsidR="00AF0131" w:rsidRPr="00EA4A56" w:rsidRDefault="006F2CA5" w:rsidP="00AF0131">
      <w:pPr>
        <w:pStyle w:val="NormalBold"/>
        <w:keepNext/>
      </w:pPr>
      <w:r w:rsidRPr="00EA4A56">
        <w:rPr>
          <w:rStyle w:val="HideTWBExt"/>
          <w:b w:val="0"/>
        </w:rPr>
        <w:t>&lt;DocAmend&gt;</w:t>
      </w:r>
      <w:r w:rsidRPr="00EA4A56">
        <w:t>Propuesta de Reglamento</w:t>
      </w:r>
      <w:r w:rsidRPr="00EA4A56">
        <w:rPr>
          <w:rStyle w:val="HideTWBExt"/>
          <w:b w:val="0"/>
        </w:rPr>
        <w:t>&lt;/DocAmend&gt;</w:t>
      </w:r>
    </w:p>
    <w:p w:rsidR="00AF0131" w:rsidRPr="00EA4A56" w:rsidRDefault="006F2CA5" w:rsidP="00AF0131">
      <w:pPr>
        <w:pStyle w:val="NormalBold"/>
      </w:pPr>
      <w:r w:rsidRPr="00EA4A56">
        <w:rPr>
          <w:rStyle w:val="HideTWBExt"/>
          <w:b w:val="0"/>
        </w:rPr>
        <w:t>&lt;Article&gt;</w:t>
      </w:r>
      <w:r w:rsidRPr="00EA4A56">
        <w:t>Anexo III – apartado 1 – letra o bis (nueva)</w:t>
      </w:r>
      <w:r w:rsidRPr="00EA4A5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20E9E" w:rsidRPr="00EA4A56" w:rsidTr="00C33FBD">
        <w:trPr>
          <w:jc w:val="center"/>
        </w:trPr>
        <w:tc>
          <w:tcPr>
            <w:tcW w:w="9752" w:type="dxa"/>
            <w:gridSpan w:val="2"/>
          </w:tcPr>
          <w:p w:rsidR="00AF0131" w:rsidRPr="00EA4A56" w:rsidRDefault="00AF0131" w:rsidP="00C33FBD">
            <w:pPr>
              <w:keepNext/>
            </w:pPr>
          </w:p>
        </w:tc>
      </w:tr>
      <w:tr w:rsidR="00820E9E" w:rsidRPr="00EA4A56" w:rsidTr="00C33FBD">
        <w:trPr>
          <w:jc w:val="center"/>
        </w:trPr>
        <w:tc>
          <w:tcPr>
            <w:tcW w:w="4876" w:type="dxa"/>
            <w:hideMark/>
          </w:tcPr>
          <w:p w:rsidR="00AF0131" w:rsidRPr="00EA4A56" w:rsidRDefault="006F2CA5" w:rsidP="00C33FBD">
            <w:pPr>
              <w:pStyle w:val="ColumnHeading"/>
              <w:keepNext/>
              <w:rPr>
                <w:lang w:val="es-ES_tradnl"/>
              </w:rPr>
            </w:pPr>
            <w:r w:rsidRPr="00EA4A56">
              <w:rPr>
                <w:lang w:val="es-ES_tradnl"/>
              </w:rPr>
              <w:t>Texto de la Comisión</w:t>
            </w:r>
          </w:p>
        </w:tc>
        <w:tc>
          <w:tcPr>
            <w:tcW w:w="4876" w:type="dxa"/>
            <w:hideMark/>
          </w:tcPr>
          <w:p w:rsidR="00AF0131" w:rsidRPr="00EA4A56" w:rsidRDefault="006F2CA5" w:rsidP="00C33FBD">
            <w:pPr>
              <w:pStyle w:val="ColumnHeading"/>
              <w:keepNext/>
              <w:rPr>
                <w:lang w:val="es-ES_tradnl"/>
              </w:rPr>
            </w:pPr>
            <w:r w:rsidRPr="00EA4A56">
              <w:rPr>
                <w:lang w:val="es-ES_tradnl"/>
              </w:rPr>
              <w:t>Enmienda</w:t>
            </w:r>
          </w:p>
        </w:tc>
      </w:tr>
      <w:tr w:rsidR="00820E9E" w:rsidRPr="00EA4A56" w:rsidTr="00C33FBD">
        <w:trPr>
          <w:jc w:val="center"/>
        </w:trPr>
        <w:tc>
          <w:tcPr>
            <w:tcW w:w="4876" w:type="dxa"/>
            <w:hideMark/>
          </w:tcPr>
          <w:p w:rsidR="00AF0131" w:rsidRPr="00EA4A56" w:rsidRDefault="00AF0131" w:rsidP="00C33FBD">
            <w:pPr>
              <w:pStyle w:val="Normal6"/>
              <w:rPr>
                <w:lang w:val="es-ES_tradnl"/>
              </w:rPr>
            </w:pPr>
          </w:p>
        </w:tc>
        <w:tc>
          <w:tcPr>
            <w:tcW w:w="4876" w:type="dxa"/>
            <w:hideMark/>
          </w:tcPr>
          <w:p w:rsidR="00AF0131" w:rsidRPr="00EA4A56" w:rsidRDefault="006F2CA5" w:rsidP="00C33FBD">
            <w:pPr>
              <w:pStyle w:val="Normal6"/>
              <w:rPr>
                <w:szCs w:val="24"/>
                <w:lang w:val="es-ES_tradnl"/>
              </w:rPr>
            </w:pPr>
            <w:r w:rsidRPr="00EA4A56">
              <w:rPr>
                <w:b/>
                <w:i/>
                <w:lang w:val="es-ES_tradnl"/>
              </w:rPr>
              <w:t>o bis)</w:t>
            </w:r>
            <w:r w:rsidRPr="00EA4A56">
              <w:rPr>
                <w:lang w:val="es-ES_tradnl"/>
              </w:rPr>
              <w:tab/>
            </w:r>
            <w:r w:rsidRPr="00EA4A56">
              <w:rPr>
                <w:b/>
                <w:bCs/>
                <w:i/>
                <w:iCs/>
                <w:lang w:val="es-ES_tradnl"/>
              </w:rPr>
              <w:t>Información sobre las consultas con los interlocutores sociales, las organizaciones de la sociedad civil y otras partes interesadas pertinentes con vistas a la preparación del informe.</w:t>
            </w:r>
          </w:p>
        </w:tc>
      </w:tr>
    </w:tbl>
    <w:p w:rsidR="00AF0131" w:rsidRPr="00EA4A56" w:rsidRDefault="006F2CA5" w:rsidP="00C56375">
      <w:pPr>
        <w:rPr>
          <w:rStyle w:val="HideTWBExt"/>
          <w:rFonts w:ascii="Times New Roman" w:hAnsi="Times New Roman" w:cs="Times New Roman"/>
          <w:noProof w:val="0"/>
          <w:vanish w:val="0"/>
          <w:color w:val="auto"/>
          <w:sz w:val="24"/>
        </w:rPr>
      </w:pPr>
      <w:r w:rsidRPr="00EA4A56">
        <w:rPr>
          <w:rStyle w:val="HideTWBExt"/>
        </w:rPr>
        <w:t>&lt;/Amend&gt;</w:t>
      </w:r>
    </w:p>
    <w:p w:rsidR="00AF0131" w:rsidRPr="00EA4A56" w:rsidRDefault="006F2CA5" w:rsidP="00C56375">
      <w:pPr>
        <w:pStyle w:val="AmNumberTabs"/>
      </w:pPr>
      <w:r w:rsidRPr="00EA4A56">
        <w:rPr>
          <w:rStyle w:val="HideTWBExt"/>
          <w:b w:val="0"/>
        </w:rPr>
        <w:lastRenderedPageBreak/>
        <w:t>&lt;Amend&gt;</w:t>
      </w:r>
      <w:r w:rsidRPr="00EA4A56">
        <w:t>Enmienda</w:t>
      </w:r>
      <w:r w:rsidRPr="00EA4A56">
        <w:tab/>
      </w:r>
      <w:r w:rsidRPr="00EA4A56">
        <w:tab/>
      </w:r>
      <w:r w:rsidRPr="00EA4A56">
        <w:rPr>
          <w:rStyle w:val="HideTWBExt"/>
          <w:b w:val="0"/>
        </w:rPr>
        <w:t>&lt;NumAm&gt;</w:t>
      </w:r>
      <w:r w:rsidRPr="00EA4A56">
        <w:t>43</w:t>
      </w:r>
      <w:r w:rsidRPr="00EA4A56">
        <w:rPr>
          <w:rStyle w:val="HideTWBExt"/>
          <w:b w:val="0"/>
        </w:rPr>
        <w:t>&lt;/NumAm&gt;</w:t>
      </w:r>
    </w:p>
    <w:p w:rsidR="00AF0131" w:rsidRPr="00EA4A56" w:rsidRDefault="00AF0131" w:rsidP="00AF0131"/>
    <w:p w:rsidR="00AF0131" w:rsidRPr="00EA4A56" w:rsidRDefault="006F2CA5" w:rsidP="00AF0131">
      <w:pPr>
        <w:pStyle w:val="NormalBold"/>
        <w:keepNext/>
      </w:pPr>
      <w:r w:rsidRPr="00EA4A56">
        <w:rPr>
          <w:rStyle w:val="HideTWBExt"/>
          <w:b w:val="0"/>
        </w:rPr>
        <w:t>&lt;DocAmend&gt;</w:t>
      </w:r>
      <w:r w:rsidRPr="00EA4A56">
        <w:t>Propuesta de Re</w:t>
      </w:r>
      <w:r w:rsidRPr="00EA4A56">
        <w:t>glamento</w:t>
      </w:r>
      <w:r w:rsidRPr="00EA4A56">
        <w:rPr>
          <w:rStyle w:val="HideTWBExt"/>
          <w:b w:val="0"/>
        </w:rPr>
        <w:t>&lt;/DocAmend&gt;</w:t>
      </w:r>
    </w:p>
    <w:p w:rsidR="00AF0131" w:rsidRPr="00EA4A56" w:rsidRDefault="006F2CA5" w:rsidP="00AF0131">
      <w:pPr>
        <w:pStyle w:val="NormalBold"/>
      </w:pPr>
      <w:r w:rsidRPr="00EA4A56">
        <w:rPr>
          <w:rStyle w:val="HideTWBExt"/>
          <w:b w:val="0"/>
        </w:rPr>
        <w:t>&lt;Article&gt;</w:t>
      </w:r>
      <w:r w:rsidRPr="00EA4A56">
        <w:t>Anexo VII – punto 2 – párrafo 2 – punto 2.1 – parte introductoria</w:t>
      </w:r>
      <w:r w:rsidRPr="00EA4A5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20E9E" w:rsidRPr="00EA4A56" w:rsidTr="00C33FBD">
        <w:trPr>
          <w:jc w:val="center"/>
        </w:trPr>
        <w:tc>
          <w:tcPr>
            <w:tcW w:w="9752" w:type="dxa"/>
            <w:gridSpan w:val="2"/>
          </w:tcPr>
          <w:p w:rsidR="00AF0131" w:rsidRPr="00EA4A56" w:rsidRDefault="00AF0131" w:rsidP="00C33FBD">
            <w:pPr>
              <w:keepNext/>
            </w:pPr>
          </w:p>
        </w:tc>
      </w:tr>
      <w:tr w:rsidR="00820E9E" w:rsidRPr="00EA4A56" w:rsidTr="00C33FBD">
        <w:trPr>
          <w:jc w:val="center"/>
        </w:trPr>
        <w:tc>
          <w:tcPr>
            <w:tcW w:w="4876" w:type="dxa"/>
            <w:hideMark/>
          </w:tcPr>
          <w:p w:rsidR="00AF0131" w:rsidRPr="00EA4A56" w:rsidRDefault="006F2CA5" w:rsidP="00C33FBD">
            <w:pPr>
              <w:pStyle w:val="ColumnHeading"/>
              <w:keepNext/>
              <w:rPr>
                <w:lang w:val="es-ES_tradnl"/>
              </w:rPr>
            </w:pPr>
            <w:r w:rsidRPr="00EA4A56">
              <w:rPr>
                <w:lang w:val="es-ES_tradnl"/>
              </w:rPr>
              <w:t>Texto de la Comisión</w:t>
            </w:r>
          </w:p>
        </w:tc>
        <w:tc>
          <w:tcPr>
            <w:tcW w:w="4876" w:type="dxa"/>
            <w:hideMark/>
          </w:tcPr>
          <w:p w:rsidR="00AF0131" w:rsidRPr="00EA4A56" w:rsidRDefault="006F2CA5" w:rsidP="00C33FBD">
            <w:pPr>
              <w:pStyle w:val="ColumnHeading"/>
              <w:keepNext/>
              <w:rPr>
                <w:lang w:val="es-ES_tradnl"/>
              </w:rPr>
            </w:pPr>
            <w:r w:rsidRPr="00EA4A56">
              <w:rPr>
                <w:lang w:val="es-ES_tradnl"/>
              </w:rPr>
              <w:t>Enmienda</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lang w:val="es-ES_tradnl"/>
              </w:rPr>
              <w:t>2.1</w:t>
            </w:r>
            <w:r w:rsidRPr="00EA4A56">
              <w:rPr>
                <w:lang w:val="es-ES_tradnl"/>
              </w:rPr>
              <w:tab/>
              <w:t>El conjunto de compromisos de reforma e inversión fomenta el crecimiento</w:t>
            </w:r>
          </w:p>
        </w:tc>
        <w:tc>
          <w:tcPr>
            <w:tcW w:w="4876" w:type="dxa"/>
            <w:hideMark/>
          </w:tcPr>
          <w:p w:rsidR="00AF0131" w:rsidRPr="00EA4A56" w:rsidRDefault="006F2CA5" w:rsidP="00C33FBD">
            <w:pPr>
              <w:pStyle w:val="Normal6"/>
              <w:rPr>
                <w:szCs w:val="24"/>
                <w:lang w:val="es-ES_tradnl"/>
              </w:rPr>
            </w:pPr>
            <w:r w:rsidRPr="00EA4A56">
              <w:rPr>
                <w:lang w:val="es-ES_tradnl"/>
              </w:rPr>
              <w:t>2.1</w:t>
            </w:r>
            <w:r w:rsidRPr="00EA4A56">
              <w:rPr>
                <w:lang w:val="es-ES_tradnl"/>
              </w:rPr>
              <w:tab/>
            </w:r>
            <w:r w:rsidRPr="00EA4A56">
              <w:rPr>
                <w:lang w:val="es-ES_tradnl"/>
              </w:rPr>
              <w:t xml:space="preserve">El conjunto de compromisos de reforma e inversión fomenta el crecimiento </w:t>
            </w:r>
            <w:r w:rsidRPr="00EA4A56">
              <w:rPr>
                <w:b/>
                <w:bCs/>
                <w:i/>
                <w:iCs/>
                <w:lang w:val="es-ES_tradnl"/>
              </w:rPr>
              <w:t>sostenible</w:t>
            </w:r>
            <w:r w:rsidRPr="00EA4A56">
              <w:rPr>
                <w:lang w:val="es-ES_tradnl"/>
              </w:rPr>
              <w:t xml:space="preserve">; </w:t>
            </w:r>
            <w:r w:rsidRPr="00EA4A56">
              <w:rPr>
                <w:b/>
                <w:i/>
                <w:lang w:val="es-ES_tradnl"/>
              </w:rPr>
              <w:t>se espera que el conjunto de compromisos de reforma e inversión conlleve un avance suficiente hacia los objetivos nacionales, vinculados a los objetivos principales del pi</w:t>
            </w:r>
            <w:r w:rsidRPr="00EA4A56">
              <w:rPr>
                <w:b/>
                <w:i/>
                <w:lang w:val="es-ES_tradnl"/>
              </w:rPr>
              <w:t>lar europeo de derechos sociales y a sus indicadores principales y secundarios.</w:t>
            </w:r>
          </w:p>
        </w:tc>
      </w:tr>
    </w:tbl>
    <w:p w:rsidR="00AF0131" w:rsidRPr="00EA4A56" w:rsidRDefault="006F2CA5" w:rsidP="00C56375">
      <w:pPr>
        <w:rPr>
          <w:rStyle w:val="HideTWBExt"/>
          <w:rFonts w:ascii="Times New Roman" w:hAnsi="Times New Roman" w:cs="Times New Roman"/>
          <w:noProof w:val="0"/>
          <w:vanish w:val="0"/>
          <w:color w:val="auto"/>
          <w:sz w:val="24"/>
        </w:rPr>
      </w:pPr>
      <w:r w:rsidRPr="00EA4A56">
        <w:rPr>
          <w:rStyle w:val="HideTWBExt"/>
        </w:rPr>
        <w:t>&lt;/Amend&gt;</w:t>
      </w:r>
    </w:p>
    <w:p w:rsidR="00AF0131" w:rsidRPr="00EA4A56" w:rsidRDefault="006F2CA5" w:rsidP="00AF0131">
      <w:pPr>
        <w:pStyle w:val="AmNumberTabs"/>
      </w:pPr>
      <w:r w:rsidRPr="00EA4A56">
        <w:rPr>
          <w:rStyle w:val="HideTWBExt"/>
          <w:b w:val="0"/>
        </w:rPr>
        <w:t>&lt;Amend&gt;</w:t>
      </w:r>
      <w:r w:rsidRPr="00EA4A56">
        <w:t>Enmienda</w:t>
      </w:r>
      <w:r w:rsidRPr="00EA4A56">
        <w:tab/>
      </w:r>
      <w:r w:rsidRPr="00EA4A56">
        <w:tab/>
      </w:r>
      <w:r w:rsidRPr="00EA4A56">
        <w:rPr>
          <w:rStyle w:val="HideTWBExt"/>
          <w:b w:val="0"/>
        </w:rPr>
        <w:t>&lt;NumAm&gt;</w:t>
      </w:r>
      <w:r w:rsidRPr="00EA4A56">
        <w:t>44</w:t>
      </w:r>
      <w:r w:rsidRPr="00EA4A56">
        <w:rPr>
          <w:rStyle w:val="HideTWBExt"/>
          <w:b w:val="0"/>
        </w:rPr>
        <w:t>&lt;/NumAm&gt;</w:t>
      </w:r>
    </w:p>
    <w:p w:rsidR="00AF0131" w:rsidRPr="00EA4A56" w:rsidRDefault="00AF0131" w:rsidP="00AF0131"/>
    <w:p w:rsidR="00AF0131" w:rsidRPr="00EA4A56" w:rsidRDefault="006F2CA5" w:rsidP="00AF0131">
      <w:pPr>
        <w:pStyle w:val="NormalBold"/>
        <w:keepNext/>
      </w:pPr>
      <w:r w:rsidRPr="00EA4A56">
        <w:rPr>
          <w:rStyle w:val="HideTWBExt"/>
          <w:b w:val="0"/>
        </w:rPr>
        <w:t>&lt;DocAmend&gt;</w:t>
      </w:r>
      <w:r w:rsidRPr="00EA4A56">
        <w:t>Propuesta de Reglamento</w:t>
      </w:r>
      <w:r w:rsidRPr="00EA4A56">
        <w:rPr>
          <w:rStyle w:val="HideTWBExt"/>
          <w:b w:val="0"/>
        </w:rPr>
        <w:t>&lt;/DocAmend&gt;</w:t>
      </w:r>
    </w:p>
    <w:p w:rsidR="00AF0131" w:rsidRPr="00EA4A56" w:rsidRDefault="006F2CA5" w:rsidP="00AF0131">
      <w:pPr>
        <w:pStyle w:val="NormalBold"/>
      </w:pPr>
      <w:r w:rsidRPr="00EA4A56">
        <w:rPr>
          <w:rStyle w:val="HideTWBExt"/>
          <w:b w:val="0"/>
        </w:rPr>
        <w:t>&lt;Article&gt;</w:t>
      </w:r>
      <w:r w:rsidRPr="00EA4A56">
        <w:t>Anexo VII – punto 2 – párrafo 2 – punto 2.2 bis (nuevo)</w:t>
      </w:r>
      <w:r w:rsidRPr="00EA4A5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20E9E" w:rsidRPr="00EA4A56" w:rsidTr="00C33FBD">
        <w:trPr>
          <w:jc w:val="center"/>
        </w:trPr>
        <w:tc>
          <w:tcPr>
            <w:tcW w:w="9752" w:type="dxa"/>
            <w:gridSpan w:val="2"/>
          </w:tcPr>
          <w:p w:rsidR="00AF0131" w:rsidRPr="00EA4A56" w:rsidRDefault="00AF0131" w:rsidP="00C33FBD">
            <w:pPr>
              <w:keepNext/>
            </w:pPr>
          </w:p>
        </w:tc>
      </w:tr>
      <w:tr w:rsidR="00820E9E" w:rsidRPr="00EA4A56" w:rsidTr="00C33FBD">
        <w:trPr>
          <w:jc w:val="center"/>
        </w:trPr>
        <w:tc>
          <w:tcPr>
            <w:tcW w:w="4876" w:type="dxa"/>
            <w:hideMark/>
          </w:tcPr>
          <w:p w:rsidR="00AF0131" w:rsidRPr="00EA4A56" w:rsidRDefault="006F2CA5" w:rsidP="00C33FBD">
            <w:pPr>
              <w:pStyle w:val="ColumnHeading"/>
              <w:keepNext/>
              <w:rPr>
                <w:lang w:val="es-ES_tradnl"/>
              </w:rPr>
            </w:pPr>
            <w:r w:rsidRPr="00EA4A56">
              <w:rPr>
                <w:lang w:val="es-ES_tradnl"/>
              </w:rPr>
              <w:t>Texto de</w:t>
            </w:r>
            <w:r w:rsidRPr="00EA4A56">
              <w:rPr>
                <w:lang w:val="es-ES_tradnl"/>
              </w:rPr>
              <w:t xml:space="preserve"> la Comisión</w:t>
            </w:r>
          </w:p>
        </w:tc>
        <w:tc>
          <w:tcPr>
            <w:tcW w:w="4876" w:type="dxa"/>
            <w:hideMark/>
          </w:tcPr>
          <w:p w:rsidR="00AF0131" w:rsidRPr="00EA4A56" w:rsidRDefault="006F2CA5" w:rsidP="00C33FBD">
            <w:pPr>
              <w:pStyle w:val="ColumnHeading"/>
              <w:keepNext/>
              <w:rPr>
                <w:lang w:val="es-ES_tradnl"/>
              </w:rPr>
            </w:pPr>
            <w:r w:rsidRPr="00EA4A56">
              <w:rPr>
                <w:lang w:val="es-ES_tradnl"/>
              </w:rPr>
              <w:t>Enmienda</w:t>
            </w:r>
          </w:p>
        </w:tc>
      </w:tr>
      <w:tr w:rsidR="00820E9E" w:rsidRPr="00EA4A56" w:rsidTr="00C33FBD">
        <w:trPr>
          <w:jc w:val="center"/>
        </w:trPr>
        <w:tc>
          <w:tcPr>
            <w:tcW w:w="4876" w:type="dxa"/>
          </w:tcPr>
          <w:p w:rsidR="00AF0131" w:rsidRPr="00EA4A56" w:rsidRDefault="00AF0131" w:rsidP="00C33FBD">
            <w:pPr>
              <w:pStyle w:val="Normal6"/>
              <w:rPr>
                <w:lang w:val="es-ES_tradnl"/>
              </w:rPr>
            </w:pPr>
          </w:p>
        </w:tc>
        <w:tc>
          <w:tcPr>
            <w:tcW w:w="4876" w:type="dxa"/>
            <w:hideMark/>
          </w:tcPr>
          <w:p w:rsidR="00AF0131" w:rsidRPr="00EA4A56" w:rsidRDefault="006F2CA5" w:rsidP="00C33FBD">
            <w:pPr>
              <w:pStyle w:val="Normal6"/>
              <w:rPr>
                <w:szCs w:val="24"/>
                <w:lang w:val="es-ES_tradnl"/>
              </w:rPr>
            </w:pPr>
            <w:r w:rsidRPr="00EA4A56">
              <w:rPr>
                <w:b/>
                <w:i/>
                <w:lang w:val="es-ES_tradnl"/>
              </w:rPr>
              <w:t>2.2 bis</w:t>
            </w:r>
            <w:r w:rsidRPr="00EA4A56">
              <w:rPr>
                <w:b/>
                <w:i/>
                <w:lang w:val="es-ES_tradnl"/>
              </w:rPr>
              <w:tab/>
              <w:t>El conjunto de compromisos de reforma e inversión apoya la convergencia social al alza.</w:t>
            </w:r>
          </w:p>
        </w:tc>
      </w:tr>
    </w:tbl>
    <w:p w:rsidR="00AF0131" w:rsidRPr="00EA4A56" w:rsidRDefault="006F2CA5" w:rsidP="00C56375">
      <w:pPr>
        <w:rPr>
          <w:rStyle w:val="HideTWBExt"/>
          <w:rFonts w:ascii="Times New Roman" w:hAnsi="Times New Roman" w:cs="Times New Roman"/>
          <w:noProof w:val="0"/>
          <w:vanish w:val="0"/>
          <w:color w:val="auto"/>
          <w:sz w:val="24"/>
        </w:rPr>
      </w:pPr>
      <w:r w:rsidRPr="00EA4A56">
        <w:rPr>
          <w:rStyle w:val="HideTWBExt"/>
        </w:rPr>
        <w:t>&lt;/Amend&gt;</w:t>
      </w:r>
    </w:p>
    <w:p w:rsidR="00AF0131" w:rsidRPr="00EA4A56" w:rsidRDefault="006F2CA5" w:rsidP="00AF0131">
      <w:pPr>
        <w:pStyle w:val="AmNumberTabs"/>
      </w:pPr>
      <w:r w:rsidRPr="00EA4A56">
        <w:rPr>
          <w:rStyle w:val="HideTWBExt"/>
          <w:b w:val="0"/>
        </w:rPr>
        <w:t>&lt;Amend&gt;</w:t>
      </w:r>
      <w:r w:rsidRPr="00EA4A56">
        <w:t>Enmienda</w:t>
      </w:r>
      <w:r w:rsidRPr="00EA4A56">
        <w:tab/>
      </w:r>
      <w:r w:rsidRPr="00EA4A56">
        <w:tab/>
      </w:r>
      <w:r w:rsidRPr="00EA4A56">
        <w:rPr>
          <w:rStyle w:val="HideTWBExt"/>
          <w:b w:val="0"/>
        </w:rPr>
        <w:t>&lt;NumAm&gt;</w:t>
      </w:r>
      <w:r w:rsidRPr="00EA4A56">
        <w:t>45</w:t>
      </w:r>
      <w:r w:rsidRPr="00EA4A56">
        <w:rPr>
          <w:rStyle w:val="HideTWBExt"/>
          <w:b w:val="0"/>
        </w:rPr>
        <w:t>&lt;/NumAm&gt;</w:t>
      </w:r>
    </w:p>
    <w:p w:rsidR="00AF0131" w:rsidRPr="00EA4A56" w:rsidRDefault="00AF0131" w:rsidP="00AF0131"/>
    <w:p w:rsidR="00AF0131" w:rsidRPr="00EA4A56" w:rsidRDefault="006F2CA5" w:rsidP="00AF0131">
      <w:pPr>
        <w:pStyle w:val="NormalBold"/>
        <w:keepNext/>
      </w:pPr>
      <w:r w:rsidRPr="00EA4A56">
        <w:rPr>
          <w:rStyle w:val="HideTWBExt"/>
          <w:b w:val="0"/>
        </w:rPr>
        <w:t>&lt;DocAmend&gt;</w:t>
      </w:r>
      <w:r w:rsidRPr="00EA4A56">
        <w:t>Propuesta de Reglamento</w:t>
      </w:r>
      <w:r w:rsidRPr="00EA4A56">
        <w:rPr>
          <w:rStyle w:val="HideTWBExt"/>
          <w:b w:val="0"/>
        </w:rPr>
        <w:t>&lt;/DocAmend&gt;</w:t>
      </w:r>
    </w:p>
    <w:p w:rsidR="00AF0131" w:rsidRPr="00EA4A56" w:rsidRDefault="006F2CA5" w:rsidP="00AF0131">
      <w:pPr>
        <w:pStyle w:val="NormalBold"/>
      </w:pPr>
      <w:r w:rsidRPr="00EA4A56">
        <w:rPr>
          <w:rStyle w:val="HideTWBExt"/>
          <w:b w:val="0"/>
        </w:rPr>
        <w:t>&lt;Article&gt;</w:t>
      </w:r>
      <w:r w:rsidRPr="00EA4A56">
        <w:t xml:space="preserve">Anexo VII – punto 2 – párrafo 2 – </w:t>
      </w:r>
      <w:r w:rsidRPr="00EA4A56">
        <w:t>punto 2.4 – parte introductoria</w:t>
      </w:r>
      <w:r w:rsidRPr="00EA4A5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20E9E" w:rsidRPr="00EA4A56" w:rsidTr="00C33FBD">
        <w:trPr>
          <w:jc w:val="center"/>
        </w:trPr>
        <w:tc>
          <w:tcPr>
            <w:tcW w:w="9752" w:type="dxa"/>
            <w:gridSpan w:val="2"/>
          </w:tcPr>
          <w:p w:rsidR="00AF0131" w:rsidRPr="00EA4A56" w:rsidRDefault="00AF0131" w:rsidP="00C33FBD">
            <w:pPr>
              <w:keepNext/>
            </w:pPr>
          </w:p>
        </w:tc>
      </w:tr>
      <w:tr w:rsidR="00820E9E" w:rsidRPr="00EA4A56" w:rsidTr="00C33FBD">
        <w:trPr>
          <w:jc w:val="center"/>
        </w:trPr>
        <w:tc>
          <w:tcPr>
            <w:tcW w:w="4876" w:type="dxa"/>
            <w:hideMark/>
          </w:tcPr>
          <w:p w:rsidR="00AF0131" w:rsidRPr="00EA4A56" w:rsidRDefault="006F2CA5" w:rsidP="00C33FBD">
            <w:pPr>
              <w:pStyle w:val="ColumnHeading"/>
              <w:keepNext/>
              <w:rPr>
                <w:lang w:val="es-ES_tradnl"/>
              </w:rPr>
            </w:pPr>
            <w:r w:rsidRPr="00EA4A56">
              <w:rPr>
                <w:lang w:val="es-ES_tradnl"/>
              </w:rPr>
              <w:t>Texto de la Comisión</w:t>
            </w:r>
          </w:p>
        </w:tc>
        <w:tc>
          <w:tcPr>
            <w:tcW w:w="4876" w:type="dxa"/>
            <w:hideMark/>
          </w:tcPr>
          <w:p w:rsidR="00AF0131" w:rsidRPr="00EA4A56" w:rsidRDefault="006F2CA5" w:rsidP="00C33FBD">
            <w:pPr>
              <w:pStyle w:val="ColumnHeading"/>
              <w:keepNext/>
              <w:rPr>
                <w:lang w:val="es-ES_tradnl"/>
              </w:rPr>
            </w:pPr>
            <w:r w:rsidRPr="00EA4A56">
              <w:rPr>
                <w:lang w:val="es-ES_tradnl"/>
              </w:rPr>
              <w:t>Enmienda</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lang w:val="es-ES_tradnl"/>
              </w:rPr>
              <w:t>2.4</w:t>
            </w:r>
            <w:r w:rsidRPr="00EA4A56">
              <w:rPr>
                <w:lang w:val="es-ES_tradnl"/>
              </w:rPr>
              <w:tab/>
              <w:t>El conjunto de compromisos de reforma e inversión, en su conjunto, aborda las recomendaciones específicas por país pertinentes, incluidas, en su caso, las recomendaciones formul</w:t>
            </w:r>
            <w:r w:rsidRPr="00EA4A56">
              <w:rPr>
                <w:lang w:val="es-ES_tradnl"/>
              </w:rPr>
              <w:t>adas en el marco del procedimiento de desequilibrio macroeconómico</w:t>
            </w:r>
          </w:p>
        </w:tc>
        <w:tc>
          <w:tcPr>
            <w:tcW w:w="4876" w:type="dxa"/>
            <w:hideMark/>
          </w:tcPr>
          <w:p w:rsidR="00AF0131" w:rsidRPr="00EA4A56" w:rsidRDefault="006F2CA5" w:rsidP="00C33FBD">
            <w:pPr>
              <w:pStyle w:val="Normal6"/>
              <w:rPr>
                <w:szCs w:val="24"/>
                <w:lang w:val="es-ES_tradnl"/>
              </w:rPr>
            </w:pPr>
            <w:r w:rsidRPr="00EA4A56">
              <w:rPr>
                <w:lang w:val="es-ES_tradnl"/>
              </w:rPr>
              <w:t>2.4</w:t>
            </w:r>
            <w:r w:rsidRPr="00EA4A56">
              <w:rPr>
                <w:lang w:val="es-ES_tradnl"/>
              </w:rPr>
              <w:tab/>
              <w:t>El conjunto de compromisos de reforma e inversión, en su conjunto, aborda las recomendaciones específicas por país pertinentes</w:t>
            </w:r>
            <w:r w:rsidRPr="00EA4A56">
              <w:rPr>
                <w:b/>
                <w:bCs/>
                <w:i/>
                <w:iCs/>
                <w:lang w:val="es-ES_tradnl"/>
              </w:rPr>
              <w:t xml:space="preserve"> en virtud del artículo 121, apartado 4, y del artículo 148</w:t>
            </w:r>
            <w:r w:rsidRPr="00EA4A56">
              <w:rPr>
                <w:b/>
                <w:bCs/>
                <w:i/>
                <w:iCs/>
                <w:lang w:val="es-ES_tradnl"/>
              </w:rPr>
              <w:t>, apartado 4, del TFUE</w:t>
            </w:r>
            <w:r w:rsidRPr="00EA4A56">
              <w:rPr>
                <w:lang w:val="es-ES_tradnl"/>
              </w:rPr>
              <w:t>, incluidas, en su caso, las recomendaciones formuladas en el marco del procedimiento de desequilibrio macroeconómico</w:t>
            </w:r>
          </w:p>
        </w:tc>
      </w:tr>
    </w:tbl>
    <w:p w:rsidR="00AF0131" w:rsidRPr="00EA4A56" w:rsidRDefault="006F2CA5" w:rsidP="00C56375">
      <w:pPr>
        <w:rPr>
          <w:rStyle w:val="HideTWBExt"/>
          <w:rFonts w:ascii="Times New Roman" w:hAnsi="Times New Roman" w:cs="Times New Roman"/>
          <w:noProof w:val="0"/>
          <w:vanish w:val="0"/>
          <w:color w:val="auto"/>
          <w:sz w:val="24"/>
        </w:rPr>
      </w:pPr>
      <w:r w:rsidRPr="00EA4A56">
        <w:rPr>
          <w:rStyle w:val="HideTWBExt"/>
        </w:rPr>
        <w:t>&lt;/Amend&gt;</w:t>
      </w:r>
    </w:p>
    <w:p w:rsidR="00AF0131" w:rsidRPr="00EA4A56" w:rsidRDefault="00AF0131" w:rsidP="00AF0131">
      <w:pPr>
        <w:rPr>
          <w:rStyle w:val="HideTWBExt"/>
        </w:rPr>
      </w:pPr>
    </w:p>
    <w:p w:rsidR="00AF0131" w:rsidRPr="00EA4A56" w:rsidRDefault="006F2CA5" w:rsidP="00AF0131">
      <w:pPr>
        <w:pStyle w:val="AmNumberTabs"/>
      </w:pPr>
      <w:r w:rsidRPr="00EA4A56">
        <w:rPr>
          <w:rStyle w:val="HideTWBExt"/>
          <w:b w:val="0"/>
        </w:rPr>
        <w:lastRenderedPageBreak/>
        <w:t>&lt;Amend&gt;</w:t>
      </w:r>
      <w:r w:rsidRPr="00EA4A56">
        <w:t>Enmienda</w:t>
      </w:r>
      <w:r w:rsidRPr="00EA4A56">
        <w:tab/>
      </w:r>
      <w:r w:rsidRPr="00EA4A56">
        <w:tab/>
      </w:r>
      <w:r w:rsidRPr="00EA4A56">
        <w:rPr>
          <w:rStyle w:val="HideTWBExt"/>
          <w:b w:val="0"/>
        </w:rPr>
        <w:t>&lt;NumAm&gt;</w:t>
      </w:r>
      <w:r w:rsidRPr="00EA4A56">
        <w:t>46</w:t>
      </w:r>
      <w:r w:rsidRPr="00EA4A56">
        <w:rPr>
          <w:rStyle w:val="HideTWBExt"/>
          <w:b w:val="0"/>
        </w:rPr>
        <w:t>&lt;/NumAm&gt;</w:t>
      </w:r>
    </w:p>
    <w:p w:rsidR="00AF0131" w:rsidRPr="00EA4A56" w:rsidRDefault="00AF0131" w:rsidP="00AF0131"/>
    <w:p w:rsidR="00AF0131" w:rsidRPr="00EA4A56" w:rsidRDefault="006F2CA5" w:rsidP="00AF0131">
      <w:pPr>
        <w:pStyle w:val="NormalBold"/>
        <w:keepNext/>
      </w:pPr>
      <w:r w:rsidRPr="00EA4A56">
        <w:rPr>
          <w:rStyle w:val="HideTWBExt"/>
          <w:b w:val="0"/>
        </w:rPr>
        <w:t>&lt;DocAmend&gt;</w:t>
      </w:r>
      <w:r w:rsidRPr="00EA4A56">
        <w:t>Propuesta de Reglamento</w:t>
      </w:r>
      <w:r w:rsidRPr="00EA4A56">
        <w:rPr>
          <w:rStyle w:val="HideTWBExt"/>
          <w:b w:val="0"/>
        </w:rPr>
        <w:t>&lt;/DocAmend&gt;</w:t>
      </w:r>
    </w:p>
    <w:p w:rsidR="00AF0131" w:rsidRPr="00EA4A56" w:rsidRDefault="006F2CA5" w:rsidP="00AF0131">
      <w:pPr>
        <w:pStyle w:val="NormalBold"/>
      </w:pPr>
      <w:r w:rsidRPr="00EA4A56">
        <w:rPr>
          <w:rStyle w:val="HideTWBExt"/>
          <w:b w:val="0"/>
        </w:rPr>
        <w:t>&lt;Article&gt;</w:t>
      </w:r>
      <w:r w:rsidRPr="00EA4A56">
        <w:t xml:space="preserve">Anexo VII – </w:t>
      </w:r>
      <w:r w:rsidRPr="00EA4A56">
        <w:t>punto 2 – párrafo 2 – punto 2.4 – guion 1</w:t>
      </w:r>
      <w:r w:rsidRPr="00EA4A5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20E9E" w:rsidRPr="00EA4A56" w:rsidTr="00C33FBD">
        <w:trPr>
          <w:jc w:val="center"/>
        </w:trPr>
        <w:tc>
          <w:tcPr>
            <w:tcW w:w="9752" w:type="dxa"/>
            <w:gridSpan w:val="2"/>
          </w:tcPr>
          <w:p w:rsidR="00AF0131" w:rsidRPr="00EA4A56" w:rsidRDefault="00AF0131" w:rsidP="00C33FBD">
            <w:pPr>
              <w:keepNext/>
            </w:pPr>
          </w:p>
        </w:tc>
      </w:tr>
      <w:tr w:rsidR="00820E9E" w:rsidRPr="00EA4A56" w:rsidTr="00C33FBD">
        <w:trPr>
          <w:jc w:val="center"/>
        </w:trPr>
        <w:tc>
          <w:tcPr>
            <w:tcW w:w="4876" w:type="dxa"/>
            <w:hideMark/>
          </w:tcPr>
          <w:p w:rsidR="00AF0131" w:rsidRPr="00EA4A56" w:rsidRDefault="006F2CA5" w:rsidP="00C33FBD">
            <w:pPr>
              <w:pStyle w:val="ColumnHeading"/>
              <w:keepNext/>
              <w:rPr>
                <w:lang w:val="es-ES_tradnl"/>
              </w:rPr>
            </w:pPr>
            <w:r w:rsidRPr="00EA4A56">
              <w:rPr>
                <w:lang w:val="es-ES_tradnl"/>
              </w:rPr>
              <w:t>Texto de la Comisión</w:t>
            </w:r>
          </w:p>
        </w:tc>
        <w:tc>
          <w:tcPr>
            <w:tcW w:w="4876" w:type="dxa"/>
            <w:hideMark/>
          </w:tcPr>
          <w:p w:rsidR="00AF0131" w:rsidRPr="00EA4A56" w:rsidRDefault="006F2CA5" w:rsidP="00C33FBD">
            <w:pPr>
              <w:pStyle w:val="ColumnHeading"/>
              <w:keepNext/>
              <w:rPr>
                <w:lang w:val="es-ES_tradnl"/>
              </w:rPr>
            </w:pPr>
            <w:r w:rsidRPr="00EA4A56">
              <w:rPr>
                <w:lang w:val="es-ES_tradnl"/>
              </w:rPr>
              <w:t>Enmienda</w:t>
            </w:r>
          </w:p>
        </w:tc>
      </w:tr>
      <w:tr w:rsidR="00820E9E" w:rsidRPr="00EA4A56" w:rsidTr="00C33FBD">
        <w:trPr>
          <w:jc w:val="center"/>
        </w:trPr>
        <w:tc>
          <w:tcPr>
            <w:tcW w:w="4876" w:type="dxa"/>
            <w:hideMark/>
          </w:tcPr>
          <w:p w:rsidR="00AF0131" w:rsidRPr="00EA4A56" w:rsidRDefault="006F2CA5" w:rsidP="00C33FBD">
            <w:pPr>
              <w:pStyle w:val="Normal6"/>
              <w:rPr>
                <w:lang w:val="es-ES_tradnl"/>
              </w:rPr>
            </w:pPr>
            <w:r w:rsidRPr="00EA4A56">
              <w:rPr>
                <w:lang w:val="es-ES_tradnl"/>
              </w:rPr>
              <w:t>–</w:t>
            </w:r>
            <w:r w:rsidRPr="00EA4A56">
              <w:rPr>
                <w:lang w:val="es-ES_tradnl"/>
              </w:rPr>
              <w:tab/>
              <w:t>Se espera que el conjunto de compromisos de reforma e inversión pertinentes que sustentan la ampliación del período de ajuste, considerados en su conjunto, aborden las d</w:t>
            </w:r>
            <w:r w:rsidRPr="00EA4A56">
              <w:rPr>
                <w:lang w:val="es-ES_tradnl"/>
              </w:rPr>
              <w:t>ificultades señaladas en las recomendaciones específicas por país pertinentes, incluidas, en su caso, las recomendaciones formuladas en el marco del procedimiento de desequilibrio macroeconómico, teniendo en cuenta el alcance y la escala de las dificultade</w:t>
            </w:r>
            <w:r w:rsidRPr="00EA4A56">
              <w:rPr>
                <w:lang w:val="es-ES_tradnl"/>
              </w:rPr>
              <w:t>s específicas de cada país y los compromisos contraídos en el marco de los planes de recuperación y resiliencia, cuando proceda.</w:t>
            </w:r>
          </w:p>
        </w:tc>
        <w:tc>
          <w:tcPr>
            <w:tcW w:w="4876" w:type="dxa"/>
            <w:hideMark/>
          </w:tcPr>
          <w:p w:rsidR="00AF0131" w:rsidRPr="00EA4A56" w:rsidRDefault="006F2CA5" w:rsidP="00C33FBD">
            <w:pPr>
              <w:pStyle w:val="Normal6"/>
              <w:rPr>
                <w:szCs w:val="24"/>
                <w:lang w:val="es-ES_tradnl"/>
              </w:rPr>
            </w:pPr>
            <w:r w:rsidRPr="00EA4A56">
              <w:rPr>
                <w:lang w:val="es-ES_tradnl"/>
              </w:rPr>
              <w:t>–</w:t>
            </w:r>
            <w:r w:rsidRPr="00EA4A56">
              <w:rPr>
                <w:lang w:val="es-ES_tradnl"/>
              </w:rPr>
              <w:tab/>
              <w:t>Se espera que el conjunto de compromisos de reforma e inversión pertinentes que sustentan la ampliación del período de ajuste</w:t>
            </w:r>
            <w:r w:rsidRPr="00EA4A56">
              <w:rPr>
                <w:lang w:val="es-ES_tradnl"/>
              </w:rPr>
              <w:t>, considerados en su conjunto, aborden las dificultades señaladas en las recomendaciones específicas por país pertinentes, incluidas, en su caso, las recomendaciones formuladas en el marco del procedimiento de desequilibrio macroeconómico</w:t>
            </w:r>
            <w:r w:rsidRPr="00EA4A56">
              <w:rPr>
                <w:b/>
                <w:bCs/>
                <w:i/>
                <w:iCs/>
                <w:lang w:val="es-ES_tradnl"/>
              </w:rPr>
              <w:t xml:space="preserve">, e incluidas las </w:t>
            </w:r>
            <w:r w:rsidRPr="00EA4A56">
              <w:rPr>
                <w:b/>
                <w:bCs/>
                <w:i/>
                <w:iCs/>
                <w:lang w:val="es-ES_tradnl"/>
              </w:rPr>
              <w:t>recomendaciones formuladas con arreglo al artículo 148, apartado 4, del TFUE</w:t>
            </w:r>
            <w:r w:rsidRPr="00EA4A56">
              <w:rPr>
                <w:lang w:val="es-ES_tradnl"/>
              </w:rPr>
              <w:t>, teniendo en cuenta el alcance y la escala de las dificultades específicas de cada país y los compromisos contraídos en el marco de los planes de recuperación y resiliencia, cuand</w:t>
            </w:r>
            <w:r w:rsidRPr="00EA4A56">
              <w:rPr>
                <w:lang w:val="es-ES_tradnl"/>
              </w:rPr>
              <w:t>o proceda.</w:t>
            </w:r>
          </w:p>
        </w:tc>
      </w:tr>
    </w:tbl>
    <w:p w:rsidR="00AF0131" w:rsidRPr="00EA4A56" w:rsidRDefault="006F2CA5" w:rsidP="00AF0131">
      <w:pPr>
        <w:rPr>
          <w:rStyle w:val="HideTWBExt"/>
        </w:rPr>
      </w:pPr>
      <w:r w:rsidRPr="00EA4A56">
        <w:rPr>
          <w:rStyle w:val="HideTWBExt"/>
        </w:rPr>
        <w:t>&lt;/Amend&gt;</w:t>
      </w:r>
    </w:p>
    <w:p w:rsidR="00AF0131" w:rsidRPr="00EA4A56" w:rsidRDefault="006F2CA5" w:rsidP="00AF0131">
      <w:pPr>
        <w:rPr>
          <w:rStyle w:val="HideTWBExt"/>
          <w:szCs w:val="20"/>
        </w:rPr>
      </w:pPr>
      <w:r w:rsidRPr="00EA4A56">
        <w:rPr>
          <w:rStyle w:val="HideTWBExt"/>
        </w:rPr>
        <w:t>&lt;/RepeatBlock-Amend&gt;</w:t>
      </w:r>
    </w:p>
    <w:p w:rsidR="00AF0131" w:rsidRPr="00EA4A56" w:rsidRDefault="006F2CA5" w:rsidP="00AF0131">
      <w:r w:rsidRPr="00EA4A56">
        <w:br w:type="page"/>
      </w:r>
    </w:p>
    <w:p w:rsidR="00AF0131" w:rsidRPr="00EA4A56" w:rsidRDefault="006F2CA5" w:rsidP="00AF0131">
      <w:pPr>
        <w:pStyle w:val="PageHeadingNotTOC"/>
      </w:pPr>
      <w:bookmarkStart w:id="1" w:name="ProcPageAD"/>
      <w:r w:rsidRPr="00EA4A56">
        <w:lastRenderedPageBreak/>
        <w:t>PROCE</w:t>
      </w:r>
      <w:bookmarkStart w:id="2" w:name="_GoBack"/>
      <w:bookmarkEnd w:id="2"/>
      <w:r w:rsidRPr="00EA4A56">
        <w:t>DIMIENTO DE LA COMISIÓN COMPETENTE PARA EMITIR OPINIÓN</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820E9E" w:rsidRPr="00EA4A56" w:rsidTr="00C33FBD">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F0131" w:rsidRPr="00EA4A56" w:rsidRDefault="006F2CA5" w:rsidP="00C33FBD">
            <w:pPr>
              <w:autoSpaceDE w:val="0"/>
              <w:autoSpaceDN w:val="0"/>
              <w:adjustRightInd w:val="0"/>
              <w:rPr>
                <w:b/>
                <w:bCs/>
                <w:color w:val="000000"/>
                <w:sz w:val="20"/>
                <w:szCs w:val="20"/>
              </w:rPr>
            </w:pPr>
            <w:r w:rsidRPr="00EA4A56">
              <w:rPr>
                <w:b/>
                <w:color w:val="000000"/>
                <w:sz w:val="20"/>
              </w:rPr>
              <w:t>Título</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F0131" w:rsidRPr="00EA4A56" w:rsidRDefault="006F2CA5" w:rsidP="00C33FBD">
            <w:pPr>
              <w:autoSpaceDE w:val="0"/>
              <w:autoSpaceDN w:val="0"/>
              <w:adjustRightInd w:val="0"/>
              <w:rPr>
                <w:color w:val="000000"/>
                <w:sz w:val="20"/>
                <w:szCs w:val="20"/>
              </w:rPr>
            </w:pPr>
            <w:r w:rsidRPr="00EA4A56">
              <w:rPr>
                <w:color w:val="000000"/>
                <w:sz w:val="20"/>
              </w:rPr>
              <w:t>Coordinación eficaz de las políticas económicas y a la supervisión presupuestaria multilateral y por el q</w:t>
            </w:r>
            <w:r>
              <w:rPr>
                <w:color w:val="000000"/>
                <w:sz w:val="20"/>
              </w:rPr>
              <w:t>ue se deroga el Reglamento (CE) </w:t>
            </w:r>
            <w:r w:rsidRPr="00EA4A56">
              <w:rPr>
                <w:color w:val="000000"/>
                <w:sz w:val="20"/>
              </w:rPr>
              <w:t>n.º 1466/97 del Consejo</w:t>
            </w:r>
          </w:p>
        </w:tc>
      </w:tr>
      <w:tr w:rsidR="00820E9E" w:rsidRPr="00EA4A56" w:rsidTr="00C33FBD">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AF0131" w:rsidRPr="00EA4A56" w:rsidRDefault="006F2CA5" w:rsidP="00C33FBD">
            <w:pPr>
              <w:autoSpaceDE w:val="0"/>
              <w:autoSpaceDN w:val="0"/>
              <w:adjustRightInd w:val="0"/>
              <w:rPr>
                <w:b/>
                <w:bCs/>
                <w:color w:val="000000"/>
                <w:sz w:val="20"/>
                <w:szCs w:val="20"/>
              </w:rPr>
            </w:pPr>
            <w:r w:rsidRPr="00EA4A56">
              <w:rPr>
                <w:b/>
                <w:color w:val="000000"/>
                <w:sz w:val="20"/>
              </w:rPr>
              <w:t>Referencias</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AF0131" w:rsidRPr="00EA4A56" w:rsidRDefault="006F2CA5" w:rsidP="00C33FBD">
            <w:pPr>
              <w:autoSpaceDE w:val="0"/>
              <w:autoSpaceDN w:val="0"/>
              <w:adjustRightInd w:val="0"/>
              <w:rPr>
                <w:color w:val="000000"/>
                <w:sz w:val="20"/>
                <w:szCs w:val="20"/>
              </w:rPr>
            </w:pPr>
            <w:r w:rsidRPr="00EA4A56">
              <w:rPr>
                <w:color w:val="000000"/>
                <w:sz w:val="20"/>
              </w:rPr>
              <w:t>COM(2023)0240 – C9-0150/2023 – 2023/0138(COD)</w:t>
            </w:r>
          </w:p>
        </w:tc>
      </w:tr>
      <w:tr w:rsidR="00820E9E" w:rsidRPr="00EA4A56" w:rsidTr="00C33FBD">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F0131" w:rsidRPr="00EA4A56" w:rsidRDefault="006F2CA5" w:rsidP="00C33FBD">
            <w:pPr>
              <w:autoSpaceDE w:val="0"/>
              <w:autoSpaceDN w:val="0"/>
              <w:adjustRightInd w:val="0"/>
              <w:rPr>
                <w:b/>
                <w:bCs/>
                <w:color w:val="000000"/>
                <w:sz w:val="20"/>
                <w:szCs w:val="20"/>
              </w:rPr>
            </w:pPr>
            <w:r w:rsidRPr="00EA4A56">
              <w:rPr>
                <w:b/>
                <w:color w:val="000000"/>
                <w:sz w:val="20"/>
              </w:rPr>
              <w:t>Comisión competente para el fondo</w:t>
            </w:r>
          </w:p>
          <w:p w:rsidR="00AF0131" w:rsidRPr="00EA4A56" w:rsidRDefault="006F2CA5" w:rsidP="00EA4A56">
            <w:pPr>
              <w:autoSpaceDE w:val="0"/>
              <w:autoSpaceDN w:val="0"/>
              <w:adjustRightInd w:val="0"/>
              <w:ind w:firstLine="352"/>
              <w:rPr>
                <w:color w:val="000000"/>
                <w:sz w:val="20"/>
                <w:szCs w:val="20"/>
              </w:rPr>
            </w:pPr>
            <w:r w:rsidRPr="00EA4A56">
              <w:rPr>
                <w:color w:val="000000"/>
                <w:sz w:val="20"/>
              </w:rPr>
              <w:t>Fecha del anuncio en el Pleno</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AF0131" w:rsidRPr="00EA4A56" w:rsidRDefault="006F2CA5" w:rsidP="00C33FBD">
            <w:pPr>
              <w:autoSpaceDE w:val="0"/>
              <w:autoSpaceDN w:val="0"/>
              <w:adjustRightInd w:val="0"/>
              <w:rPr>
                <w:color w:val="000000"/>
                <w:sz w:val="20"/>
                <w:szCs w:val="20"/>
              </w:rPr>
            </w:pPr>
            <w:r w:rsidRPr="00EA4A56">
              <w:rPr>
                <w:color w:val="000000"/>
                <w:sz w:val="20"/>
              </w:rPr>
              <w:t>E</w:t>
            </w:r>
            <w:r w:rsidRPr="00EA4A56">
              <w:rPr>
                <w:color w:val="000000"/>
                <w:sz w:val="20"/>
              </w:rPr>
              <w:t>CON</w:t>
            </w:r>
          </w:p>
          <w:p w:rsidR="00AF0131" w:rsidRPr="00EA4A56" w:rsidRDefault="006F2CA5" w:rsidP="00C33FBD">
            <w:pPr>
              <w:autoSpaceDE w:val="0"/>
              <w:autoSpaceDN w:val="0"/>
              <w:adjustRightInd w:val="0"/>
              <w:rPr>
                <w:color w:val="000000"/>
                <w:sz w:val="20"/>
                <w:szCs w:val="20"/>
              </w:rPr>
            </w:pPr>
            <w:r w:rsidRPr="00EA4A56">
              <w:rPr>
                <w:color w:val="000000"/>
                <w:sz w:val="20"/>
              </w:rPr>
              <w:t>12.6.2023</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AF0131" w:rsidRPr="00EA4A56" w:rsidRDefault="00AF0131" w:rsidP="00C33FBD">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AF0131" w:rsidRPr="00EA4A56" w:rsidRDefault="00AF0131" w:rsidP="00C33FBD">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F0131" w:rsidRPr="00EA4A56" w:rsidRDefault="00AF0131" w:rsidP="00C33FBD">
            <w:pPr>
              <w:autoSpaceDE w:val="0"/>
              <w:autoSpaceDN w:val="0"/>
              <w:adjustRightInd w:val="0"/>
              <w:rPr>
                <w:rFonts w:ascii="sans-serif" w:hAnsi="sans-serif" w:cs="sans-serif"/>
                <w:color w:val="000000"/>
              </w:rPr>
            </w:pPr>
          </w:p>
        </w:tc>
      </w:tr>
      <w:tr w:rsidR="00820E9E" w:rsidRPr="00EA4A56" w:rsidTr="00C33FBD">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F0131" w:rsidRPr="00EA4A56" w:rsidRDefault="006F2CA5" w:rsidP="00C33FBD">
            <w:pPr>
              <w:autoSpaceDE w:val="0"/>
              <w:autoSpaceDN w:val="0"/>
              <w:adjustRightInd w:val="0"/>
              <w:rPr>
                <w:b/>
                <w:bCs/>
                <w:color w:val="000000"/>
                <w:sz w:val="20"/>
                <w:szCs w:val="20"/>
              </w:rPr>
            </w:pPr>
            <w:r w:rsidRPr="00EA4A56">
              <w:rPr>
                <w:b/>
                <w:color w:val="000000"/>
                <w:sz w:val="20"/>
              </w:rPr>
              <w:t>Opinión emitida por</w:t>
            </w:r>
          </w:p>
          <w:p w:rsidR="00AF0131" w:rsidRPr="00EA4A56" w:rsidRDefault="006F2CA5" w:rsidP="00EA4A56">
            <w:pPr>
              <w:autoSpaceDE w:val="0"/>
              <w:autoSpaceDN w:val="0"/>
              <w:adjustRightInd w:val="0"/>
              <w:ind w:firstLine="352"/>
              <w:rPr>
                <w:color w:val="000000"/>
                <w:sz w:val="20"/>
                <w:szCs w:val="20"/>
              </w:rPr>
            </w:pPr>
            <w:r w:rsidRPr="00EA4A56">
              <w:rPr>
                <w:color w:val="000000"/>
                <w:sz w:val="20"/>
              </w:rPr>
              <w:t>Fecha del anuncio en el Pleno</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F0131" w:rsidRPr="00EA4A56" w:rsidRDefault="006F2CA5" w:rsidP="00C33FBD">
            <w:pPr>
              <w:autoSpaceDE w:val="0"/>
              <w:autoSpaceDN w:val="0"/>
              <w:adjustRightInd w:val="0"/>
              <w:rPr>
                <w:color w:val="000000"/>
                <w:sz w:val="20"/>
                <w:szCs w:val="20"/>
              </w:rPr>
            </w:pPr>
            <w:r w:rsidRPr="00EA4A56">
              <w:rPr>
                <w:color w:val="000000"/>
                <w:sz w:val="20"/>
              </w:rPr>
              <w:t>E</w:t>
            </w:r>
            <w:r w:rsidRPr="00EA4A56">
              <w:rPr>
                <w:color w:val="000000"/>
                <w:sz w:val="20"/>
              </w:rPr>
              <w:t>MPL</w:t>
            </w:r>
          </w:p>
          <w:p w:rsidR="00AF0131" w:rsidRPr="00EA4A56" w:rsidRDefault="006F2CA5" w:rsidP="00C33FBD">
            <w:pPr>
              <w:autoSpaceDE w:val="0"/>
              <w:autoSpaceDN w:val="0"/>
              <w:adjustRightInd w:val="0"/>
              <w:rPr>
                <w:color w:val="000000"/>
                <w:sz w:val="20"/>
                <w:szCs w:val="20"/>
              </w:rPr>
            </w:pPr>
            <w:r w:rsidRPr="00EA4A56">
              <w:rPr>
                <w:color w:val="000000"/>
                <w:sz w:val="20"/>
              </w:rPr>
              <w:t>12.6.2023</w:t>
            </w:r>
          </w:p>
        </w:tc>
      </w:tr>
      <w:tr w:rsidR="00820E9E" w:rsidRPr="00EA4A56" w:rsidTr="00C33FBD">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EA4A56" w:rsidRPr="00EA4A56" w:rsidRDefault="00EA4A56" w:rsidP="00C33FBD">
            <w:pPr>
              <w:autoSpaceDE w:val="0"/>
              <w:autoSpaceDN w:val="0"/>
              <w:adjustRightInd w:val="0"/>
              <w:rPr>
                <w:b/>
                <w:color w:val="000000"/>
                <w:sz w:val="20"/>
              </w:rPr>
            </w:pPr>
            <w:r w:rsidRPr="00EA4A56">
              <w:rPr>
                <w:b/>
                <w:color w:val="000000"/>
                <w:sz w:val="20"/>
              </w:rPr>
              <w:t>Comisiones asociadas</w:t>
            </w:r>
          </w:p>
          <w:p w:rsidR="00AF0131" w:rsidRPr="00EA4A56" w:rsidRDefault="006F2CA5" w:rsidP="00EA4A56">
            <w:pPr>
              <w:autoSpaceDE w:val="0"/>
              <w:autoSpaceDN w:val="0"/>
              <w:adjustRightInd w:val="0"/>
              <w:ind w:firstLine="352"/>
              <w:rPr>
                <w:bCs/>
                <w:color w:val="000000"/>
                <w:sz w:val="20"/>
                <w:szCs w:val="20"/>
              </w:rPr>
            </w:pPr>
            <w:r w:rsidRPr="00EA4A56">
              <w:rPr>
                <w:color w:val="000000"/>
                <w:sz w:val="20"/>
              </w:rPr>
              <w:t>Fecha del anuncio en el Pleno</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EA4A56" w:rsidRPr="00EA4A56" w:rsidRDefault="00EA4A56" w:rsidP="00C33FBD">
            <w:pPr>
              <w:autoSpaceDE w:val="0"/>
              <w:autoSpaceDN w:val="0"/>
              <w:adjustRightInd w:val="0"/>
              <w:rPr>
                <w:color w:val="000000"/>
                <w:sz w:val="20"/>
              </w:rPr>
            </w:pPr>
          </w:p>
          <w:p w:rsidR="00AF0131" w:rsidRPr="00EA4A56" w:rsidRDefault="006F2CA5" w:rsidP="00C33FBD">
            <w:pPr>
              <w:autoSpaceDE w:val="0"/>
              <w:autoSpaceDN w:val="0"/>
              <w:adjustRightInd w:val="0"/>
              <w:rPr>
                <w:color w:val="000000"/>
                <w:sz w:val="20"/>
                <w:szCs w:val="20"/>
              </w:rPr>
            </w:pPr>
            <w:r w:rsidRPr="00EA4A56">
              <w:rPr>
                <w:color w:val="000000"/>
                <w:sz w:val="20"/>
              </w:rPr>
              <w:t>14.9.2023</w:t>
            </w:r>
          </w:p>
        </w:tc>
      </w:tr>
      <w:tr w:rsidR="00820E9E" w:rsidRPr="00EA4A56" w:rsidTr="00C33FBD">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F0131" w:rsidRPr="00EA4A56" w:rsidRDefault="006F2CA5" w:rsidP="00C33FBD">
            <w:pPr>
              <w:autoSpaceDE w:val="0"/>
              <w:autoSpaceDN w:val="0"/>
              <w:adjustRightInd w:val="0"/>
              <w:rPr>
                <w:b/>
                <w:bCs/>
                <w:color w:val="000000"/>
                <w:sz w:val="20"/>
                <w:szCs w:val="20"/>
              </w:rPr>
            </w:pPr>
            <w:r w:rsidRPr="00EA4A56">
              <w:rPr>
                <w:b/>
                <w:color w:val="000000"/>
                <w:sz w:val="20"/>
              </w:rPr>
              <w:t>Ponente de opinión</w:t>
            </w:r>
          </w:p>
          <w:p w:rsidR="00AF0131" w:rsidRPr="00EA4A56" w:rsidRDefault="006F2CA5" w:rsidP="00EA4A56">
            <w:pPr>
              <w:autoSpaceDE w:val="0"/>
              <w:autoSpaceDN w:val="0"/>
              <w:adjustRightInd w:val="0"/>
              <w:ind w:firstLine="352"/>
              <w:rPr>
                <w:color w:val="000000"/>
                <w:sz w:val="20"/>
                <w:szCs w:val="20"/>
              </w:rPr>
            </w:pPr>
            <w:r w:rsidRPr="00EA4A56">
              <w:rPr>
                <w:color w:val="000000"/>
                <w:sz w:val="20"/>
              </w:rPr>
              <w:t>Fecha de designación</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F0131" w:rsidRPr="00EA4A56" w:rsidRDefault="006F2CA5" w:rsidP="00C33FBD">
            <w:pPr>
              <w:autoSpaceDE w:val="0"/>
              <w:autoSpaceDN w:val="0"/>
              <w:adjustRightInd w:val="0"/>
              <w:rPr>
                <w:color w:val="000000"/>
                <w:sz w:val="20"/>
                <w:szCs w:val="20"/>
              </w:rPr>
            </w:pPr>
            <w:r w:rsidRPr="00EA4A56">
              <w:rPr>
                <w:color w:val="000000"/>
                <w:sz w:val="20"/>
              </w:rPr>
              <w:t>Gabriele Bischoff</w:t>
            </w:r>
          </w:p>
          <w:p w:rsidR="00AF0131" w:rsidRPr="00EA4A56" w:rsidRDefault="006F2CA5" w:rsidP="00C33FBD">
            <w:pPr>
              <w:autoSpaceDE w:val="0"/>
              <w:autoSpaceDN w:val="0"/>
              <w:adjustRightInd w:val="0"/>
              <w:rPr>
                <w:color w:val="000000"/>
                <w:sz w:val="20"/>
                <w:szCs w:val="20"/>
              </w:rPr>
            </w:pPr>
            <w:r w:rsidRPr="00EA4A56">
              <w:rPr>
                <w:color w:val="000000"/>
                <w:sz w:val="20"/>
              </w:rPr>
              <w:t>29.6.2023</w:t>
            </w:r>
          </w:p>
        </w:tc>
      </w:tr>
      <w:tr w:rsidR="00820E9E" w:rsidRPr="00EA4A56" w:rsidTr="00C33FBD">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F0131" w:rsidRPr="00EA4A56" w:rsidRDefault="006F2CA5" w:rsidP="00C33FBD">
            <w:pPr>
              <w:autoSpaceDE w:val="0"/>
              <w:autoSpaceDN w:val="0"/>
              <w:adjustRightInd w:val="0"/>
              <w:rPr>
                <w:b/>
                <w:bCs/>
                <w:color w:val="000000"/>
                <w:sz w:val="20"/>
                <w:szCs w:val="20"/>
              </w:rPr>
            </w:pPr>
            <w:r w:rsidRPr="00EA4A56">
              <w:rPr>
                <w:b/>
                <w:color w:val="000000"/>
                <w:sz w:val="20"/>
              </w:rPr>
              <w:t>Examen en comisión</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AF0131" w:rsidRPr="00EA4A56" w:rsidRDefault="006F2CA5" w:rsidP="00C33FBD">
            <w:pPr>
              <w:autoSpaceDE w:val="0"/>
              <w:autoSpaceDN w:val="0"/>
              <w:adjustRightInd w:val="0"/>
              <w:rPr>
                <w:color w:val="000000"/>
                <w:sz w:val="20"/>
                <w:szCs w:val="20"/>
              </w:rPr>
            </w:pPr>
            <w:r w:rsidRPr="00EA4A56">
              <w:rPr>
                <w:color w:val="000000"/>
                <w:sz w:val="20"/>
              </w:rPr>
              <w:t>2.10.2023</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AF0131" w:rsidRPr="00EA4A56" w:rsidRDefault="00AF0131" w:rsidP="00C33FBD">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AF0131" w:rsidRPr="00EA4A56" w:rsidRDefault="00AF0131" w:rsidP="00C33FBD">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F0131" w:rsidRPr="00EA4A56" w:rsidRDefault="00AF0131" w:rsidP="00C33FBD">
            <w:pPr>
              <w:autoSpaceDE w:val="0"/>
              <w:autoSpaceDN w:val="0"/>
              <w:adjustRightInd w:val="0"/>
              <w:rPr>
                <w:rFonts w:ascii="sans-serif" w:hAnsi="sans-serif" w:cs="sans-serif"/>
                <w:color w:val="000000"/>
              </w:rPr>
            </w:pPr>
          </w:p>
        </w:tc>
      </w:tr>
      <w:tr w:rsidR="00820E9E" w:rsidRPr="00EA4A56" w:rsidTr="00C33FBD">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AF0131" w:rsidRPr="00EA4A56" w:rsidRDefault="006F2CA5" w:rsidP="00C33FBD">
            <w:pPr>
              <w:autoSpaceDE w:val="0"/>
              <w:autoSpaceDN w:val="0"/>
              <w:adjustRightInd w:val="0"/>
              <w:rPr>
                <w:b/>
                <w:bCs/>
                <w:color w:val="000000"/>
                <w:sz w:val="20"/>
                <w:szCs w:val="20"/>
              </w:rPr>
            </w:pPr>
            <w:r w:rsidRPr="00EA4A56">
              <w:rPr>
                <w:b/>
                <w:color w:val="000000"/>
                <w:sz w:val="20"/>
              </w:rPr>
              <w:t>Fecha de aprobación</w:t>
            </w:r>
          </w:p>
        </w:tc>
        <w:tc>
          <w:tcPr>
            <w:tcW w:w="1530" w:type="dxa"/>
            <w:tcBorders>
              <w:top w:val="nil"/>
              <w:left w:val="nil"/>
              <w:bottom w:val="single" w:sz="8" w:space="0" w:color="000000"/>
              <w:right w:val="nil"/>
            </w:tcBorders>
            <w:tcMar>
              <w:top w:w="79" w:type="dxa"/>
              <w:left w:w="79" w:type="dxa"/>
              <w:bottom w:w="79" w:type="dxa"/>
              <w:right w:w="79" w:type="dxa"/>
            </w:tcMar>
          </w:tcPr>
          <w:p w:rsidR="00AF0131" w:rsidRPr="00EA4A56" w:rsidRDefault="006F2CA5" w:rsidP="00C33FBD">
            <w:pPr>
              <w:autoSpaceDE w:val="0"/>
              <w:autoSpaceDN w:val="0"/>
              <w:adjustRightInd w:val="0"/>
              <w:rPr>
                <w:color w:val="000000"/>
                <w:sz w:val="20"/>
                <w:szCs w:val="20"/>
              </w:rPr>
            </w:pPr>
            <w:r w:rsidRPr="00EA4A56">
              <w:rPr>
                <w:color w:val="000000"/>
                <w:sz w:val="20"/>
              </w:rPr>
              <w:t>25.10.2023</w:t>
            </w:r>
          </w:p>
        </w:tc>
        <w:tc>
          <w:tcPr>
            <w:tcW w:w="1474" w:type="dxa"/>
            <w:tcBorders>
              <w:top w:val="nil"/>
              <w:left w:val="nil"/>
              <w:bottom w:val="single" w:sz="8" w:space="0" w:color="000000"/>
              <w:right w:val="nil"/>
            </w:tcBorders>
            <w:tcMar>
              <w:top w:w="79" w:type="dxa"/>
              <w:left w:w="79" w:type="dxa"/>
              <w:bottom w:w="79" w:type="dxa"/>
              <w:right w:w="79" w:type="dxa"/>
            </w:tcMar>
          </w:tcPr>
          <w:p w:rsidR="00AF0131" w:rsidRPr="00EA4A56" w:rsidRDefault="00AF0131" w:rsidP="00C33FBD">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nil"/>
            </w:tcBorders>
            <w:tcMar>
              <w:top w:w="79" w:type="dxa"/>
              <w:left w:w="79" w:type="dxa"/>
              <w:bottom w:w="79" w:type="dxa"/>
              <w:right w:w="79" w:type="dxa"/>
            </w:tcMar>
          </w:tcPr>
          <w:p w:rsidR="00AF0131" w:rsidRPr="00EA4A56" w:rsidRDefault="00AF0131" w:rsidP="00C33FBD">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rsidR="00AF0131" w:rsidRPr="00EA4A56" w:rsidRDefault="00AF0131" w:rsidP="00C33FBD">
            <w:pPr>
              <w:autoSpaceDE w:val="0"/>
              <w:autoSpaceDN w:val="0"/>
              <w:adjustRightInd w:val="0"/>
              <w:rPr>
                <w:rFonts w:ascii="sans-serif" w:hAnsi="sans-serif" w:cs="sans-serif"/>
                <w:color w:val="000000"/>
              </w:rPr>
            </w:pPr>
          </w:p>
        </w:tc>
      </w:tr>
      <w:tr w:rsidR="00820E9E" w:rsidRPr="00EA4A56" w:rsidTr="00C33FBD">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F0131" w:rsidRPr="00EA4A56" w:rsidRDefault="006F2CA5" w:rsidP="00C33FBD">
            <w:pPr>
              <w:autoSpaceDE w:val="0"/>
              <w:autoSpaceDN w:val="0"/>
              <w:adjustRightInd w:val="0"/>
              <w:rPr>
                <w:b/>
                <w:bCs/>
                <w:color w:val="000000"/>
                <w:sz w:val="20"/>
                <w:szCs w:val="20"/>
              </w:rPr>
            </w:pPr>
            <w:r w:rsidRPr="00EA4A56">
              <w:rPr>
                <w:b/>
                <w:color w:val="000000"/>
                <w:sz w:val="20"/>
              </w:rPr>
              <w:t>Resultado de la votación final</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AF0131" w:rsidRPr="00EA4A56" w:rsidRDefault="006F2CA5" w:rsidP="00C33FBD">
            <w:pPr>
              <w:autoSpaceDE w:val="0"/>
              <w:autoSpaceDN w:val="0"/>
              <w:adjustRightInd w:val="0"/>
              <w:rPr>
                <w:color w:val="000000"/>
                <w:sz w:val="20"/>
                <w:szCs w:val="20"/>
              </w:rPr>
            </w:pPr>
            <w:r w:rsidRPr="00EA4A56">
              <w:rPr>
                <w:color w:val="000000"/>
                <w:sz w:val="20"/>
              </w:rPr>
              <w:t>+:</w:t>
            </w:r>
          </w:p>
          <w:p w:rsidR="00AF0131" w:rsidRPr="00EA4A56" w:rsidRDefault="006F2CA5" w:rsidP="00C33FBD">
            <w:pPr>
              <w:autoSpaceDE w:val="0"/>
              <w:autoSpaceDN w:val="0"/>
              <w:adjustRightInd w:val="0"/>
              <w:rPr>
                <w:color w:val="000000"/>
                <w:sz w:val="20"/>
                <w:szCs w:val="20"/>
              </w:rPr>
            </w:pPr>
            <w:r w:rsidRPr="00EA4A56">
              <w:rPr>
                <w:color w:val="000000"/>
                <w:sz w:val="20"/>
              </w:rPr>
              <w:t>–:</w:t>
            </w:r>
          </w:p>
          <w:p w:rsidR="00AF0131" w:rsidRPr="00EA4A56" w:rsidRDefault="006F2CA5" w:rsidP="00C33FBD">
            <w:pPr>
              <w:autoSpaceDE w:val="0"/>
              <w:autoSpaceDN w:val="0"/>
              <w:adjustRightInd w:val="0"/>
              <w:rPr>
                <w:color w:val="000000"/>
                <w:sz w:val="20"/>
                <w:szCs w:val="20"/>
              </w:rPr>
            </w:pPr>
            <w:r w:rsidRPr="00EA4A56">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F0131" w:rsidRPr="00EA4A56" w:rsidRDefault="006F2CA5" w:rsidP="00C33FBD">
            <w:pPr>
              <w:autoSpaceDE w:val="0"/>
              <w:autoSpaceDN w:val="0"/>
              <w:adjustRightInd w:val="0"/>
              <w:rPr>
                <w:color w:val="000000"/>
                <w:sz w:val="20"/>
                <w:szCs w:val="20"/>
              </w:rPr>
            </w:pPr>
            <w:r w:rsidRPr="00EA4A56">
              <w:rPr>
                <w:color w:val="000000"/>
                <w:sz w:val="20"/>
              </w:rPr>
              <w:t>29</w:t>
            </w:r>
          </w:p>
          <w:p w:rsidR="00AF0131" w:rsidRPr="00EA4A56" w:rsidRDefault="006F2CA5" w:rsidP="00C33FBD">
            <w:pPr>
              <w:autoSpaceDE w:val="0"/>
              <w:autoSpaceDN w:val="0"/>
              <w:adjustRightInd w:val="0"/>
              <w:rPr>
                <w:color w:val="000000"/>
                <w:sz w:val="20"/>
                <w:szCs w:val="20"/>
              </w:rPr>
            </w:pPr>
            <w:r w:rsidRPr="00EA4A56">
              <w:rPr>
                <w:color w:val="000000"/>
                <w:sz w:val="20"/>
              </w:rPr>
              <w:t>4</w:t>
            </w:r>
          </w:p>
          <w:p w:rsidR="00AF0131" w:rsidRPr="00EA4A56" w:rsidRDefault="006F2CA5" w:rsidP="00C33FBD">
            <w:pPr>
              <w:autoSpaceDE w:val="0"/>
              <w:autoSpaceDN w:val="0"/>
              <w:adjustRightInd w:val="0"/>
              <w:rPr>
                <w:color w:val="000000"/>
                <w:sz w:val="20"/>
                <w:szCs w:val="20"/>
              </w:rPr>
            </w:pPr>
            <w:r w:rsidRPr="00EA4A56">
              <w:rPr>
                <w:color w:val="000000"/>
                <w:sz w:val="20"/>
              </w:rPr>
              <w:t>10</w:t>
            </w:r>
          </w:p>
        </w:tc>
      </w:tr>
      <w:tr w:rsidR="00820E9E" w:rsidRPr="00EA4A56" w:rsidTr="00C33FBD">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F0131" w:rsidRPr="00EA4A56" w:rsidRDefault="006F2CA5" w:rsidP="00C33FBD">
            <w:pPr>
              <w:autoSpaceDE w:val="0"/>
              <w:autoSpaceDN w:val="0"/>
              <w:adjustRightInd w:val="0"/>
              <w:rPr>
                <w:b/>
                <w:bCs/>
                <w:color w:val="000000"/>
                <w:sz w:val="20"/>
                <w:szCs w:val="20"/>
              </w:rPr>
            </w:pPr>
            <w:r w:rsidRPr="00EA4A56">
              <w:rPr>
                <w:b/>
                <w:color w:val="000000"/>
                <w:sz w:val="20"/>
              </w:rPr>
              <w:t>Miembros presentes en la votación final</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F0131" w:rsidRPr="00EA4A56" w:rsidRDefault="006F2CA5" w:rsidP="00C33FBD">
            <w:pPr>
              <w:autoSpaceDE w:val="0"/>
              <w:autoSpaceDN w:val="0"/>
              <w:adjustRightInd w:val="0"/>
              <w:rPr>
                <w:color w:val="000000"/>
                <w:sz w:val="20"/>
                <w:szCs w:val="20"/>
              </w:rPr>
            </w:pPr>
            <w:r w:rsidRPr="00EA4A56">
              <w:rPr>
                <w:color w:val="000000"/>
                <w:sz w:val="20"/>
              </w:rPr>
              <w:t>João Albuquerque, Marc Angel, Dominique Bilde, Gabriele Bischoff, Milan Brglez, Jordi Cañas, David Casa, Ilan De Basso, Margarita de la Pisa Carrión, Özlem Demirel, Klára Dobrev, Jarosław Duda, Estrella Durá Ferrand</w:t>
            </w:r>
            <w:r w:rsidRPr="00EA4A56">
              <w:rPr>
                <w:color w:val="000000"/>
                <w:sz w:val="20"/>
              </w:rPr>
              <w:t xml:space="preserve">is, Lucia Ďuriš Nicholsonová, Loucas Fourlas, Cindy Franssen, Chiara Gemma, Helmut Geuking, Elisabetta Gualmini, Alicia Homs Ginel, Agnes Jongerius, Stelios Kympouropoulos, Katrin Langensiepen, Miriam Lexmann, Elena Lizzi, Sara Matthieu, Max Orville, Kira </w:t>
            </w:r>
            <w:r w:rsidRPr="00EA4A56">
              <w:rPr>
                <w:color w:val="000000"/>
                <w:sz w:val="20"/>
              </w:rPr>
              <w:t>Marie Peter-Hansen, Dragoş Pîslaru, Elżbieta Rafalska, Daniela Rondinelli, Pirkko Ruohonen-Lerner, Monica Semedo, Romana Tomc, Nikolaj Villumsen, Marianne Vind, Maria Walsh, Tomáš Zdechovský</w:t>
            </w:r>
          </w:p>
        </w:tc>
      </w:tr>
      <w:tr w:rsidR="00820E9E" w:rsidRPr="00EA4A56" w:rsidTr="00C33FBD">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AF0131" w:rsidRPr="00EA4A56" w:rsidRDefault="006F2CA5" w:rsidP="00C33FBD">
            <w:pPr>
              <w:autoSpaceDE w:val="0"/>
              <w:autoSpaceDN w:val="0"/>
              <w:adjustRightInd w:val="0"/>
              <w:rPr>
                <w:b/>
                <w:bCs/>
                <w:color w:val="000000"/>
                <w:sz w:val="20"/>
                <w:szCs w:val="20"/>
              </w:rPr>
            </w:pPr>
            <w:r w:rsidRPr="00EA4A56">
              <w:rPr>
                <w:b/>
                <w:color w:val="000000"/>
                <w:sz w:val="20"/>
              </w:rPr>
              <w:t>Suplentes presentes en la votación final</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AF0131" w:rsidRPr="00EA4A56" w:rsidRDefault="006F2CA5" w:rsidP="00C33FBD">
            <w:pPr>
              <w:autoSpaceDE w:val="0"/>
              <w:autoSpaceDN w:val="0"/>
              <w:adjustRightInd w:val="0"/>
              <w:rPr>
                <w:color w:val="000000"/>
                <w:sz w:val="20"/>
                <w:szCs w:val="20"/>
              </w:rPr>
            </w:pPr>
            <w:r w:rsidRPr="00EA4A56">
              <w:rPr>
                <w:color w:val="000000"/>
                <w:sz w:val="20"/>
              </w:rPr>
              <w:t>Alexander Alexandrov Yo</w:t>
            </w:r>
            <w:r w:rsidRPr="00EA4A56">
              <w:rPr>
                <w:color w:val="000000"/>
                <w:sz w:val="20"/>
              </w:rPr>
              <w:t>rdanov, Aurore Lalucq, Eugenia Rodríguez Palop</w:t>
            </w:r>
          </w:p>
        </w:tc>
      </w:tr>
      <w:tr w:rsidR="00820E9E" w:rsidRPr="00EA4A56" w:rsidTr="00C33FBD">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AF0131" w:rsidRPr="00EA4A56" w:rsidRDefault="006F2CA5" w:rsidP="00C33FBD">
            <w:pPr>
              <w:autoSpaceDE w:val="0"/>
              <w:autoSpaceDN w:val="0"/>
              <w:adjustRightInd w:val="0"/>
              <w:rPr>
                <w:b/>
                <w:bCs/>
                <w:color w:val="000000"/>
                <w:sz w:val="20"/>
                <w:szCs w:val="20"/>
              </w:rPr>
            </w:pPr>
            <w:r w:rsidRPr="00EA4A56">
              <w:rPr>
                <w:b/>
                <w:color w:val="000000"/>
                <w:sz w:val="20"/>
              </w:rPr>
              <w:t>Suplentes (art. 209, apdo. 7) presentes en la votación final</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AF0131" w:rsidRPr="00EA4A56" w:rsidRDefault="006F2CA5" w:rsidP="00C33FBD">
            <w:pPr>
              <w:autoSpaceDE w:val="0"/>
              <w:autoSpaceDN w:val="0"/>
              <w:adjustRightInd w:val="0"/>
              <w:rPr>
                <w:color w:val="000000"/>
                <w:sz w:val="20"/>
                <w:szCs w:val="20"/>
              </w:rPr>
            </w:pPr>
            <w:r w:rsidRPr="00EA4A56">
              <w:rPr>
                <w:color w:val="000000"/>
                <w:sz w:val="20"/>
              </w:rPr>
              <w:t>Sirpa Pietikäinen, Caroline Roose</w:t>
            </w:r>
          </w:p>
        </w:tc>
      </w:tr>
    </w:tbl>
    <w:p w:rsidR="00AF0131" w:rsidRPr="00EA4A56" w:rsidRDefault="00AF0131" w:rsidP="00AF0131"/>
    <w:bookmarkEnd w:id="1"/>
    <w:p w:rsidR="00AF0131" w:rsidRPr="00EA4A56" w:rsidRDefault="00AF0131" w:rsidP="00AF0131">
      <w:pPr>
        <w:sectPr w:rsidR="00AF0131" w:rsidRPr="00EA4A56" w:rsidSect="00EA4A56">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rsidR="00AF0131" w:rsidRPr="00EA4A56" w:rsidRDefault="00EA4A56" w:rsidP="00AF0131">
      <w:pPr>
        <w:pStyle w:val="PageHeadingNotTOC"/>
      </w:pPr>
      <w:bookmarkStart w:id="3" w:name="RollCallPageAD"/>
      <w:r w:rsidRPr="00EA4A56">
        <w:lastRenderedPageBreak/>
        <w:t>VOTACIÓN FINAL NOMINAL</w:t>
      </w:r>
      <w:r w:rsidRPr="00EA4A56">
        <w:br/>
      </w:r>
      <w:r w:rsidR="006F2CA5" w:rsidRPr="00EA4A56">
        <w:t>EN LA COMISIÓN COMPETENTE PARA EMITIR OPINIÓN</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820E9E" w:rsidRPr="00EA4A56" w:rsidTr="00C33FBD">
        <w:trPr>
          <w:cantSplit/>
        </w:trPr>
        <w:tc>
          <w:tcPr>
            <w:tcW w:w="1701" w:type="dxa"/>
            <w:shd w:val="pct10" w:color="000000" w:fill="FFFFFF"/>
            <w:vAlign w:val="center"/>
          </w:tcPr>
          <w:p w:rsidR="00AF0131" w:rsidRPr="00EA4A56" w:rsidRDefault="006F2CA5" w:rsidP="00C33FBD">
            <w:pPr>
              <w:pStyle w:val="RollCallVotes"/>
            </w:pPr>
            <w:r w:rsidRPr="00EA4A56">
              <w:t>29</w:t>
            </w:r>
          </w:p>
        </w:tc>
        <w:tc>
          <w:tcPr>
            <w:tcW w:w="7371" w:type="dxa"/>
            <w:shd w:val="pct10" w:color="000000" w:fill="FFFFFF"/>
          </w:tcPr>
          <w:p w:rsidR="00AF0131" w:rsidRPr="00EA4A56" w:rsidRDefault="006F2CA5" w:rsidP="00C33FBD">
            <w:pPr>
              <w:pStyle w:val="RollCallSymbols14pt"/>
            </w:pPr>
            <w:r w:rsidRPr="00EA4A56">
              <w:t>+</w:t>
            </w:r>
          </w:p>
        </w:tc>
      </w:tr>
      <w:tr w:rsidR="00820E9E" w:rsidRPr="00EA4A56" w:rsidTr="00C33FBD">
        <w:trPr>
          <w:cantSplit/>
        </w:trPr>
        <w:tc>
          <w:tcPr>
            <w:tcW w:w="1701" w:type="dxa"/>
            <w:shd w:val="clear" w:color="auto" w:fill="FFFFFF"/>
          </w:tcPr>
          <w:p w:rsidR="00AF0131" w:rsidRPr="00EA4A56" w:rsidRDefault="006F2CA5" w:rsidP="00C33FBD">
            <w:pPr>
              <w:pStyle w:val="RollCallTable"/>
            </w:pPr>
            <w:r w:rsidRPr="00EA4A56">
              <w:t>PPE</w:t>
            </w:r>
          </w:p>
        </w:tc>
        <w:tc>
          <w:tcPr>
            <w:tcW w:w="7371" w:type="dxa"/>
            <w:shd w:val="clear" w:color="auto" w:fill="FFFFFF"/>
          </w:tcPr>
          <w:p w:rsidR="00AF0131" w:rsidRPr="00EA4A56" w:rsidRDefault="006F2CA5" w:rsidP="00C33FBD">
            <w:pPr>
              <w:pStyle w:val="RollCallTable"/>
            </w:pPr>
            <w:r w:rsidRPr="00EA4A56">
              <w:t xml:space="preserve">David Casa, Loucas Fourlas, </w:t>
            </w:r>
            <w:r w:rsidRPr="00EA4A56">
              <w:t>Cindy Franssen, Stelios Kympouropoulos, Sirpa Pietikäinen, Maria Walsh</w:t>
            </w:r>
          </w:p>
        </w:tc>
      </w:tr>
      <w:tr w:rsidR="00820E9E" w:rsidRPr="00EA4A56" w:rsidTr="00C33FBD">
        <w:trPr>
          <w:cantSplit/>
        </w:trPr>
        <w:tc>
          <w:tcPr>
            <w:tcW w:w="1701" w:type="dxa"/>
            <w:shd w:val="clear" w:color="auto" w:fill="FFFFFF"/>
          </w:tcPr>
          <w:p w:rsidR="00AF0131" w:rsidRPr="00EA4A56" w:rsidRDefault="006F2CA5" w:rsidP="00C33FBD">
            <w:pPr>
              <w:pStyle w:val="RollCallTable"/>
            </w:pPr>
            <w:r w:rsidRPr="00EA4A56">
              <w:t>Renew</w:t>
            </w:r>
          </w:p>
        </w:tc>
        <w:tc>
          <w:tcPr>
            <w:tcW w:w="7371" w:type="dxa"/>
            <w:shd w:val="clear" w:color="auto" w:fill="FFFFFF"/>
          </w:tcPr>
          <w:p w:rsidR="00AF0131" w:rsidRPr="00EA4A56" w:rsidRDefault="006F2CA5" w:rsidP="00C33FBD">
            <w:pPr>
              <w:pStyle w:val="RollCallTable"/>
            </w:pPr>
            <w:r w:rsidRPr="00EA4A56">
              <w:t>Jordi Cañas, Lucia Ďuriš Nicholsonová, Max Orville, Dragoş Pîslaru, Monica Semedo</w:t>
            </w:r>
          </w:p>
        </w:tc>
      </w:tr>
      <w:tr w:rsidR="00820E9E" w:rsidRPr="00EA4A56" w:rsidTr="00C33FBD">
        <w:trPr>
          <w:cantSplit/>
        </w:trPr>
        <w:tc>
          <w:tcPr>
            <w:tcW w:w="1701" w:type="dxa"/>
            <w:shd w:val="clear" w:color="auto" w:fill="FFFFFF"/>
          </w:tcPr>
          <w:p w:rsidR="00AF0131" w:rsidRPr="00EA4A56" w:rsidRDefault="006F2CA5" w:rsidP="00C33FBD">
            <w:pPr>
              <w:pStyle w:val="RollCallTable"/>
            </w:pPr>
            <w:r w:rsidRPr="00EA4A56">
              <w:t>S&amp;D</w:t>
            </w:r>
          </w:p>
        </w:tc>
        <w:tc>
          <w:tcPr>
            <w:tcW w:w="7371" w:type="dxa"/>
            <w:shd w:val="clear" w:color="auto" w:fill="FFFFFF"/>
          </w:tcPr>
          <w:p w:rsidR="00AF0131" w:rsidRPr="00EA4A56" w:rsidRDefault="006F2CA5" w:rsidP="00C33FBD">
            <w:pPr>
              <w:pStyle w:val="RollCallTable"/>
            </w:pPr>
            <w:r w:rsidRPr="00EA4A56">
              <w:t xml:space="preserve">João Albuquerque, Marc Angel, Gabriele Bischoff, Milan Brglez, Klára Dobrev, Estrella Durá </w:t>
            </w:r>
            <w:r w:rsidRPr="00EA4A56">
              <w:t>Ferrandis, Elisabetta Gualmini, Alicia Homs Ginel, Agnes Jongerius, Aurore Lalucq, Daniela Rondinelli, Marianne Vind</w:t>
            </w:r>
          </w:p>
        </w:tc>
      </w:tr>
      <w:tr w:rsidR="00820E9E" w:rsidRPr="00EA4A56" w:rsidTr="00C33FBD">
        <w:trPr>
          <w:cantSplit/>
        </w:trPr>
        <w:tc>
          <w:tcPr>
            <w:tcW w:w="1701" w:type="dxa"/>
            <w:shd w:val="clear" w:color="auto" w:fill="FFFFFF"/>
          </w:tcPr>
          <w:p w:rsidR="00AF0131" w:rsidRPr="00EA4A56" w:rsidRDefault="006F2CA5" w:rsidP="00C33FBD">
            <w:pPr>
              <w:pStyle w:val="RollCallTable"/>
            </w:pPr>
            <w:r w:rsidRPr="00EA4A56">
              <w:t>The Left</w:t>
            </w:r>
          </w:p>
        </w:tc>
        <w:tc>
          <w:tcPr>
            <w:tcW w:w="7371" w:type="dxa"/>
            <w:shd w:val="clear" w:color="auto" w:fill="FFFFFF"/>
          </w:tcPr>
          <w:p w:rsidR="00AF0131" w:rsidRPr="00EA4A56" w:rsidRDefault="006F2CA5" w:rsidP="00C33FBD">
            <w:pPr>
              <w:pStyle w:val="RollCallTable"/>
            </w:pPr>
            <w:r w:rsidRPr="00EA4A56">
              <w:t>Eugenia Rodríguez Palop, Nikolaj Villumsen</w:t>
            </w:r>
          </w:p>
        </w:tc>
      </w:tr>
      <w:tr w:rsidR="00820E9E" w:rsidRPr="00EA4A56" w:rsidTr="00C33FBD">
        <w:trPr>
          <w:cantSplit/>
        </w:trPr>
        <w:tc>
          <w:tcPr>
            <w:tcW w:w="1701" w:type="dxa"/>
            <w:shd w:val="clear" w:color="auto" w:fill="FFFFFF"/>
          </w:tcPr>
          <w:p w:rsidR="00AF0131" w:rsidRPr="00EA4A56" w:rsidRDefault="006F2CA5" w:rsidP="00C33FBD">
            <w:pPr>
              <w:pStyle w:val="RollCallTable"/>
            </w:pPr>
            <w:r w:rsidRPr="00EA4A56">
              <w:t>Verts/ALE</w:t>
            </w:r>
          </w:p>
        </w:tc>
        <w:tc>
          <w:tcPr>
            <w:tcW w:w="7371" w:type="dxa"/>
            <w:shd w:val="clear" w:color="auto" w:fill="FFFFFF"/>
          </w:tcPr>
          <w:p w:rsidR="00AF0131" w:rsidRPr="00EA4A56" w:rsidRDefault="006F2CA5" w:rsidP="00C33FBD">
            <w:pPr>
              <w:pStyle w:val="RollCallTable"/>
            </w:pPr>
            <w:r w:rsidRPr="00EA4A56">
              <w:t>Katrin Langensiepen, Sara Matthieu, Kira Marie Peter-Hansen, Caroline Roose</w:t>
            </w:r>
          </w:p>
        </w:tc>
      </w:tr>
    </w:tbl>
    <w:p w:rsidR="00AF0131" w:rsidRPr="00EA4A56" w:rsidRDefault="00AF0131" w:rsidP="00AF0131"/>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820E9E" w:rsidRPr="00EA4A56" w:rsidTr="00C33FBD">
        <w:trPr>
          <w:cantSplit/>
        </w:trPr>
        <w:tc>
          <w:tcPr>
            <w:tcW w:w="1701" w:type="dxa"/>
            <w:shd w:val="pct10" w:color="000000" w:fill="FFFFFF"/>
            <w:vAlign w:val="center"/>
          </w:tcPr>
          <w:p w:rsidR="00AF0131" w:rsidRPr="00EA4A56" w:rsidRDefault="006F2CA5" w:rsidP="00C33FBD">
            <w:pPr>
              <w:pStyle w:val="RollCallVotes"/>
            </w:pPr>
            <w:r w:rsidRPr="00EA4A56">
              <w:t>4</w:t>
            </w:r>
          </w:p>
        </w:tc>
        <w:tc>
          <w:tcPr>
            <w:tcW w:w="7371" w:type="dxa"/>
            <w:shd w:val="pct10" w:color="000000" w:fill="FFFFFF"/>
          </w:tcPr>
          <w:p w:rsidR="00AF0131" w:rsidRPr="00EA4A56" w:rsidRDefault="006F2CA5" w:rsidP="00C33FBD">
            <w:pPr>
              <w:pStyle w:val="RollCallSymbols14pt"/>
            </w:pPr>
            <w:r w:rsidRPr="00EA4A56">
              <w:t>-</w:t>
            </w:r>
          </w:p>
        </w:tc>
      </w:tr>
      <w:tr w:rsidR="00820E9E" w:rsidRPr="00EA4A56" w:rsidTr="00C33FBD">
        <w:trPr>
          <w:cantSplit/>
        </w:trPr>
        <w:tc>
          <w:tcPr>
            <w:tcW w:w="1701" w:type="dxa"/>
            <w:shd w:val="clear" w:color="auto" w:fill="FFFFFF"/>
          </w:tcPr>
          <w:p w:rsidR="00AF0131" w:rsidRPr="00EA4A56" w:rsidRDefault="006F2CA5" w:rsidP="00C33FBD">
            <w:pPr>
              <w:pStyle w:val="RollCallTable"/>
            </w:pPr>
            <w:r w:rsidRPr="00EA4A56">
              <w:t>ECR</w:t>
            </w:r>
          </w:p>
        </w:tc>
        <w:tc>
          <w:tcPr>
            <w:tcW w:w="7371" w:type="dxa"/>
            <w:shd w:val="clear" w:color="auto" w:fill="FFFFFF"/>
          </w:tcPr>
          <w:p w:rsidR="00AF0131" w:rsidRPr="00EA4A56" w:rsidRDefault="006F2CA5" w:rsidP="00C33FBD">
            <w:pPr>
              <w:pStyle w:val="RollCallTable"/>
            </w:pPr>
            <w:r w:rsidRPr="00EA4A56">
              <w:t>Margarita de la Pisa Carrión, Elżbieta Rafalska, Pirkko Ruohonen-Lerner</w:t>
            </w:r>
          </w:p>
        </w:tc>
      </w:tr>
      <w:tr w:rsidR="00820E9E" w:rsidRPr="00EA4A56" w:rsidTr="00C33FBD">
        <w:trPr>
          <w:cantSplit/>
        </w:trPr>
        <w:tc>
          <w:tcPr>
            <w:tcW w:w="1701" w:type="dxa"/>
            <w:shd w:val="clear" w:color="auto" w:fill="FFFFFF"/>
          </w:tcPr>
          <w:p w:rsidR="00AF0131" w:rsidRPr="00EA4A56" w:rsidRDefault="006F2CA5" w:rsidP="00C33FBD">
            <w:pPr>
              <w:pStyle w:val="RollCallTable"/>
            </w:pPr>
            <w:r w:rsidRPr="00EA4A56">
              <w:t>ID</w:t>
            </w:r>
          </w:p>
        </w:tc>
        <w:tc>
          <w:tcPr>
            <w:tcW w:w="7371" w:type="dxa"/>
            <w:shd w:val="clear" w:color="auto" w:fill="FFFFFF"/>
          </w:tcPr>
          <w:p w:rsidR="00AF0131" w:rsidRPr="00EA4A56" w:rsidRDefault="006F2CA5" w:rsidP="00C33FBD">
            <w:pPr>
              <w:pStyle w:val="RollCallTable"/>
            </w:pPr>
            <w:r w:rsidRPr="00EA4A56">
              <w:t>Dominique Bilde</w:t>
            </w:r>
          </w:p>
        </w:tc>
      </w:tr>
    </w:tbl>
    <w:p w:rsidR="00AF0131" w:rsidRPr="00EA4A56" w:rsidRDefault="00AF0131" w:rsidP="00AF0131"/>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820E9E" w:rsidRPr="00EA4A56" w:rsidTr="00C33FBD">
        <w:trPr>
          <w:cantSplit/>
        </w:trPr>
        <w:tc>
          <w:tcPr>
            <w:tcW w:w="1701" w:type="dxa"/>
            <w:shd w:val="pct10" w:color="000000" w:fill="FFFFFF"/>
            <w:vAlign w:val="center"/>
          </w:tcPr>
          <w:p w:rsidR="00AF0131" w:rsidRPr="00EA4A56" w:rsidRDefault="006F2CA5" w:rsidP="00C33FBD">
            <w:pPr>
              <w:pStyle w:val="RollCallVotes"/>
            </w:pPr>
            <w:r w:rsidRPr="00EA4A56">
              <w:t>10</w:t>
            </w:r>
          </w:p>
        </w:tc>
        <w:tc>
          <w:tcPr>
            <w:tcW w:w="7371" w:type="dxa"/>
            <w:shd w:val="pct10" w:color="000000" w:fill="FFFFFF"/>
          </w:tcPr>
          <w:p w:rsidR="00AF0131" w:rsidRPr="00EA4A56" w:rsidRDefault="006F2CA5" w:rsidP="00C33FBD">
            <w:pPr>
              <w:pStyle w:val="RollCallSymbols14pt"/>
            </w:pPr>
            <w:r w:rsidRPr="00EA4A56">
              <w:t>0</w:t>
            </w:r>
          </w:p>
        </w:tc>
      </w:tr>
      <w:tr w:rsidR="00820E9E" w:rsidRPr="00EA4A56" w:rsidTr="00C33FBD">
        <w:trPr>
          <w:cantSplit/>
        </w:trPr>
        <w:tc>
          <w:tcPr>
            <w:tcW w:w="1701" w:type="dxa"/>
            <w:shd w:val="clear" w:color="auto" w:fill="FFFFFF"/>
          </w:tcPr>
          <w:p w:rsidR="00AF0131" w:rsidRPr="00EA4A56" w:rsidRDefault="006F2CA5" w:rsidP="00C33FBD">
            <w:pPr>
              <w:pStyle w:val="RollCallTable"/>
            </w:pPr>
            <w:r w:rsidRPr="00EA4A56">
              <w:t>ECR</w:t>
            </w:r>
          </w:p>
        </w:tc>
        <w:tc>
          <w:tcPr>
            <w:tcW w:w="7371" w:type="dxa"/>
            <w:shd w:val="clear" w:color="auto" w:fill="FFFFFF"/>
          </w:tcPr>
          <w:p w:rsidR="00AF0131" w:rsidRPr="00EA4A56" w:rsidRDefault="006F2CA5" w:rsidP="00C33FBD">
            <w:pPr>
              <w:pStyle w:val="RollCallTable"/>
            </w:pPr>
            <w:r w:rsidRPr="00EA4A56">
              <w:t>Chiara Gemma</w:t>
            </w:r>
          </w:p>
        </w:tc>
      </w:tr>
      <w:tr w:rsidR="00820E9E" w:rsidRPr="00EA4A56" w:rsidTr="00C33FBD">
        <w:trPr>
          <w:cantSplit/>
        </w:trPr>
        <w:tc>
          <w:tcPr>
            <w:tcW w:w="1701" w:type="dxa"/>
            <w:shd w:val="clear" w:color="auto" w:fill="FFFFFF"/>
          </w:tcPr>
          <w:p w:rsidR="00AF0131" w:rsidRPr="00EA4A56" w:rsidRDefault="006F2CA5" w:rsidP="00C33FBD">
            <w:pPr>
              <w:pStyle w:val="RollCallTable"/>
            </w:pPr>
            <w:r w:rsidRPr="00EA4A56">
              <w:t>ID</w:t>
            </w:r>
          </w:p>
        </w:tc>
        <w:tc>
          <w:tcPr>
            <w:tcW w:w="7371" w:type="dxa"/>
            <w:shd w:val="clear" w:color="auto" w:fill="FFFFFF"/>
          </w:tcPr>
          <w:p w:rsidR="00AF0131" w:rsidRPr="00EA4A56" w:rsidRDefault="006F2CA5" w:rsidP="00C33FBD">
            <w:pPr>
              <w:pStyle w:val="RollCallTable"/>
            </w:pPr>
            <w:r w:rsidRPr="00EA4A56">
              <w:t>Elena Lizzi</w:t>
            </w:r>
          </w:p>
        </w:tc>
      </w:tr>
      <w:tr w:rsidR="00820E9E" w:rsidRPr="00EA4A56" w:rsidTr="00C33FBD">
        <w:trPr>
          <w:cantSplit/>
        </w:trPr>
        <w:tc>
          <w:tcPr>
            <w:tcW w:w="1701" w:type="dxa"/>
            <w:shd w:val="clear" w:color="auto" w:fill="FFFFFF"/>
          </w:tcPr>
          <w:p w:rsidR="00AF0131" w:rsidRPr="00EA4A56" w:rsidRDefault="006F2CA5" w:rsidP="00C33FBD">
            <w:pPr>
              <w:pStyle w:val="RollCallTable"/>
            </w:pPr>
            <w:r w:rsidRPr="00EA4A56">
              <w:t>PPE</w:t>
            </w:r>
          </w:p>
        </w:tc>
        <w:tc>
          <w:tcPr>
            <w:tcW w:w="7371" w:type="dxa"/>
            <w:shd w:val="clear" w:color="auto" w:fill="FFFFFF"/>
          </w:tcPr>
          <w:p w:rsidR="00AF0131" w:rsidRPr="00EA4A56" w:rsidRDefault="006F2CA5" w:rsidP="00C33FBD">
            <w:pPr>
              <w:pStyle w:val="RollCallTable"/>
            </w:pPr>
            <w:r w:rsidRPr="00EA4A56">
              <w:t xml:space="preserve">Alexander Alexandrov Yordanov, Jarosław Duda, Helmut Geuking, Miriam Lexmann, Romana Tomc, Tomáš </w:t>
            </w:r>
            <w:r w:rsidRPr="00EA4A56">
              <w:t>Zdechovský</w:t>
            </w:r>
          </w:p>
        </w:tc>
      </w:tr>
      <w:tr w:rsidR="00820E9E" w:rsidRPr="00EA4A56" w:rsidTr="00C33FBD">
        <w:trPr>
          <w:cantSplit/>
        </w:trPr>
        <w:tc>
          <w:tcPr>
            <w:tcW w:w="1701" w:type="dxa"/>
            <w:shd w:val="clear" w:color="auto" w:fill="FFFFFF"/>
          </w:tcPr>
          <w:p w:rsidR="00AF0131" w:rsidRPr="00EA4A56" w:rsidRDefault="006F2CA5" w:rsidP="00C33FBD">
            <w:pPr>
              <w:pStyle w:val="RollCallTable"/>
            </w:pPr>
            <w:r w:rsidRPr="00EA4A56">
              <w:t>S&amp;D</w:t>
            </w:r>
          </w:p>
        </w:tc>
        <w:tc>
          <w:tcPr>
            <w:tcW w:w="7371" w:type="dxa"/>
            <w:shd w:val="clear" w:color="auto" w:fill="FFFFFF"/>
          </w:tcPr>
          <w:p w:rsidR="00AF0131" w:rsidRPr="00EA4A56" w:rsidRDefault="006F2CA5" w:rsidP="00C33FBD">
            <w:pPr>
              <w:pStyle w:val="RollCallTable"/>
            </w:pPr>
            <w:r w:rsidRPr="00EA4A56">
              <w:t>Ilan De Basso</w:t>
            </w:r>
          </w:p>
        </w:tc>
      </w:tr>
      <w:tr w:rsidR="00820E9E" w:rsidRPr="00EA4A56" w:rsidTr="00C33FBD">
        <w:trPr>
          <w:cantSplit/>
        </w:trPr>
        <w:tc>
          <w:tcPr>
            <w:tcW w:w="1701" w:type="dxa"/>
            <w:shd w:val="clear" w:color="auto" w:fill="FFFFFF"/>
          </w:tcPr>
          <w:p w:rsidR="00AF0131" w:rsidRPr="00EA4A56" w:rsidRDefault="006F2CA5" w:rsidP="00C33FBD">
            <w:pPr>
              <w:pStyle w:val="RollCallTable"/>
            </w:pPr>
            <w:r w:rsidRPr="00EA4A56">
              <w:t>The Left</w:t>
            </w:r>
          </w:p>
        </w:tc>
        <w:tc>
          <w:tcPr>
            <w:tcW w:w="7371" w:type="dxa"/>
            <w:shd w:val="clear" w:color="auto" w:fill="FFFFFF"/>
          </w:tcPr>
          <w:p w:rsidR="00AF0131" w:rsidRPr="00EA4A56" w:rsidRDefault="006F2CA5" w:rsidP="00C33FBD">
            <w:pPr>
              <w:pStyle w:val="RollCallTable"/>
            </w:pPr>
            <w:r w:rsidRPr="00EA4A56">
              <w:t>Özlem Demirel</w:t>
            </w:r>
          </w:p>
        </w:tc>
      </w:tr>
    </w:tbl>
    <w:p w:rsidR="00AF0131" w:rsidRPr="00EA4A56" w:rsidRDefault="00AF0131" w:rsidP="00AF0131">
      <w:pPr>
        <w:pStyle w:val="Normal12a"/>
      </w:pPr>
    </w:p>
    <w:p w:rsidR="00AF0131" w:rsidRPr="00EA4A56" w:rsidRDefault="006F2CA5" w:rsidP="00AF0131">
      <w:r w:rsidRPr="00EA4A56">
        <w:t>Explicación de los símbolos utilizados</w:t>
      </w:r>
    </w:p>
    <w:p w:rsidR="00AF0131" w:rsidRPr="00EA4A56" w:rsidRDefault="006F2CA5" w:rsidP="00AF0131">
      <w:pPr>
        <w:pStyle w:val="RollCallTabs"/>
      </w:pPr>
      <w:r w:rsidRPr="00EA4A56">
        <w:t>+</w:t>
      </w:r>
      <w:r w:rsidRPr="00EA4A56">
        <w:tab/>
        <w:t>:</w:t>
      </w:r>
      <w:r w:rsidRPr="00EA4A56">
        <w:tab/>
        <w:t>a favor</w:t>
      </w:r>
    </w:p>
    <w:p w:rsidR="00AF0131" w:rsidRPr="00EA4A56" w:rsidRDefault="006F2CA5" w:rsidP="00AF0131">
      <w:pPr>
        <w:pStyle w:val="RollCallTabs"/>
      </w:pPr>
      <w:r w:rsidRPr="00EA4A56">
        <w:t>-</w:t>
      </w:r>
      <w:r w:rsidRPr="00EA4A56">
        <w:tab/>
        <w:t>:</w:t>
      </w:r>
      <w:r w:rsidRPr="00EA4A56">
        <w:tab/>
        <w:t>en contra</w:t>
      </w:r>
    </w:p>
    <w:p w:rsidR="00AF0131" w:rsidRPr="00EA4A56" w:rsidRDefault="006F2CA5" w:rsidP="00AF0131">
      <w:pPr>
        <w:pStyle w:val="RollCallTabs"/>
      </w:pPr>
      <w:r w:rsidRPr="00EA4A56">
        <w:t>0</w:t>
      </w:r>
      <w:r w:rsidRPr="00EA4A56">
        <w:tab/>
        <w:t>:</w:t>
      </w:r>
      <w:r w:rsidRPr="00EA4A56">
        <w:tab/>
        <w:t>abstenciones</w:t>
      </w:r>
    </w:p>
    <w:p w:rsidR="00AF0131" w:rsidRPr="00EA4A56" w:rsidRDefault="00AF0131" w:rsidP="00AF0131"/>
    <w:bookmarkEnd w:id="3"/>
    <w:p w:rsidR="00AF0131" w:rsidRPr="00EA4A56" w:rsidRDefault="00AF0131" w:rsidP="00AF0131"/>
    <w:p w:rsidR="00DB56E4" w:rsidRPr="00EA4A56" w:rsidRDefault="00DB56E4" w:rsidP="00AF0131">
      <w:pPr>
        <w:pStyle w:val="CoverReference"/>
      </w:pPr>
    </w:p>
    <w:sectPr w:rsidR="00DB56E4" w:rsidRPr="00EA4A56" w:rsidSect="00C56375">
      <w:headerReference w:type="even" r:id="rId14"/>
      <w:headerReference w:type="default" r:id="rId15"/>
      <w:headerReference w:type="first" r:id="rId16"/>
      <w:footerReference w:type="first" r:id="rId17"/>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EA4A56" w:rsidRDefault="006F2CA5">
      <w:r w:rsidRPr="00EA4A56">
        <w:separator/>
      </w:r>
    </w:p>
  </w:endnote>
  <w:endnote w:type="continuationSeparator" w:id="0">
    <w:p w:rsidR="00000000" w:rsidRPr="00EA4A56" w:rsidRDefault="006F2CA5">
      <w:r w:rsidRPr="00EA4A5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0000000"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4A56" w:rsidRPr="00EA4A56" w:rsidRDefault="00EA4A56" w:rsidP="00EA4A56">
    <w:pPr>
      <w:pStyle w:val="EPFooter"/>
    </w:pPr>
    <w:r w:rsidRPr="00EA4A56">
      <w:t>PE</w:t>
    </w:r>
    <w:r w:rsidRPr="00EA4A56">
      <w:rPr>
        <w:rStyle w:val="HideTWBExt"/>
      </w:rPr>
      <w:t>&lt;NoPE&gt;</w:t>
    </w:r>
    <w:r w:rsidRPr="00EA4A56">
      <w:t>752.621</w:t>
    </w:r>
    <w:r w:rsidRPr="00EA4A56">
      <w:rPr>
        <w:rStyle w:val="HideTWBExt"/>
      </w:rPr>
      <w:t>&lt;/NoPE&gt;&lt;Version&gt;</w:t>
    </w:r>
    <w:r w:rsidRPr="00EA4A56">
      <w:t>v02-00</w:t>
    </w:r>
    <w:r w:rsidRPr="00EA4A56">
      <w:rPr>
        <w:rStyle w:val="HideTWBExt"/>
      </w:rPr>
      <w:t>&lt;/Version&gt;</w:t>
    </w:r>
    <w:r w:rsidRPr="00EA4A56">
      <w:tab/>
    </w:r>
    <w:r w:rsidRPr="00EA4A56">
      <w:fldChar w:fldCharType="begin"/>
    </w:r>
    <w:r w:rsidRPr="00EA4A56">
      <w:instrText xml:space="preserve"> PAGE  \* MERGEFORMAT </w:instrText>
    </w:r>
    <w:r w:rsidRPr="00EA4A56">
      <w:fldChar w:fldCharType="separate"/>
    </w:r>
    <w:r w:rsidR="006F2CA5">
      <w:rPr>
        <w:noProof/>
      </w:rPr>
      <w:t>28</w:t>
    </w:r>
    <w:r w:rsidRPr="00EA4A56">
      <w:fldChar w:fldCharType="end"/>
    </w:r>
    <w:r w:rsidRPr="00EA4A56">
      <w:t>/</w:t>
    </w:r>
    <w:fldSimple w:instr=" NUMPAGES  \* MERGEFORMAT ">
      <w:r w:rsidR="006F2CA5">
        <w:rPr>
          <w:noProof/>
        </w:rPr>
        <w:t>29</w:t>
      </w:r>
    </w:fldSimple>
    <w:r w:rsidRPr="00EA4A56">
      <w:tab/>
    </w:r>
    <w:r w:rsidRPr="00EA4A56">
      <w:rPr>
        <w:rStyle w:val="HideTWBExt"/>
      </w:rPr>
      <w:t>&lt;PathFdR&gt;</w:t>
    </w:r>
    <w:r w:rsidRPr="00EA4A56">
      <w:t>AD\1288324ES.docx</w:t>
    </w:r>
    <w:r w:rsidRPr="00EA4A56">
      <w:rPr>
        <w:rStyle w:val="HideTWBExt"/>
      </w:rPr>
      <w:t>&lt;/PathFdR&gt;</w:t>
    </w:r>
  </w:p>
  <w:p w:rsidR="00AF0131" w:rsidRPr="00EA4A56" w:rsidRDefault="00EA4A56" w:rsidP="00EA4A56">
    <w:pPr>
      <w:pStyle w:val="EPFooter2"/>
    </w:pPr>
    <w:r w:rsidRPr="00EA4A56">
      <w:t>ES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4A56" w:rsidRPr="00EA4A56" w:rsidRDefault="00EA4A56" w:rsidP="00EA4A56">
    <w:pPr>
      <w:pStyle w:val="EPFooter"/>
    </w:pPr>
    <w:r w:rsidRPr="00EA4A56">
      <w:rPr>
        <w:rStyle w:val="HideTWBExt"/>
      </w:rPr>
      <w:t>&lt;PathFdR&gt;</w:t>
    </w:r>
    <w:r w:rsidRPr="00EA4A56">
      <w:t>AD\1288324ES.docx</w:t>
    </w:r>
    <w:r w:rsidRPr="00EA4A56">
      <w:rPr>
        <w:rStyle w:val="HideTWBExt"/>
      </w:rPr>
      <w:t>&lt;/PathFdR&gt;</w:t>
    </w:r>
    <w:r w:rsidRPr="00EA4A56">
      <w:tab/>
    </w:r>
    <w:r w:rsidRPr="00EA4A56">
      <w:fldChar w:fldCharType="begin"/>
    </w:r>
    <w:r w:rsidRPr="00EA4A56">
      <w:instrText xml:space="preserve"> PAGE  \* MERGEFORMAT </w:instrText>
    </w:r>
    <w:r w:rsidRPr="00EA4A56">
      <w:fldChar w:fldCharType="separate"/>
    </w:r>
    <w:r w:rsidR="006F2CA5">
      <w:rPr>
        <w:noProof/>
      </w:rPr>
      <w:t>27</w:t>
    </w:r>
    <w:r w:rsidRPr="00EA4A56">
      <w:fldChar w:fldCharType="end"/>
    </w:r>
    <w:r w:rsidRPr="00EA4A56">
      <w:t>/</w:t>
    </w:r>
    <w:fldSimple w:instr=" NUMPAGES  \* MERGEFORMAT ">
      <w:r w:rsidR="006F2CA5">
        <w:rPr>
          <w:noProof/>
        </w:rPr>
        <w:t>29</w:t>
      </w:r>
    </w:fldSimple>
    <w:r w:rsidRPr="00EA4A56">
      <w:tab/>
      <w:t>PE</w:t>
    </w:r>
    <w:r w:rsidRPr="00EA4A56">
      <w:rPr>
        <w:rStyle w:val="HideTWBExt"/>
      </w:rPr>
      <w:t>&lt;NoPE&gt;</w:t>
    </w:r>
    <w:r w:rsidRPr="00EA4A56">
      <w:t>752.621</w:t>
    </w:r>
    <w:r w:rsidRPr="00EA4A56">
      <w:rPr>
        <w:rStyle w:val="HideTWBExt"/>
      </w:rPr>
      <w:t>&lt;/NoPE&gt;&lt;Version&gt;</w:t>
    </w:r>
    <w:r w:rsidRPr="00EA4A56">
      <w:t>v02-00</w:t>
    </w:r>
    <w:r w:rsidRPr="00EA4A56">
      <w:rPr>
        <w:rStyle w:val="HideTWBExt"/>
      </w:rPr>
      <w:t>&lt;/Version&gt;</w:t>
    </w:r>
  </w:p>
  <w:p w:rsidR="00AF0131" w:rsidRPr="00EA4A56" w:rsidRDefault="00EA4A56" w:rsidP="00EA4A56">
    <w:pPr>
      <w:pStyle w:val="EPFooter2"/>
    </w:pPr>
    <w:r w:rsidRPr="00EA4A56">
      <w:tab/>
    </w:r>
    <w:r w:rsidRPr="00EA4A56">
      <w:tab/>
      <w:t>ES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4A56" w:rsidRPr="00EA4A56" w:rsidRDefault="00EA4A56" w:rsidP="00EA4A56">
    <w:pPr>
      <w:pStyle w:val="EPFooter"/>
    </w:pPr>
    <w:r w:rsidRPr="00EA4A56">
      <w:rPr>
        <w:rStyle w:val="HideTWBExt"/>
      </w:rPr>
      <w:t>&lt;PathFdR&gt;</w:t>
    </w:r>
    <w:r w:rsidRPr="00EA4A56">
      <w:t>AD\1288324ES.docx</w:t>
    </w:r>
    <w:r w:rsidRPr="00EA4A56">
      <w:rPr>
        <w:rStyle w:val="HideTWBExt"/>
      </w:rPr>
      <w:t>&lt;/PathFdR&gt;</w:t>
    </w:r>
    <w:r w:rsidRPr="00EA4A56">
      <w:tab/>
    </w:r>
    <w:r w:rsidRPr="00EA4A56">
      <w:tab/>
      <w:t>PE</w:t>
    </w:r>
    <w:r w:rsidRPr="00EA4A56">
      <w:rPr>
        <w:rStyle w:val="HideTWBExt"/>
      </w:rPr>
      <w:t>&lt;NoPE&gt;</w:t>
    </w:r>
    <w:r w:rsidRPr="00EA4A56">
      <w:t>752.621</w:t>
    </w:r>
    <w:r w:rsidRPr="00EA4A56">
      <w:rPr>
        <w:rStyle w:val="HideTWBExt"/>
      </w:rPr>
      <w:t>&lt;/NoPE&gt;&lt;Version&gt;</w:t>
    </w:r>
    <w:r w:rsidRPr="00EA4A56">
      <w:t>v02-00</w:t>
    </w:r>
    <w:r w:rsidRPr="00EA4A56">
      <w:rPr>
        <w:rStyle w:val="HideTWBExt"/>
      </w:rPr>
      <w:t>&lt;/Version&gt;</w:t>
    </w:r>
  </w:p>
  <w:p w:rsidR="00AF0131" w:rsidRPr="00EA4A56" w:rsidRDefault="00EA4A56" w:rsidP="00EA4A56">
    <w:pPr>
      <w:pStyle w:val="EPFooter2"/>
    </w:pPr>
    <w:r w:rsidRPr="00EA4A56">
      <w:t>ES</w:t>
    </w:r>
    <w:r w:rsidRPr="00EA4A56">
      <w:tab/>
    </w:r>
    <w:r w:rsidRPr="00EA4A56">
      <w:rPr>
        <w:b w:val="0"/>
        <w:i/>
        <w:color w:val="C0C0C0"/>
        <w:sz w:val="22"/>
      </w:rPr>
      <w:t>Unida en la diversidad</w:t>
    </w:r>
    <w:r w:rsidRPr="00EA4A56">
      <w:tab/>
      <w:t>ES</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8E0" w:rsidRPr="00EA4A56" w:rsidRDefault="006F2CA5" w:rsidP="002258E0">
    <w:pPr>
      <w:pStyle w:val="EPFooter"/>
    </w:pPr>
    <w:r w:rsidRPr="00EA4A56">
      <w:rPr>
        <w:rStyle w:val="HideTWBExt"/>
      </w:rPr>
      <w:t>&lt;PathFdR&gt;</w:t>
    </w:r>
    <w:r w:rsidRPr="00EA4A56">
      <w:t>AD\1288324EN.docx</w:t>
    </w:r>
    <w:r w:rsidRPr="00EA4A56">
      <w:rPr>
        <w:rStyle w:val="HideTWBExt"/>
      </w:rPr>
      <w:t>&lt;/PathFdR&gt;</w:t>
    </w:r>
    <w:r w:rsidRPr="00EA4A56">
      <w:tab/>
    </w:r>
    <w:r w:rsidRPr="00EA4A56">
      <w:tab/>
      <w:t>PE</w:t>
    </w:r>
    <w:r w:rsidRPr="00EA4A56">
      <w:rPr>
        <w:rStyle w:val="HideTWBExt"/>
      </w:rPr>
      <w:t>&lt;NoPE&gt;</w:t>
    </w:r>
    <w:r w:rsidRPr="00EA4A56">
      <w:t>752.621</w:t>
    </w:r>
    <w:r w:rsidRPr="00EA4A56">
      <w:rPr>
        <w:rStyle w:val="HideTWBExt"/>
      </w:rPr>
      <w:t>&lt;/NoPE&gt;&lt;Version&gt;</w:t>
    </w:r>
    <w:r w:rsidRPr="00EA4A56">
      <w:t>v02-00</w:t>
    </w:r>
    <w:r w:rsidRPr="00EA4A56">
      <w:rPr>
        <w:rStyle w:val="HideTWBExt"/>
      </w:rPr>
      <w:t>&lt;/Version&gt;</w:t>
    </w:r>
  </w:p>
  <w:p w:rsidR="001A7452" w:rsidRPr="00EA4A56" w:rsidRDefault="006F2CA5" w:rsidP="002258E0">
    <w:pPr>
      <w:pStyle w:val="EPFooter2"/>
    </w:pPr>
    <w:r w:rsidRPr="00EA4A56">
      <w:t>EN</w:t>
    </w:r>
    <w:r w:rsidRPr="00EA4A56">
      <w:tab/>
    </w:r>
    <w:r w:rsidRPr="00EA4A56">
      <w:rPr>
        <w:b w:val="0"/>
        <w:i/>
        <w:color w:val="C0C0C0"/>
        <w:sz w:val="22"/>
      </w:rPr>
      <w:t>United in diversity</w:t>
    </w:r>
    <w:r w:rsidRPr="00EA4A56">
      <w:tab/>
      <w:t>EN</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EA4A56" w:rsidRDefault="006F2CA5">
      <w:r w:rsidRPr="00EA4A56">
        <w:separator/>
      </w:r>
    </w:p>
  </w:footnote>
  <w:footnote w:type="continuationSeparator" w:id="0">
    <w:p w:rsidR="00000000" w:rsidRPr="00EA4A56" w:rsidRDefault="006F2CA5">
      <w:r w:rsidRPr="00EA4A5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2CA5" w:rsidRDefault="006F2C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2CA5" w:rsidRDefault="006F2CA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2CA5" w:rsidRDefault="006F2CA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8E0" w:rsidRPr="002258E0" w:rsidRDefault="002258E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8E0" w:rsidRPr="002258E0" w:rsidRDefault="002258E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8E0" w:rsidRPr="002258E0" w:rsidRDefault="002258E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rawingGridHorizontalSpacing w:val="12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2MNU" w:val=" 1"/>
    <w:docVar w:name="AMACTMNU" w:val=" 1"/>
    <w:docVar w:name="AMPLURMNU" w:val=" 2"/>
    <w:docVar w:name="CJMNU" w:val="1"/>
    <w:docVar w:name="CODEMNU" w:val=" 1"/>
    <w:docVar w:name="COM2KEY" w:val="ECON"/>
    <w:docVar w:name="COMKEY" w:val="EMPL"/>
    <w:docVar w:name="CopyToNetwork" w:val="-1"/>
    <w:docVar w:name="CVAR" w:val="1"/>
    <w:docVar w:name="DOCCODMNU" w:val=" 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460525 HideTWBExt;}}{\*\rsidtbl \rsid24658\rsid358857\rsid735077\rsid787282\rsid2892074\rsid3015627\rsid3622648\rsid4666813\rsid5708216\rsid6641733\rsid7553164\rsid8465581\rsid8681905_x000d__x000a_\rsid8724649\rsid9636012\rsid9862312\rsid11215221\rsid11370291\rsid11434737\rsid11607138\rsid11824949\rsid12154954\rsid13460525\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4}{\*\company European Parliament}{\nofcharsws38}{\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46052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01562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015627 \chftnsepc _x000d__x000a_\par }}{\*\aftnsep \ltrpar \pard\plain \ltrpar\ql \li0\ri0\widctlpar\wrapdefault\aspalpha\aspnum\faauto\adjustright\rin0\lin0\itap0 \rtlch\fcs1 \af0\afs20\alang1025 \ltrch\fcs0 \fs24\lang2057\langfe2057\cgrid\langnp2057\langfenp2057 {\rtlch\fcs1 \af0 _x000d__x000a_\ltrch\fcs0 \insrsid3015627 \chftnsep _x000d__x000a_\par }}{\*\aftnsepc \ltrpar \pard\plain \ltrpar\ql \li0\ri0\widctlpar\wrapdefault\aspalpha\aspnum\faauto\adjustright\rin0\lin0\itap0 \rtlch\fcs1 \af0\afs20\alang1025 \ltrch\fcs0 \fs24\lang2057\langfe2057\cgrid\langnp2057\langfenp2057 {\rtlch\fcs1 \af0 _x000d__x000a_\ltrch\fcs0 \insrsid301562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3460525 \rtlch\fcs1 \af0\afs20\alang1025 \ltrch\fcs0 \fs24\lang2057\langfe2057\cgrid\langnp2057\langfenp2057 {\rtlch\fcs1 \af0 \ltrch\fcs0 _x000d__x000a_\cs15\v\f1\fs20\cf9\insrsid13460525\charrsid15879488 {\*\bkmkstart EndA}&lt;&lt;&lt;}{\rtlch\fcs1 \af0 \ltrch\fcs0 \insrsid13460525\charrsid15879488 #@&gt;ZOTHAMA&lt;@#}{\rtlch\fcs1 \af0 \ltrch\fcs0 \cs15\v\f1\fs20\cf9\insrsid13460525\charrsid15879488 _x000d__x000a_&lt;/RepeatBlock-AmendA&gt;}{\rtlch\fcs1 \af0 \ltrch\fcs0 \insrsid13460525\charrsid15879488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4_x000d__x000a_77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837363 HideTWBExt;}}{\*\rsidtbl \rsid24658\rsid358857\rsid735077\rsid787282\rsid2892074\rsid3622648\rsid4666813\rsid5708216\rsid6641733\rsid7553164\rsid8465581\rsid8681905\rsid8724649_x000d__x000a_\rsid9636012\rsid9862312\rsid11215221\rsid11370291\rsid11434737\rsid11607138\rsid11824949\rsid12154954\rsid13334283\rsid14424199\rsid14837363\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3}{\*\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83736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33428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334283 \chftnsepc _x000d__x000a_\par }}{\*\aftnsep \ltrpar \pard\plain \ltrpar\ql \li0\ri0\widctlpar\wrapdefault\aspalpha\aspnum\faauto\adjustright\rin0\lin0\itap0 \rtlch\fcs1 \af0\afs20\alang1025 \ltrch\fcs0 \fs24\lang2057\langfe2057\cgrid\langnp2057\langfenp2057 {\rtlch\fcs1 \af0 _x000d__x000a_\ltrch\fcs0 \insrsid13334283 \chftnsep _x000d__x000a_\par }}{\*\aftnsepc \ltrpar \pard\plain \ltrpar\ql \li0\ri0\widctlpar\wrapdefault\aspalpha\aspnum\faauto\adjustright\rin0\lin0\itap0 \rtlch\fcs1 \af0\afs20\alang1025 \ltrch\fcs0 \fs24\lang2057\langfe2057\cgrid\langnp2057\langfenp2057 {\rtlch\fcs1 \af0 _x000d__x000a_\ltrch\fcs0 \insrsid1333428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837363\charrsid15879488 {\*\bkmkstart EndB}&lt;&lt;&lt;}{\rtlch\fcs1 \af0 \ltrch\fcs0 \insrsid14837363\charrsid15879488 #@&gt;ZOTHAMB&lt;@#}{\rtlch\fcs1 \af0 \ltrch\fcs0 \cs15\v\f1\fs20\cf9\insrsid14837363\charrsid15879488 _x000d__x000a_&lt;/RepeatBlock-AmendB&gt;}{\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de_x000d__x000a_e9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A" w:val="1"/>
    <w:docVar w:name="iNoAmendB" w:val="2"/>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757877 HideTWBExt;}{\s16\ql \li0\ri0\sa240\nowidctlpar\wrapdefault\aspalpha\aspnum\faauto\adjustright\rin0\lin0\itap0 \rtlch\fcs1 \af0\afs20\alang1025 \ltrch\fcs0 _x000d__x000a_\fs24\lang2057\langfe2057\cgrid\langnp2057\langfenp2057 \sbasedon0 \snext16 \spriority0 \styrsid10757877 Normal12a;}}{\*\rsidtbl \rsid24658\rsid358857\rsid735077\rsid787282\rsid2892074\rsid3372043\rsid3622648\rsid4666813\rsid5708216\rsid6641733_x000d__x000a_\rsid7553164\rsid8465581\rsid8681905\rsid8724649\rsid9636012\rsid9862312\rsid10757877\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7\dy4\hr11\min4}{\revtim\yr2019\mo7\dy4\hr11\min4}_x000d__x000a_{\version1}{\edmins0}{\nofpages1}{\nofwords3}{\nofchars19}{\*\company European Parliament}{\nofcharsws21}{\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75787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37204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372043 \chftnsepc _x000d__x000a_\par }}{\*\aftnsep \ltrpar \pard\plain \ltrpar\ql \li0\ri0\widctlpar\wrapdefault\aspalpha\aspnum\faauto\adjustright\rin0\lin0\itap0 \rtlch\fcs1 \af0\afs20\alang1025 \ltrch\fcs0 \fs24\lang2057\langfe2057\cgrid\langnp2057\langfenp2057 {\rtlch\fcs1 \af0 _x000d__x000a_\ltrch\fcs0 \insrsid3372043 \chftnsep _x000d__x000a_\par }}{\*\aftnsepc \ltrpar \pard\plain \ltrpar\ql \li0\ri0\widctlpar\wrapdefault\aspalpha\aspnum\faauto\adjustright\rin0\lin0\itap0 \rtlch\fcs1 \af0\afs20\alang1025 \ltrch\fcs0 \fs24\lang2057\langfe2057\cgrid\langnp2057\langfenp2057 {\rtlch\fcs1 \af0 _x000d__x000a_\ltrch\fcs0 \insrsid337204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sa240\nowidctlpar\wrapdefault\aspalpha\aspnum\faauto\adjustright\rin0\lin0\itap0\pararsid10757877 \rtlch\fcs1 \af0\afs20\alang1025 \ltrch\fcs0 \fs24\lang2057\langfe2057\cgrid\langnp2057\langfenp2057 {\rtlch\fcs1 \af0 \ltrch\fcs0 _x000d__x000a_\insrsid10757877 {\*\bkmkstart IntroA}_x000d__x000a_\par }\pard\plain \ltrpar\ql \li0\ri0\widctlpar\wrapdefault\aspalpha\aspnum\faauto\adjustright\rin0\lin0\itap0\pararsid10757877 \rtlch\fcs1 \af0\afs20\alang1025 \ltrch\fcs0 \fs24\lang2057\langfe2057\cgrid\langnp2057\langfenp2057 {\rtlch\fcs1 \af0 \ltrch\fcs0 _x000d__x000a_\cs15\v\f1\fs20\cf9\insrsid10757877\charrsid15879488 &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4_x000d__x000a_a876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332188 HideTWBExt;}}{\*\rsidtbl \rsid24658\rsid358857\rsid735077\rsid787282\rsid2892074\rsid3622648\rsid4666813\rsid5332188\rsid5708216\rsid6641733\rsid7553164\rsid8258893\rsid8465581_x000d__x000a_\rsid8681905\rsid8724649\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33218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82588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8258893 \chftnsepc _x000d__x000a_\par }}{\*\aftnsep \ltrpar \pard\plain \ltrpar\ql \li0\ri0\widctlpar\wrapdefault\aspalpha\aspnum\faauto\adjustright\rin0\lin0\itap0 \rtlch\fcs1 \af0\afs20\alang1025 \ltrch\fcs0 \fs24\lang2057\langfe2057\cgrid\langnp2057\langfenp2057 {\rtlch\fcs1 \af0 _x000d__x000a_\ltrch\fcs0 \insrsid8258893 \chftnsep _x000d__x000a_\par }}{\*\aftnsepc \ltrpar \pard\plain \ltrpar\ql \li0\ri0\widctlpar\wrapdefault\aspalpha\aspnum\faauto\adjustright\rin0\lin0\itap0 \rtlch\fcs1 \af0\afs20\alang1025 \ltrch\fcs0 \fs24\lang2057\langfe2057\cgrid\langnp2057\langfenp2057 {\rtlch\fcs1 \af0 _x000d__x000a_\ltrch\fcs0 \insrsid82588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5332188\charrsid15879488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31_x000d__x000a_11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peatBlock-AmendA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4\fbidi \froman\fcharset238\fprq2 Times New Roman CE;}{\f325\fbidi \froman\fcharset204\fprq2 Times New Roman Cyr;}_x000d__x000a_{\f327\fbidi \froman\fcharset161\fprq2 Times New Roman Greek;}{\f328\fbidi \froman\fcharset162\fprq2 Times New Roman Tur;}{\f329\fbidi \froman\fcharset177\fprq2 Times New Roman (Hebrew);}{\f330\fbidi \froman\fcharset178\fprq2 Times New Roman (Arabic);}_x000d__x000a_{\f331\fbidi \froman\fcharset186\fprq2 Times New Roman Baltic;}{\f332\fbidi \froman\fcharset163\fprq2 Times New Roman (Vietnamese);}{\f334\fbidi \fswiss\fcharset238\fprq2 Arial CE;}{\f335\fbidi \fswiss\fcharset204\fprq2 Arial Cyr;}_x000d__x000a_{\f337\fbidi \fswiss\fcharset161\fprq2 Arial Greek;}{\f338\fbidi \fswiss\fcharset162\fprq2 Arial Tur;}{\f339\fbidi \fswiss\fcharset177\fprq2 Arial (Hebrew);}{\f340\fbidi \fswiss\fcharset178\fprq2 Arial (Arabic);}_x000d__x000a_{\f341\fbidi \fswiss\fcharset186\fprq2 Arial Baltic;}{\f342\fbidi \fswiss\fcharset163\fprq2 Arial (Vietnamese);}{\f664\fbidi \froman\fcharset238\fprq2 Cambria Math CE;}{\f665\fbidi \froman\fcharset204\fprq2 Cambria Math Cyr;}_x000d__x000a_{\f667\fbidi \froman\fcharset161\fprq2 Cambria Math Greek;}{\f668\fbidi \froman\fcharset162\fprq2 Cambria Math Tur;}{\f671\fbidi \froman\fcharset186\fprq2 Cambria Math Baltic;}{\f67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2104921 HideTWBExt;}{_x000d__x000a_\s18\ql \li0\ri0\sa120\nowidctlpar\wrapdefault\aspalpha\aspnum\faauto\adjustright\rin0\lin0\itap0 \rtlch\fcs1 \af0\afs20\alang1025 \ltrch\fcs0 \fs24\lang2057\langfe2057\cgrid\langnp2057\langfenp2057 \sbasedon0 \snext18 \spriority0 \styrsid2104921 _x000d__x000a_Normal6a;}{\s19\ql \li0\ri0\nowidctlpar\wrapdefault\aspalpha\aspnum\faauto\adjustright\rin0\lin0\itap0 \rtlch\fcs1 \af0\afs20\alang1025 \ltrch\fcs0 \b\fs24\lang2057\langfe2057\cgrid\langnp2057\langfenp2057 \sbasedon0 \snext19 \spriority0 \styrsid2104921 _x000d__x000a_NormalBold;}{\*\cs20 \additive \v\f1\fs20\cf15 \spriority0 \styrsid2104921 HideTWBInt;}{\s21\qc \li0\ri0\sa240\nowidctlpar\wrapdefault\aspalpha\aspnum\faauto\adjustright\rin0\lin0\itap0 \rtlch\fcs1 \af0\afs20\alang1025 \ltrch\fcs0 _x000d__x000a_\i\fs24\lang2057\langfe2057\cgrid\langnp2057\langfenp2057 \sbasedon0 \snext21 \spriority0 \styrsid2104921 AmColumnHeading;}{\s22\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2 \spriority0 \styrsid2104921 AmNumberTabs;}{\s23\ql \li0\ri0\sb240\nowidctlpar\wrapdefault\aspalpha\aspnum\faauto\adjustright\rin0\lin0\itap0 \rtlch\fcs1 _x000d__x000a_\af0\afs20\alang1025 \ltrch\fcs0 \b\fs24\lang2057\langfe2057\cgrid\langnp2057\langfenp2057 \sbasedon0 \snext23 \spriority0 \styrsid2104921 NormalBold12b;}}{\*\rsidtbl \rsid24658\rsid223860\rsid735077\rsid1718133\rsid2104921\rsid2892074\rsid3565327_x000d__x000a_\rsid4666813\rsid6641733\rsid7823322\rsid9636012\rsid10377208\rsid11215221\rsid11549030\rsid11881958\rsid12154954\rsid14382809\rsid14424199\rsid15204470\rsid15285974\rsid15950462\rsid16324206\rsid16662270}{\mmathPr\mmathFont34\mbrkBin0\mbrkBinSub0_x000d__x000a_\msmallFrac0\mdispDef1\mlMargin0\mrMargin0\mdefJc1\mwrapIndent1440\mintLim0\mnaryLim1}{\info{\author KRIEG Milena}{\operator KRIEG Milena}{\creatim\yr2023\mo10\dy25\hr17\min9}{\revtim\yr2023\mo10\dy25\hr17\min9}{\version1}{\edmins0}{\nofpages1}_x000d__x000a_{\nofwords30}{\nofchars176}{\nofcharsws204}{\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2104921\newtblstyruls\nogrowautofit\usenormstyforlist\noindnmbrts\felnbrelev\nocxsptable\indrlsweleven\noafcnsttbl\afelev\utinl\hwelev\spltpgpar\notcvasp\notbrkcnstfrctbl\notvatxbx\krnprsnet\cachedcolbal _x000d__x000a_\nouicompat \fet0{\*\wgrffmtfilter 013f}\nofeaturethrottle1\ilfomacatclnup0{\*\template C:\\Users\\mkrieg\\AppData\\Local\\Temp\\Blank1.dotx}{\*\ftnsep \ltrpar \pard\plain \ltrpar_x000d__x000a_\ql \li0\ri0\widctlpar\wrapdefault\aspalpha\aspnum\faauto\adjustright\rin0\lin0\itap0 \rtlch\fcs1 \af0\afs20\alang1025 \ltrch\fcs0 \fs24\lang2057\langfe2057\cgrid\langnp2057\langfenp2057 {\rtlch\fcs1 \af0 \ltrch\fcs0 \insrsid11881958 \chftnsep _x000d__x000a_\par }}{\*\ftnsepc \ltrpar \pard\plain \ltrpar\ql \li0\ri0\widctlpar\wrapdefault\aspalpha\aspnum\faauto\adjustright\rin0\lin0\itap0 \rtlch\fcs1 \af0\afs20\alang1025 \ltrch\fcs0 \fs24\lang2057\langfe2057\cgrid\langnp2057\langfenp2057 {\rtlch\fcs1 \af0 _x000d__x000a_\ltrch\fcs0 \insrsid11881958 \chftnsepc _x000d__x000a_\par }}{\*\aftnsep \ltrpar \pard\plain \ltrpar\ql \li0\ri0\widctlpar\wrapdefault\aspalpha\aspnum\faauto\adjustright\rin0\lin0\itap0 \rtlch\fcs1 \af0\afs20\alang1025 \ltrch\fcs0 \fs24\lang2057\langfe2057\cgrid\langnp2057\langfenp2057 {\rtlch\fcs1 \af0 _x000d__x000a_\ltrch\fcs0 \insrsid11881958 \chftnsep _x000d__x000a_\par }}{\*\aftnsepc \ltrpar \pard\plain \ltrpar\ql \li0\ri0\widctlpar\wrapdefault\aspalpha\aspnum\faauto\adjustright\rin0\lin0\itap0 \rtlch\fcs1 \af0\afs20\alang1025 \ltrch\fcs0 \fs24\lang2057\langfe2057\cgrid\langnp2057\langfenp2057 {\rtlch\fcs1 \af0 _x000d__x000a_\ltrch\fcs0 \insrsid1188195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2\ql \li0\ri0\sb240\keepn\nowidctlpar_x000d__x000a_\tx879\tx936\tx1021\tx1077\tx1134\tx1191\tx1247\tx1304\tx1361\tx1418\tx1474\tx1531\tx1588\tx1644\tx1701\tx1758\tx1814\tx1871\tx2070\tx2126\tx3374\tx3430\wrapdefault\aspalpha\aspnum\faauto\adjustright\rin0\lin0\itap0\pararsid2104921 \rtlch\fcs1 _x000d__x000a_\af0\afs20\alang1025 \ltrch\fcs0 \b\fs24\lang2057\langfe2057\cgrid\langnp2057\langfenp2057 {\rtlch\fcs1 \af0 \ltrch\fcs0 \cs17\b0\v\fs20\cf9\lang1024\langfe1024\loch\af1\hich\af1\dbch\af31501\noproof\insrsid2104921\charrsid7612140 {\*\bkmkstart restartA}_x000d__x000a_\hich\af1\dbch\af31501\loch\f1 &lt;AmendA&gt;}{\rtlch\fcs1 \af0 \ltrch\fcs0 \insrsid2104921\charrsid7612140 Amendment\tab \tab }{\rtlch\fcs1 \af0 \ltrch\fcs0 _x000d__x000a_\cs17\b0\v\fs20\cf9\lang1024\langfe1024\loch\af1\hich\af1\dbch\af31501\noproof\insrsid2104921\charrsid7612140 \hich\af1\dbch\af31501\loch\f1 &lt;NumAmA&gt;}{\rtlch\fcs1 \af0 \ltrch\fcs0 \insrsid2104921\charrsid7612140 #}{\rtlch\fcs1 \af1 \ltrch\fcs0 _x000d__x000a_\cs20\v\f1\fs20\cf15\insrsid2104921\charrsid7612140 ENMIENDA@NRAM@}{\rtlch\fcs1 \af0 \ltrch\fcs0 \insrsid2104921\charrsid7612140 #}{\rtlch\fcs1 \af0 \ltrch\fcs0 _x000d__x000a_\cs17\b0\v\fs20\cf9\lang1024\langfe1024\loch\af1\hich\af1\dbch\af31501\noproof\insrsid2104921\charrsid7612140 \hich\af1\dbch\af31501\loch\f1 &lt;/NumAmA&gt;}{\rtlch\fcs1 \af0 \ltrch\fcs0 \insrsid2104921\charrsid7612140 _x000d__x000a_\par }\pard\plain \ltrpar\s23\ql \li0\ri0\sb240\keepn\nowidctlpar\wrapdefault\aspalpha\aspnum\faauto\adjustright\rin0\lin0\itap0\pararsid2104921 \rtlch\fcs1 \af0\afs20\alang1025 \ltrch\fcs0 \b\fs24\lang2057\langfe2057\cgrid\langnp2057\langfenp2057 {_x000d__x000a_\rtlch\fcs1 \af0 \ltrch\fcs0 \cs17\b0\v\fs20\cf9\lang1024\langfe1024\loch\af1\hich\af1\dbch\af31501\noproof\insrsid2104921\charrsid7612140 \hich\af1\dbch\af31501\loch\f1 &lt;DocAmend&gt;}{\rtlch\fcs1 \af0 \ltrch\fcs0 \insrsid2104921\charrsid7612140 _x000d__x000a_Draft legislative resolution}{\rtlch\fcs1 \af0 \ltrch\fcs0 \cs17\b0\v\fs20\cf9\lang1024\langfe1024\loch\af1\hich\af1\dbch\af31501\noproof\insrsid2104921\charrsid7612140 \hich\af1\dbch\af31501\loch\f1 &lt;/DocAmend&gt;}{\rtlch\fcs1 \af0 \ltrch\fcs0 _x000d__x000a_\insrsid2104921\charrsid7612140 _x000d__x000a_\par }\pard\plain \ltrpar\s19\ql \li0\ri0\nowidctlpar\wrapdefault\aspalpha\aspnum\faauto\adjustright\rin0\lin0\itap0\pararsid2104921 \rtlch\fcs1 \af0\afs20\alang1025 \ltrch\fcs0 \b\fs24\lang2057\langfe2057\cgrid\langnp2057\langfenp2057 {\rtlch\fcs1 \af0 _x000d__x000a_\ltrch\fcs0 \cs17\b0\v\fs20\cf9\lang1024\langfe1024\loch\af1\hich\af1\dbch\af31501\noproof\insrsid2104921\charrsid7612140 \hich\af1\dbch\af31501\loch\f1 &lt;Article&gt;}{\rtlch\fcs1 \af0 \ltrch\fcs0 \cf10\insrsid2104921\charrsid10711382 \u9668\'3f}{\rtlch\fcs1 _x000d__x000a_\af0 \ltrch\fcs0 \insrsid2104921\charrsid7612140 #}{\rtlch\fcs1 \af1 \ltrch\fcs0 \cs20\v\f1\fs20\cf15\insrsid2104921\charrsid7612140 TVTRESPART@RESPART@}{\rtlch\fcs1 \af0 \ltrch\fcs0 \insrsid2104921\charrsid7612140 #}{\rtlch\fcs1 \af0 \ltrch\fcs0 _x000d__x000a_\cf10\insrsid2104921\charrsid10711382 \u9658\'3f}{\rtlch\fcs1 \af0 \ltrch\fcs0 \cs17\b0\v\fs20\cf9\lang1024\langfe1024\loch\af1\hich\af1\dbch\af31501\noproof\insrsid2104921\charrsid7612140 \hich\af1\dbch\af31501\loch\f1 &lt;/Article&gt;}{\rtlch\fcs1 \af0 _x000d__x000a_\ltrch\fcs0 \insrsid2104921\charrsid7612140 _x000d__x000a_\par \ltrrow}\trowd \irow0\irowband0\ltrrow\ts11\trqc\trgaph340\trleft-340\trftsWidth1\trftsWidthB3\trpaddl340\trpaddr340\trpaddfl3\trpaddft3\trpaddfb3\trpaddfr3\tblrsid14374628\tblind0\tblindtype3 \clvertalt\clbrdrt\brdrtbl \clbrdrl\brdrtbl \clbrdrb\brdrtbl _x000d__x000a_\clbrdrr\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insrsid2104921\charrsid7612140 \cell }\pard \ltrpar\ql \li0\ri0\widctlpar\intbl\wrapdefault\aspalpha\aspnum\faauto\adjustright\rin0\lin0 {\rtlch\fcs1 \af0 \ltrch\fcs0 _x000d__x000a_\insrsid2104921\charrsid7612140 \trowd \irow0\irowband0\ltrrow\ts11\trqc\trgaph340\trleft-340\trftsWidth1\trftsWidthB3\trpaddl340\trpaddr340\trpaddfl3\trpaddft3\trpaddfb3\trpaddfr3\tblrsid14374628\tblind0\tblindtype3 \clvertalt\clbrdrt\brdrtbl \clbrdrl_x000d__x000a_\brdrtbl \clbrdrb\brdrtbl \clbrdrr\brdrtbl \cltxlrtb\clftsWidth3\clwWidth9752\clshdrawnil \cellx9412\row \ltrrow}\trowd \irow1\irowband1\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1\qc \li0\ri0\sa240\keepn\nowidctlpar\intbl\wrapdefault\aspalpha\aspnum\faauto\adjustright\rin0\lin0\pararsid14374628 \rtlch\fcs1 \af0\afs20\alang1025 \ltrch\fcs0 \i\fs24\lang2057\langfe2057\cgrid\langnp2057\langfenp2057 {\rtlch\fcs1 \af0 \ltrch\fcs0 _x000d__x000a_\insrsid2104921\charrsid7612140 Draft legislative resolution\cell Amendment\cell }\pard\plain \ltrpar\ql \li0\ri0\widctlpar\intbl\wrapdefault\aspalpha\aspnum\faauto\adjustright\rin0\lin0 \rtlch\fcs1 \af0\afs20\alang1025 \ltrch\fcs0 _x000d__x000a_\fs24\lang2057\langfe2057\cgrid\langnp2057\langfenp2057 {\rtlch\fcs1 \af0 \ltrch\fcs0 \insrsid2104921\charrsid7612140 \trowd \irow1\irowband1\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2104921\charrsid7612140 ##\cell ##}{\rtlch\fcs1 \af0\afs24 \ltrch\fcs0 \insrsid2104921\charrsid7612140 \cell }\pard\plain \ltrpar\ql \li0\ri0\widctlpar\intbl\wrapdefault\aspalpha\aspnum\faauto\adjustright\rin0\lin0 \rtlch\fcs1 _x000d__x000a_\af0\afs20\alang1025 \ltrch\fcs0 \fs24\lang2057\langfe2057\cgrid\langnp2057\langfenp2057 {\rtlch\fcs1 \af0 \ltrch\fcs0 \insrsid2104921\charrsid7612140 \trowd \irow2\irowband2\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2104921 {\rtlch\fcs1 \af0 \ltrch\fcs0 \cs17\v\fs20\cf9\lang1024\langfe1024\loch\af1\hich\af1\dbch\af31501\noproof\insrsid2104921\charrsid7612140 _x000d__x000a_\hich\af1\dbch\af31501\loch\f1 &lt;/AmendA&gt;}{\rtlch\fcs1 \af0 \ltrch\fcs0 \insrsid2104921\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60_x000d__x000a_4a3d5507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4\fbidi \froman\fcharset238\fprq2 Times New Roman CE;}{\f325\fbidi \froman\fcharset204\fprq2 Times New Roman Cyr;}_x000d__x000a_{\f327\fbidi \froman\fcharset161\fprq2 Times New Roman Greek;}{\f328\fbidi \froman\fcharset162\fprq2 Times New Roman Tur;}{\f329\fbidi \froman\fcharset177\fprq2 Times New Roman (Hebrew);}{\f330\fbidi \froman\fcharset178\fprq2 Times New Roman (Arabic);}_x000d__x000a_{\f331\fbidi \froman\fcharset186\fprq2 Times New Roman Baltic;}{\f332\fbidi \froman\fcharset163\fprq2 Times New Roman (Vietnamese);}{\f334\fbidi \fswiss\fcharset238\fprq2 Arial CE;}{\f335\fbidi \fswiss\fcharset204\fprq2 Arial Cyr;}_x000d__x000a_{\f337\fbidi \fswiss\fcharset161\fprq2 Arial Greek;}{\f338\fbidi \fswiss\fcharset162\fprq2 Arial Tur;}{\f339\fbidi \fswiss\fcharset177\fprq2 Arial (Hebrew);}{\f340\fbidi \fswiss\fcharset178\fprq2 Arial (Arabic);}_x000d__x000a_{\f341\fbidi \fswiss\fcharset186\fprq2 Arial Baltic;}{\f342\fbidi \fswiss\fcharset163\fprq2 Arial (Vietnamese);}{\f664\fbidi \froman\fcharset238\fprq2 Cambria Math CE;}{\f665\fbidi \froman\fcharset204\fprq2 Cambria Math Cyr;}_x000d__x000a_{\f667\fbidi \froman\fcharset161\fprq2 Cambria Math Greek;}{\f668\fbidi \froman\fcharset162\fprq2 Cambria Math Tur;}{\f671\fbidi \froman\fcharset186\fprq2 Cambria Math Baltic;}{\f67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5485513 HideTWBExt;}{_x000d__x000a_\s18\ql \li0\ri0\sa120\nowidctlpar\wrapdefault\aspalpha\aspnum\faauto\adjustright\rin0\lin0\itap0 \rtlch\fcs1 \af0\afs20\alang1025 \ltrch\fcs0 \fs24\lang2057\langfe2057\cgrid\langnp2057\langfenp2057 \sbasedon0 \snext18 \spriority0 \styrsid15485513 _x000d__x000a_Normal6a;}{\s19\ql \li0\ri0\nowidctlpar\wrapdefault\aspalpha\aspnum\faauto\adjustright\rin0\lin0\itap0 \rtlch\fcs1 \af0\afs20\alang1025 \ltrch\fcs0 \b\fs24\lang2057\langfe2057\cgrid\langnp2057\langfenp2057 \sbasedon0 \snext19 \spriority0 \styrsid15485513 _x000d__x000a_NormalBold;}{\s20\ql \li0\ri0\sa240\nowidctlpar\wrapdefault\aspalpha\aspnum\faauto\adjustright\rin0\lin0\itap0 \rtlch\fcs1 \af0\afs20\alang1025 \ltrch\fcs0 \i\fs24\lang2057\langfe2057\cgrid\langnp2057\langfenp2057 _x000d__x000a_\sbasedon0 \snext20 \spriority0 \styrsid15485513 AmJustText;}{\s21\qc \li0\ri0\sb240\sa240\nowidctlpar\wrapdefault\aspalpha\aspnum\faauto\adjustright\rin0\lin0\itap0 \rtlch\fcs1 \af0\afs20\alang1025 \ltrch\fcs0 _x000d__x000a_\i\fs24\lang2057\langfe2057\cgrid\langnp2057\langfenp2057 \sbasedon0 \snext21 \spriority0 \styrsid15485513 AmCrossRef;}{\*\cs22 \additive \v\f1\fs20\cf15 \spriority0 \styrsid15485513 HideTWBInt;}{_x000d__x000a_\s23\qc \li0\ri0\sb240\sa240\keepn\nowidctlpar\wrapdefault\aspalpha\aspnum\faauto\adjustright\rin0\lin0\itap0 \rtlch\fcs1 \af0\afs20\alang1025 \ltrch\fcs0 \i\fs24\lang2057\langfe2057\cgrid\langnp2057\langfenp2057 _x000d__x000a_\sbasedon0 \snext20 \spriority0 \styrsid15485513 AmJustTitle;}{\s24\qc \li0\ri0\sa240\nowidctlpar\wrapdefault\aspalpha\aspnum\faauto\adjustright\rin0\lin0\itap0 \rtlch\fcs1 \af0\afs20\alang1025 \ltrch\fcs0 _x000d__x000a_\i\fs24\lang2057\langfe2057\cgrid\langnp2057\langfenp2057 \sbasedon0 \snext24 \spriority0 \styrsid15485513 Am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15485513 AmNumberTabs;}{\s26\ql \li0\ri0\sb240\nowidctlpar\wrapdefault\aspalpha\aspnum\faauto\adjustright\rin0\lin0\itap0 \rtlch\fcs1 _x000d__x000a_\af0\afs20\alang1025 \ltrch\fcs0 \b\fs24\lang2057\langfe2057\cgrid\langnp2057\langfenp2057 \sbasedon0 \snext26 \spriority0 \styrsid15485513 NormalBold12b;}}{\*\rsidtbl \rsid24658\rsid223860\rsid735077\rsid1718133\rsid2892074\rsid3565327\rsid4666813_x000d__x000a_\rsid6641733\rsid7823322\rsid9636012\rsid10377208\rsid11215221\rsid11549030\rsid12154954\rsid14382809\rsid14424199\rsid15204470\rsid15285974\rsid15485513\rsid15667495\rsid15950462\rsid16324206\rsid16662270}{\mmathPr\mmathFont34\mbrkBin0\mbrkBinSub0_x000d__x000a_\msmallFrac0\mdispDef1\mlMargin0\mrMargin0\mdefJc1\mwrapIndent1440\mintLim0\mnaryLim1}{\info{\author KRIEG Milena}{\operator KRIEG Milena}{\creatim\yr2023\mo10\dy25\hr17\min9}{\revtim\yr2023\mo10\dy25\hr17\min9}{\version1}{\edmins0}{\nofpages1}_x000d__x000a_{\nofwords99}{\nofchars567}{\nofcharsws660}{\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5485513\newtblstyruls\nogrowautofit\usenormstyforlist\noindnmbrts\felnbrelev\nocxsptable\indrlsweleven\noafcnsttbl\afelev\utinl\hwelev\spltpgpar\notcvasp\notbrkcnstfrctbl\notvatxbx\krnprsnet\cachedcolbal _x000d__x000a_\nouicompat \fet0{\*\wgrffmtfilter 013f}\nofeaturethrottle1\ilfomacatclnup0{\*\template C:\\Users\\mkrieg\\AppData\\Local\\Temp\\Blank1.dotx}{\*\ftnsep \ltrpar \pard\plain \ltrpar_x000d__x000a_\ql \li0\ri0\widctlpar\wrapdefault\aspalpha\aspnum\faauto\adjustright\rin0\lin0\itap0 \rtlch\fcs1 \af0\afs20\alang1025 \ltrch\fcs0 \fs24\lang2057\langfe2057\cgrid\langnp2057\langfenp2057 {\rtlch\fcs1 \af0 \ltrch\fcs0 \insrsid15667495 \chftnsep _x000d__x000a_\par }}{\*\ftnsepc \ltrpar \pard\plain \ltrpar\ql \li0\ri0\widctlpar\wrapdefault\aspalpha\aspnum\faauto\adjustright\rin0\lin0\itap0 \rtlch\fcs1 \af0\afs20\alang1025 \ltrch\fcs0 \fs24\lang2057\langfe2057\cgrid\langnp2057\langfenp2057 {\rtlch\fcs1 \af0 _x000d__x000a_\ltrch\fcs0 \insrsid15667495 \chftnsepc _x000d__x000a_\par }}{\*\aftnsep \ltrpar \pard\plain \ltrpar\ql \li0\ri0\widctlpar\wrapdefault\aspalpha\aspnum\faauto\adjustright\rin0\lin0\itap0 \rtlch\fcs1 \af0\afs20\alang1025 \ltrch\fcs0 \fs24\lang2057\langfe2057\cgrid\langnp2057\langfenp2057 {\rtlch\fcs1 \af0 _x000d__x000a_\ltrch\fcs0 \insrsid15667495 \chftnsep _x000d__x000a_\par }}{\*\aftnsepc \ltrpar \pard\plain \ltrpar\ql \li0\ri0\widctlpar\wrapdefault\aspalpha\aspnum\faauto\adjustright\rin0\lin0\itap0 \rtlch\fcs1 \af0\afs20\alang1025 \ltrch\fcs0 \fs24\lang2057\langfe2057\cgrid\langnp2057\langfenp2057 {\rtlch\fcs1 \af0 _x000d__x000a_\ltrch\fcs0 \insrsid1566749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5\ql \li0\ri0\sb240\keepn\nowidctlpar_x000d__x000a_\tx879\tx936\tx1021\tx1077\tx1134\tx1191\tx1247\tx1304\tx1361\tx1418\tx1474\tx1531\tx1588\tx1644\tx1701\tx1758\tx1814\tx1871\tx2070\tx2126\tx3374\tx3430\wrapdefault\aspalpha\aspnum\faauto\adjustright\rin0\lin0\itap0\pararsid15485513 \rtlch\fcs1 _x000d__x000a_\af0\afs20\alang1025 \ltrch\fcs0 \b\fs24\lang2057\langfe2057\cgrid\langnp2057\langfenp2057 {\rtlch\fcs1 \af0 \ltrch\fcs0 \cs17\b0\v\fs20\cf9\lang1024\langfe1024\loch\af1\hich\af1\dbch\af31501\noproof\insrsid15485513\charrsid7612140 {\*\bkmkstart restartB}_x000d__x000a_\hich\af1\dbch\af31501\loch\f1 &lt;AmendB&gt;}{\rtlch\fcs1 \af0 \ltrch\fcs0 \insrsid15485513\charrsid7612140 Amendment\tab \tab }{\rtlch\fcs1 \af0 \ltrch\fcs0 _x000d__x000a_\cs17\b0\v\fs20\cf9\lang1024\langfe1024\loch\af1\hich\af1\dbch\af31501\noproof\insrsid15485513\charrsid7612140 \hich\af1\dbch\af31501\loch\f1 &lt;NumAmB&gt;}{\rtlch\fcs1 \af0 \ltrch\fcs0 \insrsid15485513\charrsid7612140 #}{\rtlch\fcs1 \af1 \ltrch\fcs0 _x000d__x000a_\cs22\v\f1\fs20\cf15\insrsid15485513\charrsid7612140 ENMIENDA@NRAM@}{\rtlch\fcs1 \af0 \ltrch\fcs0 \insrsid15485513\charrsid7612140 #}{\rtlch\fcs1 \af0 \ltrch\fcs0 _x000d__x000a_\cs17\b0\v\fs20\cf9\lang1024\langfe1024\loch\af1\hich\af1\dbch\af31501\noproof\insrsid15485513\charrsid7612140 \hich\af1\dbch\af31501\loch\f1 &lt;/NumAmB&gt;}{\rtlch\fcs1 \af0 \ltrch\fcs0 \insrsid15485513\charrsid7612140 _x000d__x000a_\par }\pard\plain \ltrpar\s26\ql \li0\ri0\sb240\keepn\nowidctlpar\wrapdefault\aspalpha\aspnum\faauto\adjustright\rin0\lin0\itap0\pararsid15485513 \rtlch\fcs1 \af0\afs20\alang1025 \ltrch\fcs0 \b\fs24\lang2057\langfe2057\cgrid\langnp2057\langfenp2057 {_x000d__x000a_\rtlch\fcs1 \af0 \ltrch\fcs0 \cs17\b0\v\fs20\cf9\lang1024\langfe1024\loch\af1\hich\af1\dbch\af31501\noproof\insrsid15485513\charrsid7612140 \hich\af1\dbch\af31501\loch\f1 &lt;DocAmend&gt;}{\rtlch\fcs1 \af0 \ltrch\fcs0 \insrsid15485513\charrsid7612140 #}{_x000d__x000a_\rtlch\fcs1 \af1 \ltrch\fcs0 \cs22\v\f1\fs20\cf15\insrsid15485513\charrsid7612140 MNU[OPTPROPOSALCOD][OPTPROPOSALCNS][OPTPROPOSALNLE][OPTPROPOSALINL]@CHOICE@CODEMNU}{\rtlch\fcs1 \af0 \ltrch\fcs0 \insrsid15485513\charrsid7612140 ##}{\rtlch\fcs1 \af1 _x000d__x000a_\ltrch\fcs0 \cs22\v\f1\fs20\cf15\insrsid15485513\charrsid7612140 MNU[AMACTYES][NOTAPP]@CHOICE@AMACTMNU}{\rtlch\fcs1 \af0 \ltrch\fcs0 \insrsid15485513\charrsid7612140 #}{\rtlch\fcs1 \af0 \ltrch\fcs0 _x000d__x000a_\cs17\b0\v\fs20\cf9\lang1024\langfe1024\loch\af1\hich\af1\dbch\af31501\noproof\insrsid15485513\charrsid7612140 \hich\af1\dbch\af31501\loch\f1 &lt;/DocAmend&gt;}{\rtlch\fcs1 \af0 \ltrch\fcs0 \insrsid15485513\charrsid7612140 _x000d__x000a_\par }\pard\plain \ltrpar\s19\ql \li0\ri0\keepn\nowidctlpar\wrapdefault\aspalpha\aspnum\faauto\adjustright\rin0\lin0\itap0\pararsid15485513 \rtlch\fcs1 \af0\afs20\alang1025 \ltrch\fcs0 \b\fs24\lang2057\langfe2057\cgrid\langnp2057\langfenp2057 {\rtlch\fcs1 _x000d__x000a_\af0 \ltrch\fcs0 \cs17\b0\v\fs20\cf9\lang1024\langfe1024\loch\af1\hich\af1\dbch\af31501\noproof\insrsid15485513\charrsid7612140 \hich\af1\dbch\af31501\loch\f1 &lt;Article&gt;}{\rtlch\fcs1 \af0 \ltrch\fcs0 \insrsid15485513\charrsid7612140 #}{\rtlch\fcs1 \af1 _x000d__x000a_\ltrch\fcs0 \cs22\v\f1\fs20\cf15\insrsid15485513\charrsid7612140 MNU[AMACTPARTYES][AMACTPARTNO]@CHOICE@AMACTMNU}{\rtlch\fcs1 \af0 \ltrch\fcs0 \insrsid15485513\charrsid7612140 #}{\rtlch\fcs1 \af0 \ltrch\fcs0 _x000d__x000a_\cs17\b0\v\fs20\cf9\lang1024\langfe1024\loch\af1\hich\af1\dbch\af31501\noproof\insrsid15485513\charrsid7612140 \hich\af1\dbch\af31501\loch\f1 &lt;/Article&gt;}{\rtlch\fcs1 \af0 \ltrch\fcs0 \insrsid15485513\charrsid7612140 _x000d__x000a_\par }\pard\plain \ltrpar\ql \li0\ri0\keepn\widctlpar\wrapdefault\aspalpha\aspnum\faauto\adjustright\rin0\lin0\itap0\pararsid15485513 \rtlch\fcs1 \af0\afs20\alang1025 \ltrch\fcs0 \fs24\lang2057\langfe2057\cgrid\langnp2057\langfenp2057 {\rtlch\fcs1 \af0 _x000d__x000a_\ltrch\fcs0 \cs17\v\fs20\cf9\lang1024\langfe1024\loch\af1\hich\af1\dbch\af31501\noproof\insrsid15485513\charrsid7612140 \hich\af1\dbch\af31501\loch\f1 &lt;DocAmend\hich\af1\dbch\af31501\loch\f1 2&gt;&lt;OptDel&gt;}{\rtlch\fcs1 \af0 \ltrch\fcs0 _x000d__x000a_\insrsid15485513\charrsid7612140 #}{\rtlch\fcs1 \af1 \ltrch\fcs0 \cs22\v\f1\fs20\cf15\insrsid15485513\charrsid7612140 MNU[OPTNRACTYES][NOTAPP]@CHOICE@AMACTMNU}{\rtlch\fcs1 \af0 \ltrch\fcs0 \insrsid15485513\charrsid7612140 #}{\rtlch\fcs1 \af0 \ltrch\fcs0 _x000d__x000a_\cs17\v\fs20\cf9\lang1024\langfe1024\loch\af1\hich\af1\dbch\af31501\noproof\insrsid15485513\charrsid7612140 \hich\af1\dbch\af31501\loch\f1 &lt;/OptDel&gt;&lt;/DocAmend2&gt;}{\rtlch\fcs1 \af0 \ltrch\fcs0 \insrsid15485513\charrsid7612140 _x000d__x000a_\par }\pard \ltrpar\ql \li0\ri0\widctlpar\wrapdefault\aspalpha\aspnum\faauto\adjustright\rin0\lin0\itap0\pararsid15485513 {\rtlch\fcs1 \af0 \ltrch\fcs0 \cs17\v\fs20\cf9\lang1024\langfe1024\loch\af1\hich\af1\dbch\af31501\noproof\insrsid15485513\charrsid7612140 _x000d__x000a_\hich\af1\dbch\af31501\loch\f1 &lt;Article2&gt;&lt;OptDel&gt;}{\rtlch\fcs1 \af0 \ltrch\fcs0 \insrsid15485513\charrsid7612140 #}{\rtlch\fcs1 \af1 \ltrch\fcs0 \cs22\v\f1\fs20\cf15\insrsid15485513\charrsid7612140 MNU[OPTACTPARTYES][NOTAPP]@CHOICE@AMACTMNU}{\rtlch\fcs1 _x000d__x000a_\af0 \ltrch\fcs0 \insrsid15485513\charrsid7612140 #}{\rtlch\fcs1 \af0 \ltrch\fcs0 \cs17\v\fs20\cf9\lang1024\langfe1024\loch\af1\hich\af1\dbch\af31501\noproof\insrsid15485513\charrsid7612140 \hich\af1\dbch\af31501\loch\f1 &lt;/OptDel&gt;&lt;/Article2&gt;}{\rtlch\fcs1 _x000d__x000a_\af0 \ltrch\fcs0 \insrsid15485513\charrsid7612140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insrsid15485513\charrsid7612140 \cell }\pard \ltrpar\ql \li0\ri0\widctlpar\intbl\wrapdefault\aspalpha\aspnum\faauto\adjustright\rin0\lin0 {\rtlch\fcs1 \af0 \ltrch\fcs0 \insrsid15485513\charrsid7612140 \trowd \irow0\irowband0\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4\qc \li0\ri0\sa240\keepn\nowidctlpar\intbl\wrapdefault\aspalpha\aspnum\faauto\adjustright\rin0\lin0\pararsid14374628 \rtlch\fcs1 \af0\afs20\alang1025 \ltrch\fcs0 \i\fs24\lang2057\langfe2057\cgrid\langnp2057\langfenp2057 {\rtlch\fcs1 \af0 \ltrch\fcs0 _x000d__x000a_\insrsid15485513\charrsid7612140 #}{\rtlch\fcs1 \af1 \ltrch\fcs0 \cs22\v\f1\fs20\cf15\insrsid15485513\charrsid7612140 MNU[OPTLEFTAMACT][LEFTPROP]@CHOICE@AMACTMNU}{\rtlch\fcs1 \af0 \ltrch\fcs0 \insrsid15485513\charrsid7612140 #\cell Amendment\cell _x000d__x000a_}\pard\plain \ltrpar\ql \li0\ri0\widctlpar\intbl\wrapdefault\aspalpha\aspnum\faauto\adjustright\rin0\lin0 \rtlch\fcs1 \af0\afs20\alang1025 \ltrch\fcs0 \fs24\lang2057\langfe2057\cgrid\langnp2057\langfenp2057 {\rtlch\fcs1 \af0 \ltrch\fcs0 _x000d__x000a_\insrsid15485513\charrsid7612140 \trowd \irow1\irowband1\ltrrow\ts11\trqc\trgaph340\trleft-340\trftsWidth3\trwWidth9752\trftsWidthB3\trpaddl340\trpaddr340\trpaddfl3\trpaddft3\trpaddfb3\trpaddfr3\tblrsid14374628\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row \ltrrow}\pard\plain \ltrpar\s18\ql \li0\ri0\sa120\nowidctlpar\intbl\wrapdefault\aspalpha\aspnum\faauto\adjustright\rin0\lin0\pararsid14374628 \rtlch\fcs1 \af0\afs20\alang1025 \ltrch\fcs0 \fs24\lang2057\langfe2057\cgrid\langnp2057\langfenp2057 {_x000d__x000a_\rtlch\fcs1 \af0 \ltrch\fcs0 \insrsid15485513\charrsid7612140 ##\cell ##}{\rtlch\fcs1 \af0\afs24 \ltrch\fcs0 \insrsid15485513\charrsid7612140 \cell }\pard\plain \ltrpar\ql \li0\ri0\widctlpar\intbl\wrapdefault\aspalpha\aspnum\faauto\adjustright\rin0\lin0 _x000d__x000a_\rtlch\fcs1 \af0\afs20\alang1025 \ltrch\fcs0 \fs24\lang2057\langfe2057\cgrid\langnp2057\langfenp2057 {\rtlch\fcs1 \af0 \ltrch\fcs0 \insrsid15485513\charrsid7612140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15485513 \rtlch\fcs1 \af0\afs20\alang1025 \ltrch\fcs0 \i\fs24\lang2057\langfe2057\cgrid\langnp2057\langfenp2057 {\rtlch\fcs1 \af0 \ltrch\fcs0 _x000d__x000a_\cs17\i0\v\fs20\cf9\lang1024\langfe1024\loch\af1\hich\af1\dbch\af31501\noproof\insrsid15485513\charrsid7612140 \hich\af1\dbch\af31501\loch\f1 &lt;OptDel&gt;}{\rtlch\fcs1 \af0 \ltrch\fcs0 \insrsid15485513\charrsid7612140 #}{\rtlch\fcs1 \af1 \ltrch\fcs0 _x000d__x000a_\cs22\v\f1\fs20\cf15\insrsid15485513\charrsid7612140 MNU[CROSSREFNO][CROSSREFYES]@CHOICE@}{\rtlch\fcs1 \af0 \ltrch\fcs0 \insrsid15485513\charrsid7612140 #}{\rtlch\fcs1 \af0 \ltrch\fcs0 _x000d__x000a_\cs17\i0\v\fs20\cf9\lang1024\langfe1024\loch\af1\hich\af1\dbch\af31501\noproof\insrsid15485513\charrsid7612140 \hich\af1\dbch\af31501\loch\f1 &lt;/OptDel&gt;}{\rtlch\fcs1 \af0 \ltrch\fcs0 \insrsid15485513\charrsid7612140 _x000d__x000a_\par }\pard\plain \ltrpar\s23\qc \li0\ri0\sb240\sa240\keepn\nowidctlpar\wrapdefault\aspalpha\aspnum\faauto\adjustright\rin0\lin0\itap0\pararsid15485513 \rtlch\fcs1 \af0\afs20\alang1025 \ltrch\fcs0 \i\fs24\lang2057\langfe2057\cgrid\langnp2057\langfenp2057 {_x000d__x000a_\rtlch\fcs1 \af0 \ltrch\fcs0 \cs17\i0\v\fs20\cf9\lang1024\langfe1024\loch\af1\hich\af1\dbch\af31501\noproof\insrsid15485513\charrsid7612140 \hich\af1\dbch\af31501\loch\f1 &lt;TitreJust&gt;}{\rtlch\fcs1 \af0 \ltrch\fcs0 \insrsid15485513\charrsid7612140 _x000d__x000a_Justification}{\rtlch\fcs1 \af0 \ltrch\fcs0 \cs17\i0\v\fs20\cf9\lang1024\langfe1024\loch\af1\hich\af1\dbch\af31501\noproof\insrsid15485513\charrsid7612140 \hich\af1\dbch\af31501\loch\f1 &lt;/TitreJust&gt;}{\rtlch\fcs1 \af0 \ltrch\fcs0 _x000d__x000a_\insrsid15485513\charrsid7612140 _x000d__x000a_\par }\pard\plain \ltrpar\s20\ql \li0\ri0\sa240\nowidctlpar\wrapdefault\aspalpha\aspnum\faauto\adjustright\rin0\lin0\itap0\pararsid15485513 \rtlch\fcs1 \af0\afs20\alang1025 \ltrch\fcs0 \i\fs24\lang2057\langfe2057\cgrid\langnp2057\langfenp2057 {\rtlch\fcs1 _x000d__x000a_\af0 \ltrch\fcs0 \cs17\i0\v\fs20\cf9\lang1024\langfe1024\loch\af1\hich\af1\dbch\af31501\noproof\insrsid15485513\charrsid7612140 \hich\af1\dbch\af31501\loch\f1 &lt;OptDelPrev&gt;}{\rtlch\fcs1 \af0 \ltrch\fcs0 \insrsid15485513\charrsid7612140 #}{\rtlch\fcs1 \af1 _x000d__x000a_\ltrch\fcs0 \cs22\v\f1\fs20\cf15\insrsid15485513\charrsid7612140 MNU[TEXTJUSTYES][TEXTJUSTNO]@CHOICE@}{\rtlch\fcs1 \af0 \ltrch\fcs0 \insrsid15485513\charrsid7612140 #}{\rtlch\fcs1 \af0 \ltrch\fcs0 _x000d__x000a_\cs17\i0\v\fs20\cf9\lang1024\langfe1024\loch\af1\hich\af1\dbch\af31501\noproof\insrsid15485513\charrsid7612140 \hich\af1\dbch\af31501\loch\f1 &lt;/OptDelPrev&gt;}{\rtlch\fcs1 \af0 \ltrch\fcs0 \insrsid15485513\charrsid7612140 _x000d__x000a_\par }\pard\plain \ltrpar\ql \li0\ri0\widctlpar\wrapdefault\aspalpha\aspnum\faauto\adjustright\rin0\lin0\itap0\pararsid15485513 \rtlch\fcs1 \af0\afs20\alang1025 \ltrch\fcs0 \fs24\lang2057\langfe2057\cgrid\langnp2057\langfenp2057 {\rtlch\fcs1 \af0 \ltrch\fcs0 _x000d__x000a_\cs17\v\fs20\cf9\lang1024\langfe1024\loch\af1\hich\af1\dbch\af31501\noproof\insrsid15485513\charrsid7612140 \hich\af1\dbch\af31501\loch\f1 &lt;/AmendB&gt;}{\rtlch\fcs1 \af0 \ltrch\fcs0 \insrsid15485513\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48_x000d__x000a_313f5507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4\fbidi \froman\fcharset238\fprq2 Times New Roman CE;}{\f325\fbidi \froman\fcharset204\fprq2 Times New Roman Cyr;}_x000d__x000a_{\f327\fbidi \froman\fcharset161\fprq2 Times New Roman Greek;}{\f328\fbidi \froman\fcharset162\fprq2 Times New Roman Tur;}{\f329\fbidi \froman\fcharset177\fprq2 Times New Roman (Hebrew);}{\f330\fbidi \froman\fcharset178\fprq2 Times New Roman (Arabic);}_x000d__x000a_{\f331\fbidi \froman\fcharset186\fprq2 Times New Roman Baltic;}{\f332\fbidi \froman\fcharset163\fprq2 Times New Roman (Vietnamese);}{\f334\fbidi \fswiss\fcharset238\fprq2 Arial CE;}{\f335\fbidi \fswiss\fcharset204\fprq2 Arial Cyr;}_x000d__x000a_{\f337\fbidi \fswiss\fcharset161\fprq2 Arial Greek;}{\f338\fbidi \fswiss\fcharset162\fprq2 Arial Tur;}{\f339\fbidi \fswiss\fcharset177\fprq2 Arial (Hebrew);}{\f340\fbidi \fswiss\fcharset178\fprq2 Arial (Arabic);}_x000d__x000a_{\f341\fbidi \fswiss\fcharset186\fprq2 Arial Baltic;}{\f342\fbidi \fswiss\fcharset163\fprq2 Arial (Vietnamese);}{\f664\fbidi \froman\fcharset238\fprq2 Cambria Math CE;}{\f665\fbidi \froman\fcharset204\fprq2 Cambria Math Cyr;}_x000d__x000a_{\f667\fbidi \froman\fcharset161\fprq2 Cambria Math Greek;}{\f668\fbidi \froman\fcharset162\fprq2 Cambria Math Tur;}{\f671\fbidi \froman\fcharset186\fprq2 Cambria Math Baltic;}{\f67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8473135 HideTWBExt;}{_x000d__x000a_\s18\ql \li0\ri0\sa120\nowidctlpar\wrapdefault\aspalpha\aspnum\faauto\adjustright\rin0\lin0\itap0 \rtlch\fcs1 \af0\afs20\alang1025 \ltrch\fcs0 \fs24\lang2057\langfe2057\cgrid\langnp2057\langfenp2057 \sbasedon0 \snext18 \spriority0 \styrsid8473135 _x000d__x000a_Normal6a;}{\s19\ql \li0\ri0\nowidctlpar\wrapdefault\aspalpha\aspnum\faauto\adjustright\rin0\lin0\itap0 \rtlch\fcs1 \af0\afs20\alang1025 \ltrch\fcs0 \b\fs24\lang2057\langfe2057\cgrid\langnp2057\langfenp2057 \sbasedon0 \snext19 \spriority0 \styrsid8473135 _x000d__x000a_NormalBold;}{\s20\qc \li0\ri0\sa240\nowidctlpar\wrapdefault\aspalpha\aspnum\faauto\adjustright\rin0\lin0\itap0 \rtlch\fcs1 \af0\afs20\alang1025 \ltrch\fcs0 \i\fs24\lang2057\langfe2057\cgrid\langnp2057\langfenp2057 _x000d__x000a_\sbasedon0 \snext20 \spriority0 \styrsid8473135 AmColumnHeading;}{\s21\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1 \spriority0 \styrsid8473135 AmNumberTabs;}{\s22\ql \li0\ri0\sb240\nowidctlpar\wrapdefault\aspalpha\aspnum\faauto\adjustright\rin0\lin0\itap0 \rtlch\fcs1 _x000d__x000a_\af0\afs20\alang1025 \ltrch\fcs0 \b\fs24\lang2057\langfe2057\cgrid\langnp2057\langfenp2057 \sbasedon0 \snext22 \spriority0 \styrsid8473135 NormalBold12b;}}{\*\rsidtbl \rsid24658\rsid223860\rsid735077\rsid1718133\rsid2892074\rsid3565327\rsid4666813_x000d__x000a_\rsid6641733\rsid7823322\rsid8473135\rsid9636012\rsid10377208\rsid11215221\rsid11549030\rsid12154954\rsid14382809\rsid14424199\rsid15204470\rsid15285974\rsid15335601\rsid15950462\rsid16324206\rsid16662270}{\mmathPr\mmathFont34\mbrkBin0\mbrkBinSub0_x000d__x000a_\msmallFrac0\mdispDef1\mlMargin0\mrMargin0\mdefJc1\mwrapIndent1440\mintLim0\mnaryLim1}{\info{\author KRIEG Milena}{\operator KRIEG Milena}{\creatim\yr2023\mo10\dy25\hr17\min9}{\revtim\yr2023\mo10\dy25\hr17\min9}{\version1}{\edmins0}{\nofpages1}_x000d__x000a_{\nofwords24}{\nofchars139}{\nofcharsws162}{\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8473135\newtblstyruls\nogrowautofit\usenormstyforlist\noindnmbrts\felnbrelev\nocxsptable\indrlsweleven\noafcnsttbl\afelev\utinl\hwelev\spltpgpar\notcvasp\notbrkcnstfrctbl\notvatxbx\krnprsnet\cachedcolbal _x000d__x000a_\nouicompat \fet0{\*\wgrffmtfilter 013f}\nofeaturethrottle1\ilfomacatclnup0{\*\template C:\\Users\\mkrieg\\AppData\\Local\\Temp\\Blank1.dotx}{\*\ftnsep \ltrpar \pard\plain \ltrpar_x000d__x000a_\ql \li0\ri0\widctlpar\wrapdefault\aspalpha\aspnum\faauto\adjustright\rin0\lin0\itap0 \rtlch\fcs1 \af0\afs20\alang1025 \ltrch\fcs0 \fs24\lang2057\langfe2057\cgrid\langnp2057\langfenp2057 {\rtlch\fcs1 \af0 \ltrch\fcs0 \insrsid15335601 \chftnsep _x000d__x000a_\par }}{\*\ftnsepc \ltrpar \pard\plain \ltrpar\ql \li0\ri0\widctlpar\wrapdefault\aspalpha\aspnum\faauto\adjustright\rin0\lin0\itap0 \rtlch\fcs1 \af0\afs20\alang1025 \ltrch\fcs0 \fs24\lang2057\langfe2057\cgrid\langnp2057\langfenp2057 {\rtlch\fcs1 \af0 _x000d__x000a_\ltrch\fcs0 \insrsid15335601 \chftnsepc _x000d__x000a_\par }}{\*\aftnsep \ltrpar \pard\plain \ltrpar\ql \li0\ri0\widctlpar\wrapdefault\aspalpha\aspnum\faauto\adjustright\rin0\lin0\itap0 \rtlch\fcs1 \af0\afs20\alang1025 \ltrch\fcs0 \fs24\lang2057\langfe2057\cgrid\langnp2057\langfenp2057 {\rtlch\fcs1 \af0 _x000d__x000a_\ltrch\fcs0 \insrsid15335601 \chftnsep _x000d__x000a_\par }}{\*\aftnsepc \ltrpar \pard\plain \ltrpar\ql \li0\ri0\widctlpar\wrapdefault\aspalpha\aspnum\faauto\adjustright\rin0\lin0\itap0 \rtlch\fcs1 \af0\afs20\alang1025 \ltrch\fcs0 \fs24\lang2057\langfe2057\cgrid\langnp2057\langfenp2057 {\rtlch\fcs1 \af0 _x000d__x000a_\ltrch\fcs0 \insrsid1533560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1\ql \li0\ri0\sb240\keepn\nowidctlpar_x000d__x000a_\tx879\tx936\tx1021\tx1077\tx1134\tx1191\tx1247\tx1304\tx1361\tx1418\tx1474\tx1531\tx1588\tx1644\tx1701\tx1758\tx1814\tx1871\tx2070\tx2126\tx3374\tx3430\wrapdefault\aspalpha\aspnum\faauto\adjustright\rin0\lin0\itap0\pararsid8473135 \rtlch\fcs1 _x000d__x000a_\af0\afs20\alang1025 \ltrch\fcs0 \b\fs24\lang2057\langfe2057\cgrid\langnp2057\langfenp2057 {\rtlch\fcs1 \af0 \ltrch\fcs0 \cs17\b0\v\fs20\cf9\lang1024\langfe1024\loch\af1\hich\af1\dbch\af31501\noproof\insrsid8473135\charrsid15879488 {\*\bkmkstart restartA}_x000d__x000a_\hich\af1\dbch\af31501\loch\f1 &lt;AmendA&gt;}{\rtlch\fcs1 \af0 \ltrch\fcs0 \insrsid8473135\charrsid15879488 [ZAMENDMENT]\tab \tab }{\rtlch\fcs1 \af0 \ltrch\fcs0 _x000d__x000a_\cs17\b0\v\fs20\cf9\lang1024\langfe1024\loch\af1\hich\af1\dbch\af31501\noproof\insrsid8473135\charrsid15879488 \hich\af1\dbch\af31501\loch\f1 &lt;NumAmA&gt;}{\rtlch\fcs1 \af0 \ltrch\fcs0 \insrsid8473135\charrsid15879488 [ZNRAM]}{\rtlch\fcs1 \af0 \ltrch\fcs0 _x000d__x000a_\cs17\b0\v\fs20\cf9\lang1024\langfe1024\loch\af1\hich\af1\dbch\af31501\noproof\insrsid8473135\charrsid15879488 \hich\af1\dbch\af31501\loch\f1 &lt;/NumAmA&gt;}{\rtlch\fcs1 \af0 \ltrch\fcs0 \insrsid8473135\charrsid15879488 _x000d__x000a_\par }\pard\plain \ltrpar\s22\ql \li0\ri0\sb240\keepn\nowidctlpar\wrapdefault\aspalpha\aspnum\faauto\adjustright\rin0\lin0\itap0\pararsid8473135 \rtlch\fcs1 \af0\afs20\alang1025 \ltrch\fcs0 \b\fs24\lang2057\langfe2057\cgrid\langnp2057\langfenp2057 {_x000d__x000a_\rtlch\fcs1 \af0 \ltrch\fcs0 \cs17\b0\v\fs20\cf9\lang1024\langfe1024\loch\af1\hich\af1\dbch\af31501\noproof\langnp1036\insrsid8473135\charrsid11356624 \hich\af1\dbch\af31501\loch\f1 &lt;DocAmend&gt;}{\rtlch\fcs1 \af0 \ltrch\fcs0 _x000d__x000a_\lang1036\langfe2057\langnp1036\insrsid8473135\charrsid11356624 [ZRESOLUTION]}{\rtlch\fcs1 \af0 \ltrch\fcs0 \cs17\b0\v\fs20\cf9\lang1024\langfe1024\loch\af1\hich\af1\dbch\af31501\noproof\langnp1036\insrsid8473135\charrsid11356624 _x000d__x000a_\hich\af1\dbch\af31501\loch\f1 &lt;/DocAmend&gt;}{\rtlch\fcs1 \af0 \ltrch\fcs0 \lang1036\langfe2057\langnp1036\insrsid8473135\charrsid11356624 _x000d__x000a_\par }\pard\plain \ltrpar\s19\ql \li0\ri0\nowidctlpar\wrapdefault\aspalpha\aspnum\faauto\adjustright\rin0\lin0\itap0\pararsid8473135 \rtlch\fcs1 \af0\afs20\alang1025 \ltrch\fcs0 \b\fs24\lang2057\langfe2057\cgrid\langnp2057\langfenp2057 {\rtlch\fcs1 \af0 _x000d__x000a_\ltrch\fcs0 \cs17\b0\v\fs20\cf9\lang1024\langfe1024\loch\af1\hich\af1\dbch\af31501\noproof\langnp1036\insrsid8473135\charrsid11356624 \hich\af1\dbch\af31501\loch\f1 &lt;Article&gt;}{\rtlch\fcs1 \af0 \ltrch\fcs0 _x000d__x000a_\lang1036\langfe2057\langnp1036\insrsid8473135\charrsid11356624 [ZRESPART]}{\rtlch\fcs1 \af0 \ltrch\fcs0 \cs17\b0\v\fs20\cf9\lang1024\langfe1024\loch\af1\hich\af1\dbch\af31501\noproof\langnp1036\insrsid8473135\charrsid11356624 _x000d__x000a_\hich\af1\dbch\af31501\loch\f1 &lt;/Article&gt;}{\rtlch\fcs1 \af0 \ltrch\fcs0 \lang1036\langfe2057\langnp1036\insrsid8473135\charrsid11356624 _x000d__x000a_\par \ltrrow}\trowd \irow0\irowband0\ltrrow\ts11\trqc\trgaph340\trleft-340\trftsWidth1\trftsWidthB3\trpaddl340\trpaddr340\trpaddfl3\trpaddft3\trpaddfb3\trpaddfr3\tblrsid14374628\tblind0\tblindtype3 \clvertalt\clbrdrt\brdrtbl \clbrdrl\brdrtbl \clbrdrb\brdrtbl _x000d__x000a_\clbrdrr\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36\langfe2057\langnp1036\insrsid8473135\charrsid11356624 \cell }\pard \ltrpar_x000d__x000a_\ql \li0\ri0\widctlpar\intbl\wrapdefault\aspalpha\aspnum\faauto\adjustright\rin0\lin0 {\rtlch\fcs1 \af0 \ltrch\fcs0 \insrsid8473135\charrsid11356624 \trowd \irow0\irowband0\ltrrow_x000d__x000a_\ts11\trqc\trgaph340\trleft-340\trftsWidth1\trftsWidthB3\trpaddl340\trpaddr340\trpaddfl3\trpaddft3\trpaddfb3\trpaddfr3\tblrsid14374628\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0\qc \li0\ri0\sa240\keepn\nowidctlpar\intbl\wrapdefault\aspalpha\aspnum\faauto\adjustright\rin0\lin0\pararsid14374628 \rtlch\fcs1 \af0\afs20\alang1025 \ltrch\fcs0 _x000d__x000a_\i\fs24\lang2057\langfe2057\cgrid\langnp2057\langfenp2057 {\rtlch\fcs1 \af0 \ltrch\fcs0 \insrsid8473135\charrsid15879488 [ZLEFTA]\cell [ZRIGHT]\cell }\pard\plain \ltrpar\ql \li0\ri0\widctlpar\intbl\wrapdefault\aspalpha\aspnum\faauto\adjustright\rin0\lin0 _x000d__x000a_\rtlch\fcs1 \af0\afs20\alang1025 \ltrch\fcs0 \fs24\lang2057\langfe2057\cgrid\langnp2057\langfenp2057 {\rtlch\fcs1 \af0 \ltrch\fcs0 \insrsid8473135\charrsid15879488 \trowd \irow1\irowband1\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8473135\charrsid15879488 [ZTEXTL]\cell [ZTEXTR]}{\rtlch\fcs1 \af0\afs24 \ltrch\fcs0 \insrsid8473135\charrsid15879488 \cell }\pard\plain \ltrpar\ql \li0\ri0\widctlpar\intbl\wrapdefault\aspalpha\aspnum\faauto\adjustright\rin0\lin0 \rtlch\fcs1 _x000d__x000a_\af0\afs20\alang1025 \ltrch\fcs0 \fs24\lang2057\langfe2057\cgrid\langnp2057\langfenp2057 {\rtlch\fcs1 \af0 \ltrch\fcs0 \insrsid8473135\charrsid15879488 \trowd \irow2\irowband2\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8473135 {\rtlch\fcs1 \af0 \ltrch\fcs0 \cs17\v\fs20\cf9\lang1024\langfe1024\loch\af1\hich\af1\dbch\af31501\noproof\insrsid8473135\charrsid15879488 _x000d__x000a_\hich\af1\dbch\af31501\loch\f1 &lt;/AmendA&gt;}{\rtlch\fcs1 \af0 \ltrch\fcs0 \insrsid8473135\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e9_x000d__x000a_30415507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4\fbidi \froman\fcharset238\fprq2 Times New Roman CE;}{\f325\fbidi \froman\fcharset204\fprq2 Times New Roman Cyr;}_x000d__x000a_{\f327\fbidi \froman\fcharset161\fprq2 Times New Roman Greek;}{\f328\fbidi \froman\fcharset162\fprq2 Times New Roman Tur;}{\f329\fbidi \froman\fcharset177\fprq2 Times New Roman (Hebrew);}{\f330\fbidi \froman\fcharset178\fprq2 Times New Roman (Arabic);}_x000d__x000a_{\f331\fbidi \froman\fcharset186\fprq2 Times New Roman Baltic;}{\f332\fbidi \froman\fcharset163\fprq2 Times New Roman (Vietnamese);}{\f334\fbidi \fswiss\fcharset238\fprq2 Arial CE;}{\f335\fbidi \fswiss\fcharset204\fprq2 Arial Cyr;}_x000d__x000a_{\f337\fbidi \fswiss\fcharset161\fprq2 Arial Greek;}{\f338\fbidi \fswiss\fcharset162\fprq2 Arial Tur;}{\f339\fbidi \fswiss\fcharset177\fprq2 Arial (Hebrew);}{\f340\fbidi \fswiss\fcharset178\fprq2 Arial (Arabic);}_x000d__x000a_{\f341\fbidi \fswiss\fcharset186\fprq2 Arial Baltic;}{\f342\fbidi \fswiss\fcharset163\fprq2 Arial (Vietnamese);}{\f664\fbidi \froman\fcharset238\fprq2 Cambria Math CE;}{\f665\fbidi \froman\fcharset204\fprq2 Cambria Math Cyr;}_x000d__x000a_{\f667\fbidi \froman\fcharset161\fprq2 Cambria Math Greek;}{\f668\fbidi \froman\fcharset162\fprq2 Cambria Math Tur;}{\f671\fbidi \froman\fcharset186\fprq2 Cambria Math Baltic;}{\f67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722627 HideTWBExt;}{_x000d__x000a_\s18\ql \li0\ri0\sa120\nowidctlpar\wrapdefault\aspalpha\aspnum\faauto\adjustright\rin0\lin0\itap0 \rtlch\fcs1 \af0\afs20\alang1025 \ltrch\fcs0 \fs24\lang2057\langfe2057\cgrid\langnp2057\langfenp2057 \sbasedon0 \snext18 \spriority0 \styrsid722627 _x000d__x000a_Normal6a;}{\s19\ql \li0\ri0\nowidctlpar\wrapdefault\aspalpha\aspnum\faauto\adjustright\rin0\lin0\itap0 \rtlch\fcs1 \af0\afs20\alang1025 \ltrch\fcs0 \b\fs24\lang2057\langfe2057\cgrid\langnp2057\langfenp2057 \sbasedon0 \snext19 \spriority0 \styrsid722627 _x000d__x000a_NormalBold;}{\s20\ql \li0\ri0\sa240\nowidctlpar\wrapdefault\aspalpha\aspnum\faauto\adjustright\rin0\lin0\itap0 \rtlch\fcs1 \af0\afs20\alang1025 \ltrch\fcs0 \i\fs24\lang2057\langfe2057\cgrid\langnp2057\langfenp2057 _x000d__x000a_\sbasedon0 \snext20 \spriority0 \styrsid722627 AmJustText;}{\s21\qc \li0\ri0\sb240\sa240\nowidctlpar\wrapdefault\aspalpha\aspnum\faauto\adjustright\rin0\lin0\itap0 \rtlch\fcs1 \af0\afs20\alang1025 \ltrch\fcs0 _x000d__x000a_\i\fs24\lang2057\langfe2057\cgrid\langnp2057\langfenp2057 \sbasedon0 \snext21 \spriority0 \styrsid722627 AmCrossRef;}{\s22\qc \li0\ri0\sb240\sa240\keepn\nowidctlpar\wrapdefault\aspalpha\aspnum\faauto\adjustright\rin0\lin0\itap0 \rtlch\fcs1 _x000d__x000a_\af0\afs20\alang1025 \ltrch\fcs0 \i\fs24\lang2057\langfe2057\cgrid\langnp2057\langfenp2057 \sbasedon0 \snext20 \spriority0 \styrsid722627 AmJustTitle;}{\s23\qc \li0\ri0\sa240\nowidctlpar\wrapdefault\aspalpha\aspnum\faauto\adjustright\rin0\lin0\itap0 _x000d__x000a_\rtlch\fcs1 \af0\afs20\alang1025 \ltrch\fcs0 \i\fs24\lang2057\langfe2057\cgrid\langnp2057\langfenp2057 \sbasedon0 \snext23 \spriority0 \styrsid722627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722627 AmNumberTabs;}{\s25\ql \li0\ri0\sb240\nowidctlpar\wrapdefault\aspalpha\aspnum\faauto\adjustright\rin0\lin0\itap0 \rtlch\fcs1 _x000d__x000a_\af0\afs20\alang1025 \ltrch\fcs0 \b\fs24\lang2057\langfe2057\cgrid\langnp2057\langfenp2057 \sbasedon0 \snext25 \spriority0 \styrsid722627 NormalBold12b;}}{\*\rsidtbl \rsid24658\rsid223860\rsid722627\rsid735077\rsid1718133\rsid2375206\rsid2892074_x000d__x000a_\rsid3565327\rsid4666813\rsid6641733\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KRIEG Milena}{\operator KRIEG Milena}{\creatim\yr2023\mo10\dy25\hr17\min9}{\revtim\yr2023\mo10\dy25\hr17\min9}{\version1}{\edmins0}{\nofpages1}_x000d__x000a_{\nofwords55}{\nofchars317}{\nofcharsws369}{\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722627\newtblstyruls\nogrowautofit\usenormstyforlist\noindnmbrts\felnbrelev\nocxsptable\indrlsweleven\noafcnsttbl\afelev\utinl\hwelev\spltpgpar\notcvasp\notbrkcnstfrctbl\notvatxbx\krnprsnet\cachedcolbal \nouicompat \fet0_x000d__x000a_{\*\wgrffmtfilter 013f}\nofeaturethrottle1\ilfomacatclnup0{\*\template C:\\Users\\mkrieg\\AppData\\Local\\Temp\\Blank1.dotx}{\*\ftnsep \ltrpar \pard\plain \ltrpar\ql \li0\ri0\widctlpar\wrapdefault\aspalpha\aspnum\faauto\adjustright\rin0\lin0\itap0 _x000d__x000a_\rtlch\fcs1 \af0\afs20\alang1025 \ltrch\fcs0 \fs24\lang2057\langfe2057\cgrid\langnp2057\langfenp2057 {\rtlch\fcs1 \af0 \ltrch\fcs0 \insrsid2375206 \chftnsep _x000d__x000a_\par }}{\*\ftnsepc \ltrpar \pard\plain \ltrpar\ql \li0\ri0\widctlpar\wrapdefault\aspalpha\aspnum\faauto\adjustright\rin0\lin0\itap0 \rtlch\fcs1 \af0\afs20\alang1025 \ltrch\fcs0 \fs24\lang2057\langfe2057\cgrid\langnp2057\langfenp2057 {\rtlch\fcs1 \af0 _x000d__x000a_\ltrch\fcs0 \insrsid2375206 \chftnsepc _x000d__x000a_\par }}{\*\aftnsep \ltrpar \pard\plain \ltrpar\ql \li0\ri0\widctlpar\wrapdefault\aspalpha\aspnum\faauto\adjustright\rin0\lin0\itap0 \rtlch\fcs1 \af0\afs20\alang1025 \ltrch\fcs0 \fs24\lang2057\langfe2057\cgrid\langnp2057\langfenp2057 {\rtlch\fcs1 \af0 _x000d__x000a_\ltrch\fcs0 \insrsid2375206 \chftnsep _x000d__x000a_\par }}{\*\aftnsepc \ltrpar \pard\plain \ltrpar\ql \li0\ri0\widctlpar\wrapdefault\aspalpha\aspnum\faauto\adjustright\rin0\lin0\itap0 \rtlch\fcs1 \af0\afs20\alang1025 \ltrch\fcs0 \fs24\lang2057\langfe2057\cgrid\langnp2057\langfenp2057 {\rtlch\fcs1 \af0 _x000d__x000a_\ltrch\fcs0 \insrsid237520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722627 \rtlch\fcs1 _x000d__x000a_\af0\afs20\alang1025 \ltrch\fcs0 \b\fs24\lang2057\langfe2057\cgrid\langnp2057\langfenp2057 {\rtlch\fcs1 \af0 \ltrch\fcs0 \cs17\b0\v\fs20\cf9\lang1024\langfe1024\loch\af1\hich\af1\dbch\af31501\noproof\insrsid722627\charrsid15879488 {\*\bkmkstart restartB}_x000d__x000a_\hich\af1\dbch\af31501\loch\f1 &lt;AmendB&gt;}{\rtlch\fcs1 \af0 \ltrch\fcs0 \insrsid722627\charrsid15879488 [ZAMENDMENT]\tab \tab }{\rtlch\fcs1 \af0 \ltrch\fcs0 _x000d__x000a_\cs17\b0\v\fs20\cf9\lang1024\langfe1024\loch\af1\hich\af1\dbch\af31501\noproof\insrsid722627\charrsid15879488 \hich\af1\dbch\af31501\loch\f1 &lt;NumAmB&gt;}{\rtlch\fcs1 \af0 \ltrch\fcs0 \insrsid722627\charrsid15879488 [ZNRAM]}{\rtlch\fcs1 \af0 \ltrch\fcs0 _x000d__x000a_\cs17\b0\v\fs20\cf9\lang1024\langfe1024\loch\af1\hich\af1\dbch\af31501\noproof\insrsid722627\charrsid15879488 \hich\af1\dbch\af31501\loch\f1 &lt;/NumAmB&gt;}{\rtlch\fcs1 \af0 \ltrch\fcs0 \insrsid722627\charrsid15879488 _x000d__x000a_\par }\pard\plain \ltrpar\s25\ql \li0\ri0\sb240\keepn\nowidctlpar\wrapdefault\aspalpha\aspnum\faauto\adjustright\rin0\lin0\itap0\pararsid722627 \rtlch\fcs1 \af0\afs20\alang1025 \ltrch\fcs0 \b\fs24\lang2057\langfe2057\cgrid\langnp2057\langfenp2057 {\rtlch\fcs1 _x000d__x000a_\af0 \ltrch\fcs0 \cs17\b0\v\fs20\cf9\lang1024\langfe1024\loch\af1\hich\af1\dbch\af31501\noproof\insrsid722627\charrsid15879488 \hich\af1\dbch\af31501\loch\f1 &lt;DocAmend&gt;}{\rtlch\fcs1 \af0 \ltrch\fcs0 \insrsid722627\charrsid15879488 [ZPROPOSAL][ZAMACT]}{_x000d__x000a_\rtlch\fcs1 \af0 \ltrch\fcs0 \cs17\b0\v\fs20\cf9\lang1024\langfe1024\loch\af1\hich\af1\dbch\af31501\noproof\insrsid722627\charrsid15879488 \hich\af1\dbch\af31501\loch\f1 &lt;/DocAmend&gt;}{\rtlch\fcs1 \af0 \ltrch\fcs0 \insrsid722627\charrsid15879488 _x000d__x000a_\par }\pard\plain \ltrpar\s19\ql \li0\ri0\keepn\nowidctlpar\wrapdefault\aspalpha\aspnum\faauto\adjustright\rin0\lin0\itap0\pararsid722627 \rtlch\fcs1 \af0\afs20\alang1025 \ltrch\fcs0 \b\fs24\lang2057\langfe2057\cgrid\langnp2057\langfenp2057 {\rtlch\fcs1 \af0 _x000d__x000a_\ltrch\fcs0 \cs17\b0\v\fs20\cf9\lang1024\langfe1024\loch\af1\hich\af1\dbch\af31501\noproof\insrsid722627\charrsid15879488 \hich\af1\dbch\af31501\loch\f1 &lt;Article&gt;}{\rtlch\fcs1 \af0 \ltrch\fcs0 \insrsid722627\charrsid15879488 [ZAMPART]}{\rtlch\fcs1 \af0 _x000d__x000a_\ltrch\fcs0 \cs17\b0\v\fs20\cf9\lang1024\langfe1024\loch\af1\hich\af1\dbch\af31501\noproof\insrsid722627\charrsid15879488 \hich\af1\dbch\af31501\loch\f1 &lt;/Article&gt;}{\rtlch\fcs1 \af0 \ltrch\fcs0 \insrsid722627\charrsid15879488 _x000d__x000a_\par }\pard\plain \ltrpar\ql \li0\ri0\keepn\widctlpar\wrapdefault\aspalpha\aspnum\faauto\adjustright\rin0\lin0\itap0\pararsid722627 \rtlch\fcs1 \af0\afs20\alang1025 \ltrch\fcs0 \fs24\lang2057\langfe2057\cgrid\langnp2057\langfenp2057 {\rtlch\fcs1 \af0 _x000d__x000a_\ltrch\fcs0 \cs17\v\fs20\cf9\lang1024\langfe1024\loch\af1\hich\af1\dbch\af31501\noproof\insrsid722627\charrsid15879488 \hich\af1\dbch\af31501\loch\f1 &lt;DocAmend2&gt;&lt;OptDel&gt;}{\rtlch\fcs1 \af0 \ltrch\fcs0 \insrsid722627\charrsid15879488 [ZNRACT]}{\rtlch\fcs1 _x000d__x000a_\af0 \ltrch\fcs0 \cs17\v\fs20\cf9\lang1024\langfe1024\loch\af1\hich\af1\dbch\af31501\noproof\insrsid722627\charrsid15879488 \hich\af1\dbch\af31501\loch\f1 &lt;/OptDel&gt;&lt;/DocAmend2&gt;}{\rtlch\fcs1 \af0 \ltrch\fcs0 \insrsid722627\charrsid15879488 _x000d__x000a_\par }\pard \ltrpar\ql \li0\ri0\widctlpar\wrapdefault\aspalpha\aspnum\faauto\adjustright\rin0\lin0\itap0\pararsid722627 {\rtlch\fcs1 \af0 \ltrch\fcs0 _x000d__x000a_\cs17\v\fs20\cf9\lang1024\langfe1024\loch\af1\hich\af1\dbch\af31501\noproof\langnp1036\insrsid722627\charrsid11356624 \hich\af1\dbch\af31501\loch\f1 &lt;Article2&gt;&lt;OptDel&gt;}{\rtlch\fcs1 \af0 \ltrch\fcs0 _x000d__x000a_\lang1036\langfe2057\langnp1036\insrsid722627\charrsid11356624 [ZACTPART]}{\rtlch\fcs1 \af0 \ltrch\fcs0 \cs17\v\fs20\cf9\lang1024\langfe1024\loch\af1\hich\af1\dbch\af31501\noproof\langnp1036\insrsid722627\charrsid11356624 \hich\af1\dbch\af31501\loch\f1 _x000d__x000a_&lt;/OptDel&gt;&lt;/Article2&gt;}{\rtlch\fcs1 \af0 \ltrch\fcs0 \lang1036\langfe2057\langnp1036\insrsid722627\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6\langfe2057\langnp1036\insrsid722627\charrsid11356624 \cell }\pard \ltrpar\ql \li0\ri0\widctlpar\intbl\wrapdefault\aspalpha\aspnum\faauto\adjustright\rin0\lin0 {\rtlch\fcs1 \af0 \ltrch\fcs0 \insrsid722627\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722627\charrsid15879488 [ZLEFTB]\cell [ZRIGHT]\cell }\pard\plain \ltrpar\ql \li0\ri0\widctlpar\intbl\wrapdefault\aspalpha\aspnum\faauto\adjustright\rin0\lin0 \rtlch\fcs1 \af0\afs20\alang1025 \ltrch\fcs0 _x000d__x000a_\fs24\lang2057\langfe2057\cgrid\langnp2057\langfenp2057 {\rtlch\fcs1 \af0 \ltrch\fcs0 \insrsid722627\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722627\charrsid15879488 [ZTEXTL]\cell [ZTEXTR]}{\rtlch\fcs1 \af0\afs24 \ltrch\fcs0 \insrsid722627\charrsid15879488 \cell }\pard\plain \ltrpar\ql \li0\ri0\widctlpar\intbl\wrapdefault\aspalpha\aspnum\faauto\adjustright\rin0\lin0 \rtlch\fcs1 _x000d__x000a_\af0\afs20\alang1025 \ltrch\fcs0 \fs24\lang2057\langfe2057\cgrid\langnp2057\langfenp2057 {\rtlch\fcs1 \af0 \ltrch\fcs0 \insrsid722627\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722627 \rtlch\fcs1 \af0\afs20\alang1025 \ltrch\fcs0 \i\fs24\lang2057\langfe2057\cgrid\langnp2057\langfenp2057 {\rtlch\fcs1 \af0 \ltrch\fcs0 _x000d__x000a_\cs17\i0\v\fs20\cf9\lang1024\langfe1024\loch\af1\hich\af1\dbch\af31501\noproof\insrsid722627\charrsid15879488 \hich\af1\dbch\af31501\loch\f1 &lt;OptDel&gt;}{\rtlch\fcs1 \af0 \ltrch\fcs0 \insrsid722627\charrsid15879488 [ZCROSSREF]}{\rtlch\fcs1 \af0 \ltrch\fcs0 _x000d__x000a_\cs17\i0\v\fs20\cf9\lang1024\langfe1024\loch\af1\hich\af1\dbch\af31501\noproof\insrsid722627\charrsid15879488 \hich\af1\dbch\af31501\loch\f1 &lt;/OptDel&gt;}{\rtlch\fcs1 \af0 \ltrch\fcs0 \insrsid722627\charrsid15879488 _x000d__x000a_\par }\pard\plain \ltrpar\s22\qc \li0\ri0\sb240\sa240\keepn\nowidctlpar\wrapdefault\aspalpha\aspnum\faauto\adjustright\rin0\lin0\itap0\pararsid722627 \rtlch\fcs1 \af0\afs20\alang1025 \ltrch\fcs0 \i\fs24\lang2057\langfe2057\cgrid\langnp2057\langfenp2057 {_x000d__x000a_\rtlch\fcs1 \af0 \ltrch\fcs0 \cs17\i0\v\fs20\cf9\lang1024\langfe1024\loch\af1\hich\af1\dbch\af31501\noproof\insrsid722627\charrsid15879488 \hich\af1\dbch\af31501\loch\f1 &lt;TitreJust&gt;}{\rtlch\fcs1 \af0 \ltrch\fcs0 \insrsid722627\charrsid15879488 _x000d__x000a_[ZJUSTIFICATION]}{\rtlch\fcs1 \af0 \ltrch\fcs0 \cs17\i0\v\fs20\cf9\lang1024\langfe1024\loch\af1\hich\af1\dbch\af31501\noproof\insrsid722627\charrsid15879488 \hich\af1\dbch\af31501\loch\f1 &lt;/TitreJust&gt;}{\rtlch\fcs1 \af0 \ltrch\fcs0 _x000d__x000a_\insrsid722627\charrsid15879488 _x000d__x000a_\par }\pard\plain \ltrpar\s20\ql \li0\ri0\sa240\nowidctlpar\wrapdefault\aspalpha\aspnum\faauto\adjustright\rin0\lin0\itap0\pararsid722627 \rtlch\fcs1 \af0\afs20\alang1025 \ltrch\fcs0 \i\fs24\lang2057\langfe2057\cgrid\langnp2057\langfenp2057 {\rtlch\fcs1 \af0 _x000d__x000a_\ltrch\fcs0 \cs17\i0\v\fs20\cf9\lang1024\langfe1024\loch\af1\hich\af1\dbch\af31501\noproof\insrsid722627\charrsid15879488 \hich\af1\dbch\af31501\loch\f1 &lt;OptDelPrev&gt;}{\rtlch\fcs1 \af0 \ltrch\fcs0 \insrsid722627\charrsid15879488 [ZTEXTJUST]}{\rtlch\fcs1 _x000d__x000a_\af0 \ltrch\fcs0 \cs17\i0\v\fs20\cf9\lang1024\langfe1024\loch\af1\hich\af1\dbch\af31501\noproof\insrsid722627\charrsid15879488 \hich\af1\dbch\af31501\loch\f1 &lt;/OptDelPrev&gt;}{\rtlch\fcs1 \af0 \ltrch\fcs0 \insrsid722627\charrsid15879488 _x000d__x000a_\par }\pard\plain \ltrpar\ql \li0\ri0\widctlpar\wrapdefault\aspalpha\aspnum\faauto\adjustright\rin0\lin0\itap0\pararsid722627 \rtlch\fcs1 \af0\afs20\alang1025 \ltrch\fcs0 \fs24\lang2057\langfe2057\cgrid\langnp2057\langfenp2057 {\rtlch\fcs1 \af0 \ltrch\fcs0 _x000d__x000a_\cs17\v\fs20\cf9\lang1024\langfe1024\loch\af1\hich\af1\dbch\af31501\noproof\insrsid722627\charrsid15879488 \hich\af1\dbch\af31501\loch\f1 &lt;/AmendB&gt;}{\rtlch\fcs1 \af0 \ltrch\fcs0 \insrsid722627\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87_x000d__x000a_15435507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Legam"/>
    <w:docVar w:name="strSubDir" w:val="1288"/>
    <w:docVar w:name="TITLECODMNU" w:val=" 1"/>
    <w:docVar w:name="TVTAMACTPART" w:val="abc"/>
    <w:docVar w:name="TVTRESPART" w:val="abc"/>
    <w:docVar w:name="TXTLANGUE" w:val="EN"/>
    <w:docVar w:name="TXTLANGUEMIN" w:val="en"/>
    <w:docVar w:name="TXTNRC" w:val="0150/2023"/>
    <w:docVar w:name="TXTNRCOM" w:val="(2023)0240"/>
    <w:docVar w:name="TXTNRFIRSTAM" w:val="1"/>
    <w:docVar w:name="TXTNRLASTAM" w:val="5"/>
    <w:docVar w:name="TXTNRPE" w:val="752.621"/>
    <w:docVar w:name="TXTNRPROC" w:val="2023/0138"/>
    <w:docVar w:name="TXTPEorAP" w:val="PE"/>
    <w:docVar w:name="TXTROUTE" w:val="AD\1288324EN.docx"/>
    <w:docVar w:name="TXTVERSION" w:val="02-00"/>
  </w:docVars>
  <w:rsids>
    <w:rsidRoot w:val="007426EC"/>
    <w:rsid w:val="00026559"/>
    <w:rsid w:val="00027FA8"/>
    <w:rsid w:val="0004474F"/>
    <w:rsid w:val="000522F2"/>
    <w:rsid w:val="00082EC4"/>
    <w:rsid w:val="000C751C"/>
    <w:rsid w:val="000D44A6"/>
    <w:rsid w:val="00121470"/>
    <w:rsid w:val="00122C05"/>
    <w:rsid w:val="00122CC3"/>
    <w:rsid w:val="00134974"/>
    <w:rsid w:val="00141CD7"/>
    <w:rsid w:val="001616BD"/>
    <w:rsid w:val="00180E36"/>
    <w:rsid w:val="001820A9"/>
    <w:rsid w:val="001A0556"/>
    <w:rsid w:val="001A7452"/>
    <w:rsid w:val="001B0A1E"/>
    <w:rsid w:val="001C0886"/>
    <w:rsid w:val="001D5154"/>
    <w:rsid w:val="001E3AC4"/>
    <w:rsid w:val="0020077A"/>
    <w:rsid w:val="00220500"/>
    <w:rsid w:val="002258E0"/>
    <w:rsid w:val="0023131B"/>
    <w:rsid w:val="002A67EE"/>
    <w:rsid w:val="002C26F8"/>
    <w:rsid w:val="002D23D0"/>
    <w:rsid w:val="00304EA8"/>
    <w:rsid w:val="003300D9"/>
    <w:rsid w:val="00330B00"/>
    <w:rsid w:val="00341A99"/>
    <w:rsid w:val="00360FAA"/>
    <w:rsid w:val="003668DD"/>
    <w:rsid w:val="0038294E"/>
    <w:rsid w:val="003A2F84"/>
    <w:rsid w:val="003A6A67"/>
    <w:rsid w:val="003B07E2"/>
    <w:rsid w:val="003C7390"/>
    <w:rsid w:val="003E00BF"/>
    <w:rsid w:val="003E1280"/>
    <w:rsid w:val="003F128E"/>
    <w:rsid w:val="0040055C"/>
    <w:rsid w:val="00415589"/>
    <w:rsid w:val="004515F9"/>
    <w:rsid w:val="00487596"/>
    <w:rsid w:val="004B3A53"/>
    <w:rsid w:val="004C2A0D"/>
    <w:rsid w:val="004F1D2F"/>
    <w:rsid w:val="00502B76"/>
    <w:rsid w:val="00513F6F"/>
    <w:rsid w:val="00522B51"/>
    <w:rsid w:val="00524707"/>
    <w:rsid w:val="00525B43"/>
    <w:rsid w:val="00543D1E"/>
    <w:rsid w:val="005539B7"/>
    <w:rsid w:val="00565298"/>
    <w:rsid w:val="00571233"/>
    <w:rsid w:val="005716CD"/>
    <w:rsid w:val="00586041"/>
    <w:rsid w:val="005922EC"/>
    <w:rsid w:val="005D22C6"/>
    <w:rsid w:val="00600087"/>
    <w:rsid w:val="00613134"/>
    <w:rsid w:val="0062175F"/>
    <w:rsid w:val="00626D52"/>
    <w:rsid w:val="006315F6"/>
    <w:rsid w:val="00632FD4"/>
    <w:rsid w:val="00643DA8"/>
    <w:rsid w:val="00653EDA"/>
    <w:rsid w:val="00657D5C"/>
    <w:rsid w:val="00683DD1"/>
    <w:rsid w:val="00691B1C"/>
    <w:rsid w:val="006A0F0A"/>
    <w:rsid w:val="006A48AA"/>
    <w:rsid w:val="006B1267"/>
    <w:rsid w:val="006D292E"/>
    <w:rsid w:val="006F1531"/>
    <w:rsid w:val="006F2CA5"/>
    <w:rsid w:val="00712462"/>
    <w:rsid w:val="00716BAA"/>
    <w:rsid w:val="0073137C"/>
    <w:rsid w:val="00740A09"/>
    <w:rsid w:val="00741A65"/>
    <w:rsid w:val="007426EC"/>
    <w:rsid w:val="0078548A"/>
    <w:rsid w:val="007875FA"/>
    <w:rsid w:val="007B7CE3"/>
    <w:rsid w:val="007D04FC"/>
    <w:rsid w:val="007F187F"/>
    <w:rsid w:val="00817D13"/>
    <w:rsid w:val="00820C7D"/>
    <w:rsid w:val="00820E9E"/>
    <w:rsid w:val="00832841"/>
    <w:rsid w:val="00833D11"/>
    <w:rsid w:val="00836FD3"/>
    <w:rsid w:val="008375A8"/>
    <w:rsid w:val="008506A6"/>
    <w:rsid w:val="008652A4"/>
    <w:rsid w:val="00872A52"/>
    <w:rsid w:val="00876A73"/>
    <w:rsid w:val="0089388A"/>
    <w:rsid w:val="008F3DB0"/>
    <w:rsid w:val="00904864"/>
    <w:rsid w:val="009052FE"/>
    <w:rsid w:val="009215FC"/>
    <w:rsid w:val="00921659"/>
    <w:rsid w:val="009230BA"/>
    <w:rsid w:val="00924555"/>
    <w:rsid w:val="00930617"/>
    <w:rsid w:val="009368B3"/>
    <w:rsid w:val="00982B83"/>
    <w:rsid w:val="009857B4"/>
    <w:rsid w:val="009B6583"/>
    <w:rsid w:val="009E7319"/>
    <w:rsid w:val="00A36CA0"/>
    <w:rsid w:val="00A71228"/>
    <w:rsid w:val="00A74E25"/>
    <w:rsid w:val="00A9371F"/>
    <w:rsid w:val="00AC2A60"/>
    <w:rsid w:val="00AC6CD7"/>
    <w:rsid w:val="00AD49D0"/>
    <w:rsid w:val="00AF0131"/>
    <w:rsid w:val="00B0002A"/>
    <w:rsid w:val="00B00EE6"/>
    <w:rsid w:val="00B1322B"/>
    <w:rsid w:val="00B31BC8"/>
    <w:rsid w:val="00B476DC"/>
    <w:rsid w:val="00B556CD"/>
    <w:rsid w:val="00B62D4B"/>
    <w:rsid w:val="00B904FA"/>
    <w:rsid w:val="00BA3E40"/>
    <w:rsid w:val="00BA7875"/>
    <w:rsid w:val="00BB2414"/>
    <w:rsid w:val="00BD1F76"/>
    <w:rsid w:val="00BD41AD"/>
    <w:rsid w:val="00BE20CF"/>
    <w:rsid w:val="00C22327"/>
    <w:rsid w:val="00C22F30"/>
    <w:rsid w:val="00C335C6"/>
    <w:rsid w:val="00C33FBD"/>
    <w:rsid w:val="00C4219C"/>
    <w:rsid w:val="00C46349"/>
    <w:rsid w:val="00C47E8C"/>
    <w:rsid w:val="00C52A28"/>
    <w:rsid w:val="00C56375"/>
    <w:rsid w:val="00C709B7"/>
    <w:rsid w:val="00C75E98"/>
    <w:rsid w:val="00C81C5B"/>
    <w:rsid w:val="00C83B35"/>
    <w:rsid w:val="00CB6296"/>
    <w:rsid w:val="00D25CF2"/>
    <w:rsid w:val="00D56CE0"/>
    <w:rsid w:val="00D6254D"/>
    <w:rsid w:val="00D65AA8"/>
    <w:rsid w:val="00D6771F"/>
    <w:rsid w:val="00D67D0A"/>
    <w:rsid w:val="00D74FD1"/>
    <w:rsid w:val="00D851D4"/>
    <w:rsid w:val="00D943A5"/>
    <w:rsid w:val="00D9581F"/>
    <w:rsid w:val="00DB56E4"/>
    <w:rsid w:val="00E27F01"/>
    <w:rsid w:val="00E34A5C"/>
    <w:rsid w:val="00E602B4"/>
    <w:rsid w:val="00E6766A"/>
    <w:rsid w:val="00E77FF5"/>
    <w:rsid w:val="00E9018C"/>
    <w:rsid w:val="00E94D64"/>
    <w:rsid w:val="00EA24D0"/>
    <w:rsid w:val="00EA29B5"/>
    <w:rsid w:val="00EA3802"/>
    <w:rsid w:val="00EA4A56"/>
    <w:rsid w:val="00EF1432"/>
    <w:rsid w:val="00EF33D5"/>
    <w:rsid w:val="00F15744"/>
    <w:rsid w:val="00F24D40"/>
    <w:rsid w:val="00FA3C27"/>
    <w:rsid w:val="00FD3BC6"/>
    <w:rsid w:val="00FE5B6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FD4B06"/>
  <w15:chartTrackingRefBased/>
  <w15:docId w15:val="{170D76C4-8E8F-426E-A880-D61A29C27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n-GB" w:bidi="ar-SA"/>
      </w:rPr>
    </w:rPrDefault>
    <w:pPrDefault/>
  </w:docDefaults>
  <w:latentStyles w:defLockedState="0" w:defUIPriority="0" w:defSemiHidden="0" w:defUnhideWhenUsed="0" w:defQFormat="0" w:count="371">
    <w:lsdException w:name="heading 1" w:semiHidden="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335C6"/>
    <w:pPr>
      <w:widowControl w:val="0"/>
    </w:pPr>
    <w:rPr>
      <w:sz w:val="24"/>
      <w:szCs w:val="24"/>
      <w:lang w:val="es-ES_tradnl"/>
    </w:rPr>
  </w:style>
  <w:style w:type="paragraph" w:styleId="Heading1">
    <w:name w:val="heading 1"/>
    <w:basedOn w:val="Normal"/>
    <w:next w:val="Normal"/>
    <w:link w:val="Heading1Char"/>
    <w:semiHidden/>
    <w:qFormat/>
    <w:rsid w:val="00A7122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semiHidden/>
    <w:rsid w:val="00A71228"/>
    <w:rPr>
      <w:rFonts w:asciiTheme="majorHAnsi" w:eastAsiaTheme="majorEastAsia" w:hAnsiTheme="majorHAnsi" w:cstheme="majorBidi"/>
      <w:color w:val="2E74B5" w:themeColor="accent1" w:themeShade="BF"/>
      <w:sz w:val="32"/>
      <w:szCs w:val="32"/>
    </w:rPr>
  </w:style>
  <w:style w:type="character" w:customStyle="1" w:styleId="HideTWBExt">
    <w:name w:val="HideTWBExt"/>
    <w:basedOn w:val="DefaultParagraphFont"/>
    <w:rsid w:val="00DB56E4"/>
    <w:rPr>
      <w:rFonts w:ascii="Arial" w:hAnsi="Arial" w:cs="Arial"/>
      <w:noProof/>
      <w:vanish/>
      <w:color w:val="000080"/>
      <w:sz w:val="20"/>
    </w:rPr>
  </w:style>
  <w:style w:type="paragraph" w:customStyle="1" w:styleId="EPFooter2">
    <w:name w:val="EPFooter2"/>
    <w:basedOn w:val="Normal"/>
    <w:next w:val="Normal"/>
    <w:rsid w:val="00DB56E4"/>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B56E4"/>
    <w:pPr>
      <w:spacing w:after="240"/>
    </w:pPr>
    <w:rPr>
      <w:szCs w:val="20"/>
    </w:rPr>
  </w:style>
  <w:style w:type="paragraph" w:customStyle="1" w:styleId="Normal6a">
    <w:name w:val="Normal6a"/>
    <w:basedOn w:val="Normal"/>
    <w:rsid w:val="00DB56E4"/>
    <w:pPr>
      <w:spacing w:after="120"/>
    </w:pPr>
    <w:rPr>
      <w:szCs w:val="20"/>
    </w:rPr>
  </w:style>
  <w:style w:type="paragraph" w:customStyle="1" w:styleId="PageHeadingNotTOC">
    <w:name w:val="PageHeadingNotTOC"/>
    <w:basedOn w:val="Normal"/>
    <w:rsid w:val="00DB56E4"/>
    <w:pPr>
      <w:keepNext/>
      <w:spacing w:after="480"/>
      <w:jc w:val="center"/>
    </w:pPr>
    <w:rPr>
      <w:rFonts w:ascii="Arial" w:hAnsi="Arial" w:cs="Arial"/>
      <w:b/>
      <w:szCs w:val="20"/>
    </w:rPr>
  </w:style>
  <w:style w:type="paragraph" w:customStyle="1" w:styleId="NormalBold">
    <w:name w:val="NormalBold"/>
    <w:basedOn w:val="Normal"/>
    <w:link w:val="NormalBoldChar"/>
    <w:rsid w:val="00DB56E4"/>
    <w:rPr>
      <w:b/>
      <w:szCs w:val="20"/>
    </w:rPr>
  </w:style>
  <w:style w:type="character" w:customStyle="1" w:styleId="NormalBoldChar">
    <w:name w:val="NormalBold Char"/>
    <w:link w:val="NormalBold"/>
    <w:locked/>
    <w:rsid w:val="00525B43"/>
    <w:rPr>
      <w:b/>
      <w:sz w:val="24"/>
    </w:rPr>
  </w:style>
  <w:style w:type="paragraph" w:customStyle="1" w:styleId="AmJustText">
    <w:name w:val="AmJustText"/>
    <w:basedOn w:val="Normal"/>
    <w:rsid w:val="00304EA8"/>
    <w:pPr>
      <w:spacing w:after="240"/>
    </w:pPr>
    <w:rPr>
      <w:i/>
      <w:szCs w:val="20"/>
    </w:rPr>
  </w:style>
  <w:style w:type="paragraph" w:customStyle="1" w:styleId="EPName">
    <w:name w:val="EPName"/>
    <w:basedOn w:val="Normal"/>
    <w:rsid w:val="00522B51"/>
    <w:pPr>
      <w:spacing w:before="80" w:after="80"/>
    </w:pPr>
    <w:rPr>
      <w:rFonts w:ascii="Arial Narrow" w:hAnsi="Arial Narrow" w:cs="Arial"/>
      <w:b/>
      <w:sz w:val="32"/>
      <w:szCs w:val="22"/>
    </w:rPr>
  </w:style>
  <w:style w:type="paragraph" w:customStyle="1" w:styleId="CoverNormal24a">
    <w:name w:val="CoverNormal24a"/>
    <w:basedOn w:val="Normal"/>
    <w:rsid w:val="00DB56E4"/>
    <w:pPr>
      <w:spacing w:after="480"/>
      <w:ind w:left="1417"/>
    </w:pPr>
    <w:rPr>
      <w:szCs w:val="20"/>
    </w:rPr>
  </w:style>
  <w:style w:type="paragraph" w:customStyle="1" w:styleId="CoverNormal">
    <w:name w:val="CoverNormal"/>
    <w:basedOn w:val="Normal"/>
    <w:rsid w:val="00DB56E4"/>
    <w:pPr>
      <w:ind w:left="1418"/>
    </w:pPr>
    <w:rPr>
      <w:szCs w:val="20"/>
    </w:rPr>
  </w:style>
  <w:style w:type="paragraph" w:customStyle="1" w:styleId="AmCrossRef">
    <w:name w:val="AmCrossRef"/>
    <w:basedOn w:val="Normal"/>
    <w:rsid w:val="00DB56E4"/>
    <w:pPr>
      <w:spacing w:before="240" w:after="240"/>
      <w:jc w:val="center"/>
    </w:pPr>
    <w:rPr>
      <w:i/>
      <w:szCs w:val="20"/>
    </w:rPr>
  </w:style>
  <w:style w:type="character" w:customStyle="1" w:styleId="HideTWBInt">
    <w:name w:val="HideTWBInt"/>
    <w:rsid w:val="006A48AA"/>
    <w:rPr>
      <w:rFonts w:ascii="Arial" w:hAnsi="Arial" w:cs="Arial"/>
      <w:vanish/>
      <w:color w:val="808080"/>
      <w:sz w:val="20"/>
    </w:rPr>
  </w:style>
  <w:style w:type="paragraph" w:customStyle="1" w:styleId="AmJustTitle">
    <w:name w:val="AmJustTitle"/>
    <w:basedOn w:val="Normal"/>
    <w:next w:val="AmJustText"/>
    <w:rsid w:val="00304EA8"/>
    <w:pPr>
      <w:keepNext/>
      <w:spacing w:before="240" w:after="240"/>
      <w:jc w:val="center"/>
    </w:pPr>
    <w:rPr>
      <w:i/>
      <w:szCs w:val="20"/>
    </w:rPr>
  </w:style>
  <w:style w:type="paragraph" w:customStyle="1" w:styleId="CoverReference">
    <w:name w:val="CoverReference"/>
    <w:basedOn w:val="Normal"/>
    <w:rsid w:val="00AC2A60"/>
    <w:pPr>
      <w:spacing w:before="1080"/>
      <w:jc w:val="right"/>
    </w:pPr>
    <w:rPr>
      <w:rFonts w:ascii="Arial" w:hAnsi="Arial" w:cs="Arial"/>
      <w:b/>
      <w:szCs w:val="20"/>
    </w:rPr>
  </w:style>
  <w:style w:type="paragraph" w:customStyle="1" w:styleId="CoverDocType24a">
    <w:name w:val="CoverDocType24a"/>
    <w:basedOn w:val="Normal"/>
    <w:rsid w:val="00DB56E4"/>
    <w:pPr>
      <w:spacing w:after="480"/>
      <w:ind w:left="1418"/>
    </w:pPr>
    <w:rPr>
      <w:rFonts w:ascii="Arial" w:hAnsi="Arial"/>
      <w:b/>
      <w:sz w:val="48"/>
      <w:szCs w:val="20"/>
    </w:rPr>
  </w:style>
  <w:style w:type="paragraph" w:customStyle="1" w:styleId="CoverDate">
    <w:name w:val="CoverDate"/>
    <w:basedOn w:val="Normal"/>
    <w:rsid w:val="00DB56E4"/>
    <w:pPr>
      <w:spacing w:before="240" w:after="1200"/>
    </w:pPr>
    <w:rPr>
      <w:szCs w:val="20"/>
    </w:rPr>
  </w:style>
  <w:style w:type="paragraph" w:customStyle="1" w:styleId="AmHeadingPA">
    <w:name w:val="AmHeadingPA"/>
    <w:basedOn w:val="Normal"/>
    <w:next w:val="Normal"/>
    <w:rsid w:val="00716BAA"/>
    <w:pPr>
      <w:spacing w:before="480" w:after="240"/>
      <w:jc w:val="center"/>
    </w:pPr>
    <w:rPr>
      <w:rFonts w:ascii="Arial" w:hAnsi="Arial"/>
      <w:b/>
      <w:caps/>
      <w:snapToGrid w:val="0"/>
      <w:lang w:eastAsia="en-US"/>
    </w:rPr>
  </w:style>
  <w:style w:type="paragraph" w:customStyle="1" w:styleId="AmOrLang">
    <w:name w:val="AmOrLang"/>
    <w:basedOn w:val="Normal"/>
    <w:rsid w:val="00DB56E4"/>
    <w:pPr>
      <w:spacing w:before="240" w:after="240"/>
      <w:jc w:val="right"/>
    </w:pPr>
    <w:rPr>
      <w:szCs w:val="20"/>
    </w:rPr>
  </w:style>
  <w:style w:type="character" w:styleId="PageNumber">
    <w:name w:val="page number"/>
    <w:basedOn w:val="DefaultParagraphFont"/>
    <w:rsid w:val="00DB56E4"/>
  </w:style>
  <w:style w:type="paragraph" w:customStyle="1" w:styleId="AmColumnHeading">
    <w:name w:val="AmColumnHeading"/>
    <w:basedOn w:val="Normal"/>
    <w:rsid w:val="00DB56E4"/>
    <w:pPr>
      <w:spacing w:after="240"/>
      <w:jc w:val="center"/>
    </w:pPr>
    <w:rPr>
      <w:i/>
      <w:szCs w:val="20"/>
    </w:rPr>
  </w:style>
  <w:style w:type="paragraph" w:customStyle="1" w:styleId="AmNumberTabs">
    <w:name w:val="AmNumberTabs"/>
    <w:basedOn w:val="Normal"/>
    <w:rsid w:val="00DB56E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NormalBold12b">
    <w:name w:val="NormalBold12b"/>
    <w:basedOn w:val="Normal"/>
    <w:rsid w:val="00DB56E4"/>
    <w:pPr>
      <w:spacing w:before="240"/>
    </w:pPr>
    <w:rPr>
      <w:b/>
      <w:szCs w:val="20"/>
    </w:rPr>
  </w:style>
  <w:style w:type="table" w:styleId="TableGrid">
    <w:name w:val="Table Grid"/>
    <w:basedOn w:val="TableNormal"/>
    <w:rsid w:val="00613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613134"/>
    <w:pPr>
      <w:jc w:val="center"/>
    </w:pPr>
    <w:rPr>
      <w:rFonts w:ascii="Arial" w:hAnsi="Arial" w:cs="Arial"/>
      <w:i/>
      <w:sz w:val="22"/>
      <w:szCs w:val="22"/>
    </w:rPr>
  </w:style>
  <w:style w:type="paragraph" w:customStyle="1" w:styleId="LineTop">
    <w:name w:val="LineTop"/>
    <w:basedOn w:val="Normal"/>
    <w:next w:val="Normal"/>
    <w:rsid w:val="006131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81C5B"/>
    <w:pPr>
      <w:pBdr>
        <w:bottom w:val="single" w:sz="4" w:space="1" w:color="auto"/>
      </w:pBdr>
      <w:spacing w:after="240"/>
      <w:jc w:val="center"/>
    </w:pPr>
    <w:rPr>
      <w:rFonts w:ascii="Arial" w:hAnsi="Arial" w:cs="Arial"/>
      <w:sz w:val="16"/>
      <w:szCs w:val="16"/>
    </w:rPr>
  </w:style>
  <w:style w:type="paragraph" w:styleId="Header">
    <w:name w:val="header"/>
    <w:basedOn w:val="Normal"/>
    <w:link w:val="HeaderChar"/>
    <w:semiHidden/>
    <w:rsid w:val="00C4219C"/>
    <w:pPr>
      <w:tabs>
        <w:tab w:val="center" w:pos="4513"/>
        <w:tab w:val="right" w:pos="9026"/>
      </w:tabs>
    </w:pPr>
    <w:rPr>
      <w:szCs w:val="20"/>
    </w:rPr>
  </w:style>
  <w:style w:type="character" w:customStyle="1" w:styleId="HeaderChar">
    <w:name w:val="Header Char"/>
    <w:basedOn w:val="DefaultParagraphFont"/>
    <w:link w:val="Header"/>
    <w:semiHidden/>
    <w:rsid w:val="00626D52"/>
    <w:rPr>
      <w:sz w:val="24"/>
    </w:rPr>
  </w:style>
  <w:style w:type="paragraph" w:customStyle="1" w:styleId="EPTerm">
    <w:name w:val="EPTerm"/>
    <w:basedOn w:val="Normal"/>
    <w:next w:val="Normal"/>
    <w:rsid w:val="00522B51"/>
    <w:pPr>
      <w:spacing w:after="80"/>
    </w:pPr>
    <w:rPr>
      <w:rFonts w:ascii="Arial" w:hAnsi="Arial" w:cs="Arial"/>
      <w:sz w:val="20"/>
      <w:szCs w:val="22"/>
    </w:rPr>
  </w:style>
  <w:style w:type="paragraph" w:customStyle="1" w:styleId="EPLogo">
    <w:name w:val="EPLogo"/>
    <w:basedOn w:val="Normal"/>
    <w:qFormat/>
    <w:rsid w:val="00522B51"/>
    <w:pPr>
      <w:jc w:val="right"/>
    </w:pPr>
    <w:rPr>
      <w:szCs w:val="20"/>
    </w:rPr>
  </w:style>
  <w:style w:type="paragraph" w:customStyle="1" w:styleId="EPFooter">
    <w:name w:val="EPFooter"/>
    <w:basedOn w:val="Normal"/>
    <w:rsid w:val="009368B3"/>
    <w:pPr>
      <w:tabs>
        <w:tab w:val="center" w:pos="4535"/>
        <w:tab w:val="right" w:pos="9071"/>
      </w:tabs>
      <w:spacing w:before="240" w:after="240"/>
    </w:pPr>
    <w:rPr>
      <w:color w:val="010000"/>
      <w:sz w:val="22"/>
    </w:rPr>
  </w:style>
  <w:style w:type="paragraph" w:styleId="TOCHeading">
    <w:name w:val="TOC Heading"/>
    <w:basedOn w:val="Normal"/>
    <w:next w:val="Normal"/>
    <w:uiPriority w:val="39"/>
    <w:semiHidden/>
    <w:unhideWhenUsed/>
    <w:qFormat/>
    <w:rsid w:val="00A71228"/>
    <w:pPr>
      <w:spacing w:after="240"/>
    </w:pPr>
  </w:style>
  <w:style w:type="character" w:customStyle="1" w:styleId="FooterChar">
    <w:name w:val="Footer Char"/>
    <w:basedOn w:val="DefaultParagraphFont"/>
    <w:link w:val="Footer"/>
    <w:rsid w:val="00525B43"/>
    <w:rPr>
      <w:sz w:val="22"/>
    </w:rPr>
  </w:style>
  <w:style w:type="paragraph" w:styleId="Footer">
    <w:name w:val="footer"/>
    <w:link w:val="FooterChar"/>
    <w:unhideWhenUsed/>
    <w:rsid w:val="00525B43"/>
    <w:pPr>
      <w:tabs>
        <w:tab w:val="center" w:pos="4536"/>
        <w:tab w:val="right" w:pos="9072"/>
      </w:tabs>
      <w:spacing w:before="240" w:after="240" w:line="220" w:lineRule="auto"/>
    </w:pPr>
    <w:rPr>
      <w:sz w:val="22"/>
    </w:rPr>
  </w:style>
  <w:style w:type="character" w:customStyle="1" w:styleId="Normal12Char">
    <w:name w:val="Normal12 Char"/>
    <w:link w:val="Normal12"/>
    <w:locked/>
    <w:rsid w:val="00525B43"/>
    <w:rPr>
      <w:noProof/>
      <w:sz w:val="24"/>
    </w:rPr>
  </w:style>
  <w:style w:type="paragraph" w:customStyle="1" w:styleId="Normal12">
    <w:name w:val="Normal12"/>
    <w:basedOn w:val="Normal"/>
    <w:link w:val="Normal12Char"/>
    <w:rsid w:val="00525B43"/>
    <w:pPr>
      <w:spacing w:after="240"/>
    </w:pPr>
    <w:rPr>
      <w:noProof/>
      <w:szCs w:val="20"/>
    </w:rPr>
  </w:style>
  <w:style w:type="character" w:customStyle="1" w:styleId="Normal6Char">
    <w:name w:val="Normal6 Char"/>
    <w:link w:val="Normal6"/>
    <w:locked/>
    <w:rsid w:val="00525B43"/>
    <w:rPr>
      <w:sz w:val="24"/>
      <w:lang w:val="es-ES"/>
    </w:rPr>
  </w:style>
  <w:style w:type="paragraph" w:customStyle="1" w:styleId="Normal6">
    <w:name w:val="Normal6"/>
    <w:basedOn w:val="Normal"/>
    <w:link w:val="Normal6Char"/>
    <w:rsid w:val="00525B43"/>
    <w:pPr>
      <w:spacing w:after="120"/>
    </w:pPr>
    <w:rPr>
      <w:szCs w:val="20"/>
      <w:lang w:val="es-ES"/>
    </w:rPr>
  </w:style>
  <w:style w:type="paragraph" w:customStyle="1" w:styleId="Normal12Italic">
    <w:name w:val="Normal12Italic"/>
    <w:basedOn w:val="Normal12"/>
    <w:rsid w:val="00525B43"/>
    <w:rPr>
      <w:i/>
      <w:lang w:val="es-ES"/>
    </w:rPr>
  </w:style>
  <w:style w:type="paragraph" w:customStyle="1" w:styleId="Footer2">
    <w:name w:val="Footer2"/>
    <w:basedOn w:val="Normal12"/>
    <w:rsid w:val="00525B43"/>
    <w:pPr>
      <w:tabs>
        <w:tab w:val="center" w:pos="4535"/>
        <w:tab w:val="right" w:pos="9923"/>
      </w:tabs>
      <w:spacing w:line="480" w:lineRule="auto"/>
      <w:ind w:left="-851"/>
    </w:pPr>
    <w:rPr>
      <w:rFonts w:ascii="Arial" w:cs="Arial"/>
      <w:b/>
      <w:sz w:val="48"/>
    </w:rPr>
  </w:style>
  <w:style w:type="paragraph" w:customStyle="1" w:styleId="EntPE">
    <w:name w:val="EntPE"/>
    <w:basedOn w:val="Normal12"/>
    <w:rsid w:val="00525B43"/>
    <w:pPr>
      <w:jc w:val="center"/>
    </w:pPr>
    <w:rPr>
      <w:noProof w:val="0"/>
      <w:sz w:val="56"/>
    </w:rPr>
  </w:style>
  <w:style w:type="paragraph" w:customStyle="1" w:styleId="AMNumberTabs0">
    <w:name w:val="AMNumberTabs"/>
    <w:basedOn w:val="Normal"/>
    <w:rsid w:val="00525B4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lang w:val="es-ES"/>
    </w:rPr>
  </w:style>
  <w:style w:type="paragraph" w:customStyle="1" w:styleId="ColumnHeading">
    <w:name w:val="ColumnHeading"/>
    <w:basedOn w:val="Normal"/>
    <w:rsid w:val="00525B43"/>
    <w:pPr>
      <w:spacing w:after="240"/>
      <w:jc w:val="center"/>
    </w:pPr>
    <w:rPr>
      <w:i/>
      <w:szCs w:val="20"/>
      <w:lang w:val="es-ES"/>
    </w:rPr>
  </w:style>
  <w:style w:type="paragraph" w:customStyle="1" w:styleId="Olang">
    <w:name w:val="Olang"/>
    <w:basedOn w:val="Normal"/>
    <w:rsid w:val="00525B43"/>
    <w:pPr>
      <w:spacing w:before="240" w:after="240"/>
      <w:jc w:val="right"/>
    </w:pPr>
    <w:rPr>
      <w:noProof/>
      <w:lang w:val="es-ES"/>
    </w:rPr>
  </w:style>
  <w:style w:type="paragraph" w:styleId="BalloonText">
    <w:name w:val="Balloon Text"/>
    <w:basedOn w:val="Normal"/>
    <w:link w:val="BalloonTextChar"/>
    <w:semiHidden/>
    <w:unhideWhenUsed/>
    <w:rsid w:val="000522F2"/>
    <w:rPr>
      <w:rFonts w:ascii="Segoe UI" w:hAnsi="Segoe UI" w:cs="Segoe UI"/>
      <w:sz w:val="18"/>
      <w:szCs w:val="18"/>
    </w:rPr>
  </w:style>
  <w:style w:type="character" w:customStyle="1" w:styleId="BalloonTextChar">
    <w:name w:val="Balloon Text Char"/>
    <w:basedOn w:val="DefaultParagraphFont"/>
    <w:link w:val="BalloonText"/>
    <w:semiHidden/>
    <w:rsid w:val="000522F2"/>
    <w:rPr>
      <w:rFonts w:ascii="Segoe UI" w:hAnsi="Segoe UI" w:cs="Segoe UI"/>
      <w:sz w:val="18"/>
      <w:szCs w:val="18"/>
    </w:rPr>
  </w:style>
  <w:style w:type="paragraph" w:customStyle="1" w:styleId="RollCallSymbols14pt">
    <w:name w:val="RollCallSymbols14pt"/>
    <w:basedOn w:val="Normal"/>
    <w:rsid w:val="00565298"/>
    <w:pPr>
      <w:spacing w:before="120" w:after="120"/>
      <w:jc w:val="center"/>
    </w:pPr>
    <w:rPr>
      <w:rFonts w:ascii="Arial" w:hAnsi="Arial"/>
      <w:b/>
      <w:bCs/>
      <w:snapToGrid w:val="0"/>
      <w:sz w:val="28"/>
      <w:szCs w:val="20"/>
      <w:lang w:eastAsia="en-US"/>
    </w:rPr>
  </w:style>
  <w:style w:type="paragraph" w:customStyle="1" w:styleId="RollCallTabs">
    <w:name w:val="RollCallTabs"/>
    <w:basedOn w:val="Normal"/>
    <w:qFormat/>
    <w:rsid w:val="00565298"/>
    <w:pPr>
      <w:tabs>
        <w:tab w:val="center" w:pos="284"/>
        <w:tab w:val="left" w:pos="426"/>
      </w:tabs>
    </w:pPr>
    <w:rPr>
      <w:snapToGrid w:val="0"/>
      <w:szCs w:val="20"/>
      <w:lang w:eastAsia="en-US"/>
    </w:rPr>
  </w:style>
  <w:style w:type="paragraph" w:customStyle="1" w:styleId="RollCallVotes">
    <w:name w:val="RollCallVotes"/>
    <w:basedOn w:val="Normal"/>
    <w:rsid w:val="00565298"/>
    <w:pPr>
      <w:spacing w:before="120" w:after="120"/>
      <w:jc w:val="center"/>
    </w:pPr>
    <w:rPr>
      <w:b/>
      <w:bCs/>
      <w:snapToGrid w:val="0"/>
      <w:sz w:val="16"/>
      <w:szCs w:val="20"/>
      <w:lang w:eastAsia="en-US"/>
    </w:rPr>
  </w:style>
  <w:style w:type="paragraph" w:customStyle="1" w:styleId="RollCallTable">
    <w:name w:val="RollCallTable"/>
    <w:basedOn w:val="Normal"/>
    <w:rsid w:val="00565298"/>
    <w:pPr>
      <w:spacing w:before="120" w:after="120"/>
    </w:pPr>
    <w:rPr>
      <w:snapToGrid w:val="0"/>
      <w:sz w:val="16"/>
      <w:szCs w:val="20"/>
      <w:lang w:eastAsia="en-US"/>
    </w:rPr>
  </w:style>
  <w:style w:type="character" w:styleId="CommentReference">
    <w:name w:val="annotation reference"/>
    <w:basedOn w:val="DefaultParagraphFont"/>
    <w:rsid w:val="00AF0131"/>
    <w:rPr>
      <w:sz w:val="16"/>
      <w:szCs w:val="16"/>
    </w:rPr>
  </w:style>
  <w:style w:type="paragraph" w:styleId="CommentText">
    <w:name w:val="annotation text"/>
    <w:basedOn w:val="Normal"/>
    <w:link w:val="CommentTextChar"/>
    <w:rsid w:val="00AF0131"/>
    <w:rPr>
      <w:sz w:val="20"/>
      <w:szCs w:val="20"/>
    </w:rPr>
  </w:style>
  <w:style w:type="character" w:customStyle="1" w:styleId="CommentTextChar">
    <w:name w:val="Comment Text Char"/>
    <w:basedOn w:val="DefaultParagraphFont"/>
    <w:link w:val="CommentText"/>
    <w:rsid w:val="00AF0131"/>
  </w:style>
  <w:style w:type="paragraph" w:styleId="CommentSubject">
    <w:name w:val="annotation subject"/>
    <w:basedOn w:val="CommentText"/>
    <w:next w:val="CommentText"/>
    <w:link w:val="CommentSubjectChar"/>
    <w:semiHidden/>
    <w:unhideWhenUsed/>
    <w:rsid w:val="00AF0131"/>
    <w:rPr>
      <w:b/>
      <w:bCs/>
    </w:rPr>
  </w:style>
  <w:style w:type="character" w:customStyle="1" w:styleId="CommentSubjectChar">
    <w:name w:val="Comment Subject Char"/>
    <w:basedOn w:val="CommentTextChar"/>
    <w:link w:val="CommentSubject"/>
    <w:semiHidden/>
    <w:rsid w:val="00AF01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18696-4C35-4E77-8375-4FF9794A9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8740</Words>
  <Characters>47292</Characters>
  <Application>Microsoft Office Word</Application>
  <DocSecurity>0</DocSecurity>
  <Lines>1790</Lines>
  <Paragraphs>436</Paragraphs>
  <ScaleCrop>false</ScaleCrop>
  <HeadingPairs>
    <vt:vector size="2" baseType="variant">
      <vt:variant>
        <vt:lpstr>Title</vt:lpstr>
      </vt:variant>
      <vt:variant>
        <vt:i4>1</vt:i4>
      </vt:variant>
    </vt:vector>
  </HeadingPairs>
  <TitlesOfParts>
    <vt:vector size="1" baseType="lpstr">
      <vt:lpstr>PA_Legam</vt:lpstr>
    </vt:vector>
  </TitlesOfParts>
  <Company/>
  <LinksUpToDate>false</LinksUpToDate>
  <CharactersWithSpaces>55719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creator>European Parliament</dc:creator>
  <cp:lastModifiedBy>European Parliament</cp:lastModifiedBy>
  <cp:revision>2</cp:revision>
  <dcterms:created xsi:type="dcterms:W3CDTF">2023-11-15T14:14:00Z</dcterms:created>
  <dcterms:modified xsi:type="dcterms:W3CDTF">2023-11-15T14:14:00Z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ES</vt:lpwstr>
  </property>
  <property fmtid="{D5CDD505-2E9C-101B-9397-08002B2CF9AE}" pid="3" name="&lt;FdR&gt;">
    <vt:lpwstr>1288324</vt:lpwstr>
  </property>
  <property fmtid="{D5CDD505-2E9C-101B-9397-08002B2CF9AE}" pid="4" name="&lt;Model&gt;">
    <vt:lpwstr>PA_Legam</vt:lpwstr>
  </property>
  <property fmtid="{D5CDD505-2E9C-101B-9397-08002B2CF9AE}" pid="5" name="&lt;ModelCod&gt;">
    <vt:lpwstr>\\eiciBRUpr1\pdocep$\DocEP\DOCS\General\PA\PA_Leg\PA_Legam.dotx(19/12/2022 07:51:18)</vt:lpwstr>
  </property>
  <property fmtid="{D5CDD505-2E9C-101B-9397-08002B2CF9AE}" pid="6" name="&lt;ModelTra&gt;">
    <vt:lpwstr>\\eiciBRUpr1\pdocep$\DocEP\TRANSFIL\EN\PA_Legam.EN(21/03/2023 17:53:01)</vt:lpwstr>
  </property>
  <property fmtid="{D5CDD505-2E9C-101B-9397-08002B2CF9AE}" pid="7" name="&lt;Type&gt;">
    <vt:lpwstr>AD</vt:lpwstr>
  </property>
  <property fmtid="{D5CDD505-2E9C-101B-9397-08002B2CF9AE}" pid="8" name="Created with">
    <vt:lpwstr>9.14.1 Build [20230315]</vt:lpwstr>
  </property>
  <property fmtid="{D5CDD505-2E9C-101B-9397-08002B2CF9AE}" pid="9" name="FooterPath">
    <vt:lpwstr>AD\1288324ES.docx</vt:lpwstr>
  </property>
  <property fmtid="{D5CDD505-2E9C-101B-9397-08002B2CF9AE}" pid="10" name="LastEdited with">
    <vt:lpwstr>9.16.1 Build [20230920]</vt:lpwstr>
  </property>
  <property fmtid="{D5CDD505-2E9C-101B-9397-08002B2CF9AE}" pid="11" name="PE number">
    <vt:lpwstr>752.621</vt:lpwstr>
  </property>
  <property fmtid="{D5CDD505-2E9C-101B-9397-08002B2CF9AE}" pid="12" name="SDLStudio">
    <vt:lpwstr/>
  </property>
  <property fmtid="{D5CDD505-2E9C-101B-9397-08002B2CF9AE}" pid="13" name="SendToEpades">
    <vt:lpwstr>OK - 2023/10/30 08:33</vt:lpwstr>
  </property>
  <property fmtid="{D5CDD505-2E9C-101B-9397-08002B2CF9AE}" pid="14" name="Bookout">
    <vt:lpwstr>OK - 2023/11/15 15:14</vt:lpwstr>
  </property>
</Properties>
</file>