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010AD3" w:rsidRPr="00AC391A" w:rsidTr="00E34A5C">
        <w:trPr>
          <w:trHeight w:hRule="exact" w:val="1418"/>
        </w:trPr>
        <w:tc>
          <w:tcPr>
            <w:tcW w:w="6804" w:type="dxa"/>
            <w:shd w:val="clear" w:color="auto" w:fill="auto"/>
            <w:vAlign w:val="center"/>
          </w:tcPr>
          <w:p w:rsidR="00BA3E40" w:rsidRPr="00AC391A" w:rsidRDefault="00AC391A" w:rsidP="00E34A5C">
            <w:pPr>
              <w:pStyle w:val="EPName"/>
            </w:pPr>
            <w:r w:rsidRPr="00AC391A">
              <w:t>Euroopan parlamentti</w:t>
            </w:r>
          </w:p>
          <w:p w:rsidR="00BA3E40" w:rsidRPr="00AC391A" w:rsidRDefault="00AC391A" w:rsidP="009B6583">
            <w:pPr>
              <w:pStyle w:val="EPTerm"/>
            </w:pPr>
            <w:r w:rsidRPr="00AC391A">
              <w:t>2019-2024</w:t>
            </w:r>
          </w:p>
        </w:tc>
        <w:tc>
          <w:tcPr>
            <w:tcW w:w="2268" w:type="dxa"/>
            <w:shd w:val="clear" w:color="auto" w:fill="auto"/>
          </w:tcPr>
          <w:p w:rsidR="00BA3E40" w:rsidRPr="00AC391A" w:rsidRDefault="00AC391A" w:rsidP="00E34A5C">
            <w:pPr>
              <w:pStyle w:val="EPLogo"/>
            </w:pPr>
            <w:r w:rsidRPr="00AC391A">
              <w:rPr>
                <w:noProof/>
                <w:lang w:bidi="ne-NP"/>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AC391A" w:rsidRDefault="00F24D40" w:rsidP="00F24D40">
      <w:pPr>
        <w:pStyle w:val="LineTop"/>
      </w:pPr>
    </w:p>
    <w:p w:rsidR="00F24D40" w:rsidRPr="00AC391A" w:rsidRDefault="00AC391A" w:rsidP="00F24D40">
      <w:pPr>
        <w:pStyle w:val="EPBody"/>
      </w:pPr>
      <w:r w:rsidRPr="00AC391A">
        <w:rPr>
          <w:rStyle w:val="HideTWBExt"/>
        </w:rPr>
        <w:t>&lt;</w:t>
      </w:r>
      <w:r w:rsidRPr="00AC391A">
        <w:rPr>
          <w:rStyle w:val="HideTWBExt"/>
          <w:i w:val="0"/>
        </w:rPr>
        <w:t>Commission</w:t>
      </w:r>
      <w:r w:rsidRPr="00AC391A">
        <w:rPr>
          <w:rStyle w:val="HideTWBExt"/>
        </w:rPr>
        <w:t>&gt;</w:t>
      </w:r>
      <w:r w:rsidRPr="00AC391A">
        <w:rPr>
          <w:rStyle w:val="HideTWBInt"/>
        </w:rPr>
        <w:t>{EMPL}</w:t>
      </w:r>
      <w:r w:rsidRPr="00AC391A">
        <w:t>Työllisyyden ja sosiaaliasioiden valiokunta</w:t>
      </w:r>
      <w:r w:rsidRPr="00AC391A">
        <w:rPr>
          <w:rStyle w:val="HideTWBExt"/>
        </w:rPr>
        <w:t>&lt;/</w:t>
      </w:r>
      <w:r w:rsidRPr="00AC391A">
        <w:rPr>
          <w:rStyle w:val="HideTWBExt"/>
          <w:i w:val="0"/>
        </w:rPr>
        <w:t>Commission</w:t>
      </w:r>
      <w:r w:rsidRPr="00AC391A">
        <w:rPr>
          <w:rStyle w:val="HideTWBExt"/>
        </w:rPr>
        <w:t>&gt;</w:t>
      </w:r>
    </w:p>
    <w:p w:rsidR="00F24D40" w:rsidRPr="00AC391A" w:rsidRDefault="00F24D40" w:rsidP="00F24D40">
      <w:pPr>
        <w:pStyle w:val="LineBottom"/>
      </w:pPr>
    </w:p>
    <w:p w:rsidR="00AF0131" w:rsidRPr="00AC391A" w:rsidRDefault="00AC391A" w:rsidP="00AF0131">
      <w:pPr>
        <w:pStyle w:val="CoverReference"/>
      </w:pPr>
      <w:r w:rsidRPr="00AC391A">
        <w:rPr>
          <w:rStyle w:val="HideTWBExt"/>
          <w:b w:val="0"/>
        </w:rPr>
        <w:t>&lt;RefProc&gt;</w:t>
      </w:r>
      <w:r w:rsidRPr="00AC391A">
        <w:t>2023/0138</w:t>
      </w:r>
      <w:r w:rsidRPr="00AC391A">
        <w:rPr>
          <w:rStyle w:val="HideTWBExt"/>
          <w:b w:val="0"/>
        </w:rPr>
        <w:t>&lt;/RefProc&gt;&lt;RefTypeProc&gt;</w:t>
      </w:r>
      <w:r w:rsidRPr="00AC391A">
        <w:t>(COD)</w:t>
      </w:r>
      <w:r w:rsidRPr="00AC391A">
        <w:rPr>
          <w:rStyle w:val="HideTWBExt"/>
          <w:b w:val="0"/>
        </w:rPr>
        <w:t>&lt;/RefTypeProc&gt;</w:t>
      </w:r>
    </w:p>
    <w:p w:rsidR="00AF0131" w:rsidRPr="00AC391A" w:rsidRDefault="00AC391A" w:rsidP="00AF0131">
      <w:pPr>
        <w:pStyle w:val="CoverDate"/>
      </w:pPr>
      <w:r w:rsidRPr="00AC391A">
        <w:rPr>
          <w:rStyle w:val="HideTWBExt"/>
        </w:rPr>
        <w:t>&lt;Date&gt;</w:t>
      </w:r>
      <w:r w:rsidRPr="00AC391A">
        <w:rPr>
          <w:rStyle w:val="HideTWBInt"/>
        </w:rPr>
        <w:t>{30/10/2023}</w:t>
      </w:r>
      <w:r w:rsidRPr="00AC391A">
        <w:t>30.10.2023</w:t>
      </w:r>
      <w:r w:rsidRPr="00AC391A">
        <w:rPr>
          <w:rStyle w:val="HideTWBExt"/>
        </w:rPr>
        <w:t>&lt;/Date&gt;</w:t>
      </w:r>
    </w:p>
    <w:p w:rsidR="00AF0131" w:rsidRPr="00AC391A" w:rsidRDefault="00AC391A" w:rsidP="00AF0131">
      <w:pPr>
        <w:pStyle w:val="CoverDocType24a"/>
      </w:pPr>
      <w:r w:rsidRPr="00AC391A">
        <w:rPr>
          <w:rStyle w:val="HideTWBExt"/>
          <w:b w:val="0"/>
        </w:rPr>
        <w:t>&lt;TitreType&gt;</w:t>
      </w:r>
      <w:r w:rsidRPr="00AC391A">
        <w:t>LAUSUNTO</w:t>
      </w:r>
      <w:r w:rsidRPr="00AC391A">
        <w:rPr>
          <w:rStyle w:val="HideTWBExt"/>
          <w:b w:val="0"/>
        </w:rPr>
        <w:t>&lt;/TitreType&gt;</w:t>
      </w:r>
    </w:p>
    <w:p w:rsidR="00AF0131" w:rsidRPr="00AC391A" w:rsidRDefault="00AC391A" w:rsidP="00AF0131">
      <w:pPr>
        <w:pStyle w:val="CoverNormal24a"/>
      </w:pPr>
      <w:r w:rsidRPr="00AC391A">
        <w:rPr>
          <w:rStyle w:val="HideTWBExt"/>
        </w:rPr>
        <w:t>&lt;CommissionResp&gt;</w:t>
      </w:r>
      <w:r w:rsidRPr="00AC391A">
        <w:t>työllisyyden ja sosiaaliasioiden valiokunnalta</w:t>
      </w:r>
      <w:r w:rsidRPr="00AC391A">
        <w:rPr>
          <w:rStyle w:val="HideTWBExt"/>
        </w:rPr>
        <w:t>&lt;/CommissionResp&gt;</w:t>
      </w:r>
    </w:p>
    <w:p w:rsidR="00AF0131" w:rsidRPr="00AC391A" w:rsidRDefault="00AC391A" w:rsidP="00AF0131">
      <w:pPr>
        <w:pStyle w:val="CoverNormal24a"/>
      </w:pPr>
      <w:r w:rsidRPr="00AC391A">
        <w:rPr>
          <w:rStyle w:val="HideTWBExt"/>
        </w:rPr>
        <w:t>&lt;CommissionInt&gt;</w:t>
      </w:r>
      <w:r w:rsidRPr="00AC391A">
        <w:t>talous- ja raha-asioiden valiokunnalle</w:t>
      </w:r>
      <w:r w:rsidRPr="00AC391A">
        <w:rPr>
          <w:rStyle w:val="HideTWBExt"/>
        </w:rPr>
        <w:t>&lt;/CommissionInt&gt;</w:t>
      </w:r>
    </w:p>
    <w:p w:rsidR="00AF0131" w:rsidRPr="00AC391A" w:rsidRDefault="00AC391A" w:rsidP="00AF0131">
      <w:pPr>
        <w:pStyle w:val="CoverNormal"/>
      </w:pPr>
      <w:r w:rsidRPr="00AC391A">
        <w:rPr>
          <w:rStyle w:val="HideTWBExt"/>
        </w:rPr>
        <w:t>&lt;Titre&gt;</w:t>
      </w:r>
      <w:r w:rsidRPr="00AC391A">
        <w:t>ehdotuksesta Euroopan parlamentin ja neuvoston asetukseksi talouspolitiikan tuloksellisesta koordin</w:t>
      </w:r>
      <w:r w:rsidRPr="00AC391A">
        <w:t>oinnista ja monenvälisestä julkisen talouden valvonnasta sekä neuvoston asetuksen (EY) N:o 1466/97 kumoamisesta</w:t>
      </w:r>
      <w:r w:rsidRPr="00AC391A">
        <w:rPr>
          <w:rStyle w:val="HideTWBExt"/>
        </w:rPr>
        <w:t>&lt;/Titre&gt;</w:t>
      </w:r>
    </w:p>
    <w:p w:rsidR="00AF0131" w:rsidRPr="00AC391A" w:rsidRDefault="00AC391A" w:rsidP="00AF0131">
      <w:pPr>
        <w:pStyle w:val="CoverNormal24a"/>
      </w:pPr>
      <w:r w:rsidRPr="00AC391A">
        <w:rPr>
          <w:rStyle w:val="HideTWBExt"/>
        </w:rPr>
        <w:t>&lt;DocRef&gt;</w:t>
      </w:r>
      <w:r w:rsidRPr="00AC391A">
        <w:t>(COM(2023)0240 – C9</w:t>
      </w:r>
      <w:r w:rsidRPr="00AC391A">
        <w:noBreakHyphen/>
        <w:t>0150/2023 – 2023/0138(COD))</w:t>
      </w:r>
      <w:r w:rsidRPr="00AC391A">
        <w:rPr>
          <w:rStyle w:val="HideTWBExt"/>
        </w:rPr>
        <w:t>&lt;/DocRef&gt;</w:t>
      </w:r>
    </w:p>
    <w:p w:rsidR="00AF0131" w:rsidRPr="00AC391A" w:rsidRDefault="00AC391A" w:rsidP="00AF0131">
      <w:pPr>
        <w:pStyle w:val="CoverNormal24a"/>
      </w:pPr>
      <w:r w:rsidRPr="00AC391A">
        <w:t xml:space="preserve">Valmistelija (*): </w:t>
      </w:r>
      <w:r w:rsidRPr="00AC391A">
        <w:rPr>
          <w:rStyle w:val="HideTWBExt"/>
        </w:rPr>
        <w:t>&lt;Depute&gt;</w:t>
      </w:r>
      <w:r w:rsidRPr="00AC391A">
        <w:t>Gabriele Bischoff</w:t>
      </w:r>
      <w:r w:rsidRPr="00AC391A">
        <w:rPr>
          <w:rStyle w:val="HideTWBExt"/>
        </w:rPr>
        <w:t>&lt;/Depute&gt;</w:t>
      </w:r>
    </w:p>
    <w:p w:rsidR="00AF0131" w:rsidRPr="00AC391A" w:rsidRDefault="00AC391A" w:rsidP="00AF0131">
      <w:pPr>
        <w:pStyle w:val="CoverNormal"/>
        <w:rPr>
          <w:snapToGrid w:val="0"/>
          <w:szCs w:val="24"/>
        </w:rPr>
      </w:pPr>
      <w:r w:rsidRPr="00AC391A">
        <w:rPr>
          <w:snapToGrid w:val="0"/>
        </w:rPr>
        <w:t xml:space="preserve">(*) </w:t>
      </w:r>
      <w:r w:rsidRPr="00AC391A">
        <w:rPr>
          <w:snapToGrid w:val="0"/>
        </w:rPr>
        <w:t>Valiokuntien yhteistyömenettely – työjärjestyksen 57 artikla</w:t>
      </w:r>
    </w:p>
    <w:p w:rsidR="00AF0131" w:rsidRPr="00AC391A" w:rsidRDefault="00AF0131" w:rsidP="00AF0131">
      <w:pPr>
        <w:pStyle w:val="CoverNormal"/>
        <w:rPr>
          <w:snapToGrid w:val="0"/>
          <w:szCs w:val="24"/>
        </w:rPr>
      </w:pPr>
    </w:p>
    <w:p w:rsidR="00AF0131" w:rsidRPr="00AC391A" w:rsidRDefault="00AF0131" w:rsidP="00AF0131">
      <w:pPr>
        <w:pStyle w:val="CoverNormal"/>
        <w:rPr>
          <w:snapToGrid w:val="0"/>
          <w:szCs w:val="24"/>
        </w:rPr>
      </w:pPr>
    </w:p>
    <w:p w:rsidR="00AF0131" w:rsidRPr="00AC391A" w:rsidRDefault="00AF0131" w:rsidP="00AF0131">
      <w:pPr>
        <w:pStyle w:val="CoverNormal"/>
        <w:rPr>
          <w:snapToGrid w:val="0"/>
          <w:szCs w:val="24"/>
        </w:rPr>
      </w:pPr>
    </w:p>
    <w:p w:rsidR="00AF0131" w:rsidRPr="00AC391A" w:rsidRDefault="00AF0131" w:rsidP="00AF0131">
      <w:pPr>
        <w:pStyle w:val="CoverNormal"/>
        <w:rPr>
          <w:snapToGrid w:val="0"/>
          <w:szCs w:val="24"/>
        </w:rPr>
      </w:pPr>
    </w:p>
    <w:p w:rsidR="00AF0131" w:rsidRPr="00AC391A" w:rsidRDefault="00AC391A" w:rsidP="00AF0131">
      <w:pPr>
        <w:tabs>
          <w:tab w:val="center" w:pos="4677"/>
        </w:tabs>
      </w:pPr>
      <w:r w:rsidRPr="00AC391A">
        <w:br w:type="page"/>
      </w:r>
      <w:r w:rsidRPr="00AC391A">
        <w:lastRenderedPageBreak/>
        <w:t>PA_Legam</w:t>
      </w:r>
    </w:p>
    <w:p w:rsidR="00AF0131" w:rsidRPr="00AC391A" w:rsidRDefault="00AC391A" w:rsidP="00C56375">
      <w:pPr>
        <w:pStyle w:val="PageHeadingNotTOC"/>
      </w:pPr>
      <w:r w:rsidRPr="00AC391A">
        <w:br w:type="page"/>
      </w:r>
      <w:r w:rsidRPr="00AC391A">
        <w:lastRenderedPageBreak/>
        <w:t>TARKISTUKSET</w:t>
      </w:r>
    </w:p>
    <w:p w:rsidR="00AF0131" w:rsidRPr="00AC391A" w:rsidRDefault="00AC391A" w:rsidP="00AF0131">
      <w:pPr>
        <w:pStyle w:val="Normal12a"/>
      </w:pPr>
      <w:bookmarkStart w:id="0" w:name="IntroA"/>
      <w:r w:rsidRPr="00AC391A">
        <w:t>Työllisyyden ja sosiaaliasioiden valiokunta pyytää asiasta vastaavaa talous- ja raha-asioiden valiokuntaa ottamaan huomioon seuraavan:</w:t>
      </w:r>
    </w:p>
    <w:bookmarkEnd w:id="0"/>
    <w:p w:rsidR="00AF0131" w:rsidRPr="00AC391A" w:rsidRDefault="00AC391A" w:rsidP="00C56375">
      <w:r w:rsidRPr="00AC391A">
        <w:rPr>
          <w:rStyle w:val="HideTWBExt"/>
          <w:b/>
        </w:rPr>
        <w:t>&lt;RepeatBlock-Amend&gt;</w:t>
      </w:r>
      <w:r w:rsidRPr="00AC391A">
        <w:rPr>
          <w:rStyle w:val="HideTWBExt"/>
        </w:rPr>
        <w:t>&lt;Amend&gt;</w:t>
      </w:r>
      <w:r w:rsidRPr="00AC391A">
        <w:t>Tarkistus</w:t>
      </w:r>
      <w:r w:rsidRPr="00AC391A">
        <w:tab/>
      </w:r>
      <w:r w:rsidRPr="00AC391A">
        <w:rPr>
          <w:rStyle w:val="HideTWBExt"/>
        </w:rPr>
        <w:t>&lt;NumAm&gt;</w:t>
      </w:r>
      <w:r w:rsidRPr="00AC391A">
        <w:t>1</w:t>
      </w:r>
      <w:r w:rsidRPr="00AC391A">
        <w:rPr>
          <w:rStyle w:val="HideTWBExt"/>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2 kappale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(2)</w:t>
            </w:r>
            <w:r w:rsidRPr="00AC391A">
              <w:tab/>
              <w:t>Alun perin 7 päivänä heinäkuuta 1997 annetuista neuvoston asetuksesta (EY) N:o 1466/97</w:t>
            </w:r>
            <w:r w:rsidRPr="00AC391A">
              <w:rPr>
                <w:vertAlign w:val="superscript"/>
              </w:rPr>
              <w:t>19</w:t>
            </w:r>
            <w:r w:rsidRPr="00AC391A">
              <w:t xml:space="preserve"> ja neuvoston asetuksesta (EY) N:o 1467/97</w:t>
            </w:r>
            <w:r w:rsidRPr="00AC391A">
              <w:rPr>
                <w:vertAlign w:val="superscript"/>
              </w:rPr>
              <w:t>20</w:t>
            </w:r>
            <w:r w:rsidRPr="00AC391A">
              <w:t xml:space="preserve"> sekä vakaus- ja kasvusopimuksesta 17 päivänä kesäkuuta 1997 annetusta Eurooppa-neuvoston päätöslauselmasta koostuneen vakaus- ja kasvusopimuksen tavoitteena on terve ja kestävä julkinen talous, jolla pyritään va</w:t>
            </w:r>
            <w:r w:rsidRPr="00AC391A">
              <w:t>hvistamaan hintavakauden edellytyksiä sekä saavuttamaan rahoitusvakauden tukema vahva ja kestävä kasvu ja tukemaan tällä tavoin kestävää kasvua koskevien unionin tavoitteiden saavuttamista.</w:t>
            </w:r>
          </w:p>
        </w:tc>
        <w:tc>
          <w:tcPr>
            <w:tcW w:w="4876" w:type="dxa"/>
            <w:hideMark/>
          </w:tcPr>
          <w:p w:rsidR="00AF0131" w:rsidRPr="00AC391A" w:rsidRDefault="00AC391A" w:rsidP="00C33FBD">
            <w:pPr>
              <w:pStyle w:val="Normal6"/>
              <w:rPr>
                <w:szCs w:val="24"/>
              </w:rPr>
            </w:pPr>
            <w:r w:rsidRPr="00AC391A">
              <w:t>(2)</w:t>
            </w:r>
            <w:r w:rsidRPr="00AC391A">
              <w:tab/>
              <w:t>Alun perin 7 päivänä heinäkuuta 1997 annetuista neuvoston aset</w:t>
            </w:r>
            <w:r w:rsidRPr="00AC391A">
              <w:t>uksesta (EY) N:o 1466/97</w:t>
            </w:r>
            <w:r w:rsidRPr="00AC391A">
              <w:rPr>
                <w:vertAlign w:val="superscript"/>
              </w:rPr>
              <w:t>19</w:t>
            </w:r>
            <w:r w:rsidRPr="00AC391A">
              <w:t xml:space="preserve"> ja neuvoston asetuksesta (EY) N:o 1467/97</w:t>
            </w:r>
            <w:r w:rsidRPr="00AC391A">
              <w:rPr>
                <w:vertAlign w:val="superscript"/>
              </w:rPr>
              <w:t>20</w:t>
            </w:r>
            <w:r w:rsidRPr="00AC391A">
              <w:t xml:space="preserve"> sekä vakaus- ja kasvusopimuksesta 17 päivänä kesäkuuta 1997 annetusta Eurooppa-neuvoston päätöslauselmasta</w:t>
            </w:r>
            <w:r w:rsidRPr="00AC391A">
              <w:rPr>
                <w:vertAlign w:val="superscript"/>
              </w:rPr>
              <w:t>21</w:t>
            </w:r>
            <w:r w:rsidRPr="00AC391A">
              <w:t xml:space="preserve"> koostuneen vakaus- ja kasvusopimuksen tavoitteena on terve ja kestävä julkin</w:t>
            </w:r>
            <w:r w:rsidRPr="00AC391A">
              <w:t>en talous, jolla pyritään vahvistamaan hintavakauden edellytyksiä sekä saavuttamaan rahoitusvakauden tukema vahva ja kestävä</w:t>
            </w:r>
            <w:r w:rsidRPr="00AC391A">
              <w:rPr>
                <w:b/>
                <w:bCs/>
                <w:i/>
                <w:iCs/>
              </w:rPr>
              <w:t>, uusien työpaikkojen syntymistä edistävä</w:t>
            </w:r>
            <w:r w:rsidRPr="00AC391A">
              <w:t xml:space="preserve"> kasvu ja tukemaan tällä tavoin kestävää,</w:t>
            </w:r>
            <w:r w:rsidRPr="00AC391A">
              <w:rPr>
                <w:b/>
                <w:bCs/>
                <w:i/>
                <w:iCs/>
              </w:rPr>
              <w:t xml:space="preserve"> täystyöllisyyteen ja sosiaaliseen edistykseen pyr</w:t>
            </w:r>
            <w:r w:rsidRPr="00AC391A">
              <w:rPr>
                <w:b/>
                <w:bCs/>
                <w:i/>
                <w:iCs/>
              </w:rPr>
              <w:t>kivää</w:t>
            </w:r>
            <w:r w:rsidRPr="00AC391A">
              <w:t xml:space="preserve"> kasvua koskevien unionin tavoitteiden saavuttamista.</w:t>
            </w:r>
          </w:p>
        </w:tc>
      </w:tr>
      <w:tr w:rsidR="00010AD3" w:rsidRPr="00AC391A" w:rsidTr="00C33FBD">
        <w:trPr>
          <w:jc w:val="center"/>
        </w:trPr>
        <w:tc>
          <w:tcPr>
            <w:tcW w:w="4876" w:type="dxa"/>
            <w:hideMark/>
          </w:tcPr>
          <w:p w:rsidR="00AF0131" w:rsidRPr="00AC391A" w:rsidRDefault="00AC391A" w:rsidP="00C33FBD">
            <w:pPr>
              <w:pStyle w:val="Normal6"/>
            </w:pPr>
            <w:r w:rsidRPr="00AC391A">
              <w:t>__________________</w:t>
            </w:r>
          </w:p>
        </w:tc>
        <w:tc>
          <w:tcPr>
            <w:tcW w:w="4876" w:type="dxa"/>
            <w:hideMark/>
          </w:tcPr>
          <w:p w:rsidR="00AF0131" w:rsidRPr="00AC391A" w:rsidRDefault="00AC391A" w:rsidP="00C33FBD">
            <w:pPr>
              <w:pStyle w:val="Normal6"/>
              <w:rPr>
                <w:szCs w:val="24"/>
              </w:rPr>
            </w:pPr>
            <w:r w:rsidRPr="00AC391A">
              <w:t>__________________</w:t>
            </w:r>
          </w:p>
        </w:tc>
      </w:tr>
      <w:tr w:rsidR="00010AD3" w:rsidRPr="00AC391A" w:rsidTr="00C33FBD">
        <w:trPr>
          <w:jc w:val="center"/>
        </w:trPr>
        <w:tc>
          <w:tcPr>
            <w:tcW w:w="4876" w:type="dxa"/>
            <w:hideMark/>
          </w:tcPr>
          <w:p w:rsidR="00AF0131" w:rsidRPr="00AC391A" w:rsidRDefault="00AC391A" w:rsidP="00C33FBD">
            <w:pPr>
              <w:pStyle w:val="Normal6"/>
            </w:pPr>
            <w:r w:rsidRPr="00AC391A">
              <w:rPr>
                <w:vertAlign w:val="superscript"/>
              </w:rPr>
              <w:t>19</w:t>
            </w:r>
            <w:r w:rsidRPr="00AC391A">
              <w:t xml:space="preserve"> Neuvoston asetus (EY) N:o 1466/97, annettu 7 päivänä heinäkuuta 1997, julkisyhteisöjen rahoitusaseman valvonnan sekä talouspolitiikan valvonnan ja yhteens</w:t>
            </w:r>
            <w:r w:rsidRPr="00AC391A">
              <w:t>ovittamisen tehostamisesta (EYVL L 209, 2.8.1997, s. 1).</w:t>
            </w:r>
          </w:p>
        </w:tc>
        <w:tc>
          <w:tcPr>
            <w:tcW w:w="4876" w:type="dxa"/>
            <w:hideMark/>
          </w:tcPr>
          <w:p w:rsidR="00AF0131" w:rsidRPr="00AC391A" w:rsidRDefault="00AC391A" w:rsidP="00C33FBD">
            <w:pPr>
              <w:pStyle w:val="Normal6"/>
              <w:rPr>
                <w:szCs w:val="24"/>
              </w:rPr>
            </w:pPr>
            <w:r w:rsidRPr="00AC391A">
              <w:rPr>
                <w:vertAlign w:val="superscript"/>
              </w:rPr>
              <w:t>19</w:t>
            </w:r>
            <w:r w:rsidRPr="00AC391A">
              <w:t xml:space="preserve"> Neuvoston asetus (EY) N:o 1466/97, annettu 7 päivänä heinäkuuta 1997, julkisyhteisöjen rahoitusaseman valvonnan sekä talouspolitiikan valvonnan ja yhteensovittamisen tehostamisesta (EYVL L 209, 2.</w:t>
            </w:r>
            <w:r w:rsidRPr="00AC391A">
              <w:t>8.1997, s. 1).</w:t>
            </w:r>
          </w:p>
        </w:tc>
      </w:tr>
      <w:tr w:rsidR="00010AD3" w:rsidRPr="00AC391A" w:rsidTr="00C33FBD">
        <w:trPr>
          <w:jc w:val="center"/>
        </w:trPr>
        <w:tc>
          <w:tcPr>
            <w:tcW w:w="4876" w:type="dxa"/>
            <w:hideMark/>
          </w:tcPr>
          <w:p w:rsidR="00AF0131" w:rsidRPr="00AC391A" w:rsidRDefault="00AC391A" w:rsidP="00C33FBD">
            <w:pPr>
              <w:pStyle w:val="Normal6"/>
            </w:pPr>
            <w:r w:rsidRPr="00AC391A">
              <w:rPr>
                <w:vertAlign w:val="superscript"/>
              </w:rPr>
              <w:t>20</w:t>
            </w:r>
            <w:r w:rsidRPr="00AC391A">
              <w:t xml:space="preserve"> Neuvoston asetus (EY) N:o 1467/97, annettu 7 päivänä heinäkuuta 1997, liiallisia alijäämiä koskevan menettelyn täytäntöönpanon nopeuttamisesta ja selkeyttämisestä (EYVL L 209, 2.8.1997, s. 6).</w:t>
            </w:r>
          </w:p>
        </w:tc>
        <w:tc>
          <w:tcPr>
            <w:tcW w:w="4876" w:type="dxa"/>
            <w:hideMark/>
          </w:tcPr>
          <w:p w:rsidR="00AF0131" w:rsidRPr="00AC391A" w:rsidRDefault="00AC391A" w:rsidP="00C33FBD">
            <w:pPr>
              <w:pStyle w:val="Normal6"/>
              <w:rPr>
                <w:szCs w:val="24"/>
              </w:rPr>
            </w:pPr>
            <w:r w:rsidRPr="00AC391A">
              <w:rPr>
                <w:vertAlign w:val="superscript"/>
              </w:rPr>
              <w:t>20</w:t>
            </w:r>
            <w:r w:rsidRPr="00AC391A">
              <w:t xml:space="preserve"> Neuvoston asetus (EY) N:o 1467/97, annett</w:t>
            </w:r>
            <w:r w:rsidRPr="00AC391A">
              <w:t>u 7 päivänä heinäkuuta 1997, liiallisia alijäämiä koskevan menettelyn täytäntöönpanon nopeuttamisesta ja selkeyttämisestä (EYVL L 209, 2.8.1997, s. 6).</w:t>
            </w:r>
          </w:p>
        </w:tc>
      </w:tr>
      <w:tr w:rsidR="00010AD3" w:rsidRPr="00AC391A" w:rsidTr="00C33FBD">
        <w:trPr>
          <w:jc w:val="center"/>
        </w:trPr>
        <w:tc>
          <w:tcPr>
            <w:tcW w:w="4876" w:type="dxa"/>
            <w:hideMark/>
          </w:tcPr>
          <w:p w:rsidR="00AF0131" w:rsidRPr="00AC391A" w:rsidRDefault="00AC391A" w:rsidP="00C33FBD">
            <w:pPr>
              <w:pStyle w:val="Normal6"/>
            </w:pPr>
            <w:r w:rsidRPr="00AC391A">
              <w:rPr>
                <w:vertAlign w:val="superscript"/>
              </w:rPr>
              <w:t>21</w:t>
            </w:r>
            <w:r w:rsidRPr="00AC391A">
              <w:t xml:space="preserve"> Eurooppa-neuvoston päätöslauselma vakaus- ja kasvusopimuksesta Amsterdam 17 päivänä kesäkuuta 1997 (</w:t>
            </w:r>
            <w:r w:rsidRPr="00AC391A">
              <w:t>EYVL C 236, 2.8.1997, s. 1).</w:t>
            </w:r>
          </w:p>
        </w:tc>
        <w:tc>
          <w:tcPr>
            <w:tcW w:w="4876" w:type="dxa"/>
            <w:hideMark/>
          </w:tcPr>
          <w:p w:rsidR="00AF0131" w:rsidRPr="00AC391A" w:rsidRDefault="00AC391A" w:rsidP="00C33FBD">
            <w:pPr>
              <w:pStyle w:val="Normal6"/>
              <w:rPr>
                <w:szCs w:val="24"/>
              </w:rPr>
            </w:pPr>
            <w:r w:rsidRPr="00AC391A">
              <w:rPr>
                <w:vertAlign w:val="superscript"/>
              </w:rPr>
              <w:t>21</w:t>
            </w:r>
            <w:r w:rsidRPr="00AC391A">
              <w:t xml:space="preserve"> Eurooppa-neuvoston päätöslauselma vakaus- ja kasvusopimuksesta Amsterdam 17 päivänä kesäkuuta 1997 (EYVL C 236, 2.8.1997, s. 1).</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5 kappale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(5)</w:t>
            </w:r>
            <w:r w:rsidRPr="00AC391A">
              <w:tab/>
              <w:t>Unionin talousohjausjärjestelmää olisi mukautettava siten, että siinä otetaan paremmin huomioon eri jäsenvaltioiden julkisen talouden rahoitusasemien, julkisen velan haasteiden ja</w:t>
            </w:r>
            <w:r w:rsidRPr="00AC391A">
              <w:t xml:space="preserve"> muiden haavoittuvuuksien lisääntyvä keskinäinen epäyhtenäisyys. Covid-19-pandemian johdosta toteutetut vahvat politiikkatoimet osoittautuivat hyvin tuloksellisiksi kriisin aiheuttamien taloudellisten ja sosiaalisten vahinkojen lieventämisessä, mutta kriis</w:t>
            </w:r>
            <w:r w:rsidRPr="00AC391A">
              <w:t xml:space="preserve">i sai aikaan julkisen ja yksityisen sektorin velkasuhteiden huomattavan kasvun. Tästä syystä on erityisen tärkeää, että velkasuhteita pienennetään maltillisille tasoille asteittain, pitkäjänteisesti </w:t>
            </w:r>
            <w:r w:rsidRPr="00AC391A">
              <w:rPr>
                <w:b/>
                <w:bCs/>
                <w:i/>
                <w:iCs/>
              </w:rPr>
              <w:t>ja</w:t>
            </w:r>
            <w:r w:rsidRPr="00AC391A">
              <w:t xml:space="preserve"> kasvua edistävällä tavalla ja että makrotalouden epäta</w:t>
            </w:r>
            <w:r w:rsidRPr="00AC391A">
              <w:t xml:space="preserve">sapainoja korjataan unohtamatta </w:t>
            </w:r>
            <w:r w:rsidRPr="00AC391A">
              <w:rPr>
                <w:b/>
                <w:bCs/>
                <w:i/>
                <w:iCs/>
              </w:rPr>
              <w:t>työllisyyttä</w:t>
            </w:r>
            <w:r w:rsidRPr="00AC391A">
              <w:t xml:space="preserve"> koskevia ja sosiaalisia tavoitteita. Lisäksi unionin talousohjausjärjestelmää olisi mukautettava siten, että sillä autetaan vastaamaan unionin keskipitkän ja pitkän aikavälin haasteisiin, joita ovat muun muassa </w:t>
            </w:r>
            <w:r w:rsidRPr="00AC391A">
              <w:t>oikeudenmukaisen digitaalisen ja vihreän siirtymän, mukaan lukien ilmastolaki</w:t>
            </w:r>
            <w:r w:rsidRPr="00AC391A">
              <w:rPr>
                <w:vertAlign w:val="superscript"/>
              </w:rPr>
              <w:t>22</w:t>
            </w:r>
            <w:r w:rsidRPr="00AC391A">
              <w:t>, aikaan saaminen, energiaturvallisuuden varmistaminen, avoin strateginen riippumattomuus, vastaaminen väestörakenteen muutokseen, yhteiskunnan ja talouden häiriönsietokyvyn vah</w:t>
            </w:r>
            <w:r w:rsidRPr="00AC391A">
              <w:t>vistaminen sekä turvallisuus- ja puolustusalan strategisen kompassin täytäntöönpano. Tämä kaikki edellyttää uudistuksia ja mittavia pitkäjänteisiä investointeja tulevina vuosina.</w:t>
            </w:r>
          </w:p>
        </w:tc>
        <w:tc>
          <w:tcPr>
            <w:tcW w:w="4876" w:type="dxa"/>
            <w:hideMark/>
          </w:tcPr>
          <w:p w:rsidR="00AF0131" w:rsidRPr="00AC391A" w:rsidRDefault="00AC391A" w:rsidP="00C33FBD">
            <w:pPr>
              <w:pStyle w:val="Normal6"/>
              <w:rPr>
                <w:szCs w:val="24"/>
              </w:rPr>
            </w:pPr>
            <w:r w:rsidRPr="00AC391A">
              <w:t>(5)</w:t>
            </w:r>
            <w:r w:rsidRPr="00AC391A">
              <w:tab/>
              <w:t>Unionin talousohjausjärjestelmää olisi mukautettava siten, että siinä ote</w:t>
            </w:r>
            <w:r w:rsidRPr="00AC391A">
              <w:t>taan paremmin huomioon eri jäsenvaltioiden julkisen talouden rahoitusasemien, julkisen velan haasteiden ja muiden haavoittuvuuksien lisääntyvä keskinäinen epäyhtenäisyys. Covid-19-pandemian johdosta toteutetut vahvat politiikkatoimet osoittautuivat hyvin t</w:t>
            </w:r>
            <w:r w:rsidRPr="00AC391A">
              <w:t>uloksellisiksi kriisin aiheuttamien taloudellisten ja sosiaalisten vahinkojen lieventämisessä, mutta kriisi sai aikaan julkisen ja yksityisen sektorin velkasuhteiden huomattavan kasvun. Tästä syystä on erityisen tärkeää, että velkasuhteita pienennetään mal</w:t>
            </w:r>
            <w:r w:rsidRPr="00AC391A">
              <w:t>tillisille tasoille asteittain, pitkäjänteisesti</w:t>
            </w:r>
            <w:r w:rsidRPr="00AC391A">
              <w:rPr>
                <w:b/>
                <w:i/>
              </w:rPr>
              <w:t>,</w:t>
            </w:r>
            <w:r w:rsidRPr="00AC391A">
              <w:t xml:space="preserve"> kasvua edistävällä </w:t>
            </w:r>
            <w:r w:rsidRPr="00AC391A">
              <w:rPr>
                <w:b/>
                <w:i/>
              </w:rPr>
              <w:t>ja osallistavalla</w:t>
            </w:r>
            <w:r w:rsidRPr="00AC391A">
              <w:t xml:space="preserve"> tavalla ja että makrotalouden epätasapainoja korjataan </w:t>
            </w:r>
            <w:r w:rsidRPr="00AC391A">
              <w:rPr>
                <w:b/>
                <w:i/>
              </w:rPr>
              <w:t>sekä ylöspäin tapahtuvaa sosiaalista lähentymistä tuetaan</w:t>
            </w:r>
            <w:r w:rsidRPr="00AC391A">
              <w:t xml:space="preserve"> unohtamatta </w:t>
            </w:r>
            <w:r w:rsidRPr="00AC391A">
              <w:rPr>
                <w:b/>
                <w:i/>
              </w:rPr>
              <w:t>laadukkaita työpaikkoja</w:t>
            </w:r>
            <w:r w:rsidRPr="00AC391A">
              <w:t xml:space="preserve"> koskevia ja sosiaali</w:t>
            </w:r>
            <w:r w:rsidRPr="00AC391A">
              <w:t>sia tavoitteita. Lisäksi unionin talousohjausjärjestelmää olisi mukautettava siten, että sillä autetaan vastaamaan unionin keskipitkän ja pitkän aikavälin haasteisiin, joita ovat muun muassa oikeudenmukaisen digitaalisen ja vihreän siirtymän, mukaan lukien</w:t>
            </w:r>
            <w:r w:rsidRPr="00AC391A">
              <w:t xml:space="preserve"> ilmastolaki</w:t>
            </w:r>
            <w:r w:rsidRPr="00AC391A">
              <w:rPr>
                <w:vertAlign w:val="superscript"/>
              </w:rPr>
              <w:t>22</w:t>
            </w:r>
            <w:r w:rsidRPr="00AC391A">
              <w:t xml:space="preserve"> </w:t>
            </w:r>
            <w:r w:rsidRPr="00AC391A">
              <w:rPr>
                <w:b/>
                <w:bCs/>
                <w:i/>
                <w:iCs/>
              </w:rPr>
              <w:t>ja Euroopan sosiaalisten oikeuksien pilarin täytäntöönpano</w:t>
            </w:r>
            <w:r w:rsidRPr="00AC391A">
              <w:t>, aikaan saaminen, energiaturvallisuuden varmistaminen, avoin strateginen riippumattomuus, vastaaminen väestörakenteen muutokseen, yhteiskunnan, ympäristöön liittyvän ja talouden häir</w:t>
            </w:r>
            <w:r w:rsidRPr="00AC391A">
              <w:t xml:space="preserve">iönsietokyvyn vahvistaminen </w:t>
            </w:r>
            <w:r w:rsidRPr="00AC391A">
              <w:rPr>
                <w:b/>
                <w:bCs/>
                <w:i/>
                <w:iCs/>
              </w:rPr>
              <w:t>myös sosiaalisia investointeja vahvistamalla</w:t>
            </w:r>
            <w:r w:rsidRPr="00AC391A">
              <w:t xml:space="preserve"> sekä turvallisuus- ja puolustusalan strategisen kompassin täytäntöönpano. Tämä kaikki edellyttää uudistuksia ja mittavia pitkäjänteisiä </w:t>
            </w:r>
            <w:r w:rsidRPr="00AC391A">
              <w:lastRenderedPageBreak/>
              <w:t>investointeja tulevina vuosina.</w:t>
            </w:r>
          </w:p>
        </w:tc>
      </w:tr>
      <w:tr w:rsidR="00010AD3" w:rsidRPr="00AC391A" w:rsidTr="00C33FBD">
        <w:trPr>
          <w:jc w:val="center"/>
        </w:trPr>
        <w:tc>
          <w:tcPr>
            <w:tcW w:w="4876" w:type="dxa"/>
            <w:hideMark/>
          </w:tcPr>
          <w:p w:rsidR="00AF0131" w:rsidRPr="00AC391A" w:rsidRDefault="00AC391A" w:rsidP="00C33FBD">
            <w:pPr>
              <w:pStyle w:val="Normal6"/>
            </w:pPr>
            <w:r w:rsidRPr="00AC391A">
              <w:lastRenderedPageBreak/>
              <w:t>______________</w:t>
            </w:r>
            <w:r w:rsidRPr="00AC391A">
              <w:t>____</w:t>
            </w:r>
          </w:p>
        </w:tc>
        <w:tc>
          <w:tcPr>
            <w:tcW w:w="4876" w:type="dxa"/>
            <w:hideMark/>
          </w:tcPr>
          <w:p w:rsidR="00AF0131" w:rsidRPr="00AC391A" w:rsidRDefault="00AC391A" w:rsidP="00C33FBD">
            <w:pPr>
              <w:pStyle w:val="Normal6"/>
              <w:rPr>
                <w:szCs w:val="24"/>
              </w:rPr>
            </w:pPr>
            <w:r w:rsidRPr="00AC391A">
              <w:t>__________________</w:t>
            </w:r>
          </w:p>
        </w:tc>
      </w:tr>
      <w:tr w:rsidR="00010AD3" w:rsidRPr="00AC391A" w:rsidTr="00C33FBD">
        <w:trPr>
          <w:jc w:val="center"/>
        </w:trPr>
        <w:tc>
          <w:tcPr>
            <w:tcW w:w="4876" w:type="dxa"/>
            <w:hideMark/>
          </w:tcPr>
          <w:p w:rsidR="00AF0131" w:rsidRPr="00AC391A" w:rsidRDefault="00AC391A" w:rsidP="00C33FBD">
            <w:pPr>
              <w:pStyle w:val="Normal6"/>
            </w:pPr>
            <w:r w:rsidRPr="00AC391A">
              <w:rPr>
                <w:vertAlign w:val="superscript"/>
              </w:rPr>
              <w:t>22</w:t>
            </w:r>
            <w:r w:rsidRPr="00AC391A">
              <w:t xml:space="preserve"> Eurooppalaisessa ilmastolaissa asetetaan unionin laajuinen ilmastoneutraaliustavoite, joka tulee saavuttaa vuoteen 2050 mennessä, ja edellytetään, että unionin toimielimet ja jäsenvaltiot edistyvät sopeutumiskyvyn parantamisessa, mikä edellyttää huomattav</w:t>
            </w:r>
            <w:r w:rsidRPr="00AC391A">
              <w:t>ia julkisia investointeja, joilla vähennetään ilmastonmuutoksen EU:lle ja sen jäsenvaltioille aiheuttamia kielteisiä sosioekonomisia vaikutuksia, kasvuun ja julkisen talouden kestävyyteen kohdistuvat kielteiset vaikutukset mukaan lukien.</w:t>
            </w:r>
          </w:p>
        </w:tc>
        <w:tc>
          <w:tcPr>
            <w:tcW w:w="4876" w:type="dxa"/>
            <w:hideMark/>
          </w:tcPr>
          <w:p w:rsidR="00AF0131" w:rsidRPr="00AC391A" w:rsidRDefault="00AC391A" w:rsidP="00C33FBD">
            <w:pPr>
              <w:pStyle w:val="Normal6"/>
              <w:rPr>
                <w:szCs w:val="24"/>
              </w:rPr>
            </w:pPr>
            <w:r w:rsidRPr="00AC391A">
              <w:rPr>
                <w:vertAlign w:val="superscript"/>
              </w:rPr>
              <w:t>22</w:t>
            </w:r>
            <w:r w:rsidRPr="00AC391A">
              <w:t xml:space="preserve"> Eurooppalaisess</w:t>
            </w:r>
            <w:r w:rsidRPr="00AC391A">
              <w:t>a ilmastolaissa asetetaan unionin laajuinen ilmastoneutraaliustavoite, joka tulee saavuttaa vuoteen 2050 mennessä, ja edellytetään, että unionin toimielimet ja jäsenvaltiot edistyvät sopeutumiskyvyn parantamisessa, mikä edellyttää huomattavia julkisia inve</w:t>
            </w:r>
            <w:r w:rsidRPr="00AC391A">
              <w:t>stointeja, joilla vähennetään ilmastonmuutoksen EU:lle ja sen jäsenvaltioille aiheuttamia kielteisiä sosioekonomisia vaikutuksia, kasvuun ja julkisen talouden kestävyyteen kohdistuvat kielteiset vaikutukset mukaan lukien.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w:t>
      </w:r>
      <w:r w:rsidRPr="00AC391A">
        <w:rPr>
          <w:rStyle w:val="HideTWBExt"/>
          <w:b w:val="0"/>
        </w:rPr>
        <w:t>&gt;</w:t>
      </w:r>
      <w:r w:rsidRPr="00AC391A">
        <w:t>3</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7 kappale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(7)</w:t>
            </w:r>
            <w:r w:rsidRPr="00AC391A">
              <w:tab/>
            </w:r>
            <w:r w:rsidRPr="00AC391A">
              <w:t xml:space="preserve">SEUT-sopimuksen 121 artiklan 2, 3 ja 4 kohdassa sekä 148 artiklan 4 kohdassa määrätyllä monenvälisellä valvontamenettelyllä olisi nykyistä tarkempia sääntöjä noudattaen seurattava kaikkea talouden </w:t>
            </w:r>
            <w:r w:rsidRPr="00AC391A">
              <w:rPr>
                <w:b/>
                <w:bCs/>
                <w:i/>
                <w:iCs/>
              </w:rPr>
              <w:t>ja</w:t>
            </w:r>
            <w:r w:rsidRPr="00AC391A">
              <w:t xml:space="preserve"> työllisyyden kehitystä kussakin jäsenvaltiossa ja unioni</w:t>
            </w:r>
            <w:r w:rsidRPr="00AC391A">
              <w:t>ssa. Tähän sisältyy makrotalouden epätasapainojen havaitseminen ja liiallisten epätasapainojen ehkäiseminen ja korjaaminen Euroopan parlamentin ja neuvoston asetusten (EU) N:o 1174/2011</w:t>
            </w:r>
            <w:r w:rsidRPr="00AC391A">
              <w:rPr>
                <w:vertAlign w:val="superscript"/>
              </w:rPr>
              <w:t>23</w:t>
            </w:r>
            <w:r w:rsidRPr="00AC391A">
              <w:t xml:space="preserve"> ja (EU) N:o 1176/2011</w:t>
            </w:r>
            <w:r w:rsidRPr="00AC391A">
              <w:rPr>
                <w:vertAlign w:val="superscript"/>
              </w:rPr>
              <w:t>24</w:t>
            </w:r>
            <w:r w:rsidRPr="00AC391A">
              <w:t xml:space="preserve"> mukaisesti. Jotta tällaista talouden </w:t>
            </w:r>
            <w:r w:rsidRPr="00AC391A">
              <w:rPr>
                <w:b/>
                <w:bCs/>
                <w:i/>
                <w:iCs/>
              </w:rPr>
              <w:t>ja</w:t>
            </w:r>
            <w:r w:rsidRPr="00AC391A">
              <w:t xml:space="preserve"> työl</w:t>
            </w:r>
            <w:r w:rsidRPr="00AC391A">
              <w:t>lisyyden kehitystä voidaan seurata, jäsenvaltioiden olisi toimitettava tietoja keskipitkän aikavälin finanssi- ja rakennepoliittisten suunnitelmien muodossa.</w:t>
            </w:r>
          </w:p>
        </w:tc>
        <w:tc>
          <w:tcPr>
            <w:tcW w:w="4876" w:type="dxa"/>
            <w:hideMark/>
          </w:tcPr>
          <w:p w:rsidR="00AF0131" w:rsidRPr="00AC391A" w:rsidRDefault="00AC391A" w:rsidP="00C33FBD">
            <w:pPr>
              <w:pStyle w:val="Normal6"/>
              <w:rPr>
                <w:szCs w:val="24"/>
              </w:rPr>
            </w:pPr>
            <w:r w:rsidRPr="00AC391A">
              <w:t>(7)</w:t>
            </w:r>
            <w:r w:rsidRPr="00AC391A">
              <w:tab/>
              <w:t>SEUT-sopimuksen 121 artiklan 2, 3 ja 4 kohdassa sekä 148 artiklan 4 kohdassa määrätyllä monenv</w:t>
            </w:r>
            <w:r w:rsidRPr="00AC391A">
              <w:t>älisellä valvontamenettelyllä olisi nykyistä tarkempia sääntöjä noudattaen seurattava kaikkea talouden</w:t>
            </w:r>
            <w:r w:rsidRPr="00AC391A">
              <w:rPr>
                <w:b/>
                <w:bCs/>
                <w:i/>
                <w:iCs/>
              </w:rPr>
              <w:t>,</w:t>
            </w:r>
            <w:r w:rsidRPr="00AC391A">
              <w:t xml:space="preserve"> työllisyyden </w:t>
            </w:r>
            <w:r w:rsidRPr="00AC391A">
              <w:rPr>
                <w:b/>
                <w:bCs/>
                <w:i/>
                <w:iCs/>
              </w:rPr>
              <w:t>ja yhteiskunnan</w:t>
            </w:r>
            <w:r w:rsidRPr="00AC391A">
              <w:t xml:space="preserve"> kehitystä kussakin jäsenvaltiossa ja unionissa, </w:t>
            </w:r>
            <w:r w:rsidRPr="00AC391A">
              <w:rPr>
                <w:b/>
                <w:bCs/>
                <w:i/>
                <w:iCs/>
              </w:rPr>
              <w:t>mukaan lukien edistyminen kansallisten tavoitteiden saavuttamisessa, mikä l</w:t>
            </w:r>
            <w:r w:rsidRPr="00AC391A">
              <w:rPr>
                <w:b/>
                <w:bCs/>
                <w:i/>
                <w:iCs/>
              </w:rPr>
              <w:t>iittyy Euroopan sosiaalisten oikeuksien pilarin päätavoitteisiin sekä niiden pääasiallisiin ja toissijaisiin indikaattoreihin.</w:t>
            </w:r>
            <w:r w:rsidRPr="00AC391A">
              <w:t xml:space="preserve"> Tähän sisältyy makrotalouden epätasapainojen havaitseminen ja liiallisten epätasapainojen ehkäiseminen ja korjaaminen Euroopan pa</w:t>
            </w:r>
            <w:r w:rsidRPr="00AC391A">
              <w:t>rlamentin ja neuvoston asetusten (EU) N:o 1174/2011</w:t>
            </w:r>
            <w:r w:rsidRPr="00AC391A">
              <w:rPr>
                <w:vertAlign w:val="superscript"/>
              </w:rPr>
              <w:t>23</w:t>
            </w:r>
            <w:r w:rsidRPr="00AC391A">
              <w:t xml:space="preserve"> ja (EU) N:o 1176/2011</w:t>
            </w:r>
            <w:r w:rsidRPr="00AC391A">
              <w:rPr>
                <w:vertAlign w:val="superscript"/>
              </w:rPr>
              <w:t>24</w:t>
            </w:r>
            <w:r w:rsidRPr="00AC391A">
              <w:t xml:space="preserve"> mukaisesti. Jotta tällaista talouden</w:t>
            </w:r>
            <w:r w:rsidRPr="00AC391A">
              <w:rPr>
                <w:b/>
                <w:bCs/>
                <w:i/>
                <w:iCs/>
              </w:rPr>
              <w:t>,</w:t>
            </w:r>
            <w:r w:rsidRPr="00AC391A">
              <w:t xml:space="preserve"> työllisyyden </w:t>
            </w:r>
            <w:r w:rsidRPr="00AC391A">
              <w:rPr>
                <w:b/>
                <w:bCs/>
                <w:i/>
                <w:iCs/>
              </w:rPr>
              <w:t>ja sosiaalisen lähentymisen</w:t>
            </w:r>
            <w:r w:rsidRPr="00AC391A">
              <w:t xml:space="preserve"> kehitystä voidaan seurata, jäsenvaltioiden olisi toimitettava tietoja keskipitkän aikavälin finanss</w:t>
            </w:r>
            <w:r w:rsidRPr="00AC391A">
              <w:t xml:space="preserve">i- ja rakennepoliittisten </w:t>
            </w:r>
            <w:r w:rsidRPr="00AC391A">
              <w:lastRenderedPageBreak/>
              <w:t>suunnitelmien muodossa.</w:t>
            </w:r>
          </w:p>
        </w:tc>
      </w:tr>
      <w:tr w:rsidR="00010AD3" w:rsidRPr="00AC391A" w:rsidTr="00C33FBD">
        <w:trPr>
          <w:jc w:val="center"/>
        </w:trPr>
        <w:tc>
          <w:tcPr>
            <w:tcW w:w="4876" w:type="dxa"/>
            <w:hideMark/>
          </w:tcPr>
          <w:p w:rsidR="00AF0131" w:rsidRPr="00AC391A" w:rsidRDefault="00AC391A" w:rsidP="00C33FBD">
            <w:pPr>
              <w:pStyle w:val="Normal6"/>
            </w:pPr>
            <w:r w:rsidRPr="00AC391A">
              <w:lastRenderedPageBreak/>
              <w:t>__________________</w:t>
            </w:r>
          </w:p>
        </w:tc>
        <w:tc>
          <w:tcPr>
            <w:tcW w:w="4876" w:type="dxa"/>
            <w:hideMark/>
          </w:tcPr>
          <w:p w:rsidR="00AF0131" w:rsidRPr="00AC391A" w:rsidRDefault="00AC391A" w:rsidP="00C33FBD">
            <w:pPr>
              <w:pStyle w:val="Normal6"/>
              <w:rPr>
                <w:szCs w:val="24"/>
              </w:rPr>
            </w:pPr>
            <w:r w:rsidRPr="00AC391A">
              <w:t>__________________</w:t>
            </w:r>
          </w:p>
        </w:tc>
      </w:tr>
      <w:tr w:rsidR="00010AD3" w:rsidRPr="00AC391A" w:rsidTr="00C33FBD">
        <w:trPr>
          <w:jc w:val="center"/>
        </w:trPr>
        <w:tc>
          <w:tcPr>
            <w:tcW w:w="4876" w:type="dxa"/>
            <w:hideMark/>
          </w:tcPr>
          <w:p w:rsidR="00AF0131" w:rsidRPr="00AC391A" w:rsidRDefault="00AC391A" w:rsidP="00C33FBD">
            <w:pPr>
              <w:pStyle w:val="Normal6"/>
            </w:pPr>
            <w:r w:rsidRPr="00AC391A">
              <w:rPr>
                <w:vertAlign w:val="superscript"/>
              </w:rPr>
              <w:t>23</w:t>
            </w:r>
            <w:r w:rsidRPr="00AC391A">
              <w:t xml:space="preserve"> Euroopan parlamentin ja neuvoston asetus (EU) N:o 1174/2011, annettu 16 päivänä marraskuuta 2011, täytäntöönpanotoimista liiallisen makrotalouden epätasapainon korjaamiseksi euroalueella (EUVL L 306, 23.11.2011, s. 8).</w:t>
            </w:r>
          </w:p>
        </w:tc>
        <w:tc>
          <w:tcPr>
            <w:tcW w:w="4876" w:type="dxa"/>
            <w:hideMark/>
          </w:tcPr>
          <w:p w:rsidR="00AF0131" w:rsidRPr="00AC391A" w:rsidRDefault="00AC391A" w:rsidP="00C33FBD">
            <w:pPr>
              <w:pStyle w:val="Normal6"/>
              <w:rPr>
                <w:szCs w:val="24"/>
              </w:rPr>
            </w:pPr>
            <w:r w:rsidRPr="00AC391A">
              <w:rPr>
                <w:vertAlign w:val="superscript"/>
              </w:rPr>
              <w:t>23</w:t>
            </w:r>
            <w:r w:rsidRPr="00AC391A">
              <w:t xml:space="preserve"> Euroopan parlamentin ja neuvoston</w:t>
            </w:r>
            <w:r w:rsidRPr="00AC391A">
              <w:t xml:space="preserve"> asetus (EU) N:o 1174/2011, annettu 16 päivänä marraskuuta 2011, täytäntöönpanotoimista liiallisen makrotalouden epätasapainon korjaamiseksi euroalueella (EUVL L 306, 23.11.2011, s. 8).</w:t>
            </w:r>
          </w:p>
        </w:tc>
      </w:tr>
      <w:tr w:rsidR="00010AD3" w:rsidRPr="00AC391A" w:rsidTr="00C33FBD">
        <w:trPr>
          <w:jc w:val="center"/>
        </w:trPr>
        <w:tc>
          <w:tcPr>
            <w:tcW w:w="4876" w:type="dxa"/>
            <w:hideMark/>
          </w:tcPr>
          <w:p w:rsidR="00AF0131" w:rsidRPr="00AC391A" w:rsidRDefault="00AC391A" w:rsidP="00C33FBD">
            <w:pPr>
              <w:pStyle w:val="Normal6"/>
            </w:pPr>
            <w:r w:rsidRPr="00AC391A">
              <w:rPr>
                <w:vertAlign w:val="superscript"/>
              </w:rPr>
              <w:t>24</w:t>
            </w:r>
            <w:r w:rsidRPr="00AC391A">
              <w:t xml:space="preserve"> Euroopan parlamentin ja neuvoston asetus (EU) N:o 1176/2011, annet</w:t>
            </w:r>
            <w:r w:rsidRPr="00AC391A">
              <w:t>tu 16 päivänä marraskuuta 2011, makrotalouden epätasapainon ennalta ehkäisemisestä ja korjaamisesta (EUVL L 306, 23.11.2011, s. 25).</w:t>
            </w:r>
          </w:p>
        </w:tc>
        <w:tc>
          <w:tcPr>
            <w:tcW w:w="4876" w:type="dxa"/>
            <w:hideMark/>
          </w:tcPr>
          <w:p w:rsidR="00AF0131" w:rsidRPr="00AC391A" w:rsidRDefault="00AC391A" w:rsidP="00C33FBD">
            <w:pPr>
              <w:pStyle w:val="Normal6"/>
              <w:rPr>
                <w:szCs w:val="24"/>
              </w:rPr>
            </w:pPr>
            <w:r w:rsidRPr="00AC391A">
              <w:rPr>
                <w:vertAlign w:val="superscript"/>
              </w:rPr>
              <w:t>24</w:t>
            </w:r>
            <w:r w:rsidRPr="00AC391A">
              <w:t xml:space="preserve"> Euroopan parlamentin ja neuvoston asetus (EU) N:o 1176/2011, annettu 16 päivänä marraskuuta 2011, makrotalouden epätasap</w:t>
            </w:r>
            <w:r w:rsidRPr="00AC391A">
              <w:t>ainon ennalta ehkäisemisestä ja korjaamisesta (EUVL L 306, 23.11.2011, s. 25).</w:t>
            </w:r>
          </w:p>
        </w:tc>
      </w:tr>
    </w:tbl>
    <w:p w:rsidR="00AF0131" w:rsidRPr="00AC391A" w:rsidRDefault="00AC391A" w:rsidP="00C56375">
      <w:pPr>
        <w:rPr>
          <w:rStyle w:val="HideTWBExt"/>
          <w:rFonts w:eastAsiaTheme="majorEastAsia"/>
          <w:color w:val="auto"/>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4</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7 a kappale (uusi)</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(7 a)</w:t>
            </w:r>
            <w:r w:rsidRPr="00AC391A">
              <w:rPr>
                <w:b/>
                <w:i/>
              </w:rPr>
              <w:tab/>
            </w:r>
            <w:r w:rsidRPr="00AC391A">
              <w:rPr>
                <w:b/>
                <w:i/>
              </w:rPr>
              <w:t>Ylöspäin tapahtuvan sosiaalisen lähentymisen edistämiseksi SEUT-sopimuksen 148 artiklan 4 kohdassa määrättyä monenvälistä valvontamenettelyä täydennetään EU-ohjausjakson (sosiaalisen lähentymisen kehys) mukaisella varhaisvaroitusjärjestelmällä. Komissio yk</w:t>
            </w:r>
            <w:r w:rsidRPr="00AC391A">
              <w:rPr>
                <w:b/>
                <w:i/>
              </w:rPr>
              <w:t>silöi sosiaalisen lähentymisen kehyksessä – SEUT-sopimuksen 148 artiklan mukaisesti – sosiaali-indikaattoreiden tulostaulun pääindikaattoreihin perustuvassa yhteisessä työllisyysraportissa riskit, jotka liittyvät ylöspäin tapahtuvaan lähentymiseen jäsenval</w:t>
            </w:r>
            <w:r w:rsidRPr="00AC391A">
              <w:rPr>
                <w:b/>
                <w:i/>
              </w:rPr>
              <w:t>tioissa. Toisessa vaiheessa komissio yksilöi jäsenvaltiot, jotka vaativat lisätarkastelua, ja julkaisee sosiaalista lähentymistä koskevat kertomukset niiden jäsenvaltioiden osalta, joiden on todettu olevan alttiina ylöspäin tapahtuvalle sosiaaliselle lähen</w:t>
            </w:r>
            <w:r w:rsidRPr="00AC391A">
              <w:rPr>
                <w:b/>
                <w:i/>
              </w:rPr>
              <w:t xml:space="preserve">tymiselle. Uuden kehyksen mukaisten monenvälisten valvontatoimien </w:t>
            </w:r>
            <w:r w:rsidRPr="00AC391A">
              <w:rPr>
                <w:b/>
                <w:i/>
              </w:rPr>
              <w:lastRenderedPageBreak/>
              <w:t>maakohtaisia päätelmiä olisi hyödynnettävä komission pohdinnassa maakohtaisia suosituksia koskevista ehdotuksista.</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5</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8 kappale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(8)</w:t>
            </w:r>
            <w:r w:rsidRPr="00AC391A">
              <w:tab/>
            </w:r>
            <w:r w:rsidRPr="00AC391A">
              <w:t>Tästä syystä olisi vahvistettava yksityiskohtaiset säännöt kansallisten keskipitkän aikavälin finanssi- ja rakennepoliittisten suunnitelmien sisällöstä, toimittamisesta, arvioinnista ja seurannasta, jotta voidaan edistää velkakestävyyttä sekä kestävää ja o</w:t>
            </w:r>
            <w:r w:rsidRPr="00AC391A">
              <w:t>sallistavaa kasvua jäsenvaltioissa ja ehkäistä keskipitkän aikavälin suunnittelun avulla liiallisen julkisen talouden alijäämän syntyminen.</w:t>
            </w:r>
          </w:p>
        </w:tc>
        <w:tc>
          <w:tcPr>
            <w:tcW w:w="4876" w:type="dxa"/>
            <w:hideMark/>
          </w:tcPr>
          <w:p w:rsidR="00AF0131" w:rsidRPr="00AC391A" w:rsidRDefault="00AC391A" w:rsidP="00C33FBD">
            <w:pPr>
              <w:pStyle w:val="Normal6"/>
              <w:rPr>
                <w:szCs w:val="24"/>
              </w:rPr>
            </w:pPr>
            <w:r w:rsidRPr="00AC391A">
              <w:t>(8)</w:t>
            </w:r>
            <w:r w:rsidRPr="00AC391A">
              <w:tab/>
              <w:t>Tästä syystä olisi vahvistettava yksityiskohtaiset säännöt kansallisten keskipitkän aikavälin finanssi- ja raken</w:t>
            </w:r>
            <w:r w:rsidRPr="00AC391A">
              <w:t>nepoliittisten suunnitelmien sisällöstä, toimittamisesta, arvioinnista ja seurannasta, jotta voidaan edistää velkakestävyyttä</w:t>
            </w:r>
            <w:r w:rsidRPr="00AC391A">
              <w:rPr>
                <w:b/>
                <w:i/>
              </w:rPr>
              <w:t>,</w:t>
            </w:r>
            <w:r w:rsidRPr="00AC391A">
              <w:t xml:space="preserve"> kestävää ja osallistavaa kasvua </w:t>
            </w:r>
            <w:r w:rsidRPr="00AC391A">
              <w:rPr>
                <w:b/>
                <w:i/>
              </w:rPr>
              <w:t>sekä ylöspäin tapahtuvaa sosiaalista lähentymistä</w:t>
            </w:r>
            <w:r w:rsidRPr="00AC391A">
              <w:t xml:space="preserve"> jäsenvaltioissa ja ehkäistä keskipitkän aikaväl</w:t>
            </w:r>
            <w:r w:rsidRPr="00AC391A">
              <w:t>in suunnittelun avulla liiallisen julkisen talouden alijäämän syntyminen.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6</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9 kappale</w:t>
      </w:r>
      <w:r w:rsidRPr="00AC391A">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(9)</w:t>
            </w:r>
            <w:r w:rsidRPr="00AC391A">
              <w:tab/>
            </w:r>
            <w:r w:rsidRPr="00AC391A">
              <w:t>Keskipitkän aikavälin finanssi- ja rakennepoliittisiin suunnitelmiin olisi koottava kunkin jäsenvaltion finanssipolitiikkaa, rakenneuudistuksia ja investointeja koskevat sitoumukset, ja näiden suunnitelmien olisi oltava unionin talousohjausjärjestelmän kul</w:t>
            </w:r>
            <w:r w:rsidRPr="00AC391A">
              <w:t>makivi. Kunkin jäsenvaltion olisi laadittava keskipitkän aikavälin suunnitelma, jossa esitetään jäsenvaltion julkisen talouden kehityspolku sekä ensisijaisia julkisia investointeja ja uudistuksia koskevat sitoumukset, joiden muodostaman kokonaisuuden avull</w:t>
            </w:r>
            <w:r w:rsidRPr="00AC391A">
              <w:t xml:space="preserve">a varmistetaan </w:t>
            </w:r>
            <w:r w:rsidRPr="00AC391A">
              <w:lastRenderedPageBreak/>
              <w:t>pitkäjänteinen ja asteittainen velan vähentäminen sekä kestävä ja osallistava kasvu myötäsyklistä finanssipolitiikkaa välttäen, sekä laajemmat uudistus- ja investointisitoumukset, jotka liittyvät muun muassa vihreään ja digitaaliseen siirtym</w:t>
            </w:r>
            <w:r w:rsidRPr="00AC391A">
              <w:t>ään, yhteiskunnan ja talouden häiriönsietokykyyn ja Euroopan sosiaalisten oikeuksien pilarin täytäntöönpanoon. Kansallisissa elpymis- ja palautumissuunnitelmissa tehdyt sitoumukset olisi elpymis- ja palautumistukivälineen</w:t>
            </w:r>
            <w:r w:rsidRPr="00AC391A">
              <w:rPr>
                <w:vertAlign w:val="superscript"/>
              </w:rPr>
              <w:t>25</w:t>
            </w:r>
            <w:r w:rsidRPr="00AC391A">
              <w:t xml:space="preserve"> voimassaoloaikana otettava asian</w:t>
            </w:r>
            <w:r w:rsidRPr="00AC391A">
              <w:t>mukaisesti huomioon.</w:t>
            </w:r>
          </w:p>
        </w:tc>
        <w:tc>
          <w:tcPr>
            <w:tcW w:w="4876" w:type="dxa"/>
            <w:hideMark/>
          </w:tcPr>
          <w:p w:rsidR="00AF0131" w:rsidRPr="00AC391A" w:rsidRDefault="00AC391A" w:rsidP="00C33FBD">
            <w:pPr>
              <w:pStyle w:val="Normal6"/>
              <w:rPr>
                <w:szCs w:val="24"/>
              </w:rPr>
            </w:pPr>
            <w:r w:rsidRPr="00AC391A">
              <w:lastRenderedPageBreak/>
              <w:t>(9)</w:t>
            </w:r>
            <w:r w:rsidRPr="00AC391A">
              <w:tab/>
              <w:t xml:space="preserve">Keskipitkän aikavälin finanssi- ja rakennepoliittisiin suunnitelmiin olisi koottava kunkin jäsenvaltion finanssipolitiikkaa, rakenneuudistuksia ja investointeja koskevat sitoumukset, ja näiden suunnitelmien olisi oltava unionin </w:t>
            </w:r>
            <w:r w:rsidRPr="00AC391A">
              <w:rPr>
                <w:b/>
                <w:i/>
              </w:rPr>
              <w:t>sos</w:t>
            </w:r>
            <w:r w:rsidRPr="00AC391A">
              <w:rPr>
                <w:b/>
                <w:i/>
              </w:rPr>
              <w:t>iaali- ja</w:t>
            </w:r>
            <w:r w:rsidRPr="00AC391A">
              <w:t xml:space="preserve"> talousohjausjärjestelmän kulmakivi. Kunkin jäsenvaltion olisi laadittava keskipitkän aikavälin suunnitelma, jossa esitetään jäsenvaltion julkisen talouden kehityspolku sekä ensisijaisia julkisia investointeja ja uudistuksia koskevat sitoumukset, </w:t>
            </w:r>
            <w:r w:rsidRPr="00AC391A">
              <w:t xml:space="preserve">joiden muodostaman kokonaisuuden avulla </w:t>
            </w:r>
            <w:r w:rsidRPr="00AC391A">
              <w:lastRenderedPageBreak/>
              <w:t>varmistetaan pitkäjänteinen ja asteittainen velan vähentäminen sekä kestävä ja osallistava kasvu myötäsyklistä finanssipolitiikkaa välttäen, sekä laajemmat uudistus- ja investointisitoumukset, jotka liittyvät muun mu</w:t>
            </w:r>
            <w:r w:rsidRPr="00AC391A">
              <w:t>assa vihreään ja digitaaliseen siirtymään, yhteiskunnan ja talouden häiriönsietokykyyn ja Euroopan sosiaalisten oikeuksien pilarin täytäntöönpanoon</w:t>
            </w:r>
            <w:r w:rsidRPr="00AC391A">
              <w:rPr>
                <w:b/>
                <w:bCs/>
                <w:i/>
                <w:iCs/>
              </w:rPr>
              <w:t>, mukaan lukien siihen liittyvät vuoteen 2030 mennessä saavutettavat työllisyyttä, osaamista ja köyhyyden väh</w:t>
            </w:r>
            <w:r w:rsidRPr="00AC391A">
              <w:rPr>
                <w:b/>
                <w:bCs/>
                <w:i/>
                <w:iCs/>
              </w:rPr>
              <w:t>entämistä koskevat tavoitteet</w:t>
            </w:r>
            <w:r w:rsidRPr="00AC391A">
              <w:rPr>
                <w:b/>
                <w:bCs/>
                <w:i/>
                <w:iCs/>
                <w:vertAlign w:val="superscript"/>
              </w:rPr>
              <w:t>1 a</w:t>
            </w:r>
            <w:r w:rsidRPr="00AC391A">
              <w:t>. Kansallisissa elpymis- ja palautumissuunnitelmissa tehdyt sitoumukset olisi elpymis- ja palautumistukivälineen</w:t>
            </w:r>
            <w:r w:rsidRPr="00AC391A">
              <w:rPr>
                <w:vertAlign w:val="superscript"/>
              </w:rPr>
              <w:t>25</w:t>
            </w:r>
            <w:r w:rsidRPr="00AC391A">
              <w:t xml:space="preserve"> voimassaoloaikana otettava asianmukaisesti huomioon.</w:t>
            </w:r>
          </w:p>
        </w:tc>
      </w:tr>
      <w:tr w:rsidR="00010AD3" w:rsidRPr="00AC391A" w:rsidTr="00C33FBD">
        <w:trPr>
          <w:jc w:val="center"/>
        </w:trPr>
        <w:tc>
          <w:tcPr>
            <w:tcW w:w="4876" w:type="dxa"/>
            <w:hideMark/>
          </w:tcPr>
          <w:p w:rsidR="00AF0131" w:rsidRPr="00AC391A" w:rsidRDefault="00AC391A" w:rsidP="00C33FBD">
            <w:pPr>
              <w:pStyle w:val="Normal6"/>
            </w:pPr>
            <w:r w:rsidRPr="00AC391A">
              <w:lastRenderedPageBreak/>
              <w:t>__________________</w:t>
            </w:r>
          </w:p>
        </w:tc>
        <w:tc>
          <w:tcPr>
            <w:tcW w:w="4876" w:type="dxa"/>
            <w:hideMark/>
          </w:tcPr>
          <w:p w:rsidR="00AF0131" w:rsidRPr="00AC391A" w:rsidRDefault="00AC391A" w:rsidP="00C33FBD">
            <w:pPr>
              <w:pStyle w:val="Normal6"/>
              <w:rPr>
                <w:szCs w:val="24"/>
              </w:rPr>
            </w:pPr>
            <w:r w:rsidRPr="00AC391A">
              <w:t>__________________</w:t>
            </w:r>
          </w:p>
        </w:tc>
      </w:tr>
      <w:tr w:rsidR="00010AD3" w:rsidRPr="00AC391A" w:rsidTr="00C33FBD">
        <w:trPr>
          <w:jc w:val="center"/>
        </w:trPr>
        <w:tc>
          <w:tcPr>
            <w:tcW w:w="4876" w:type="dxa"/>
          </w:tcPr>
          <w:p w:rsidR="00AF0131" w:rsidRPr="00AC391A" w:rsidRDefault="00AF0131" w:rsidP="00C33FBD">
            <w:pPr>
              <w:pStyle w:val="Normal6"/>
              <w:rPr>
                <w:vertAlign w:val="superscript"/>
              </w:rPr>
            </w:pPr>
          </w:p>
        </w:tc>
        <w:tc>
          <w:tcPr>
            <w:tcW w:w="4876" w:type="dxa"/>
          </w:tcPr>
          <w:p w:rsidR="00AF0131" w:rsidRPr="00AC391A" w:rsidRDefault="00AC391A" w:rsidP="00C33FBD">
            <w:pPr>
              <w:pStyle w:val="Normal6"/>
              <w:rPr>
                <w:vertAlign w:val="superscript"/>
              </w:rPr>
            </w:pPr>
            <w:r w:rsidRPr="00AC391A">
              <w:rPr>
                <w:vertAlign w:val="superscript"/>
              </w:rPr>
              <w:t xml:space="preserve">25 a </w:t>
            </w:r>
            <w:r w:rsidRPr="00AC391A">
              <w:rPr>
                <w:b/>
                <w:bCs/>
                <w:i/>
                <w:iCs/>
              </w:rPr>
              <w:t>Komission tiedonanto Euroopan parlamentille, neuvostolle, Euroopan talous- ja sosiaalikomitealle ja alueiden komitealle – Euroopan sosiaalisten oikeuksien pilaria koskeva toimintasuunnitelma, annettu 4. maaliskuuta 2021(COM(2021)0102).</w:t>
            </w:r>
          </w:p>
        </w:tc>
      </w:tr>
      <w:tr w:rsidR="00010AD3" w:rsidRPr="00AC391A" w:rsidTr="00C33FBD">
        <w:trPr>
          <w:jc w:val="center"/>
        </w:trPr>
        <w:tc>
          <w:tcPr>
            <w:tcW w:w="4876" w:type="dxa"/>
            <w:hideMark/>
          </w:tcPr>
          <w:p w:rsidR="00AF0131" w:rsidRPr="00AC391A" w:rsidRDefault="00AC391A" w:rsidP="00C33FBD">
            <w:pPr>
              <w:pStyle w:val="Normal6"/>
            </w:pPr>
            <w:r w:rsidRPr="00AC391A">
              <w:rPr>
                <w:vertAlign w:val="superscript"/>
              </w:rPr>
              <w:t>25</w:t>
            </w:r>
            <w:r w:rsidRPr="00AC391A">
              <w:t xml:space="preserve"> Euroopan parlame</w:t>
            </w:r>
            <w:r w:rsidRPr="00AC391A">
              <w:t>ntin ja neuvoston asetus (EU) 2021/241, annettu 12 päivänä helmikuuta 2021, elpymis- ja palautumistukivälineen perustamisesta (EUVL L 57, 18.2.2021, s. 17).</w:t>
            </w:r>
          </w:p>
        </w:tc>
        <w:tc>
          <w:tcPr>
            <w:tcW w:w="4876" w:type="dxa"/>
            <w:hideMark/>
          </w:tcPr>
          <w:p w:rsidR="00AF0131" w:rsidRPr="00AC391A" w:rsidRDefault="00AC391A" w:rsidP="00C33FBD">
            <w:pPr>
              <w:pStyle w:val="Normal6"/>
              <w:rPr>
                <w:szCs w:val="24"/>
              </w:rPr>
            </w:pPr>
            <w:r w:rsidRPr="00AC391A">
              <w:rPr>
                <w:vertAlign w:val="superscript"/>
              </w:rPr>
              <w:t>25</w:t>
            </w:r>
            <w:r w:rsidRPr="00AC391A">
              <w:t xml:space="preserve"> Euroopan parlamentin ja neuvoston asetus (EU) 2021/241, annettu 12 päivänä helmikuuta 2021, elpy</w:t>
            </w:r>
            <w:r w:rsidRPr="00AC391A">
              <w:t>mis- ja palautumistukivälineen perustamisesta (EUVL L 57, 18.2.2021, s. 17).</w:t>
            </w:r>
          </w:p>
        </w:tc>
      </w:tr>
    </w:tbl>
    <w:p w:rsidR="002D23D0" w:rsidRPr="00AC391A" w:rsidRDefault="00AC391A" w:rsidP="00C56375">
      <w:pPr>
        <w:rPr>
          <w:rFonts w:eastAsiaTheme="majorEastAsia"/>
        </w:rPr>
      </w:pPr>
      <w:r w:rsidRPr="00AC391A">
        <w:rPr>
          <w:rStyle w:val="HideTWBExt"/>
        </w:rPr>
        <w:t>&lt;/Amend&gt;</w:t>
      </w:r>
    </w:p>
    <w:p w:rsidR="00AF0131" w:rsidRPr="00AC391A" w:rsidRDefault="00AC391A" w:rsidP="002D23D0">
      <w:pPr>
        <w:pStyle w:val="AmNumberTabs"/>
      </w:pPr>
      <w:r w:rsidRPr="00AC391A">
        <w:rPr>
          <w:rStyle w:val="HideTWBExt"/>
        </w:rPr>
        <w:t>&lt;Amend&gt;</w:t>
      </w:r>
      <w:r w:rsidRPr="00AC391A">
        <w:t>Tarkistus</w:t>
      </w:r>
      <w:r w:rsidRPr="00AC391A">
        <w:tab/>
      </w:r>
      <w:r w:rsidRPr="00AC391A">
        <w:tab/>
      </w:r>
      <w:r w:rsidRPr="00AC391A">
        <w:rPr>
          <w:rStyle w:val="HideTWBExt"/>
          <w:b w:val="0"/>
        </w:rPr>
        <w:t>&lt;NumAm&gt;</w:t>
      </w:r>
      <w:r w:rsidRPr="00AC391A">
        <w:t>7</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10 kappale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(10)</w:t>
            </w:r>
            <w:r w:rsidRPr="00AC391A">
              <w:tab/>
            </w:r>
            <w:r w:rsidRPr="00AC391A">
              <w:t xml:space="preserve">Myös koheesiopolitiikan rahastot on synkronoitu talouspolitiikan eurooppalaisen ohjausjakson prosessin kanssa. EU:n talousarvion pitkän aikavälin investointipolitiikan tavoin myös </w:t>
            </w:r>
            <w:r w:rsidRPr="00AC391A">
              <w:lastRenderedPageBreak/>
              <w:t>koheesiopolitiikan investoinnit ja uudistukset olisi otettava asianmukaisest</w:t>
            </w:r>
            <w:r w:rsidRPr="00AC391A">
              <w:t xml:space="preserve">i huomioon laadittaessa kansallisia keskipitkän aikavälin finanssi- ja rakennepoliittisia suunnitelmia. Kunkin jäsenvaltion olisi myös selitettävä, miten sen kansallisella keskipitkän aikavälin finanssi- ja rakennepoliittisella suunnitelmalla varmistetaan </w:t>
            </w:r>
            <w:r w:rsidRPr="00AC391A">
              <w:t>johdonmukaisuus EU:n varoista saatavilla tuloilla ja kansallisella osarahoituksella täysin katettavien EU:n ohjelmien menojen kanssa.</w:t>
            </w:r>
          </w:p>
        </w:tc>
        <w:tc>
          <w:tcPr>
            <w:tcW w:w="4876" w:type="dxa"/>
            <w:hideMark/>
          </w:tcPr>
          <w:p w:rsidR="00AF0131" w:rsidRPr="00AC391A" w:rsidRDefault="00AC391A" w:rsidP="00C33FBD">
            <w:pPr>
              <w:pStyle w:val="Normal6"/>
              <w:rPr>
                <w:szCs w:val="24"/>
              </w:rPr>
            </w:pPr>
            <w:r w:rsidRPr="00AC391A">
              <w:lastRenderedPageBreak/>
              <w:t>(10)</w:t>
            </w:r>
            <w:r w:rsidRPr="00AC391A">
              <w:tab/>
              <w:t>Myös koheesiopolitiikan rahastot on synkronoitu talouspolitiikan eurooppalaisen ohjausjakson prosessin kanssa. EU:n t</w:t>
            </w:r>
            <w:r w:rsidRPr="00AC391A">
              <w:t xml:space="preserve">alousarvion pitkän aikavälin investointipolitiikan tavoin myös </w:t>
            </w:r>
            <w:r w:rsidRPr="00AC391A">
              <w:lastRenderedPageBreak/>
              <w:t xml:space="preserve">koheesiopolitiikan </w:t>
            </w:r>
            <w:r w:rsidRPr="00AC391A">
              <w:rPr>
                <w:b/>
                <w:bCs/>
                <w:i/>
                <w:iCs/>
              </w:rPr>
              <w:t>– jonka tavoitteena on vahvistaa taloudellista, sosiaalista ja alueellista yhteenkuuluvuutta –</w:t>
            </w:r>
            <w:r w:rsidRPr="00AC391A">
              <w:t xml:space="preserve"> investoinnit ja uudistukset olisi otettava asianmukaisesti huomioon laadittaess</w:t>
            </w:r>
            <w:r w:rsidRPr="00AC391A">
              <w:t>a kansallisia keskipitkän aikavälin finanssi- ja rakennepoliittisia suunnitelmia. Kunkin jäsenvaltion olisi myös selitettävä, miten sen kansallisella keskipitkän aikavälin finanssi- ja rakennepoliittisella suunnitelmalla varmistetaan johdonmukaisuus EU:n v</w:t>
            </w:r>
            <w:r w:rsidRPr="00AC391A">
              <w:t>aroista saatavilla tuloilla ja kansallisella osarahoituksella täysin katettavien EU:n ohjelmien menojen kanssa.</w:t>
            </w:r>
          </w:p>
        </w:tc>
      </w:tr>
    </w:tbl>
    <w:p w:rsidR="00AF0131" w:rsidRPr="00AC391A" w:rsidRDefault="00AC391A" w:rsidP="00C56375">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8</w:t>
      </w:r>
      <w:r w:rsidRPr="00AC391A">
        <w:rPr>
          <w:rStyle w:val="HideTWBExt"/>
          <w:b w:val="0"/>
        </w:rPr>
        <w:t>&lt;/NumAm&gt;</w:t>
      </w:r>
    </w:p>
    <w:p w:rsidR="00AF0131" w:rsidRPr="00AC391A" w:rsidRDefault="00AF0131" w:rsidP="00AF0131">
      <w:pPr>
        <w:rPr>
          <w:b/>
        </w:rPr>
      </w:pPr>
    </w:p>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13 kappale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(13)</w:t>
            </w:r>
            <w:r w:rsidRPr="00AC391A">
              <w:tab/>
              <w:t>Ohjatakseen jäsenvaltioita näiden laatiessa keskipitkän aikavälin finanssi- ja rakennepoliittisia suunnitelmiaan komission olisi ehdotettava teknistä kehitysuraa, joka perustuu vähäisimpään julkisen talouden sopeuttamiseen,</w:t>
            </w:r>
            <w:r w:rsidRPr="00AC391A">
              <w:t xml:space="preserve"> jolla jäsenvaltion velkakehitys saadaan uskottavalle lasku-uralle tai sen velka säilytetään maltillisella tasolla. Teknisellä kehitysuralla olisi myös varmistettava, että julkisen talouden velkasuhde laskee suunnitelman kattaman kauden lopussa alle sen ta</w:t>
            </w:r>
            <w:r w:rsidRPr="00AC391A">
              <w:t xml:space="preserve">son, jolla se oli teknisen kehitysuran alkua edeltäneenä vuonna. </w:t>
            </w:r>
            <w:r w:rsidRPr="00AC391A">
              <w:rPr>
                <w:b/>
                <w:i/>
              </w:rPr>
              <w:t>Velan vähentämisen kestävyys olisi saatava aikaan asianmukaisella finanssipolitiikalla.</w:t>
            </w:r>
          </w:p>
        </w:tc>
        <w:tc>
          <w:tcPr>
            <w:tcW w:w="4876" w:type="dxa"/>
            <w:hideMark/>
          </w:tcPr>
          <w:p w:rsidR="00AF0131" w:rsidRPr="00AC391A" w:rsidRDefault="00AC391A" w:rsidP="00C33FBD">
            <w:pPr>
              <w:pStyle w:val="Normal6"/>
              <w:rPr>
                <w:szCs w:val="24"/>
              </w:rPr>
            </w:pPr>
            <w:r w:rsidRPr="00AC391A">
              <w:t>(13)</w:t>
            </w:r>
            <w:r w:rsidRPr="00AC391A">
              <w:tab/>
            </w:r>
            <w:r w:rsidRPr="00AC391A">
              <w:t xml:space="preserve">Ohjatakseen jäsenvaltioita näiden laatiessa keskipitkän aikavälin finanssi- ja rakennepoliittisia suunnitelmiaan komission olisi ehdotettava teknistä kehitysuraa, joka perustuu vähäisimpään julkisen talouden sopeuttamiseen, jolla jäsenvaltion velkakehitys </w:t>
            </w:r>
            <w:r w:rsidRPr="00AC391A">
              <w:t>saadaan uskottavalle lasku-uralle tai sen velka säilytetään maltillisella tasolla</w:t>
            </w:r>
            <w:r w:rsidRPr="00AC391A">
              <w:rPr>
                <w:b/>
                <w:bCs/>
                <w:i/>
                <w:iCs/>
              </w:rPr>
              <w:t>, ottaen samalla huomioon jäsenvaltioiden investointitarpeet unionin yhteisten painopisteiden saavuttamiseksi</w:t>
            </w:r>
            <w:r w:rsidRPr="00AC391A">
              <w:t>. Teknisellä kehitysuralla olisi myös varmistettava, että julkisen</w:t>
            </w:r>
            <w:r w:rsidRPr="00AC391A">
              <w:t xml:space="preserve"> talouden velkasuhde laskee suunnitelman kattaman kauden lopussa alle sen tason, jolla se oli teknisen kehitysuran alkua edeltäneenä vuonna.</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C56375">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9</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Johdanto-osan 22 ka</w:t>
      </w:r>
      <w:r w:rsidRPr="00AC391A">
        <w:t>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(22)</w:t>
            </w:r>
            <w:r w:rsidRPr="00AC391A">
              <w:tab/>
            </w:r>
            <w:r w:rsidRPr="00AC391A">
              <w:t>Velan asteittaisemman vähentämisen varmistamiseksi sopeutuskautta voidaan pidentää enintään kolmella vuodella, jos jäsenvaltio tukee keskipitkän aikavälin finanssi- ja rakennepoliittista suunnitelmaansa todennettavissa olevalla ja aikasidonnaisella uudistu</w:t>
            </w:r>
            <w:r w:rsidRPr="00AC391A">
              <w:t>sten ja investointien kokonaisuudella , joka edistää kasvua, tukee julkisen talouden kestävyyttä, on unionin yhteisten painopisteiden mukaisia, vastaa talouspolitiikan eurooppalaisessa ohjausjaksossa jäsenvaltiolle osoitettuja maakohtaisia suosituksia ja j</w:t>
            </w:r>
            <w:r w:rsidRPr="00AC391A">
              <w:t>olla toteutetaan maakohtaisia investointiprioriteetteja vähentämättä sopeutuskaudella muita kansallisesti rahoitettuja investointeja , jotta voidaan varmistaa investointien makrotaloudellinen vaikutus ja välttää muiden investointiprioriteettien syrjäyttämi</w:t>
            </w:r>
            <w:r w:rsidRPr="00AC391A">
              <w:t>nen.</w:t>
            </w:r>
          </w:p>
        </w:tc>
        <w:tc>
          <w:tcPr>
            <w:tcW w:w="4876" w:type="dxa"/>
            <w:hideMark/>
          </w:tcPr>
          <w:p w:rsidR="00AF0131" w:rsidRPr="00AC391A" w:rsidRDefault="00AC391A" w:rsidP="00C33FBD">
            <w:pPr>
              <w:pStyle w:val="Normal6"/>
              <w:rPr>
                <w:szCs w:val="24"/>
              </w:rPr>
            </w:pPr>
            <w:r w:rsidRPr="00AC391A">
              <w:t>(22)</w:t>
            </w:r>
            <w:r w:rsidRPr="00AC391A">
              <w:tab/>
              <w:t>Velan asteittaisemman vähentämisen varmistamiseksi sopeutuskautta voidaan pidentää enintään kolmella vuodella, jos jäsenvaltio tukee keskipitkän aikavälin finanssi- ja rakennepoliittista suunnitelmaansa todennettavissa olevalla ja aikasidonnaisel</w:t>
            </w:r>
            <w:r w:rsidRPr="00AC391A">
              <w:t xml:space="preserve">la uudistusten ja investointien kokonaisuudella , joka edistää </w:t>
            </w:r>
            <w:r w:rsidRPr="00AC391A">
              <w:rPr>
                <w:b/>
                <w:i/>
              </w:rPr>
              <w:t>kestävää ja osallistavaa</w:t>
            </w:r>
            <w:r w:rsidRPr="00AC391A">
              <w:t xml:space="preserve"> kasvua </w:t>
            </w:r>
            <w:r w:rsidRPr="00AC391A">
              <w:rPr>
                <w:b/>
                <w:i/>
              </w:rPr>
              <w:t>sekä ylöspäin tapahtuvaa sosiaalista lähentymistä</w:t>
            </w:r>
            <w:r w:rsidRPr="00AC391A">
              <w:t>, tukee julkisen talouden kestävyyttä, on unionin yhteisten painopisteiden mukaisia, vastaa talouspolitiikan eurooppalaisessa ohjausjaksossa jäsenvaltiolle osoitettuja maakohtaisia suosituksia ja jolla toteutetaan maakohtaisia investointiprioriteetteja väh</w:t>
            </w:r>
            <w:r w:rsidRPr="00AC391A">
              <w:t xml:space="preserve">entämättä sopeutuskaudella muita kansallisesti rahoitettuja investointeja, </w:t>
            </w:r>
            <w:r w:rsidRPr="00AC391A">
              <w:rPr>
                <w:b/>
                <w:i/>
              </w:rPr>
              <w:t>mukaan lukien sosiaaliset investoinnit,</w:t>
            </w:r>
            <w:r w:rsidRPr="00AC391A">
              <w:t xml:space="preserve"> jotta voidaan varmistaa investointien makrotaloudellinen vaikutus ja välttää muiden investointiprioriteettien syrjäyttäminen.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w:t>
      </w:r>
      <w:r w:rsidRPr="00AC391A">
        <w:rPr>
          <w:rStyle w:val="HideTWBExt"/>
          <w:b w:val="0"/>
        </w:rPr>
        <w:t>d&gt;</w:t>
      </w:r>
      <w:r w:rsidRPr="00AC391A">
        <w:t>Tarkistus</w:t>
      </w:r>
      <w:r w:rsidRPr="00AC391A">
        <w:tab/>
      </w:r>
      <w:r w:rsidRPr="00AC391A">
        <w:rPr>
          <w:rStyle w:val="HideTWBExt"/>
          <w:b w:val="0"/>
        </w:rPr>
        <w:t>&lt;NumAm&gt;</w:t>
      </w:r>
      <w:r w:rsidRPr="00AC391A">
        <w:t>10</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1 artikla – 1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Tällä asetuksella vahvistetaan säännöt, joilla varmistetaan jäsenvaltioiden talouspolitiikkojen tuloksellinen koordinointi ja tuetaan siten kasvua</w:t>
            </w:r>
            <w:r w:rsidRPr="00AC391A">
              <w:rPr>
                <w:b/>
                <w:bCs/>
                <w:i/>
                <w:iCs/>
              </w:rPr>
              <w:t xml:space="preserve"> ja</w:t>
            </w:r>
            <w:r w:rsidRPr="00AC391A">
              <w:t xml:space="preserve"> </w:t>
            </w:r>
            <w:r w:rsidRPr="00AC391A">
              <w:rPr>
                <w:b/>
                <w:bCs/>
                <w:i/>
                <w:iCs/>
              </w:rPr>
              <w:t>työllisyyttä</w:t>
            </w:r>
            <w:r w:rsidRPr="00AC391A">
              <w:t xml:space="preserve"> koskevien unionin tavoitteiden saavuttamista.</w:t>
            </w:r>
          </w:p>
        </w:tc>
        <w:tc>
          <w:tcPr>
            <w:tcW w:w="4876" w:type="dxa"/>
            <w:hideMark/>
          </w:tcPr>
          <w:p w:rsidR="00AF0131" w:rsidRPr="00AC391A" w:rsidRDefault="00AC391A" w:rsidP="00C33FBD">
            <w:pPr>
              <w:pStyle w:val="Normal6"/>
              <w:rPr>
                <w:szCs w:val="24"/>
              </w:rPr>
            </w:pPr>
            <w:r w:rsidRPr="00AC391A">
              <w:t xml:space="preserve">Tällä asetuksella vahvistetaan säännöt, joilla </w:t>
            </w:r>
            <w:r w:rsidRPr="00AC391A">
              <w:t xml:space="preserve">varmistetaan jäsenvaltioiden talouspolitiikkojen tuloksellinen koordinointi ja tuetaan siten </w:t>
            </w:r>
            <w:r w:rsidRPr="00AC391A">
              <w:rPr>
                <w:b/>
                <w:bCs/>
                <w:i/>
                <w:iCs/>
              </w:rPr>
              <w:t xml:space="preserve">kestävää ja osallistavaa </w:t>
            </w:r>
            <w:r w:rsidRPr="00AC391A">
              <w:t>kasvua</w:t>
            </w:r>
            <w:r w:rsidRPr="00AC391A">
              <w:t xml:space="preserve"> </w:t>
            </w:r>
            <w:r w:rsidRPr="00AC391A">
              <w:rPr>
                <w:b/>
                <w:bCs/>
                <w:i/>
                <w:iCs/>
              </w:rPr>
              <w:t>ja laadukkaita työpaikkoja</w:t>
            </w:r>
            <w:r w:rsidRPr="00AC391A">
              <w:t xml:space="preserve"> koskevien unionin tavoitteiden saavuttamista.</w:t>
            </w:r>
          </w:p>
        </w:tc>
      </w:tr>
    </w:tbl>
    <w:p w:rsidR="00AF0131" w:rsidRPr="00AC391A" w:rsidRDefault="00AC391A" w:rsidP="00AF0131">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11</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lastRenderedPageBreak/>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1 artikla – 2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Asetuksella annetaan yksityiskohtaiset säännöt neuvoston ja komission toteuttamaan monenväliseen julkisen talouden valvontaan kuuluvien kansallisten keskipitkän aikavälin finanssi- ja rakennepoliittisten suunnitelmien sisällöstä, toimittamisesta, arvioinni</w:t>
            </w:r>
            <w:r w:rsidRPr="00AC391A">
              <w:t xml:space="preserve">sta ja seurannasta, jotta voidaan edistää velkakestävyyttä </w:t>
            </w:r>
            <w:r w:rsidRPr="00AC391A">
              <w:rPr>
                <w:b/>
                <w:bCs/>
                <w:i/>
                <w:iCs/>
              </w:rPr>
              <w:t>sekä</w:t>
            </w:r>
            <w:r w:rsidRPr="00AC391A">
              <w:t xml:space="preserve"> kestävää ja osallistavaa kasvua jäsenvaltioissa ja ehkäistä keskipitkän aikavälin suunnittelun avulla liiallisten julkisen talouden alijäämien syntyminen.</w:t>
            </w:r>
          </w:p>
        </w:tc>
        <w:tc>
          <w:tcPr>
            <w:tcW w:w="4876" w:type="dxa"/>
            <w:hideMark/>
          </w:tcPr>
          <w:p w:rsidR="00AF0131" w:rsidRPr="00AC391A" w:rsidRDefault="00AC391A" w:rsidP="00C33FBD">
            <w:pPr>
              <w:pStyle w:val="Normal6"/>
              <w:rPr>
                <w:szCs w:val="24"/>
              </w:rPr>
            </w:pPr>
            <w:r w:rsidRPr="00AC391A">
              <w:t>Asetuksella annetaan yksityiskohtaise</w:t>
            </w:r>
            <w:r w:rsidRPr="00AC391A">
              <w:t>t säännöt neuvoston ja komission toteuttamaan monenväliseen talouden ja julkisen talouden valvontaan kuuluvien kansallisten keskipitkän aikavälin finanssi- ja rakennepoliittisten suunnitelmien sisällöstä, toimittamisesta, arvioinnista ja seurannasta, jotta</w:t>
            </w:r>
            <w:r w:rsidRPr="00AC391A">
              <w:t xml:space="preserve"> voidaan </w:t>
            </w:r>
            <w:r w:rsidRPr="00AC391A">
              <w:rPr>
                <w:b/>
                <w:bCs/>
                <w:i/>
                <w:iCs/>
              </w:rPr>
              <w:t>unionin yhteisten painopisteiden mukaisesti</w:t>
            </w:r>
            <w:r w:rsidRPr="00AC391A">
              <w:rPr>
                <w:b/>
                <w:bCs/>
              </w:rPr>
              <w:t xml:space="preserve"> </w:t>
            </w:r>
            <w:r w:rsidRPr="00AC391A">
              <w:rPr>
                <w:b/>
                <w:bCs/>
                <w:i/>
                <w:iCs/>
              </w:rPr>
              <w:t>kohdennetut taloudelliset ja sosiaaliset investoinnit varmistaen</w:t>
            </w:r>
            <w:r w:rsidRPr="00AC391A">
              <w:t xml:space="preserve"> edistää velkakestävyyttä, kestävää ja osallistavaa kasvua </w:t>
            </w:r>
            <w:r w:rsidRPr="00AC391A">
              <w:rPr>
                <w:b/>
                <w:bCs/>
                <w:i/>
                <w:iCs/>
              </w:rPr>
              <w:t>sekä ylöspäin tapahtuvaa sosiaalista lähentymistä</w:t>
            </w:r>
            <w:r w:rsidRPr="00AC391A">
              <w:t xml:space="preserve"> jäsenvaltioissa ja ehkäistä ke</w:t>
            </w:r>
            <w:r w:rsidRPr="00AC391A">
              <w:t>skipitkän aikavälin suunnittelun avulla liiallisten julkisen talouden alijäämien syntyminen.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C56375">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12</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3 artikla – 1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 xml:space="preserve">Varmistaakseen jäsenvaltioiden talouspolitiikan tiiviimmän koordinoinnin ja niiden taloudellisen suorituskyvyn </w:t>
            </w:r>
            <w:r w:rsidRPr="00AC391A">
              <w:rPr>
                <w:b/>
                <w:bCs/>
                <w:i/>
                <w:iCs/>
              </w:rPr>
              <w:t>jatkuvan</w:t>
            </w:r>
            <w:r w:rsidRPr="00AC391A">
              <w:t xml:space="preserve"> lähentymisen neuvosto ja komissio suorittavat monenvälistä valvontaa osana talouspolitiikan eurooppalaista ohjausjaksoa SEUT-sopimuksen </w:t>
            </w:r>
            <w:r w:rsidRPr="00AC391A">
              <w:t>tavoitteiden ja vaatimusten mukaisesti. Monenvälisen valvonnan on perustuttava Euroopan parlamentin ja neuvoston asetuksessa (EY) N:o 223/2009 säädettyjen periaatteiden mukaisesti tuotettuihin laadukkaisiin ja riippumattomiin tilastoihin.</w:t>
            </w:r>
          </w:p>
        </w:tc>
        <w:tc>
          <w:tcPr>
            <w:tcW w:w="4876" w:type="dxa"/>
            <w:hideMark/>
          </w:tcPr>
          <w:p w:rsidR="00AF0131" w:rsidRPr="00AC391A" w:rsidRDefault="00AC391A" w:rsidP="00C33FBD">
            <w:pPr>
              <w:pStyle w:val="Normal6"/>
              <w:rPr>
                <w:szCs w:val="24"/>
              </w:rPr>
            </w:pPr>
            <w:r w:rsidRPr="00AC391A">
              <w:t>Varmistaakseen jä</w:t>
            </w:r>
            <w:r w:rsidRPr="00AC391A">
              <w:t xml:space="preserve">senvaltioiden </w:t>
            </w:r>
            <w:r w:rsidRPr="00AC391A">
              <w:rPr>
                <w:b/>
                <w:bCs/>
                <w:i/>
                <w:iCs/>
              </w:rPr>
              <w:t>talous- ja työllisyyspolitiikan</w:t>
            </w:r>
            <w:r w:rsidRPr="00AC391A">
              <w:t xml:space="preserve"> tiiviimmän koordinoinnin ja niiden taloudellisen suorituskyvyn lähentymisen </w:t>
            </w:r>
            <w:r w:rsidRPr="00AC391A">
              <w:rPr>
                <w:b/>
                <w:bCs/>
                <w:i/>
                <w:iCs/>
              </w:rPr>
              <w:t>ylöspäin sekä unionin yhteisten painopisteiden saavuttamisen</w:t>
            </w:r>
            <w:r w:rsidRPr="00AC391A">
              <w:t xml:space="preserve"> neuvosto ja komissio suorittavat monenvälistä valvontaa osana talouspolit</w:t>
            </w:r>
            <w:r w:rsidRPr="00AC391A">
              <w:t>iikan eurooppalaista ohjausjaksoa SEUT-sopimuksen tavoitteiden ja vaatimusten mukaisesti. Monenvälisen valvonnan on perustuttava Euroopan parlamentin ja neuvoston asetuksessa (EY) N:o 223/2009 säädettyjen periaatteiden mukaisesti tuotettuihin laadukkaisiin</w:t>
            </w:r>
            <w:r w:rsidRPr="00AC391A">
              <w:t xml:space="preserve"> ja riippumattomiin tilastoihin.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lastRenderedPageBreak/>
        <w:t>&lt;Amend&gt;</w:t>
      </w:r>
      <w:r w:rsidRPr="00AC391A">
        <w:t>Tarkistus</w:t>
      </w:r>
      <w:r w:rsidRPr="00AC391A">
        <w:tab/>
      </w:r>
      <w:r w:rsidRPr="00AC391A">
        <w:tab/>
      </w:r>
      <w:r w:rsidRPr="00AC391A">
        <w:rPr>
          <w:rStyle w:val="HideTWBExt"/>
          <w:b w:val="0"/>
        </w:rPr>
        <w:t>&lt;NumAm&gt;</w:t>
      </w:r>
      <w:r w:rsidRPr="00AC391A">
        <w:t>13</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3 artikla – 2 kohta – b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b)</w:t>
            </w:r>
            <w:r w:rsidRPr="00AC391A">
              <w:tab/>
            </w:r>
            <w:r w:rsidRPr="00AC391A">
              <w:t>SEUT-sopimuksen 148 artiklan 2 kohdassa tarkoitettujen työllisyyden suuntaviivojen, jotka jäsenvaltioiden on otettava huomioon, Euroopan sosiaalisten oikeuksien pilari mukaan lukien, sekä niihin liittyvien maakohtaisten suositusten laatiminen ja niiden täy</w:t>
            </w:r>
            <w:r w:rsidRPr="00AC391A">
              <w:t>täntöönpanon valvonta;</w:t>
            </w:r>
          </w:p>
        </w:tc>
        <w:tc>
          <w:tcPr>
            <w:tcW w:w="4876" w:type="dxa"/>
            <w:hideMark/>
          </w:tcPr>
          <w:p w:rsidR="00AF0131" w:rsidRPr="00AC391A" w:rsidRDefault="00AC391A" w:rsidP="00C33FBD">
            <w:pPr>
              <w:pStyle w:val="Normal6"/>
              <w:rPr>
                <w:szCs w:val="24"/>
              </w:rPr>
            </w:pPr>
            <w:r w:rsidRPr="00AC391A">
              <w:t>b)</w:t>
            </w:r>
            <w:r w:rsidRPr="00AC391A">
              <w:tab/>
              <w:t xml:space="preserve">SEUT-sopimuksen 148 artiklan 2 kohdassa tarkoitettujen työllisyyden suuntaviivojen, jotka jäsenvaltioiden on otettava huomioon, Euroopan sosiaalisten oikeuksien pilarin </w:t>
            </w:r>
            <w:r w:rsidRPr="00AC391A">
              <w:rPr>
                <w:b/>
                <w:bCs/>
                <w:i/>
                <w:iCs/>
              </w:rPr>
              <w:t>ja sen yleistavoitteiden</w:t>
            </w:r>
            <w:r w:rsidRPr="00AC391A">
              <w:t>, sekä niihin liittyvien maakohtaiste</w:t>
            </w:r>
            <w:r w:rsidRPr="00AC391A">
              <w:t xml:space="preserve">n suositusten </w:t>
            </w:r>
            <w:r w:rsidRPr="00AC391A">
              <w:rPr>
                <w:b/>
                <w:bCs/>
                <w:i/>
                <w:iCs/>
              </w:rPr>
              <w:t xml:space="preserve">samoin kuin sosiaali-indikaattoreiden tulostaulun ja sen yleisindikaattorien ja toissijaisten indikaattorien sekä sosiaalisen lähentymisen riskien estämiseen ja yksilöintiin tarkoitetun sosiaalisen lähentymisen kehyksen </w:t>
            </w:r>
            <w:r w:rsidRPr="00AC391A">
              <w:rPr>
                <w:b/>
                <w:bCs/>
                <w:i/>
                <w:iCs/>
              </w:rPr>
              <w:t xml:space="preserve">laatiminen </w:t>
            </w:r>
            <w:r w:rsidRPr="00AC391A">
              <w:rPr>
                <w:b/>
                <w:bCs/>
                <w:i/>
                <w:iCs/>
              </w:rPr>
              <w:t>ja niiden t</w:t>
            </w:r>
            <w:r w:rsidRPr="00AC391A">
              <w:rPr>
                <w:b/>
                <w:bCs/>
                <w:i/>
                <w:iCs/>
              </w:rPr>
              <w:t>äytäntöönpanon valvonta</w:t>
            </w:r>
            <w:r w:rsidRPr="00AC391A">
              <w:t>;</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14</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4 artikla – 1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1.</w:t>
            </w:r>
            <w:r w:rsidRPr="00AC391A">
              <w:tab/>
            </w:r>
            <w:r w:rsidRPr="00AC391A">
              <w:t>Neuvosto antaa keskipitkän aikavälin finanssi- ja rakennepoliittisista suunnitelmista, vuotuisista tilannekatsauksista ja jäsenvaltioiden sosioekonomisesta tilanteesta tämän asetuksen nojalla tehdyn arvioinnin perusteella komission suosituksesta kyseisille</w:t>
            </w:r>
            <w:r w:rsidRPr="00AC391A">
              <w:t xml:space="preserve"> jäsenvaltioille tarvittaessa suosituksia hyödyntäen SEUT-sopimuksen 121 ja 148 artiklassa ja niihin liittyvässä johdetussa oikeudessa esitettyjä oikeudellisia välineitä täysimääräisesti.</w:t>
            </w:r>
          </w:p>
        </w:tc>
        <w:tc>
          <w:tcPr>
            <w:tcW w:w="4876" w:type="dxa"/>
            <w:hideMark/>
          </w:tcPr>
          <w:p w:rsidR="00AF0131" w:rsidRPr="00AC391A" w:rsidRDefault="00AC391A" w:rsidP="00C33FBD">
            <w:pPr>
              <w:pStyle w:val="Normal6"/>
              <w:rPr>
                <w:szCs w:val="24"/>
              </w:rPr>
            </w:pPr>
            <w:r w:rsidRPr="00AC391A">
              <w:t>1.</w:t>
            </w:r>
            <w:r w:rsidRPr="00AC391A">
              <w:tab/>
              <w:t>Neuvosto antaa keskipitkän aikavälin finanssi- ja rakennepoliitti</w:t>
            </w:r>
            <w:r w:rsidRPr="00AC391A">
              <w:t xml:space="preserve">sista suunnitelmista, vuotuisista tilannekatsauksista ja jäsenvaltioiden sosioekonomisesta tilanteesta tämän asetuksen nojalla tehdyn arvioinnin perusteella komission suosituksesta kyseisille jäsenvaltioille tarvittaessa suosituksia hyödyntäen </w:t>
            </w:r>
            <w:r w:rsidRPr="00AC391A">
              <w:rPr>
                <w:b/>
                <w:bCs/>
                <w:i/>
                <w:iCs/>
              </w:rPr>
              <w:t>Euroopan sos</w:t>
            </w:r>
            <w:r w:rsidRPr="00AC391A">
              <w:rPr>
                <w:b/>
                <w:bCs/>
                <w:i/>
                <w:iCs/>
              </w:rPr>
              <w:t>iaalisten oikeuksien pilaria ja</w:t>
            </w:r>
            <w:r w:rsidRPr="00AC391A">
              <w:t xml:space="preserve"> SEUT-sopimuksen 121 ja 148 artiklassa ja niihin liittyvässä johdetussa oikeudessa esitettyjä oikeudellisia välineitä täysimääräisesti.</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15</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lastRenderedPageBreak/>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4 artikla – 3 kohta – b a alakohta (uusi)</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b a)</w:t>
            </w:r>
            <w:r w:rsidRPr="00AC391A">
              <w:rPr>
                <w:b/>
                <w:i/>
              </w:rPr>
              <w:tab/>
              <w:t>neuvosto voi antaa sille suosituksen, joka perustuu komission SEUT-sopimuksen 148 artiklan 4 kohdan nojalla tekemään ehdotukseen tai Euroopan sosiaalisten oike</w:t>
            </w:r>
            <w:r w:rsidRPr="00AC391A">
              <w:rPr>
                <w:b/>
                <w:i/>
              </w:rPr>
              <w:t>uksien kehyksen tuloksiin;</w:t>
            </w:r>
          </w:p>
        </w:tc>
      </w:tr>
    </w:tbl>
    <w:p w:rsidR="00AF0131" w:rsidRPr="00AC391A" w:rsidRDefault="00AC391A" w:rsidP="00AF0131">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rPr>
          <w:rStyle w:val="HideTWBExt"/>
          <w:b w:val="0"/>
        </w:rPr>
        <w:t>&lt;NumAm&gt;</w:t>
      </w:r>
      <w:r w:rsidRPr="00AC391A">
        <w:t>16</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7 artikla – 1 kohta – b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b)</w:t>
            </w:r>
            <w:r w:rsidRPr="00AC391A">
              <w:tab/>
            </w:r>
            <w:r w:rsidRPr="00AC391A">
              <w:t>makrotalouden ennusteensa ja makrotaloutta koskevat oletuksensa;</w:t>
            </w:r>
          </w:p>
        </w:tc>
        <w:tc>
          <w:tcPr>
            <w:tcW w:w="4876" w:type="dxa"/>
            <w:hideMark/>
          </w:tcPr>
          <w:p w:rsidR="00AF0131" w:rsidRPr="00AC391A" w:rsidRDefault="00AC391A" w:rsidP="00C33FBD">
            <w:pPr>
              <w:pStyle w:val="Normal6"/>
              <w:rPr>
                <w:szCs w:val="24"/>
              </w:rPr>
            </w:pPr>
            <w:r w:rsidRPr="00AC391A">
              <w:t>b)</w:t>
            </w:r>
            <w:r w:rsidRPr="00AC391A">
              <w:tab/>
              <w:t xml:space="preserve">makrotalouden ennusteensa ja makrotaloutta koskevat oletuksensa; </w:t>
            </w:r>
            <w:r w:rsidRPr="00AC391A">
              <w:rPr>
                <w:b/>
                <w:i/>
              </w:rPr>
              <w:t>sosiaalisten riskien ennusteensa ja oletuksensa;</w:t>
            </w:r>
          </w:p>
        </w:tc>
      </w:tr>
    </w:tbl>
    <w:p w:rsidR="00AF0131" w:rsidRPr="00AC391A" w:rsidRDefault="00AC391A" w:rsidP="00AF0131">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17</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w:t>
      </w:r>
      <w:r w:rsidRPr="00AC391A">
        <w:t>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11 artikla – 1 kohta – 2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Kansallisessa keskipitkän aikavälin finanssi- ja rakennepoliittisessa suunnitelmassa on myös kuvailtava toimet, joilla jäsenvaltio vastaa maakohtaisiin suosituksiin, makrotalouden epätasapainoa koskevan menettelyn kannalta merkitykselliset suositukset muka</w:t>
            </w:r>
            <w:r w:rsidRPr="00AC391A">
              <w:t>an lukien, sekä mahdollisiin komission varoituksiin tai neuvoston suosituksiin, jotka on annettu SEUT-sopimuksen 121 artiklan 4 kohdan nojalla.</w:t>
            </w:r>
          </w:p>
        </w:tc>
        <w:tc>
          <w:tcPr>
            <w:tcW w:w="4876" w:type="dxa"/>
            <w:hideMark/>
          </w:tcPr>
          <w:p w:rsidR="00AF0131" w:rsidRPr="00AC391A" w:rsidRDefault="00AC391A" w:rsidP="00C33FBD">
            <w:pPr>
              <w:pStyle w:val="Normal6"/>
              <w:rPr>
                <w:szCs w:val="24"/>
              </w:rPr>
            </w:pPr>
            <w:r w:rsidRPr="00AC391A">
              <w:t xml:space="preserve">Kansallisessa keskipitkän aikavälin finanssi- ja rakennepoliittisessa suunnitelmassa on myös kuvailtava toimet, </w:t>
            </w:r>
            <w:r w:rsidRPr="00AC391A">
              <w:t xml:space="preserve">joilla jäsenvaltio vastaa maakohtaisiin suosituksiin, makrotalouden epätasapainoa koskevan menettelyn kannalta merkitykselliset suositukset mukaan lukien, </w:t>
            </w:r>
            <w:r w:rsidRPr="00AC391A">
              <w:rPr>
                <w:b/>
                <w:bCs/>
                <w:i/>
                <w:iCs/>
              </w:rPr>
              <w:t>sekä</w:t>
            </w:r>
            <w:r w:rsidRPr="00AC391A">
              <w:t xml:space="preserve"> </w:t>
            </w:r>
            <w:r w:rsidRPr="00AC391A">
              <w:rPr>
                <w:b/>
                <w:bCs/>
                <w:i/>
                <w:iCs/>
              </w:rPr>
              <w:t>sosiaalisen lähentymisen kehyksen mukaisissa sosiaalisen lähentymisen raporteissa mainittuihin h</w:t>
            </w:r>
            <w:r w:rsidRPr="00AC391A">
              <w:rPr>
                <w:b/>
                <w:bCs/>
                <w:i/>
                <w:iCs/>
              </w:rPr>
              <w:t>aasteisiin</w:t>
            </w:r>
            <w:r w:rsidRPr="00AC391A">
              <w:t xml:space="preserve"> sekä mahdollisiin komission varoituksiin tai neuvoston suosituksiin, jotka on annettu SEUT-sopimuksen 121 artiklan 4 kohdan </w:t>
            </w:r>
            <w:r w:rsidRPr="00AC391A">
              <w:rPr>
                <w:b/>
                <w:bCs/>
                <w:i/>
                <w:iCs/>
              </w:rPr>
              <w:t>ja 148 artiklan 4 kohdan nojalla</w:t>
            </w:r>
            <w:r w:rsidRPr="00AC391A">
              <w:t>.</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18</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12 artikla – 1 kohta – b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b)</w:t>
            </w:r>
            <w:r w:rsidRPr="00AC391A">
              <w:tab/>
            </w:r>
            <w:r w:rsidRPr="00AC391A">
              <w:t>suunnitelmassa on selostettava, miten sillä varmistetaan tärkeimpiin talouspolitiikan eurooppalaisen ohjausjakson maakohtaisissa suosituksissa yksilöityihin haasteisiin vastaavien investointien ja uudistusten toteuttaminen, korjataan mahdolliset makrotalou</w:t>
            </w:r>
            <w:r w:rsidRPr="00AC391A">
              <w:t>den epätasapainoa koskevassa menettelyssä havaitut makrotalouden epätasapainot ja edistetään tämän asetuksen liitteessä VI tarkoitettuja unionin yhteisiä painopisteitä, Euroopan vihreän kehityksen ohjelma, Euroopan sosiaalisten oikeuksien pilari ja digitaa</w:t>
            </w:r>
            <w:r w:rsidRPr="00AC391A">
              <w:t>linen vuosikymmen mukaan lukien, ja samalla suunnitelman on oltava johdonmukainen päivitettyjen kansallisten energia- ja ilmastosuunnitelmien ja digitaalista vuosikymmentä koskevien kansallisten etenemissuunnitelmien kanssa;</w:t>
            </w:r>
          </w:p>
        </w:tc>
        <w:tc>
          <w:tcPr>
            <w:tcW w:w="4876" w:type="dxa"/>
            <w:hideMark/>
          </w:tcPr>
          <w:p w:rsidR="00AF0131" w:rsidRPr="00AC391A" w:rsidRDefault="00AC391A" w:rsidP="00C33FBD">
            <w:pPr>
              <w:pStyle w:val="Normal6"/>
              <w:rPr>
                <w:szCs w:val="24"/>
              </w:rPr>
            </w:pPr>
            <w:r w:rsidRPr="00AC391A">
              <w:t>b)</w:t>
            </w:r>
            <w:r w:rsidRPr="00AC391A">
              <w:tab/>
            </w:r>
            <w:r w:rsidRPr="00AC391A">
              <w:rPr>
                <w:b/>
                <w:i/>
              </w:rPr>
              <w:t>suunnitelmassa on arvioitava</w:t>
            </w:r>
            <w:r w:rsidRPr="00AC391A">
              <w:rPr>
                <w:b/>
                <w:i/>
              </w:rPr>
              <w:t xml:space="preserve"> kansallisten julkisten investointien puutteita yhteisten painopisteiden saavuttamiseksi; tältä pohjalta siinä on säädettävä, että suunniteltu julkisen talouden sopeutus mahdollistaa tarvittavat sosiaaliset investoinnit Euroopan sosiaalisten oikeuksien pil</w:t>
            </w:r>
            <w:r w:rsidRPr="00AC391A">
              <w:rPr>
                <w:b/>
                <w:i/>
              </w:rPr>
              <w:t xml:space="preserve">arin periaatteiden täytäntöönpanemiseksi. </w:t>
            </w:r>
            <w:r w:rsidRPr="00AC391A">
              <w:t xml:space="preserve">suunnitelmassa on </w:t>
            </w:r>
            <w:r w:rsidRPr="00AC391A">
              <w:rPr>
                <w:b/>
                <w:bCs/>
                <w:i/>
                <w:iCs/>
              </w:rPr>
              <w:t>lisäksi</w:t>
            </w:r>
            <w:r w:rsidRPr="00AC391A">
              <w:t xml:space="preserve"> selostettava, miten sillä varmistetaan tärkeimpiin talouspolitiikan eurooppalaisen ohjausjakson maakohtaisissa suosituksissa yksilöityihin haasteisiin vastaavien investointien ja uudistust</w:t>
            </w:r>
            <w:r w:rsidRPr="00AC391A">
              <w:t xml:space="preserve">en toteuttaminen, korjataan mahdolliset makrotalouden epätasapainoa koskevassa menettelyssä havaitut makrotalouden epätasapainot, </w:t>
            </w:r>
            <w:r w:rsidRPr="00AC391A">
              <w:rPr>
                <w:b/>
                <w:bCs/>
                <w:i/>
                <w:iCs/>
              </w:rPr>
              <w:t>korjataan mahdolliset sosiaalisen lähentymisen kehyksen mukaiset lähentymisriskit</w:t>
            </w:r>
            <w:r w:rsidRPr="00AC391A">
              <w:t xml:space="preserve"> ja edistetään tämän asetuksen liitteessä VI </w:t>
            </w:r>
            <w:r w:rsidRPr="00AC391A">
              <w:t>tarkoitettuja unionin yhteisiä painopisteitä, Euroopan vihreän kehityksen ohjelma, Euroopan sosiaalisten oikeuksien pilari</w:t>
            </w:r>
            <w:r w:rsidRPr="00AC391A">
              <w:rPr>
                <w:b/>
                <w:bCs/>
                <w:i/>
                <w:iCs/>
              </w:rPr>
              <w:t>, työllisyyttä, koulutusta ja köyhyyden vähentämistä vuoteen 2030 mennessä koskevat tavoitteet</w:t>
            </w:r>
            <w:r w:rsidRPr="00AC391A">
              <w:t xml:space="preserve"> ja digitaalinen vuosikymmen mukaan luki</w:t>
            </w:r>
            <w:r w:rsidRPr="00AC391A">
              <w:t>en, ja samalla suunnitelman on oltava johdonmukainen päivitettyjen kansallisten energia- ja ilmastosuunnitelmien ja digitaalista vuosikymmentä koskevien kansallisten etenemissuunnitelmien kanssa.</w:t>
            </w:r>
            <w:r w:rsidRPr="00AC391A">
              <w:rPr>
                <w:b/>
                <w:i/>
              </w:rPr>
              <w:t xml:space="preserve"> </w:t>
            </w:r>
            <w:r w:rsidRPr="00AC391A">
              <w:rPr>
                <w:b/>
                <w:bCs/>
                <w:i/>
                <w:iCs/>
              </w:rPr>
              <w:t>Lisäksi siinä selitetään, miten se osaltaan vaikuttaa jäsenv</w:t>
            </w:r>
            <w:r w:rsidRPr="00AC391A">
              <w:rPr>
                <w:b/>
                <w:bCs/>
                <w:i/>
                <w:iCs/>
              </w:rPr>
              <w:t>altioiden talouspolitiikan laajojen suuntaviivojen ja työllisyyden suuntaviivojen täytäntöönpanoon SEUT-sopimuksen 121 artiklan 2 kohdan ja 148 artiklan 2 kohdan mukaisesti;</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lastRenderedPageBreak/>
        <w:t>&lt;Amend&gt;</w:t>
      </w:r>
      <w:r w:rsidRPr="00AC391A">
        <w:t>Tarkistus</w:t>
      </w:r>
      <w:r w:rsidRPr="00AC391A">
        <w:tab/>
      </w:r>
      <w:r w:rsidRPr="00AC391A">
        <w:tab/>
      </w:r>
      <w:r w:rsidRPr="00AC391A">
        <w:rPr>
          <w:rStyle w:val="HideTWBExt"/>
          <w:b w:val="0"/>
        </w:rPr>
        <w:t>&lt;NumAm&gt;</w:t>
      </w:r>
      <w:r w:rsidRPr="00AC391A">
        <w:t>19</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w:t>
      </w:r>
      <w:r w:rsidRPr="00AC391A">
        <w:rPr>
          <w:rStyle w:val="HideTWBExt"/>
          <w:b w:val="0"/>
        </w:rPr>
        <w:t>mend&gt;</w:t>
      </w:r>
    </w:p>
    <w:p w:rsidR="00AF0131" w:rsidRPr="00AC391A" w:rsidRDefault="00AC391A" w:rsidP="00AF0131">
      <w:pPr>
        <w:pStyle w:val="NormalBold"/>
      </w:pPr>
      <w:r w:rsidRPr="00AC391A">
        <w:rPr>
          <w:rStyle w:val="HideTWBExt"/>
          <w:b w:val="0"/>
        </w:rPr>
        <w:t>&lt;Article&gt;</w:t>
      </w:r>
      <w:r w:rsidRPr="00AC391A">
        <w:t>12 artikla – 1 kohta – d a alakohta (uusi)</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d a)</w:t>
            </w:r>
            <w:r w:rsidRPr="00AC391A">
              <w:rPr>
                <w:b/>
                <w:i/>
              </w:rPr>
              <w:tab/>
              <w:t>suunnitelmassa on selostettava</w:t>
            </w:r>
            <w:r w:rsidRPr="00AC391A">
              <w:rPr>
                <w:b/>
                <w:i/>
              </w:rPr>
              <w:t>,</w:t>
            </w:r>
            <w:r w:rsidRPr="00AC391A">
              <w:rPr>
                <w:b/>
                <w:i/>
              </w:rPr>
              <w:t xml:space="preserve"> miten paikallis- ja alueviranomaisia, työmarkkinaosapuolia, kansalaisjärjestöjä ja muita asiaankuuluvia sidosryhmiä on kuultu kansallisen oikeudellisen kehyksen mukaisesti ja se, miten sidosryhmien panos otetaan huomioon suunnitelmassa ja täytäntöönpanopr</w:t>
            </w:r>
            <w:r w:rsidRPr="00AC391A">
              <w:rPr>
                <w:b/>
                <w:i/>
              </w:rPr>
              <w:t>osessissa; sekä</w:t>
            </w:r>
          </w:p>
        </w:tc>
      </w:tr>
    </w:tbl>
    <w:p w:rsidR="00AF0131" w:rsidRPr="00AC391A" w:rsidRDefault="00AC391A" w:rsidP="00AF0131">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20</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13 artikla – 2 kohta – 2 alakohta – iv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iv)</w:t>
            </w:r>
            <w:r w:rsidRPr="00AC391A">
              <w:tab/>
            </w:r>
            <w:r w:rsidRPr="00AC391A">
              <w:t>sillä on vastattava kyseiselle jäsenvaltiolle osoitettuihin maakohtaisiin suosituksiin, mahdolliset makrotalouden epätasapainoa koskevassa menettelyssä annetut suositukset mukaan lukien;</w:t>
            </w:r>
          </w:p>
        </w:tc>
        <w:tc>
          <w:tcPr>
            <w:tcW w:w="4876" w:type="dxa"/>
            <w:hideMark/>
          </w:tcPr>
          <w:p w:rsidR="00AF0131" w:rsidRPr="00AC391A" w:rsidRDefault="00AC391A" w:rsidP="00C33FBD">
            <w:pPr>
              <w:pStyle w:val="Normal6"/>
              <w:rPr>
                <w:szCs w:val="24"/>
              </w:rPr>
            </w:pPr>
            <w:r w:rsidRPr="00AC391A">
              <w:t>iv)</w:t>
            </w:r>
            <w:r w:rsidRPr="00AC391A">
              <w:tab/>
              <w:t xml:space="preserve">sillä on vastattava </w:t>
            </w:r>
            <w:r w:rsidRPr="00AC391A">
              <w:rPr>
                <w:b/>
                <w:bCs/>
                <w:i/>
                <w:iCs/>
              </w:rPr>
              <w:t xml:space="preserve">SEUT-sopimuksen 121 artiklan 4 kohdan ja 148 </w:t>
            </w:r>
            <w:r w:rsidRPr="00AC391A">
              <w:rPr>
                <w:b/>
                <w:bCs/>
                <w:i/>
                <w:iCs/>
              </w:rPr>
              <w:t xml:space="preserve">artiklan 4 kohdan mukaisesti </w:t>
            </w:r>
            <w:r w:rsidRPr="00AC391A">
              <w:t xml:space="preserve">kyseiselle jäsenvaltiolle osoitettuihin maakohtaisiin suosituksiin, mahdolliset makrotalouden epätasapainoa koskevassa menettelyssä </w:t>
            </w:r>
            <w:r w:rsidRPr="00AC391A">
              <w:rPr>
                <w:b/>
                <w:bCs/>
                <w:i/>
                <w:iCs/>
              </w:rPr>
              <w:t>ja sosiaalisen lähentymisen kehyksessä</w:t>
            </w:r>
            <w:r w:rsidRPr="00AC391A">
              <w:t xml:space="preserve"> annetut suositukset mukaan lukien;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21</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16 artikla – 1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Neuvosto antaa komission suosituksesta suosituksen, jolla asetetaan kyseisen jäsenvaltion nettomenoura ja tarvittaessa hyväksytään jäsenvaltion kansalliseen keskipitkän aikavälin finanssi- ja rakennepoliittiseen suunnitelmaan sisältyvä sopeutuskauden piden</w:t>
            </w:r>
            <w:r w:rsidRPr="00AC391A">
              <w:t xml:space="preserve">tämisen perustana </w:t>
            </w:r>
            <w:r w:rsidRPr="00AC391A">
              <w:lastRenderedPageBreak/>
              <w:t xml:space="preserve">oleva uudistus- ja investointisitoumusten kokonaisuus, pääsääntöisesti </w:t>
            </w:r>
            <w:r w:rsidRPr="00AC391A">
              <w:rPr>
                <w:b/>
                <w:bCs/>
                <w:i/>
                <w:iCs/>
              </w:rPr>
              <w:t>neljän</w:t>
            </w:r>
            <w:r w:rsidRPr="00AC391A">
              <w:t xml:space="preserve"> viikon kuluessa komission suosituksen hyväksymisestä.</w:t>
            </w:r>
          </w:p>
        </w:tc>
        <w:tc>
          <w:tcPr>
            <w:tcW w:w="4876" w:type="dxa"/>
            <w:hideMark/>
          </w:tcPr>
          <w:p w:rsidR="00AF0131" w:rsidRPr="00AC391A" w:rsidRDefault="00AC391A" w:rsidP="00C33FBD">
            <w:pPr>
              <w:pStyle w:val="Normal6"/>
              <w:rPr>
                <w:szCs w:val="24"/>
              </w:rPr>
            </w:pPr>
            <w:r w:rsidRPr="00AC391A">
              <w:lastRenderedPageBreak/>
              <w:t xml:space="preserve">Neuvosto antaa komission suosituksesta </w:t>
            </w:r>
            <w:r w:rsidRPr="00AC391A">
              <w:rPr>
                <w:b/>
                <w:bCs/>
                <w:i/>
                <w:iCs/>
              </w:rPr>
              <w:t>ja kuultuaan 26 artiklassa määriteltyjä asianomaisia neuvoa-antavia komiteoita</w:t>
            </w:r>
            <w:r w:rsidRPr="00AC391A">
              <w:t xml:space="preserve"> suosituksen, jolla asetetaan kyseisen jäsenvaltion nettomenoura ja tarvittaessa hyväksytään jäsenvaltion kansalliseen keskipitkän aikavälin finanssi- ja </w:t>
            </w:r>
            <w:r w:rsidRPr="00AC391A">
              <w:lastRenderedPageBreak/>
              <w:t>rakennepoliittiseen suun</w:t>
            </w:r>
            <w:r w:rsidRPr="00AC391A">
              <w:t xml:space="preserve">nitelmaan sisältyvä sopeutuskauden pidentämisen perustana oleva uudistus- ja investointisitoumusten kokonaisuus, pääsääntöisesti </w:t>
            </w:r>
            <w:r w:rsidRPr="00AC391A">
              <w:rPr>
                <w:b/>
                <w:bCs/>
                <w:i/>
                <w:iCs/>
              </w:rPr>
              <w:t>6–10</w:t>
            </w:r>
            <w:r w:rsidRPr="00AC391A">
              <w:t xml:space="preserve"> viikon kuluessa komission suosituksen hyväksymisestä.</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22</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w:t>
      </w:r>
      <w:r w:rsidRPr="00AC391A">
        <w:t>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17 artikla – 1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Jos neuvosto katsoo, että suunnitelma ei ole 15 artiklan 2 kohdassa ja 3 kohdan a alakohdassa säädettyjen vaatimusten mukainen, se suosittaa komission suosituksesta, että kyseinen jäsenvaltio toimittaa tarkistetun kansallisen keskipitkän aikavälin finanssi</w:t>
            </w:r>
            <w:r w:rsidRPr="00AC391A">
              <w:t>- ja rakennepoliittisen suunnitelman.</w:t>
            </w:r>
          </w:p>
        </w:tc>
        <w:tc>
          <w:tcPr>
            <w:tcW w:w="4876" w:type="dxa"/>
            <w:hideMark/>
          </w:tcPr>
          <w:p w:rsidR="00AF0131" w:rsidRPr="00AC391A" w:rsidRDefault="00AC391A" w:rsidP="00C33FBD">
            <w:pPr>
              <w:pStyle w:val="Normal6"/>
              <w:rPr>
                <w:szCs w:val="24"/>
              </w:rPr>
            </w:pPr>
            <w:r w:rsidRPr="00AC391A">
              <w:t xml:space="preserve">Jos neuvosto katsoo, että suunnitelma ei ole 15 artiklan 2 kohdassa ja 3 kohdan a </w:t>
            </w:r>
            <w:r w:rsidRPr="00AC391A">
              <w:rPr>
                <w:b/>
                <w:bCs/>
                <w:i/>
                <w:iCs/>
              </w:rPr>
              <w:t>ja b</w:t>
            </w:r>
            <w:r w:rsidRPr="00AC391A">
              <w:t xml:space="preserve"> alakohdassa säädettyjen vaatimusten mukainen, se suosittaa komission suosituksesta </w:t>
            </w:r>
            <w:r w:rsidRPr="00AC391A">
              <w:rPr>
                <w:b/>
                <w:bCs/>
                <w:i/>
                <w:iCs/>
              </w:rPr>
              <w:t>ja kuultuaan 26 artiklassa yksilöityjä neuvoa-an</w:t>
            </w:r>
            <w:r w:rsidRPr="00AC391A">
              <w:rPr>
                <w:b/>
                <w:bCs/>
                <w:i/>
                <w:iCs/>
              </w:rPr>
              <w:t>tavia komiteoita</w:t>
            </w:r>
            <w:r w:rsidRPr="00AC391A">
              <w:t>, että kyseinen jäsenvaltio toimittaa tarkistetun kansallisen keskipitkän aikavälin finanssi- ja rakennepoliittisen suunnitelman.</w:t>
            </w:r>
          </w:p>
        </w:tc>
      </w:tr>
    </w:tbl>
    <w:p w:rsidR="00AF0131" w:rsidRPr="00AC391A" w:rsidRDefault="00AC391A" w:rsidP="00AF0131">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23</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20 artikla – 2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2.</w:t>
            </w:r>
            <w:r w:rsidRPr="00AC391A">
              <w:tab/>
            </w:r>
            <w:r w:rsidRPr="00AC391A">
              <w:t>Edellä 1 kohdassa tarkoitetussa vuotuisessa tilannekatsauksessa on annettava tietoja erityisesti edistymisestä nettomenouran toteuttamisessa, laajempien uudistus- ja investointisitoumusten toteuttamisessa talouspolitiikan eurooppalaisen ohjausjakson yhteyd</w:t>
            </w:r>
            <w:r w:rsidRPr="00AC391A">
              <w:t>essä sekä sopeutuskauden mahdollisen pidentämisen perustana olleen uudistus- ja investointisitoumusten kokonaisuuden toteuttamisessa.</w:t>
            </w:r>
          </w:p>
        </w:tc>
        <w:tc>
          <w:tcPr>
            <w:tcW w:w="4876" w:type="dxa"/>
            <w:hideMark/>
          </w:tcPr>
          <w:p w:rsidR="00AF0131" w:rsidRPr="00AC391A" w:rsidRDefault="00AC391A" w:rsidP="00C33FBD">
            <w:pPr>
              <w:pStyle w:val="Normal6"/>
              <w:rPr>
                <w:szCs w:val="24"/>
              </w:rPr>
            </w:pPr>
            <w:r w:rsidRPr="00AC391A">
              <w:t>2.</w:t>
            </w:r>
            <w:r w:rsidRPr="00AC391A">
              <w:tab/>
              <w:t>Edellä 1 kohdassa tarkoitetussa vuotuisessa tilannekatsauksessa on annettava tietoja erityisesti edistymisestä nettomen</w:t>
            </w:r>
            <w:r w:rsidRPr="00AC391A">
              <w:t>ouran toteuttamisessa, laajempien uudistus- ja investointisitoumusten toteuttamisessa talouspolitiikan eurooppalaisen ohjausjakson yhteydessä</w:t>
            </w:r>
            <w:r w:rsidRPr="00AC391A">
              <w:rPr>
                <w:b/>
                <w:bCs/>
                <w:i/>
                <w:iCs/>
              </w:rPr>
              <w:t>, mukaan lukien edistyminen työllisyyttä, koulutusta ja köyhyyden vähentämistä koskevien EU:n ja kansallisten tavoi</w:t>
            </w:r>
            <w:r w:rsidRPr="00AC391A">
              <w:rPr>
                <w:b/>
                <w:bCs/>
                <w:i/>
                <w:iCs/>
              </w:rPr>
              <w:t>tteiden ja liitteessä VI mainittujen unionin yhteisten painopisteiden saavuttamisessa vuoteen 2030 mennessä</w:t>
            </w:r>
            <w:r w:rsidRPr="00AC391A">
              <w:t xml:space="preserve">, sekä sopeutuskauden mahdollisen pidentämisen perustana olleen uudistus- ja </w:t>
            </w:r>
            <w:r w:rsidRPr="00AC391A">
              <w:lastRenderedPageBreak/>
              <w:t>investointisitoumusten kokonaisuuden toteuttamisessa.</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w:t>
      </w:r>
      <w:r w:rsidRPr="00AC391A">
        <w:t>arkistus</w:t>
      </w:r>
      <w:r w:rsidRPr="00AC391A">
        <w:tab/>
      </w:r>
      <w:r w:rsidRPr="00AC391A">
        <w:tab/>
      </w:r>
      <w:r w:rsidRPr="00AC391A">
        <w:rPr>
          <w:rStyle w:val="HideTWBExt"/>
          <w:b w:val="0"/>
        </w:rPr>
        <w:t>&lt;NumAm&gt;</w:t>
      </w:r>
      <w:r w:rsidRPr="00AC391A">
        <w:t>24</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22 artikla – 1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Kunkin [julkisen talouden kehyksistä annetun] neuvoston direktiivin [...]</w:t>
            </w:r>
            <w:r w:rsidRPr="00AC391A">
              <w:rPr>
                <w:vertAlign w:val="superscript"/>
              </w:rPr>
              <w:t>32</w:t>
            </w:r>
            <w:r w:rsidRPr="00AC391A">
              <w:t xml:space="preserve"> 8 artiklassa tarkoitetun riippumattoman finanssipolitiikan instituution on toimitettava arviointi siitä, vastaavatko 20 artiklassa tarkoitetussa tilannekatsauksessa ilmoitetut julkisen talouden toteutumatiedot nettomenouraa</w:t>
            </w:r>
            <w:r w:rsidRPr="00AC391A">
              <w:rPr>
                <w:b/>
                <w:i/>
              </w:rPr>
              <w:t>.</w:t>
            </w:r>
            <w:r w:rsidRPr="00AC391A">
              <w:t xml:space="preserve"> </w:t>
            </w:r>
            <w:r w:rsidRPr="00AC391A">
              <w:rPr>
                <w:b/>
                <w:bCs/>
                <w:i/>
                <w:iCs/>
              </w:rPr>
              <w:t>Kunkin riippumattoman finanssi</w:t>
            </w:r>
            <w:r w:rsidRPr="00AC391A">
              <w:rPr>
                <w:b/>
                <w:bCs/>
                <w:i/>
                <w:iCs/>
              </w:rPr>
              <w:t>politiikan instituution on</w:t>
            </w:r>
            <w:r w:rsidRPr="00AC391A">
              <w:t xml:space="preserve"> myös analysoitava mahdollisen nettomenouralta poikkeamisen taustalla olevia tekijöitä.</w:t>
            </w:r>
          </w:p>
        </w:tc>
        <w:tc>
          <w:tcPr>
            <w:tcW w:w="4876" w:type="dxa"/>
            <w:hideMark/>
          </w:tcPr>
          <w:p w:rsidR="00AF0131" w:rsidRPr="00AC391A" w:rsidRDefault="00AC391A" w:rsidP="00C33FBD">
            <w:pPr>
              <w:pStyle w:val="Normal6"/>
              <w:rPr>
                <w:szCs w:val="24"/>
              </w:rPr>
            </w:pPr>
            <w:r w:rsidRPr="00AC391A">
              <w:t>Kunkin [julkisen talouden kehyksistä annetun] neuvoston direktiivin [...]32 8 artiklassa tarkoitetun riippumattoman finanssipolitiikan instituution on</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a)</w:t>
            </w:r>
            <w:r w:rsidRPr="00AC391A">
              <w:t xml:space="preserve"> </w:t>
            </w:r>
            <w:r w:rsidRPr="00AC391A">
              <w:tab/>
              <w:t xml:space="preserve">toimitettava arviointi siitä, vastaavatko </w:t>
            </w:r>
            <w:r w:rsidRPr="00AC391A">
              <w:rPr>
                <w:b/>
                <w:bCs/>
                <w:i/>
                <w:iCs/>
              </w:rPr>
              <w:t>tämän asetuksen</w:t>
            </w:r>
            <w:r w:rsidRPr="00AC391A">
              <w:t xml:space="preserve"> 20 artiklassa tarkoitetussa tilannekatsau</w:t>
            </w:r>
            <w:r w:rsidRPr="00AC391A">
              <w:t>ksessa ilmoitetut julkisen talouden toteutumatiedot nettomenouraa;</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b)</w:t>
            </w:r>
            <w:r w:rsidRPr="00AC391A">
              <w:t xml:space="preserve"> </w:t>
            </w:r>
            <w:r w:rsidRPr="00AC391A">
              <w:tab/>
              <w:t>myös analysoitava mahdollisen nettomenouralta poikkeamisen taustalla olevia tekijöitä;</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 xml:space="preserve">c) </w:t>
            </w:r>
            <w:r w:rsidRPr="00AC391A">
              <w:tab/>
            </w:r>
            <w:r w:rsidRPr="00AC391A">
              <w:rPr>
                <w:b/>
                <w:bCs/>
                <w:i/>
                <w:iCs/>
              </w:rPr>
              <w:t>arvioitava finanssipoliittisten valintojen yhteiskunnallisia vaikutuksia.</w:t>
            </w:r>
          </w:p>
        </w:tc>
      </w:tr>
      <w:tr w:rsidR="00010AD3" w:rsidRPr="00AC391A" w:rsidTr="00C33FBD">
        <w:trPr>
          <w:jc w:val="center"/>
        </w:trPr>
        <w:tc>
          <w:tcPr>
            <w:tcW w:w="4876" w:type="dxa"/>
            <w:hideMark/>
          </w:tcPr>
          <w:p w:rsidR="00AF0131" w:rsidRPr="00AC391A" w:rsidRDefault="00AC391A" w:rsidP="00C33FBD">
            <w:pPr>
              <w:pStyle w:val="Normal6"/>
            </w:pPr>
            <w:r w:rsidRPr="00AC391A">
              <w:t>__________________</w:t>
            </w:r>
          </w:p>
        </w:tc>
        <w:tc>
          <w:tcPr>
            <w:tcW w:w="4876" w:type="dxa"/>
            <w:hideMark/>
          </w:tcPr>
          <w:p w:rsidR="00AF0131" w:rsidRPr="00AC391A" w:rsidRDefault="00AC391A" w:rsidP="00C33FBD">
            <w:pPr>
              <w:pStyle w:val="Normal6"/>
              <w:rPr>
                <w:szCs w:val="24"/>
              </w:rPr>
            </w:pPr>
            <w:r w:rsidRPr="00AC391A">
              <w:t>__________________</w:t>
            </w:r>
          </w:p>
        </w:tc>
      </w:tr>
      <w:tr w:rsidR="00010AD3" w:rsidRPr="00AC391A" w:rsidTr="00C33FBD">
        <w:trPr>
          <w:jc w:val="center"/>
        </w:trPr>
        <w:tc>
          <w:tcPr>
            <w:tcW w:w="4876" w:type="dxa"/>
            <w:hideMark/>
          </w:tcPr>
          <w:p w:rsidR="00AF0131" w:rsidRPr="00AC391A" w:rsidRDefault="00AC391A" w:rsidP="00C33FBD">
            <w:pPr>
              <w:pStyle w:val="Normal6"/>
            </w:pPr>
            <w:r w:rsidRPr="00AC391A">
              <w:rPr>
                <w:vertAlign w:val="superscript"/>
              </w:rPr>
              <w:t>32</w:t>
            </w:r>
            <w:r w:rsidRPr="00AC391A">
              <w:t xml:space="preserve"> Neuvoston direktiivi […], annettu […] [jäsenvaltioiden julkisen talouden kehyksiä koskevista vaatimuksista annetun neuvoston direktiivin 2011/85/EU muuttamisesta] (EUVL …., …, s. …).</w:t>
            </w:r>
          </w:p>
        </w:tc>
        <w:tc>
          <w:tcPr>
            <w:tcW w:w="4876" w:type="dxa"/>
            <w:hideMark/>
          </w:tcPr>
          <w:p w:rsidR="00AF0131" w:rsidRPr="00AC391A" w:rsidRDefault="00AC391A" w:rsidP="00C33FBD">
            <w:pPr>
              <w:pStyle w:val="Normal6"/>
              <w:rPr>
                <w:szCs w:val="24"/>
              </w:rPr>
            </w:pPr>
            <w:r w:rsidRPr="00AC391A">
              <w:rPr>
                <w:vertAlign w:val="superscript"/>
              </w:rPr>
              <w:t>32</w:t>
            </w:r>
            <w:r w:rsidRPr="00AC391A">
              <w:t xml:space="preserve"> Neuvoston direktiivi […], an</w:t>
            </w:r>
            <w:r w:rsidRPr="00AC391A">
              <w:t>nettu […] [jäsenvaltioiden julkisen talouden kehyksiä koskevista vaatimuksista annetun neuvoston direktiivin 2011/85/EU muuttamisesta] (EUVL …., …, s. …).</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25</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26 artikla – 1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 xml:space="preserve">Euroopan parlamentti osallistuu talouspolitiikan eurooppalaiseen ohjausjaksoon asianmukaisesti etenkin taloudellisen vuoropuhelun kautta päätöksiin liittyvän läpinäkyvyyden, sitoutumisen ja vastuuvelvollisuuden parantamiseksi. Talous- ja rahoituskomiteaa, </w:t>
            </w:r>
            <w:r w:rsidRPr="00AC391A">
              <w:t>talouspoliittista komiteaa, työllisyyskomiteaa ja sosiaalisen suojelun komiteaa kuullaan talouspolitiikan eurooppalaisen ohjausjakson puitteissa tarvittaessa. Sidosryhmiä ja erityisesti työmarkkinaosapuolia kuullaan talouspolitiikan eurooppalaisen ohjausja</w:t>
            </w:r>
            <w:r w:rsidRPr="00AC391A">
              <w:t>kson puitteissa tarvittaessa tärkeimmistä politiikkakysymyksistä SEUT-sopimuksen määräysten sekä kansallisten lakisääteisten ja poliittisten järjestelyjen mukaisesti.</w:t>
            </w:r>
          </w:p>
        </w:tc>
        <w:tc>
          <w:tcPr>
            <w:tcW w:w="4876" w:type="dxa"/>
            <w:hideMark/>
          </w:tcPr>
          <w:p w:rsidR="00AF0131" w:rsidRPr="00AC391A" w:rsidRDefault="00AC391A" w:rsidP="00C33FBD">
            <w:pPr>
              <w:pStyle w:val="Normal6"/>
              <w:rPr>
                <w:szCs w:val="24"/>
              </w:rPr>
            </w:pPr>
            <w:r w:rsidRPr="00AC391A">
              <w:t>Euroopan parlamentti osallistuu talouspolitiikan eurooppalaiseen ohjausjaksoon asianmukai</w:t>
            </w:r>
            <w:r w:rsidRPr="00AC391A">
              <w:t xml:space="preserve">sesti etenkin taloudellisen </w:t>
            </w:r>
            <w:r w:rsidRPr="00AC391A">
              <w:rPr>
                <w:b/>
                <w:bCs/>
                <w:i/>
                <w:iCs/>
              </w:rPr>
              <w:t>ja työllisyysasioita käsittelevän</w:t>
            </w:r>
            <w:r w:rsidRPr="00AC391A">
              <w:t xml:space="preserve"> vuoropuhelun kautta päätöksiin liittyvän läpinäkyvyyden, sitoutumisen ja vastuuvelvollisuuden parantamiseksi </w:t>
            </w:r>
            <w:r w:rsidRPr="00AC391A">
              <w:rPr>
                <w:b/>
                <w:bCs/>
                <w:i/>
                <w:iCs/>
              </w:rPr>
              <w:t>sekä makrotalouden ja sosiaalipolitiikan painopisteiden asettamiseksi</w:t>
            </w:r>
            <w:r w:rsidRPr="00AC391A">
              <w:t>. Talous- ja rah</w:t>
            </w:r>
            <w:r w:rsidRPr="00AC391A">
              <w:t xml:space="preserve">oituskomiteaa, talouspoliittista komiteaa, työllisyyskomiteaa ja sosiaalisen suojelun komiteaa kuullaan talouspolitiikan eurooppalaisen ohjausjakson puitteissa tarvittaessa. </w:t>
            </w:r>
            <w:r w:rsidRPr="00AC391A">
              <w:rPr>
                <w:b/>
                <w:bCs/>
                <w:i/>
                <w:iCs/>
              </w:rPr>
              <w:t>Myös Euroopan talous- ja sosiaalikomiteaa ja alueiden komiteaa kuullaan tarvittaes</w:t>
            </w:r>
            <w:r w:rsidRPr="00AC391A">
              <w:rPr>
                <w:b/>
                <w:bCs/>
                <w:i/>
                <w:iCs/>
              </w:rPr>
              <w:t>sa talouspolitiikan eurooppalaisen ohjausjakson yhteydessä.</w:t>
            </w:r>
            <w:r w:rsidRPr="00AC391A">
              <w:t xml:space="preserve"> Sidosryhmiä ja erityisesti työmarkkinaosapuolia </w:t>
            </w:r>
            <w:r w:rsidRPr="00AC391A">
              <w:rPr>
                <w:b/>
                <w:bCs/>
                <w:i/>
                <w:iCs/>
              </w:rPr>
              <w:t>ja kansalaisyhteiskunnan järjestöjä</w:t>
            </w:r>
            <w:r w:rsidRPr="00AC391A">
              <w:t xml:space="preserve"> kuullaan talouspolitiikan eurooppalaisen ohjausjakson puitteissa tarvittaessa tärkeimmistä politiikkakysymyksist</w:t>
            </w:r>
            <w:r w:rsidRPr="00AC391A">
              <w:t>ä SEUT-sopimuksen määräysten sekä kansallisten lakisääteisten ja poliittisten järjestelyjen mukaisesti.</w:t>
            </w:r>
          </w:p>
        </w:tc>
      </w:tr>
    </w:tbl>
    <w:p w:rsidR="00AF0131" w:rsidRPr="00AC391A" w:rsidRDefault="00AC391A" w:rsidP="00C56375">
      <w:pPr>
        <w:rPr>
          <w:rFonts w:eastAsiaTheme="majorEastAsia"/>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26</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26 artikla – 2 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Unionin toimielinten ja erityisesti Euroopan parlamentin, neuvoston ja komission välisen vuoropuhelun parantamiseksi ja läpinäkyvyyden ja vastuuvelvollisuuden lisäämiseksi Euroopan parlamentti voi kutsua neuvoston puheenjohtajan, komission puhee</w:t>
            </w:r>
            <w:r w:rsidRPr="00AC391A">
              <w:t xml:space="preserve">njohtajan ja tarvittaessa Eurooppa-neuvoston puheenjohtajan tai euroryhmän puheenjohtajan parlamenttiin </w:t>
            </w:r>
            <w:r w:rsidRPr="00AC391A">
              <w:lastRenderedPageBreak/>
              <w:t>keskustelemaan komission jäsenvaltioille antamasta politiikkaa koskevasta ohjauksesta, Eurooppa-neuvoston tekemistä päätelmistä sekä tämän asetuksen noj</w:t>
            </w:r>
            <w:r w:rsidRPr="00AC391A">
              <w:t>alla suoritetun monenvälisen valvonnan tuloksista.</w:t>
            </w:r>
          </w:p>
        </w:tc>
        <w:tc>
          <w:tcPr>
            <w:tcW w:w="4876" w:type="dxa"/>
            <w:hideMark/>
          </w:tcPr>
          <w:p w:rsidR="00AF0131" w:rsidRPr="00AC391A" w:rsidRDefault="00AC391A" w:rsidP="00C33FBD">
            <w:pPr>
              <w:pStyle w:val="Normal6"/>
              <w:rPr>
                <w:szCs w:val="24"/>
              </w:rPr>
            </w:pPr>
            <w:r w:rsidRPr="00AC391A">
              <w:lastRenderedPageBreak/>
              <w:t>Unionin toimielinten ja erityisesti Euroopan parlamentin, neuvoston ja komission välisen vuoropuhelun parantamiseksi ja läpinäkyvyyden ja vastuuvelvollisuuden lisäämiseksi Euroopan parlamentti voi kutsua n</w:t>
            </w:r>
            <w:r w:rsidRPr="00AC391A">
              <w:t xml:space="preserve">euvoston puheenjohtajan, komission puheenjohtajan ja tarvittaessa Eurooppa-neuvoston puheenjohtajan tai euroryhmän puheenjohtajan parlamenttiin </w:t>
            </w:r>
            <w:r w:rsidRPr="00AC391A">
              <w:lastRenderedPageBreak/>
              <w:t>keskustelemaan komission jäsenvaltioille antamasta politiikkaa koskevasta ohjauksesta, Eurooppa-neuvoston tekemi</w:t>
            </w:r>
            <w:r w:rsidRPr="00AC391A">
              <w:t>stä päätelmistä sekä tämän asetuksen nojalla suoritetun monenvälisen valvonnan tuloksista</w:t>
            </w:r>
            <w:r w:rsidRPr="00AC391A">
              <w:rPr>
                <w:b/>
                <w:bCs/>
                <w:i/>
                <w:iCs/>
              </w:rPr>
              <w:t>, mukaan lukien SEUT-sopimuksen 121 artiklan 4 kohdan ja 148 artiklan nojalla perustetut ennakkovaroitusjärjestelmät</w:t>
            </w:r>
            <w:r w:rsidRPr="00AC391A">
              <w:t>.</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27</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26 artikla – 3 a kohta (uusi)</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Euroopan parlamentin toimivaltaiset valiokunnat voivat pyytää komissiota keskustelemaan seuraavista asioista:</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a)</w:t>
            </w:r>
            <w:r w:rsidRPr="00AC391A">
              <w:rPr>
                <w:b/>
                <w:i/>
              </w:rPr>
              <w:tab/>
            </w:r>
            <w:r w:rsidRPr="00AC391A">
              <w:rPr>
                <w:b/>
                <w:i/>
              </w:rPr>
              <w:t>komission keskipitkän aikavälin julkisen velan arviointi kansallisista keskipitkän aikavälin finanssi- ja rakennepoliittisista suunnitelmista sekä velkakestävyysanalyysi</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b)</w:t>
            </w:r>
            <w:r w:rsidRPr="00AC391A">
              <w:rPr>
                <w:b/>
                <w:i/>
              </w:rPr>
              <w:tab/>
              <w:t xml:space="preserve"> jäsenvaltioiden vuotuisissa tilannekatsauksissa toimittamien tietojen arviointi</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c)</w:t>
            </w:r>
            <w:r w:rsidRPr="00AC391A">
              <w:rPr>
                <w:b/>
                <w:i/>
              </w:rPr>
              <w:tab/>
              <w:t>sopeutuskauden pidentämisen perustana olevien uudistus- ja investointisitoumusten arviointi</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d) maakohtaisten suositusten ja sosiaalisen lähentymisen riskien sekä Euroopan sosiaalisten oikeuksien pilarin periaatteiden täytäntöönpanon edistymisen arvi</w:t>
            </w:r>
            <w:r w:rsidRPr="00AC391A">
              <w:rPr>
                <w:b/>
                <w:i/>
              </w:rPr>
              <w:t>ointi.</w:t>
            </w:r>
          </w:p>
        </w:tc>
      </w:tr>
    </w:tbl>
    <w:p w:rsidR="00AF0131" w:rsidRPr="00AC391A" w:rsidRDefault="00AC391A" w:rsidP="00C56375">
      <w:pPr>
        <w:rPr>
          <w:rStyle w:val="HideTWBExt"/>
          <w:rFonts w:eastAsiaTheme="majorEastAsia"/>
          <w:b/>
          <w:color w:val="auto"/>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28</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d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d)</w:t>
            </w:r>
            <w:r w:rsidRPr="00AC391A">
              <w:tab/>
              <w:t xml:space="preserve">Tiedot </w:t>
            </w:r>
            <w:r w:rsidRPr="00AC391A">
              <w:rPr>
                <w:b/>
                <w:i/>
              </w:rPr>
              <w:t>väestön ikääntymiseen liittyvistä</w:t>
            </w:r>
            <w:r w:rsidRPr="00AC391A">
              <w:t xml:space="preserve"> epäsuorista vastuista</w:t>
            </w:r>
            <w:r w:rsidRPr="00AC391A">
              <w:t xml:space="preserve"> sekä </w:t>
            </w:r>
            <w:r w:rsidRPr="00AC391A">
              <w:lastRenderedPageBreak/>
              <w:t>ehdollisista vastuista, joilla saattaa olla suuri vaikutus valtion talousarvioon, mukaan lukien valtion takaukset, järjestämättömät lainat ja julkisten yritysten toiminnasta aiheutuvat vastuut sekä niiden laajuus, tiedot oikeustapauksista mahdollises</w:t>
            </w:r>
            <w:r w:rsidRPr="00AC391A">
              <w:t>ti aiheutuvista menoista ja velvoitteista sekä mahdollisuuksien mukaan tiedot katastrofeihin ja ilmastoon liittyvistä ehdollisista vastuista.</w:t>
            </w:r>
          </w:p>
        </w:tc>
        <w:tc>
          <w:tcPr>
            <w:tcW w:w="4876" w:type="dxa"/>
            <w:hideMark/>
          </w:tcPr>
          <w:p w:rsidR="00AF0131" w:rsidRPr="00AC391A" w:rsidRDefault="00AC391A" w:rsidP="00C33FBD">
            <w:pPr>
              <w:pStyle w:val="Normal6"/>
              <w:rPr>
                <w:szCs w:val="24"/>
              </w:rPr>
            </w:pPr>
            <w:r w:rsidRPr="00AC391A">
              <w:lastRenderedPageBreak/>
              <w:t>d)</w:t>
            </w:r>
            <w:r w:rsidRPr="00AC391A">
              <w:tab/>
            </w:r>
            <w:r w:rsidRPr="00AC391A">
              <w:t xml:space="preserve">Tiedot epäsuorista sekä ehdollisista vastuista, joilla saattaa olla suuri vaikutus </w:t>
            </w:r>
            <w:r w:rsidRPr="00AC391A">
              <w:lastRenderedPageBreak/>
              <w:t>valtion talousarvioon, mukaan lukien valtion takaukset, järjestämättömät lainat ja julkisten yritysten toiminnasta aiheutuvat vastuut sekä niiden laajuus, tiedot oikeustapau</w:t>
            </w:r>
            <w:r w:rsidRPr="00AC391A">
              <w:t>ksista mahdollisesti aiheutuvista menoista ja velvoitteista sekä mahdollisuuksien mukaan tiedot katastrofeihin ja ilmastoon liittyvistä ehdollisista vastuista.</w:t>
            </w:r>
          </w:p>
        </w:tc>
      </w:tr>
    </w:tbl>
    <w:p w:rsidR="00AF0131" w:rsidRPr="00AC391A" w:rsidRDefault="00AC391A" w:rsidP="00AF0131">
      <w:pPr>
        <w:pStyle w:val="AMNumberTabs0"/>
        <w:keepNext/>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29</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f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f)</w:t>
            </w:r>
            <w:r w:rsidRPr="00AC391A">
              <w:tab/>
              <w:t>Jos jäsenvaltion käyttämät e alakohdassa tarkoitetut oletukset poikkeavat komission oletuksista, jotka koskevat kansallisen keskipitkän aikavälin finanssi- ja rakennepoliit</w:t>
            </w:r>
            <w:r w:rsidRPr="00AC391A">
              <w:t>tisen suunnitelman sopeutuskautta ja sitä seuraavaa kymmenen vuoden ajanjaksoa ilman muita julkisen talouden toimenpiteitä, päteviin taloudellisiin argumentteihin perustuvat selitykset ja perustelut kyseisille eroille.</w:t>
            </w:r>
          </w:p>
        </w:tc>
        <w:tc>
          <w:tcPr>
            <w:tcW w:w="4876" w:type="dxa"/>
            <w:hideMark/>
          </w:tcPr>
          <w:p w:rsidR="00AF0131" w:rsidRPr="00AC391A" w:rsidRDefault="00AC391A" w:rsidP="00C33FBD">
            <w:pPr>
              <w:pStyle w:val="Normal6"/>
              <w:rPr>
                <w:szCs w:val="24"/>
              </w:rPr>
            </w:pPr>
            <w:r w:rsidRPr="00AC391A">
              <w:t>f)</w:t>
            </w:r>
            <w:r w:rsidRPr="00AC391A">
              <w:tab/>
              <w:t>Jos jäsenvaltion käyttämät e alako</w:t>
            </w:r>
            <w:r w:rsidRPr="00AC391A">
              <w:t>hdassa tarkoitetut oletukset poikkeavat komission oletuksista, jotka koskevat kansallisen keskipitkän aikavälin finanssi- ja rakennepoliittisen suunnitelman sopeutuskautta ja sitä seuraavaa kymmenen vuoden ajanjaksoa ilman muita julkisen talouden toimenpit</w:t>
            </w:r>
            <w:r w:rsidRPr="00AC391A">
              <w:t xml:space="preserve">eitä, päteviin taloudellisiin </w:t>
            </w:r>
            <w:r w:rsidRPr="00AC391A">
              <w:rPr>
                <w:b/>
                <w:bCs/>
                <w:i/>
                <w:iCs/>
              </w:rPr>
              <w:t>ja yhteiskunnallisiin</w:t>
            </w:r>
            <w:r w:rsidRPr="00AC391A">
              <w:t xml:space="preserve"> argumentteihin perustuvat selitykset ja perustelut kyseisille eroille.</w:t>
            </w:r>
          </w:p>
        </w:tc>
      </w:tr>
    </w:tbl>
    <w:p w:rsidR="00AF0131" w:rsidRPr="00AC391A" w:rsidRDefault="00AC391A" w:rsidP="00AF0131">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30</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g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g)</w:t>
            </w:r>
            <w:r w:rsidRPr="00AC391A">
              <w:tab/>
              <w:t>Selvitys siitä, miten muutokset taloutta koskevissa keskeisissä oletuksissa vaikuttaisivat jäsenvaltion rahoitus- ja velka-asemaan.</w:t>
            </w:r>
          </w:p>
        </w:tc>
        <w:tc>
          <w:tcPr>
            <w:tcW w:w="4876" w:type="dxa"/>
            <w:hideMark/>
          </w:tcPr>
          <w:p w:rsidR="00AF0131" w:rsidRPr="00AC391A" w:rsidRDefault="00AC391A" w:rsidP="00C33FBD">
            <w:pPr>
              <w:pStyle w:val="Normal6"/>
              <w:rPr>
                <w:szCs w:val="24"/>
              </w:rPr>
            </w:pPr>
            <w:r w:rsidRPr="00AC391A">
              <w:t>g)</w:t>
            </w:r>
            <w:r w:rsidRPr="00AC391A">
              <w:tab/>
              <w:t xml:space="preserve">Selvitys siitä, miten muutokset taloutta </w:t>
            </w:r>
            <w:r w:rsidRPr="00AC391A">
              <w:rPr>
                <w:b/>
                <w:bCs/>
                <w:i/>
                <w:iCs/>
              </w:rPr>
              <w:t>ja yhteiskuntaa</w:t>
            </w:r>
            <w:r w:rsidRPr="00AC391A">
              <w:t xml:space="preserve"> koskevissa keskeisis</w:t>
            </w:r>
            <w:r w:rsidRPr="00AC391A">
              <w:t xml:space="preserve">sä oletuksissa vaikuttaisivat jäsenvaltion rahoitus- ja velka-asemaan </w:t>
            </w:r>
            <w:r w:rsidRPr="00AC391A">
              <w:rPr>
                <w:b/>
                <w:bCs/>
                <w:i/>
                <w:iCs/>
              </w:rPr>
              <w:t xml:space="preserve">sekä kansallisten tavoitteiden saavuttamiseen, jotka liittyvät Euroopan sosiaalisten oikeuksien pilarin </w:t>
            </w:r>
            <w:r w:rsidRPr="00AC391A">
              <w:rPr>
                <w:b/>
                <w:bCs/>
                <w:i/>
                <w:iCs/>
              </w:rPr>
              <w:lastRenderedPageBreak/>
              <w:t>yleistavoitteisiin ja niiden tärkeimpiin toissijaisiin indikaattoreihin sekä union</w:t>
            </w:r>
            <w:r w:rsidRPr="00AC391A">
              <w:rPr>
                <w:b/>
                <w:bCs/>
                <w:i/>
                <w:iCs/>
              </w:rPr>
              <w:t>in yhteisiin painopisteisiin kyseisessä jäsenvaltiossa.</w:t>
            </w:r>
          </w:p>
        </w:tc>
      </w:tr>
    </w:tbl>
    <w:p w:rsidR="00AF0131" w:rsidRPr="00AC391A" w:rsidRDefault="00AC391A" w:rsidP="00AF0131">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31</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h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h)</w:t>
            </w:r>
            <w:r w:rsidRPr="00AC391A">
              <w:tab/>
            </w:r>
            <w:r w:rsidRPr="00AC391A">
              <w:t>Perustellut syyt (ja pätevät ja todennettavissa olevat taloudelliset argumentit) mahdolliselle poikkeamiselle komission esittämältä tekniseltä kehitysuralta.</w:t>
            </w:r>
          </w:p>
        </w:tc>
        <w:tc>
          <w:tcPr>
            <w:tcW w:w="4876" w:type="dxa"/>
            <w:hideMark/>
          </w:tcPr>
          <w:p w:rsidR="00AF0131" w:rsidRPr="00AC391A" w:rsidRDefault="00AC391A" w:rsidP="00C33FBD">
            <w:pPr>
              <w:pStyle w:val="Normal6"/>
              <w:rPr>
                <w:szCs w:val="24"/>
              </w:rPr>
            </w:pPr>
            <w:r w:rsidRPr="00AC391A">
              <w:t>h)</w:t>
            </w:r>
            <w:r w:rsidRPr="00AC391A">
              <w:tab/>
              <w:t xml:space="preserve">Perustellut syyt (ja pätevät ja todennettavissa olevat taloudelliset </w:t>
            </w:r>
            <w:r w:rsidRPr="00AC391A">
              <w:rPr>
                <w:b/>
                <w:i/>
              </w:rPr>
              <w:t>ja yhteiskunnalliset</w:t>
            </w:r>
            <w:r w:rsidRPr="00AC391A">
              <w:t xml:space="preserve"> argum</w:t>
            </w:r>
            <w:r w:rsidRPr="00AC391A">
              <w:t>entit) mahdolliselle poikkeamiselle komission esittämältä tekniseltä kehitysuralta.</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32</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j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j)</w:t>
            </w:r>
            <w:r w:rsidRPr="00AC391A">
              <w:tab/>
            </w:r>
            <w:r w:rsidRPr="00AC391A">
              <w:t>Julkisten investointimenojen kokonaismäärä sekä uudistukset ja julkiset investointimenot, jotka ovat liitteessä VI tarkoitettujen unionin yhteisten painopisteiden mukaisia.</w:t>
            </w:r>
          </w:p>
        </w:tc>
        <w:tc>
          <w:tcPr>
            <w:tcW w:w="4876" w:type="dxa"/>
            <w:hideMark/>
          </w:tcPr>
          <w:p w:rsidR="00AF0131" w:rsidRPr="00AC391A" w:rsidRDefault="00AC391A" w:rsidP="00C33FBD">
            <w:pPr>
              <w:pStyle w:val="Normal6"/>
              <w:rPr>
                <w:szCs w:val="24"/>
              </w:rPr>
            </w:pPr>
            <w:r w:rsidRPr="00AC391A">
              <w:t>j)</w:t>
            </w:r>
            <w:r w:rsidRPr="00AC391A">
              <w:tab/>
              <w:t>Julkisten investointimenojen kokonaismäärä sekä uudistukset ja julkiset investoi</w:t>
            </w:r>
            <w:r w:rsidRPr="00AC391A">
              <w:t xml:space="preserve">ntimenot, jotka ovat </w:t>
            </w:r>
            <w:r w:rsidRPr="00AC391A">
              <w:rPr>
                <w:b/>
                <w:bCs/>
                <w:i/>
                <w:iCs/>
              </w:rPr>
              <w:t>kunkin</w:t>
            </w:r>
            <w:r w:rsidRPr="00AC391A">
              <w:t xml:space="preserve"> liitteessä VI tarkoitettujen unionin yhteisten painopisteiden mukaisia.</w:t>
            </w:r>
          </w:p>
        </w:tc>
      </w:tr>
    </w:tbl>
    <w:p w:rsidR="00AF0131" w:rsidRPr="00AC391A" w:rsidRDefault="00AC391A" w:rsidP="00C56375">
      <w:pPr>
        <w:rPr>
          <w:rFonts w:eastAsiaTheme="majorEastAsia"/>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33</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k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k)</w:t>
            </w:r>
            <w:r w:rsidRPr="00AC391A">
              <w:tab/>
              <w:t>Tiedot 13 artiklan mukaisen sopeutuskauden mahdollisen pidentämisen perustana olevasta täsmällisestä, aikasidonnaisesta ja todennettavissa olevasta uudistus- ja investointisitoumusten kokonaisuudesta, sitoumusten toteutusaika</w:t>
            </w:r>
            <w:r w:rsidRPr="00AC391A">
              <w:t xml:space="preserve">taulu sekä pätevät taloudelliset </w:t>
            </w:r>
            <w:r w:rsidRPr="00AC391A">
              <w:lastRenderedPageBreak/>
              <w:t>perustelut sille, että tämä uudistus- ja investointisitoumusten kokonaisuus täyttää 13 artiklan kriteerit ottaen huomioon liitteessä VII vahvistetut arviointikriteerit.</w:t>
            </w:r>
          </w:p>
        </w:tc>
        <w:tc>
          <w:tcPr>
            <w:tcW w:w="4876" w:type="dxa"/>
            <w:hideMark/>
          </w:tcPr>
          <w:p w:rsidR="00AF0131" w:rsidRPr="00AC391A" w:rsidRDefault="00AC391A" w:rsidP="00C33FBD">
            <w:pPr>
              <w:pStyle w:val="Normal6"/>
              <w:rPr>
                <w:szCs w:val="24"/>
              </w:rPr>
            </w:pPr>
            <w:r w:rsidRPr="00AC391A">
              <w:lastRenderedPageBreak/>
              <w:t>k)</w:t>
            </w:r>
            <w:r w:rsidRPr="00AC391A">
              <w:tab/>
            </w:r>
            <w:r w:rsidRPr="00AC391A">
              <w:t>Tiedot 13 artiklan mukaisen sopeutuskauden mahdollisen pidentämisen perustana olevasta täsmällisestä, aikasidonnaisesta ja todennettavissa olevasta uudistus- ja investointisitoumusten kokonaisuudesta, sitoumusten toteutusaikataulu sekä pätevät taloudellise</w:t>
            </w:r>
            <w:r w:rsidRPr="00AC391A">
              <w:t xml:space="preserve">t </w:t>
            </w:r>
            <w:r w:rsidRPr="00AC391A">
              <w:rPr>
                <w:b/>
                <w:i/>
              </w:rPr>
              <w:lastRenderedPageBreak/>
              <w:t>ja yhteiskunnalliset</w:t>
            </w:r>
            <w:r w:rsidRPr="00AC391A">
              <w:t xml:space="preserve"> perustelut sille, että tämä uudistus- ja investointisitoumusten kokonaisuus täyttää 13 artiklan kriteerit ottaen huomioon liitteessä VII vahvistetut arviointikriteerit.</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34</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w:t>
      </w:r>
      <w:r w:rsidRPr="00AC391A">
        <w:t xml:space="preserve">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l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l)</w:t>
            </w:r>
            <w:r w:rsidRPr="00AC391A">
              <w:tab/>
              <w:t xml:space="preserve">Edellä k alakohdassa tarkoitettujen uudistusten ja investointien julkisen talouden kestävyyteen, kasvuun ja </w:t>
            </w:r>
            <w:r w:rsidRPr="00AC391A">
              <w:rPr>
                <w:b/>
                <w:i/>
              </w:rPr>
              <w:t>työllisyyteen</w:t>
            </w:r>
            <w:r w:rsidRPr="00AC391A">
              <w:t xml:space="preserve"> kohdistuvien vaikutusten mahdollisimman tarkka määrällinen esittäminen mahdollisia yhteisesti sovittuja menettelyjä noudattaen.</w:t>
            </w:r>
          </w:p>
        </w:tc>
        <w:tc>
          <w:tcPr>
            <w:tcW w:w="4876" w:type="dxa"/>
            <w:hideMark/>
          </w:tcPr>
          <w:p w:rsidR="00AF0131" w:rsidRPr="00AC391A" w:rsidRDefault="00AC391A" w:rsidP="00C33FBD">
            <w:pPr>
              <w:pStyle w:val="Normal6"/>
              <w:rPr>
                <w:szCs w:val="24"/>
              </w:rPr>
            </w:pPr>
            <w:r w:rsidRPr="00AC391A">
              <w:t>l)</w:t>
            </w:r>
            <w:r w:rsidRPr="00AC391A">
              <w:tab/>
              <w:t xml:space="preserve">Edellä k alakohdassa tarkoitettujen uudistusten ja investointien julkisen talouden kestävyyteen, </w:t>
            </w:r>
            <w:r w:rsidRPr="00AC391A">
              <w:rPr>
                <w:b/>
                <w:bCs/>
                <w:i/>
                <w:iCs/>
              </w:rPr>
              <w:t>kestävään ja osallistavaan</w:t>
            </w:r>
            <w:r w:rsidRPr="00AC391A">
              <w:t xml:space="preserve"> </w:t>
            </w:r>
            <w:r w:rsidRPr="00AC391A">
              <w:t>kasvuun ja</w:t>
            </w:r>
            <w:r w:rsidRPr="00AC391A">
              <w:rPr>
                <w:b/>
                <w:bCs/>
                <w:i/>
                <w:iCs/>
              </w:rPr>
              <w:t xml:space="preserve"> kilpailukykyyn,</w:t>
            </w:r>
            <w:r w:rsidRPr="00AC391A">
              <w:t xml:space="preserve"> </w:t>
            </w:r>
            <w:r w:rsidRPr="00AC391A">
              <w:rPr>
                <w:b/>
                <w:bCs/>
                <w:i/>
                <w:iCs/>
              </w:rPr>
              <w:t>laadukkaisiin työpaikkoihin</w:t>
            </w:r>
            <w:r w:rsidRPr="00AC391A">
              <w:t xml:space="preserve"> </w:t>
            </w:r>
            <w:r w:rsidRPr="00AC391A">
              <w:rPr>
                <w:b/>
                <w:bCs/>
                <w:i/>
                <w:iCs/>
              </w:rPr>
              <w:t>sekä ylöspäin tapahtuvaan sosiaaliseen lähentymiseen</w:t>
            </w:r>
            <w:r w:rsidRPr="00AC391A">
              <w:t xml:space="preserve"> kohdistuvien vaikutusten mahdollisimman tarkka määrällinen esittäminen mahdollisia yhteisesti sovittuja menettelyjä noudattaen.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w:t>
      </w:r>
      <w:r w:rsidRPr="00AC391A">
        <w:t>kistus</w:t>
      </w:r>
      <w:r w:rsidRPr="00AC391A">
        <w:tab/>
      </w:r>
      <w:r w:rsidRPr="00AC391A">
        <w:tab/>
      </w:r>
      <w:r w:rsidRPr="00AC391A">
        <w:rPr>
          <w:rStyle w:val="HideTWBExt"/>
          <w:b w:val="0"/>
        </w:rPr>
        <w:t>&lt;NumAm&gt;</w:t>
      </w:r>
      <w:r w:rsidRPr="00AC391A">
        <w:t>35</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n a alakohta (uusi)</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n a)</w:t>
            </w:r>
            <w:r w:rsidRPr="00AC391A">
              <w:rPr>
                <w:b/>
                <w:i/>
              </w:rPr>
              <w:tab/>
            </w:r>
            <w:r w:rsidRPr="00AC391A">
              <w:rPr>
                <w:b/>
                <w:i/>
              </w:rPr>
              <w:t>Tarvittaessa uudistukset ja investoinnit tunnistettujen sosiaalisen lähentymisen riskien korjaamiseksi sosiaalisen lähentymisen kehyksen mukaisesti.</w:t>
            </w:r>
          </w:p>
        </w:tc>
      </w:tr>
    </w:tbl>
    <w:p w:rsidR="00AF0131" w:rsidRPr="00AC391A" w:rsidRDefault="00AC391A" w:rsidP="00C56375">
      <w:pPr>
        <w:rPr>
          <w:rFonts w:eastAsiaTheme="majorEastAsia"/>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36</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p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p)</w:t>
            </w:r>
            <w:r w:rsidRPr="00AC391A">
              <w:tab/>
              <w:t xml:space="preserve">Jäsenvaltioissa, joiden julkisen velan haasteet ovat vähäiset mutta joilla on </w:t>
            </w:r>
            <w:r w:rsidRPr="00AC391A">
              <w:lastRenderedPageBreak/>
              <w:t xml:space="preserve">suuria </w:t>
            </w:r>
            <w:r w:rsidRPr="00AC391A">
              <w:rPr>
                <w:b/>
                <w:i/>
              </w:rPr>
              <w:t>väestön ikääntymisestä aiheutuvia</w:t>
            </w:r>
            <w:r w:rsidRPr="00AC391A">
              <w:t xml:space="preserve"> epäsuoria vastuita, kansallisessa nettomenourassa ja kansallisissa keskipitkän aikavälin finanssi- ja rakennepoliittiseen suunnitelmaan sisältyvissä uudistuksissa olisi otettava asianmukaisesti huomioon julkisen talouden pitkän aikavälin kestävyyteen liit</w:t>
            </w:r>
            <w:r w:rsidRPr="00AC391A">
              <w:t>tyvät haasteet.</w:t>
            </w:r>
          </w:p>
        </w:tc>
        <w:tc>
          <w:tcPr>
            <w:tcW w:w="4876" w:type="dxa"/>
            <w:hideMark/>
          </w:tcPr>
          <w:p w:rsidR="00AF0131" w:rsidRPr="00AC391A" w:rsidRDefault="00AC391A" w:rsidP="00C33FBD">
            <w:pPr>
              <w:pStyle w:val="Normal6"/>
              <w:rPr>
                <w:szCs w:val="24"/>
              </w:rPr>
            </w:pPr>
            <w:r w:rsidRPr="00AC391A">
              <w:lastRenderedPageBreak/>
              <w:t>p)</w:t>
            </w:r>
            <w:r w:rsidRPr="00AC391A">
              <w:tab/>
              <w:t xml:space="preserve">Jäsenvaltioissa, joiden julkisen velan haasteet ovat vähäiset mutta joilla on </w:t>
            </w:r>
            <w:r w:rsidRPr="00AC391A">
              <w:lastRenderedPageBreak/>
              <w:t>suuria epäsuoria vastuita, kansallisessa nettomenourassa ja kansallisissa keskipitkän aikavälin finanssi- ja rakennepoliittiseen suunnitelmaan sisältyvissä uud</w:t>
            </w:r>
            <w:r w:rsidRPr="00AC391A">
              <w:t xml:space="preserve">istuksissa olisi otettava asianmukaisesti huomioon julkisen talouden pitkän aikavälin kestävyyteen liittyvät haasteet </w:t>
            </w:r>
            <w:r w:rsidRPr="00AC391A">
              <w:rPr>
                <w:b/>
                <w:bCs/>
                <w:i/>
                <w:iCs/>
              </w:rPr>
              <w:t>sekä viimeisimmässä seurannassa todetut sosiaalisen lähentymisen riskit</w:t>
            </w:r>
            <w:r w:rsidRPr="00AC391A">
              <w:t>.</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37</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 xml:space="preserve">Ehdotus </w:t>
      </w:r>
      <w:r w:rsidRPr="00AC391A">
        <w:t>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 – 1 kohta – q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q)</w:t>
            </w:r>
            <w:r w:rsidRPr="00AC391A">
              <w:tab/>
              <w:t>Tiedot suunnitelman laatimista varten toteutetuista työmarkkinaosapuolten, kansalaisyhteiskunnan järjestöjen ja muiden sidosryhmien kuulemisista.</w:t>
            </w:r>
          </w:p>
        </w:tc>
        <w:tc>
          <w:tcPr>
            <w:tcW w:w="4876" w:type="dxa"/>
            <w:hideMark/>
          </w:tcPr>
          <w:p w:rsidR="00AF0131" w:rsidRPr="00AC391A" w:rsidRDefault="00AC391A" w:rsidP="00C33FBD">
            <w:pPr>
              <w:pStyle w:val="Normal6"/>
              <w:rPr>
                <w:szCs w:val="24"/>
              </w:rPr>
            </w:pPr>
            <w:r w:rsidRPr="00AC391A">
              <w:t>q)</w:t>
            </w:r>
            <w:r w:rsidRPr="00AC391A">
              <w:tab/>
            </w:r>
            <w:r w:rsidRPr="00AC391A">
              <w:t xml:space="preserve">Tiedot suunnitelman laatimista varten toteutetuista työmarkkinaosapuolten, kansalaisyhteiskunnan järjestöjen ja muiden sidosryhmien </w:t>
            </w:r>
            <w:r w:rsidRPr="00AC391A">
              <w:rPr>
                <w:b/>
                <w:i/>
              </w:rPr>
              <w:t>tehokkaista</w:t>
            </w:r>
            <w:r w:rsidRPr="00AC391A">
              <w:t xml:space="preserve"> kuulemisista.</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38</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III – 1 kohta – b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b)</w:t>
            </w:r>
            <w:r w:rsidRPr="00AC391A">
              <w:tab/>
              <w:t>Kansallisen keskipitkän aikavälin finanssi- ja rakennepoliittisen suunnitelman alusta alkava vertailu suunnitelmassa esitettyjen tärkeimpiä taloudellisia muuttujia koskevien kehity</w:t>
            </w:r>
            <w:r w:rsidRPr="00AC391A">
              <w:t>sarvioiden ja näiden muuttujien toteutumatietojen välillä sekä seuraukset neuvoston asettaman nettomenouran noudattamisen kannalta ja suunnitelmassa ilmoitetun julkisen talouden velkasuhteen ennustetun kehitysuran kannalta.</w:t>
            </w:r>
          </w:p>
        </w:tc>
        <w:tc>
          <w:tcPr>
            <w:tcW w:w="4876" w:type="dxa"/>
            <w:hideMark/>
          </w:tcPr>
          <w:p w:rsidR="00AF0131" w:rsidRPr="00AC391A" w:rsidRDefault="00AC391A" w:rsidP="00C33FBD">
            <w:pPr>
              <w:pStyle w:val="Normal6"/>
              <w:rPr>
                <w:szCs w:val="24"/>
              </w:rPr>
            </w:pPr>
            <w:r w:rsidRPr="00AC391A">
              <w:t>b)</w:t>
            </w:r>
            <w:r w:rsidRPr="00AC391A">
              <w:tab/>
              <w:t>Kansallisen keskipitkän aikav</w:t>
            </w:r>
            <w:r w:rsidRPr="00AC391A">
              <w:t xml:space="preserve">älin finanssi- ja rakennepoliittisen suunnitelman alusta alkava vertailu suunnitelmassa esitettyjen tärkeimpiä taloudellisia </w:t>
            </w:r>
            <w:r w:rsidRPr="00AC391A">
              <w:rPr>
                <w:b/>
                <w:bCs/>
                <w:i/>
                <w:iCs/>
              </w:rPr>
              <w:t>ja yhteiskunnallisia</w:t>
            </w:r>
            <w:r w:rsidRPr="00AC391A">
              <w:t xml:space="preserve"> muuttujia koskevien kehitysarvioiden ja näiden muuttujien toteutumatietojen välillä sekä seuraukset neuvoston </w:t>
            </w:r>
            <w:r w:rsidRPr="00AC391A">
              <w:t xml:space="preserve">asettaman nettomenouran noudattamisen kannalta ja suunnitelmassa ilmoitetun julkisen talouden velkasuhteen ennustetun kehitysuran kannalta </w:t>
            </w:r>
            <w:r w:rsidRPr="00AC391A">
              <w:rPr>
                <w:b/>
                <w:bCs/>
                <w:i/>
                <w:iCs/>
              </w:rPr>
              <w:t>sekä Euroopan sosiaalisten oikeuksien pilarin pääasiallisiin tavoitteisiin liittyvien kansallisten tavoitteiden saavu</w:t>
            </w:r>
            <w:r w:rsidRPr="00AC391A">
              <w:rPr>
                <w:b/>
                <w:bCs/>
                <w:i/>
                <w:iCs/>
              </w:rPr>
              <w:t xml:space="preserve">ttamisen </w:t>
            </w:r>
            <w:r w:rsidRPr="00AC391A">
              <w:rPr>
                <w:b/>
                <w:bCs/>
                <w:i/>
                <w:iCs/>
              </w:rPr>
              <w:lastRenderedPageBreak/>
              <w:t>kannalta</w:t>
            </w:r>
            <w:r w:rsidRPr="00AC391A">
              <w:t>.</w:t>
            </w:r>
          </w:p>
        </w:tc>
      </w:tr>
    </w:tbl>
    <w:p w:rsidR="00AF0131" w:rsidRPr="00AC391A" w:rsidRDefault="00AC391A" w:rsidP="00AF0131">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39</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III – 1 kohta – h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h)</w:t>
            </w:r>
            <w:r w:rsidRPr="00AC391A">
              <w:tab/>
            </w:r>
            <w:r w:rsidRPr="00AC391A">
              <w:t>Keskeiset oletukset sopeutuskauden seuraavina vuosina odotetusta talouden kehityksestä sekä merkittävistä talouden muuttujista, mukaan lukien julkisen talouden velkasuhde.</w:t>
            </w:r>
          </w:p>
        </w:tc>
        <w:tc>
          <w:tcPr>
            <w:tcW w:w="4876" w:type="dxa"/>
            <w:hideMark/>
          </w:tcPr>
          <w:p w:rsidR="00AF0131" w:rsidRPr="00AC391A" w:rsidRDefault="00AC391A" w:rsidP="00C33FBD">
            <w:pPr>
              <w:pStyle w:val="Normal6"/>
              <w:rPr>
                <w:szCs w:val="24"/>
              </w:rPr>
            </w:pPr>
            <w:r w:rsidRPr="00AC391A">
              <w:t>h)</w:t>
            </w:r>
            <w:r w:rsidRPr="00AC391A">
              <w:tab/>
              <w:t xml:space="preserve">Keskeiset oletukset sopeutuskauden seuraavina vuosina odotetusta talouden </w:t>
            </w:r>
            <w:r w:rsidRPr="00AC391A">
              <w:rPr>
                <w:b/>
                <w:i/>
              </w:rPr>
              <w:t>ja yhte</w:t>
            </w:r>
            <w:r w:rsidRPr="00AC391A">
              <w:rPr>
                <w:b/>
                <w:i/>
              </w:rPr>
              <w:t>iskunnan</w:t>
            </w:r>
            <w:r w:rsidRPr="00AC391A">
              <w:t xml:space="preserve"> kehityksestä sekä merkittävistä talouden </w:t>
            </w:r>
            <w:r w:rsidRPr="00AC391A">
              <w:rPr>
                <w:b/>
                <w:i/>
              </w:rPr>
              <w:t>ja yhteiskunnallisista</w:t>
            </w:r>
            <w:r w:rsidRPr="00AC391A">
              <w:t xml:space="preserve"> muuttujista, mukaan lukien julkisen talouden velkasuhde.</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40</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III – 1 kohta – l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l)</w:t>
            </w:r>
            <w:r w:rsidRPr="00AC391A">
              <w:tab/>
              <w:t>Analyysi makrotalouden epätasapainoa koskevassa menettelyssä havaittujen makrotalouden epätasapainojen kehityksestä ja liitteessä II olevan n alakohdan mukaisesti kansallisessa kes</w:t>
            </w:r>
            <w:r w:rsidRPr="00AC391A">
              <w:t>kipitkän aikavälin finanssi- ja rakennepoliittisessa suunnitelmassa ilmoitettujen uudistusten ja investointien toteuttamisen vaikutuksesta epätasapainoihin.</w:t>
            </w:r>
          </w:p>
        </w:tc>
        <w:tc>
          <w:tcPr>
            <w:tcW w:w="4876" w:type="dxa"/>
            <w:hideMark/>
          </w:tcPr>
          <w:p w:rsidR="00AF0131" w:rsidRPr="00AC391A" w:rsidRDefault="00AC391A" w:rsidP="00C33FBD">
            <w:pPr>
              <w:pStyle w:val="Normal6"/>
              <w:rPr>
                <w:szCs w:val="24"/>
              </w:rPr>
            </w:pPr>
            <w:r w:rsidRPr="00AC391A">
              <w:t>l)</w:t>
            </w:r>
            <w:r w:rsidRPr="00AC391A">
              <w:tab/>
              <w:t>Analyysi makrotalouden epätasapainoa koskevassa menettelyssä havaittujen makrotalouden epätasapa</w:t>
            </w:r>
            <w:r w:rsidRPr="00AC391A">
              <w:t xml:space="preserve">inojen kehityksestä </w:t>
            </w:r>
            <w:r w:rsidRPr="00AC391A">
              <w:rPr>
                <w:b/>
                <w:bCs/>
                <w:i/>
                <w:iCs/>
              </w:rPr>
              <w:t>ja sosiaalisen lähentymisen kehyksen mukaisista sosiaalisen lähentymisen riskeistä</w:t>
            </w:r>
            <w:r w:rsidRPr="00AC391A">
              <w:t xml:space="preserve"> ja liitteessä II olevan n </w:t>
            </w:r>
            <w:r w:rsidRPr="00AC391A">
              <w:rPr>
                <w:b/>
                <w:bCs/>
                <w:i/>
                <w:iCs/>
              </w:rPr>
              <w:t>ja o</w:t>
            </w:r>
            <w:r w:rsidRPr="00AC391A">
              <w:t xml:space="preserve"> alakohdan mukaisesti kansallisessa keskipitkän aikavälin finanssi- ja rakennepoliittisessa suunnitelmassa ilmoitettujen uu</w:t>
            </w:r>
            <w:r w:rsidRPr="00AC391A">
              <w:t>distusten ja investointien toteuttamisen vaikutuksesta epätasapainoihin.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41</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III – 1 kohta – n alakohta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n)</w:t>
            </w:r>
            <w:r w:rsidRPr="00AC391A">
              <w:tab/>
            </w:r>
            <w:r w:rsidRPr="00AC391A">
              <w:t xml:space="preserve">Tiedot työmarkkina-, osaamis- ja sosiaalipolitiikan kehityksestä ja sellaisten </w:t>
            </w:r>
            <w:r w:rsidRPr="00AC391A">
              <w:lastRenderedPageBreak/>
              <w:t>politiikkatoimien toteuttamisesta, joilla edistetään ylöspäin tapahtuvaa sosiaalista lähentymistä kohti parempia työ- ja elinoloja Euroopan sosiaalisten oikeuksien pilarin ja SE</w:t>
            </w:r>
            <w:r w:rsidRPr="00AC391A">
              <w:t>UT-sopimuksen 148 artiklan mukaisten työllisyyden suuntaviivojen periaatteiden mukaisesti. Tähän kuuluvat myös toimenpiteiden odotetut vaikutukset edistymiseen vuoteen 2030 mennessä saavutettavissa työllisyyttä, osaamista ja köyhyyden vähentämistä koskevis</w:t>
            </w:r>
            <w:r w:rsidRPr="00AC391A">
              <w:t>sa kansallisissa tavoitteissa.</w:t>
            </w:r>
          </w:p>
        </w:tc>
        <w:tc>
          <w:tcPr>
            <w:tcW w:w="4876" w:type="dxa"/>
            <w:hideMark/>
          </w:tcPr>
          <w:p w:rsidR="00AF0131" w:rsidRPr="00AC391A" w:rsidRDefault="00AC391A" w:rsidP="00C33FBD">
            <w:pPr>
              <w:pStyle w:val="Normal6"/>
              <w:rPr>
                <w:szCs w:val="24"/>
              </w:rPr>
            </w:pPr>
            <w:r w:rsidRPr="00AC391A">
              <w:lastRenderedPageBreak/>
              <w:t>n)</w:t>
            </w:r>
            <w:r w:rsidRPr="00AC391A">
              <w:tab/>
            </w:r>
            <w:r w:rsidRPr="00AC391A">
              <w:t xml:space="preserve">Tiedot työmarkkina-, osaamis- ja sosiaalipolitiikan kehityksestä ja sellaisten </w:t>
            </w:r>
            <w:r w:rsidRPr="00AC391A">
              <w:lastRenderedPageBreak/>
              <w:t>politiikkatoimien toteuttamisesta, joilla edistetään ylöspäin tapahtuvaa sosiaalista lähentymistä kohti parempia työ- ja elinoloja Euroopan sosiaalisten oikeuksien pilarin ja SE</w:t>
            </w:r>
            <w:r w:rsidRPr="00AC391A">
              <w:t xml:space="preserve">UT-sopimuksen 148 artiklan mukaisten työllisyyden suuntaviivojen </w:t>
            </w:r>
            <w:r w:rsidRPr="00AC391A">
              <w:rPr>
                <w:b/>
                <w:bCs/>
                <w:i/>
                <w:iCs/>
              </w:rPr>
              <w:t>sekä sosiaalisen lähentymisen kehyksen</w:t>
            </w:r>
            <w:r w:rsidRPr="00AC391A">
              <w:t xml:space="preserve"> periaatteiden mukaisesti. Tähän kuuluvat myös toimenpiteiden odotetut vaikutukset edistymiseen vuoteen 2030 mennessä saavutettavissa työllisyyttä, osaam</w:t>
            </w:r>
            <w:r w:rsidRPr="00AC391A">
              <w:t xml:space="preserve">ista ja köyhyyden vähentämistä koskevissa kansallisissa tavoitteissa </w:t>
            </w:r>
            <w:r w:rsidRPr="00AC391A">
              <w:rPr>
                <w:b/>
                <w:bCs/>
                <w:i/>
                <w:iCs/>
              </w:rPr>
              <w:t>sekä tarvittaessa sellaisten toimenpiteiden odotetut vaikutukset, joilla korjataan sosiaalista epätasapainoa koskevassa ennakkovaroitusjärjestelmässä havaitut sosiaaliset epätasapainot</w:t>
            </w:r>
            <w:r w:rsidRPr="00AC391A">
              <w:t>.</w:t>
            </w:r>
          </w:p>
        </w:tc>
      </w:tr>
    </w:tbl>
    <w:p w:rsidR="00AF0131" w:rsidRPr="00AC391A" w:rsidRDefault="00AC391A" w:rsidP="00AF0131">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42</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III – 1 kohta – o a alakohta (uusi)</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o a)</w:t>
            </w:r>
            <w:r w:rsidRPr="00AC391A">
              <w:tab/>
            </w:r>
            <w:r w:rsidRPr="00AC391A">
              <w:rPr>
                <w:b/>
                <w:bCs/>
                <w:i/>
                <w:iCs/>
              </w:rPr>
              <w:t>Tiedot tilannekatsauksen laatimista varten toteutetuista työmarkkinaosapuolten, kansalaisyhteiskunnan järjestöjen ja muiden asiaankuuluvien sidosryhmien kuulemisista.</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C56375">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43</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w:t>
      </w:r>
      <w:r w:rsidRPr="00AC391A">
        <w:rPr>
          <w:rStyle w:val="HideTWBExt"/>
          <w:b w:val="0"/>
        </w:rPr>
        <w:t>Article&gt;</w:t>
      </w:r>
      <w:r w:rsidRPr="00AC391A">
        <w:t>Liite VII – 2 alakohta – 2 kohta – 2.1 kohta – johdantokappale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2.1</w:t>
            </w:r>
            <w:r w:rsidRPr="00AC391A">
              <w:tab/>
              <w:t>Uudistus- ja investointisitoumusten kokonaisuus edistää kasvua</w:t>
            </w:r>
          </w:p>
        </w:tc>
        <w:tc>
          <w:tcPr>
            <w:tcW w:w="4876" w:type="dxa"/>
            <w:hideMark/>
          </w:tcPr>
          <w:p w:rsidR="00AF0131" w:rsidRPr="00AC391A" w:rsidRDefault="00AC391A" w:rsidP="00C33FBD">
            <w:pPr>
              <w:pStyle w:val="Normal6"/>
              <w:rPr>
                <w:szCs w:val="24"/>
              </w:rPr>
            </w:pPr>
            <w:r w:rsidRPr="00AC391A">
              <w:t>2.1</w:t>
            </w:r>
            <w:r w:rsidRPr="00AC391A">
              <w:tab/>
              <w:t xml:space="preserve">Uudistus- ja investointisitoumusten kokonaisuus edistää </w:t>
            </w:r>
            <w:r w:rsidRPr="00AC391A">
              <w:rPr>
                <w:b/>
                <w:bCs/>
                <w:i/>
                <w:iCs/>
              </w:rPr>
              <w:t>kestävää</w:t>
            </w:r>
            <w:r w:rsidRPr="00AC391A">
              <w:t xml:space="preserve"> kasvua </w:t>
            </w:r>
            <w:r w:rsidRPr="00AC391A">
              <w:rPr>
                <w:b/>
                <w:i/>
              </w:rPr>
              <w:t xml:space="preserve">Uudistus- ja investointisitoumusten odotetaan johtavan riittävään edistymiseen kansallisten tavoitteiden saavuttamisessa, mikä liittyy Euroopan </w:t>
            </w:r>
            <w:r w:rsidRPr="00AC391A">
              <w:rPr>
                <w:b/>
                <w:i/>
              </w:rPr>
              <w:lastRenderedPageBreak/>
              <w:t>sosiaalisten oikeuksien pilarin yleistavoitteisiin ja niiden pääasiallisiin ja toissijaisiin indikaattoreihin.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lastRenderedPageBreak/>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44</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VII – 2 alakohta – 2 kohta – 2.2 a alakohta (uusi)</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tcPr>
          <w:p w:rsidR="00AF0131" w:rsidRPr="00AC391A" w:rsidRDefault="00AF0131" w:rsidP="00C33FBD">
            <w:pPr>
              <w:pStyle w:val="Normal6"/>
            </w:pPr>
          </w:p>
        </w:tc>
        <w:tc>
          <w:tcPr>
            <w:tcW w:w="4876" w:type="dxa"/>
            <w:hideMark/>
          </w:tcPr>
          <w:p w:rsidR="00AF0131" w:rsidRPr="00AC391A" w:rsidRDefault="00AC391A" w:rsidP="00C33FBD">
            <w:pPr>
              <w:pStyle w:val="Normal6"/>
              <w:rPr>
                <w:szCs w:val="24"/>
              </w:rPr>
            </w:pPr>
            <w:r w:rsidRPr="00AC391A">
              <w:rPr>
                <w:b/>
                <w:i/>
              </w:rPr>
              <w:t>2.2 a</w:t>
            </w:r>
            <w:r w:rsidRPr="00AC391A">
              <w:rPr>
                <w:b/>
                <w:i/>
              </w:rPr>
              <w:tab/>
            </w:r>
            <w:r w:rsidRPr="00AC391A">
              <w:rPr>
                <w:b/>
                <w:i/>
              </w:rPr>
              <w:t>Uudistus- ja investointisitoumuksilla tuetaan ylöspäin tapahtuvaa sosiaalista lähentymistä.</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45</w:t>
      </w:r>
      <w:bookmarkStart w:id="1" w:name="_GoBack"/>
      <w:bookmarkEnd w:id="1"/>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VII – 2 alakohta – 2 kohta – 2.4 alakohta – johdantokappale</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2.4</w:t>
            </w:r>
            <w:r w:rsidRPr="00AC391A">
              <w:tab/>
              <w:t>Uudistus- ja investointisitoumusten kokonaisuus vastaa jäsenvaltiolle annettuja maakohtaisia suosituksia, mahdolliset makrotalouden epätasapainoa koskevassa menettelyssä annetut suositukset mukaan lukien</w:t>
            </w:r>
          </w:p>
        </w:tc>
        <w:tc>
          <w:tcPr>
            <w:tcW w:w="4876" w:type="dxa"/>
            <w:hideMark/>
          </w:tcPr>
          <w:p w:rsidR="00AF0131" w:rsidRPr="00AC391A" w:rsidRDefault="00AC391A" w:rsidP="00C33FBD">
            <w:pPr>
              <w:pStyle w:val="Normal6"/>
              <w:rPr>
                <w:szCs w:val="24"/>
              </w:rPr>
            </w:pPr>
            <w:r w:rsidRPr="00AC391A">
              <w:t>2.4</w:t>
            </w:r>
            <w:r w:rsidRPr="00AC391A">
              <w:tab/>
              <w:t>Uud</w:t>
            </w:r>
            <w:r w:rsidRPr="00AC391A">
              <w:t xml:space="preserve">istus- ja investointisitoumusten kokonaisuus vastaa jäsenvaltiolle annettuja maakohtaisia suosituksia </w:t>
            </w:r>
            <w:r w:rsidRPr="00AC391A">
              <w:rPr>
                <w:b/>
                <w:i/>
              </w:rPr>
              <w:t>SEUT-sopimuksen 121 artiklan 4 kohdan ja 148 artiklan 4 kohdan mukaisesti</w:t>
            </w:r>
            <w:r w:rsidRPr="00AC391A">
              <w:t>, mahdolliset makrotalouden epätasapainoa koskevassa menettelyssä annetut suositu</w:t>
            </w:r>
            <w:r w:rsidRPr="00AC391A">
              <w:t>kset mukaan lukien</w:t>
            </w:r>
          </w:p>
        </w:tc>
      </w:tr>
    </w:tbl>
    <w:p w:rsidR="00AF0131" w:rsidRPr="00AC391A" w:rsidRDefault="00AC391A" w:rsidP="00C56375">
      <w:pPr>
        <w:rPr>
          <w:rStyle w:val="HideTWBExt"/>
          <w:rFonts w:ascii="Times New Roman" w:hAnsi="Times New Roman" w:cs="Times New Roman"/>
          <w:noProof w:val="0"/>
          <w:vanish w:val="0"/>
          <w:color w:val="auto"/>
          <w:sz w:val="24"/>
        </w:rPr>
      </w:pPr>
      <w:r w:rsidRPr="00AC391A">
        <w:rPr>
          <w:rStyle w:val="HideTWBExt"/>
        </w:rPr>
        <w:t>&lt;/Amend&gt;</w:t>
      </w:r>
    </w:p>
    <w:p w:rsidR="00AF0131" w:rsidRPr="00AC391A" w:rsidRDefault="00AF0131" w:rsidP="00AF0131">
      <w:pPr>
        <w:rPr>
          <w:rStyle w:val="HideTWBExt"/>
          <w:color w:val="auto"/>
        </w:rPr>
      </w:pPr>
    </w:p>
    <w:p w:rsidR="00AF0131" w:rsidRPr="00AC391A" w:rsidRDefault="00AC391A" w:rsidP="00AF0131">
      <w:pPr>
        <w:pStyle w:val="AmNumberTabs"/>
      </w:pPr>
      <w:r w:rsidRPr="00AC391A">
        <w:rPr>
          <w:rStyle w:val="HideTWBExt"/>
          <w:b w:val="0"/>
        </w:rPr>
        <w:t>&lt;Amend&gt;</w:t>
      </w:r>
      <w:r w:rsidRPr="00AC391A">
        <w:t>Tarkistus</w:t>
      </w:r>
      <w:r w:rsidRPr="00AC391A">
        <w:tab/>
      </w:r>
      <w:r w:rsidRPr="00AC391A">
        <w:tab/>
      </w:r>
      <w:r w:rsidRPr="00AC391A">
        <w:rPr>
          <w:rStyle w:val="HideTWBExt"/>
          <w:b w:val="0"/>
        </w:rPr>
        <w:t>&lt;NumAm&gt;</w:t>
      </w:r>
      <w:r w:rsidRPr="00AC391A">
        <w:t>46</w:t>
      </w:r>
      <w:r w:rsidRPr="00AC391A">
        <w:rPr>
          <w:rStyle w:val="HideTWBExt"/>
          <w:b w:val="0"/>
        </w:rPr>
        <w:t>&lt;/NumAm&gt;</w:t>
      </w:r>
    </w:p>
    <w:p w:rsidR="00AF0131" w:rsidRPr="00AC391A" w:rsidRDefault="00AF0131" w:rsidP="00AF0131"/>
    <w:p w:rsidR="00AF0131" w:rsidRPr="00AC391A" w:rsidRDefault="00AC391A" w:rsidP="00AF0131">
      <w:pPr>
        <w:pStyle w:val="NormalBold"/>
        <w:keepNext/>
      </w:pPr>
      <w:r w:rsidRPr="00AC391A">
        <w:rPr>
          <w:rStyle w:val="HideTWBExt"/>
          <w:b w:val="0"/>
        </w:rPr>
        <w:t>&lt;DocAmend&gt;</w:t>
      </w:r>
      <w:r w:rsidRPr="00AC391A">
        <w:t>Ehdotus asetukseksi</w:t>
      </w:r>
      <w:r w:rsidRPr="00AC391A">
        <w:rPr>
          <w:rStyle w:val="HideTWBExt"/>
          <w:b w:val="0"/>
        </w:rPr>
        <w:t>&lt;/DocAmend&gt;</w:t>
      </w:r>
    </w:p>
    <w:p w:rsidR="00AF0131" w:rsidRPr="00AC391A" w:rsidRDefault="00AC391A" w:rsidP="00AF0131">
      <w:pPr>
        <w:pStyle w:val="NormalBold"/>
      </w:pPr>
      <w:r w:rsidRPr="00AC391A">
        <w:rPr>
          <w:rStyle w:val="HideTWBExt"/>
          <w:b w:val="0"/>
        </w:rPr>
        <w:t>&lt;Article&gt;</w:t>
      </w:r>
      <w:r w:rsidRPr="00AC391A">
        <w:t>Liite VII – 2 alakohta – 2 kohta – 2.4 alakohta – 1 luetelmakohta</w:t>
      </w:r>
      <w:r w:rsidRPr="00AC391A">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10AD3" w:rsidRPr="00AC391A" w:rsidTr="00C33FBD">
        <w:trPr>
          <w:jc w:val="center"/>
        </w:trPr>
        <w:tc>
          <w:tcPr>
            <w:tcW w:w="9752" w:type="dxa"/>
            <w:gridSpan w:val="2"/>
          </w:tcPr>
          <w:p w:rsidR="00AF0131" w:rsidRPr="00AC391A" w:rsidRDefault="00AF0131" w:rsidP="00C33FBD">
            <w:pPr>
              <w:keepNext/>
            </w:pPr>
          </w:p>
        </w:tc>
      </w:tr>
      <w:tr w:rsidR="00010AD3" w:rsidRPr="00AC391A" w:rsidTr="00C33FBD">
        <w:trPr>
          <w:jc w:val="center"/>
        </w:trPr>
        <w:tc>
          <w:tcPr>
            <w:tcW w:w="4876" w:type="dxa"/>
            <w:hideMark/>
          </w:tcPr>
          <w:p w:rsidR="00AF0131" w:rsidRPr="00AC391A" w:rsidRDefault="00AC391A" w:rsidP="00C33FBD">
            <w:pPr>
              <w:pStyle w:val="ColumnHeading"/>
              <w:keepNext/>
            </w:pPr>
            <w:r w:rsidRPr="00AC391A">
              <w:t>Komission teksti</w:t>
            </w:r>
          </w:p>
        </w:tc>
        <w:tc>
          <w:tcPr>
            <w:tcW w:w="4876" w:type="dxa"/>
            <w:hideMark/>
          </w:tcPr>
          <w:p w:rsidR="00AF0131" w:rsidRPr="00AC391A" w:rsidRDefault="00AC391A" w:rsidP="00C33FBD">
            <w:pPr>
              <w:pStyle w:val="ColumnHeading"/>
              <w:keepNext/>
            </w:pPr>
            <w:r w:rsidRPr="00AC391A">
              <w:t>Tarkistus</w:t>
            </w:r>
          </w:p>
        </w:tc>
      </w:tr>
      <w:tr w:rsidR="00010AD3" w:rsidRPr="00AC391A" w:rsidTr="00C33FBD">
        <w:trPr>
          <w:jc w:val="center"/>
        </w:trPr>
        <w:tc>
          <w:tcPr>
            <w:tcW w:w="4876" w:type="dxa"/>
            <w:hideMark/>
          </w:tcPr>
          <w:p w:rsidR="00AF0131" w:rsidRPr="00AC391A" w:rsidRDefault="00AC391A" w:rsidP="00C33FBD">
            <w:pPr>
              <w:pStyle w:val="Normal6"/>
            </w:pPr>
            <w:r w:rsidRPr="00AC391A">
              <w:t>–</w:t>
            </w:r>
            <w:r w:rsidRPr="00AC391A">
              <w:tab/>
            </w:r>
            <w:r w:rsidRPr="00AC391A">
              <w:t>Sopeutuskauden pidentämisen perustana olevan asianmukaisten uudistus- ja investointisitoumusten kokonaisuuden odotetaan vastaavan kyseistä jäsenvaltioita koskevissa maakohtaisissa suosituksissa, mahdolliset makrotalouden epätasapainoa koskevassa menettelys</w:t>
            </w:r>
            <w:r w:rsidRPr="00AC391A">
              <w:t xml:space="preserve">sä annetut </w:t>
            </w:r>
            <w:r w:rsidRPr="00AC391A">
              <w:lastRenderedPageBreak/>
              <w:t>suositukset mukaan lukien, yksilöityihin haasteisiin, kun otetaan huomioon maakohtaisten haasteiden laajuus ja taso sekä mahdolliset elpymis- ja palautumissuunnitelmissa annetut sitoumukset.</w:t>
            </w:r>
          </w:p>
        </w:tc>
        <w:tc>
          <w:tcPr>
            <w:tcW w:w="4876" w:type="dxa"/>
            <w:hideMark/>
          </w:tcPr>
          <w:p w:rsidR="00AF0131" w:rsidRPr="00AC391A" w:rsidRDefault="00AC391A" w:rsidP="00C33FBD">
            <w:pPr>
              <w:pStyle w:val="Normal6"/>
              <w:rPr>
                <w:szCs w:val="24"/>
              </w:rPr>
            </w:pPr>
            <w:r w:rsidRPr="00AC391A">
              <w:lastRenderedPageBreak/>
              <w:t>–</w:t>
            </w:r>
            <w:r w:rsidRPr="00AC391A">
              <w:tab/>
              <w:t>Sopeutuskauden pidentämisen perustana olevan asianmu</w:t>
            </w:r>
            <w:r w:rsidRPr="00AC391A">
              <w:t xml:space="preserve">kaisten uudistus- ja investointisitoumusten kokonaisuuden odotetaan vastaavan kyseistä jäsenvaltioita koskevissa maakohtaisissa suosituksissa, mahdolliset makrotalouden epätasapainoa koskevassa menettelyssä annetut </w:t>
            </w:r>
            <w:r w:rsidRPr="00AC391A">
              <w:lastRenderedPageBreak/>
              <w:t xml:space="preserve">suositukset </w:t>
            </w:r>
            <w:r w:rsidRPr="00AC391A">
              <w:rPr>
                <w:b/>
                <w:bCs/>
                <w:i/>
                <w:iCs/>
              </w:rPr>
              <w:t>sekä SEUT-sopimuksen 148 arti</w:t>
            </w:r>
            <w:r w:rsidRPr="00AC391A">
              <w:rPr>
                <w:b/>
                <w:bCs/>
                <w:i/>
                <w:iCs/>
              </w:rPr>
              <w:t>klan 4 kohdan nojalla annetut suositukset</w:t>
            </w:r>
            <w:r w:rsidRPr="00AC391A">
              <w:t xml:space="preserve"> mukaan lukien, yksilöityihin haasteisiin, kun otetaan huomioon maakohtaisten haasteiden laajuus ja taso sekä mahdolliset elpymis- ja palautumissuunnitelmissa annetut sitoumukset.</w:t>
            </w:r>
          </w:p>
        </w:tc>
      </w:tr>
    </w:tbl>
    <w:p w:rsidR="00AF0131" w:rsidRPr="00AC391A" w:rsidRDefault="00AC391A" w:rsidP="00AF0131">
      <w:pPr>
        <w:rPr>
          <w:rStyle w:val="HideTWBExt"/>
          <w:color w:val="auto"/>
        </w:rPr>
      </w:pPr>
      <w:r w:rsidRPr="00AC391A">
        <w:rPr>
          <w:rStyle w:val="HideTWBExt"/>
        </w:rPr>
        <w:lastRenderedPageBreak/>
        <w:t>&lt;/Amend&gt;</w:t>
      </w:r>
    </w:p>
    <w:p w:rsidR="00AF0131" w:rsidRPr="00AC391A" w:rsidRDefault="00AC391A" w:rsidP="00AF0131">
      <w:pPr>
        <w:rPr>
          <w:rStyle w:val="HideTWBExt"/>
          <w:color w:val="auto"/>
          <w:szCs w:val="20"/>
        </w:rPr>
      </w:pPr>
      <w:r w:rsidRPr="00AC391A">
        <w:rPr>
          <w:rStyle w:val="HideTWBExt"/>
        </w:rPr>
        <w:t>&lt;/RepeatBlock-Amend&gt;</w:t>
      </w:r>
    </w:p>
    <w:p w:rsidR="00AF0131" w:rsidRPr="00AC391A" w:rsidRDefault="00AC391A" w:rsidP="00AF0131">
      <w:r w:rsidRPr="00AC391A">
        <w:br w:type="page"/>
      </w:r>
    </w:p>
    <w:p w:rsidR="00AF0131" w:rsidRPr="00AC391A" w:rsidRDefault="00AC391A" w:rsidP="00AF0131">
      <w:pPr>
        <w:pStyle w:val="PageHeadingNotTOC"/>
      </w:pPr>
      <w:bookmarkStart w:id="2" w:name="ProcPageAD"/>
      <w:r w:rsidRPr="00AC391A">
        <w:lastRenderedPageBreak/>
        <w:t>ASIAN KÄSITTELY</w:t>
      </w:r>
      <w:r w:rsidRPr="00AC391A">
        <w:br/>
        <w:t>LAUSUNNON ANTAVASSA VALIOKUNNASSA</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010AD3" w:rsidRPr="00AC391A"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Otsikko</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Talouspolitiikan tuloksellinen koordinointi ja monenvälinen julkisen talouden valvonta sekä neuvoston asetuksen (EY) N:o 1466/97 kumoaminen</w:t>
            </w:r>
          </w:p>
        </w:tc>
      </w:tr>
      <w:tr w:rsidR="00010AD3" w:rsidRPr="00AC391A"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Viiteasiakirjat</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COM(2023)0240 – C9-0150/2023 – 2023/0138(</w:t>
            </w:r>
            <w:r w:rsidRPr="00AC391A">
              <w:rPr>
                <w:sz w:val="20"/>
              </w:rPr>
              <w:t>COD)</w:t>
            </w:r>
          </w:p>
        </w:tc>
      </w:tr>
      <w:tr w:rsidR="00010AD3" w:rsidRPr="00AC391A"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Asiasta vastaava valiokunta</w:t>
            </w:r>
          </w:p>
          <w:p w:rsidR="00AF0131" w:rsidRPr="00AC391A" w:rsidRDefault="00AC391A" w:rsidP="00C33FBD">
            <w:pPr>
              <w:autoSpaceDE w:val="0"/>
              <w:autoSpaceDN w:val="0"/>
              <w:adjustRightInd w:val="0"/>
              <w:rPr>
                <w:sz w:val="20"/>
                <w:szCs w:val="20"/>
              </w:rPr>
            </w:pPr>
            <w:r w:rsidRPr="00AC391A">
              <w:rPr>
                <w:sz w:val="20"/>
              </w:rPr>
              <w:t>       Ilmoitettu istunnossa (pvä)</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ECON</w:t>
            </w:r>
          </w:p>
          <w:p w:rsidR="00AF0131" w:rsidRPr="00AC391A" w:rsidRDefault="00AC391A" w:rsidP="00C33FBD">
            <w:pPr>
              <w:autoSpaceDE w:val="0"/>
              <w:autoSpaceDN w:val="0"/>
              <w:adjustRightInd w:val="0"/>
              <w:rPr>
                <w:sz w:val="20"/>
                <w:szCs w:val="20"/>
              </w:rPr>
            </w:pPr>
            <w:r w:rsidRPr="00AC391A">
              <w:rPr>
                <w:sz w:val="20"/>
              </w:rPr>
              <w:t>12.6.2023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r>
      <w:tr w:rsidR="00010AD3" w:rsidRPr="00AC391A"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Lausunnon antanut valiokunta</w:t>
            </w:r>
          </w:p>
          <w:p w:rsidR="00AF0131" w:rsidRPr="00AC391A" w:rsidRDefault="00AC391A" w:rsidP="00C33FBD">
            <w:pPr>
              <w:autoSpaceDE w:val="0"/>
              <w:autoSpaceDN w:val="0"/>
              <w:adjustRightInd w:val="0"/>
              <w:rPr>
                <w:sz w:val="20"/>
                <w:szCs w:val="20"/>
              </w:rPr>
            </w:pPr>
            <w:r w:rsidRPr="00AC391A">
              <w:rPr>
                <w:sz w:val="20"/>
              </w:rPr>
              <w:t>       Ilmoitettu istunnossa (pvä)</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EMPL</w:t>
            </w:r>
          </w:p>
          <w:p w:rsidR="00AF0131" w:rsidRPr="00AC391A" w:rsidRDefault="00AC391A" w:rsidP="00C33FBD">
            <w:pPr>
              <w:autoSpaceDE w:val="0"/>
              <w:autoSpaceDN w:val="0"/>
              <w:adjustRightInd w:val="0"/>
              <w:rPr>
                <w:sz w:val="20"/>
                <w:szCs w:val="20"/>
              </w:rPr>
            </w:pPr>
            <w:r w:rsidRPr="00AC391A">
              <w:rPr>
                <w:sz w:val="20"/>
              </w:rPr>
              <w:t>12.6.2023</w:t>
            </w:r>
          </w:p>
        </w:tc>
      </w:tr>
      <w:tr w:rsidR="00010AD3" w:rsidRPr="00AC391A"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Yhteistyöhön osallistuvat valiokunnat - ilmoitettu istunnossa (pvä)</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14.9.2023</w:t>
            </w:r>
          </w:p>
        </w:tc>
      </w:tr>
      <w:tr w:rsidR="00010AD3" w:rsidRPr="00AC391A"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Valmistelija</w:t>
            </w:r>
          </w:p>
          <w:p w:rsidR="00AF0131" w:rsidRPr="00AC391A" w:rsidRDefault="00AC391A" w:rsidP="00C33FBD">
            <w:pPr>
              <w:autoSpaceDE w:val="0"/>
              <w:autoSpaceDN w:val="0"/>
              <w:adjustRightInd w:val="0"/>
              <w:rPr>
                <w:sz w:val="20"/>
                <w:szCs w:val="20"/>
              </w:rPr>
            </w:pPr>
            <w:r w:rsidRPr="00AC391A">
              <w:rPr>
                <w:sz w:val="20"/>
              </w:rPr>
              <w:t>       Nimitetty (pvä)</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Gabriele Bischoff</w:t>
            </w:r>
          </w:p>
          <w:p w:rsidR="00AF0131" w:rsidRPr="00AC391A" w:rsidRDefault="00AC391A" w:rsidP="00C33FBD">
            <w:pPr>
              <w:autoSpaceDE w:val="0"/>
              <w:autoSpaceDN w:val="0"/>
              <w:adjustRightInd w:val="0"/>
              <w:rPr>
                <w:sz w:val="20"/>
                <w:szCs w:val="20"/>
              </w:rPr>
            </w:pPr>
            <w:r w:rsidRPr="00AC391A">
              <w:rPr>
                <w:sz w:val="20"/>
              </w:rPr>
              <w:t>29.6.2023</w:t>
            </w:r>
          </w:p>
        </w:tc>
      </w:tr>
      <w:tr w:rsidR="00010AD3" w:rsidRPr="00AC391A"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Valiokuntakäsittely</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2.10.2023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r>
      <w:tr w:rsidR="00010AD3" w:rsidRPr="00AC391A"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Hyväksytty (pvä)</w:t>
            </w:r>
          </w:p>
        </w:tc>
        <w:tc>
          <w:tcPr>
            <w:tcW w:w="1530" w:type="dxa"/>
            <w:tcBorders>
              <w:top w:val="nil"/>
              <w:left w:val="nil"/>
              <w:bottom w:val="single" w:sz="8" w:space="0" w:color="000000"/>
              <w:right w:val="nil"/>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25.10.2023</w:t>
            </w:r>
          </w:p>
        </w:tc>
        <w:tc>
          <w:tcPr>
            <w:tcW w:w="1474" w:type="dxa"/>
            <w:tcBorders>
              <w:top w:val="nil"/>
              <w:left w:val="nil"/>
              <w:bottom w:val="single" w:sz="8" w:space="0" w:color="000000"/>
              <w:right w:val="nil"/>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c>
          <w:tcPr>
            <w:tcW w:w="1474" w:type="dxa"/>
            <w:tcBorders>
              <w:top w:val="nil"/>
              <w:left w:val="nil"/>
              <w:bottom w:val="single" w:sz="8" w:space="0" w:color="000000"/>
              <w:right w:val="nil"/>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AF0131" w:rsidRPr="00AC391A" w:rsidRDefault="00AF0131" w:rsidP="00C33FBD">
            <w:pPr>
              <w:autoSpaceDE w:val="0"/>
              <w:autoSpaceDN w:val="0"/>
              <w:adjustRightInd w:val="0"/>
              <w:rPr>
                <w:rFonts w:ascii="sans-serif" w:hAnsi="sans-serif" w:cs="sans-serif"/>
              </w:rPr>
            </w:pPr>
          </w:p>
        </w:tc>
      </w:tr>
      <w:tr w:rsidR="00010AD3" w:rsidRPr="00AC391A"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Lopullisen äänestyksen tulos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w:t>
            </w:r>
          </w:p>
          <w:p w:rsidR="00AF0131" w:rsidRPr="00AC391A" w:rsidRDefault="00AC391A" w:rsidP="00C33FBD">
            <w:pPr>
              <w:autoSpaceDE w:val="0"/>
              <w:autoSpaceDN w:val="0"/>
              <w:adjustRightInd w:val="0"/>
              <w:rPr>
                <w:sz w:val="20"/>
                <w:szCs w:val="20"/>
              </w:rPr>
            </w:pPr>
            <w:r w:rsidRPr="00AC391A">
              <w:rPr>
                <w:sz w:val="20"/>
              </w:rPr>
              <w:t>–:</w:t>
            </w:r>
          </w:p>
          <w:p w:rsidR="00AF0131" w:rsidRPr="00AC391A" w:rsidRDefault="00AC391A" w:rsidP="00C33FBD">
            <w:pPr>
              <w:autoSpaceDE w:val="0"/>
              <w:autoSpaceDN w:val="0"/>
              <w:adjustRightInd w:val="0"/>
              <w:rPr>
                <w:sz w:val="20"/>
                <w:szCs w:val="20"/>
              </w:rPr>
            </w:pPr>
            <w:r w:rsidRPr="00AC391A">
              <w:rPr>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29</w:t>
            </w:r>
          </w:p>
          <w:p w:rsidR="00AF0131" w:rsidRPr="00AC391A" w:rsidRDefault="00AC391A" w:rsidP="00C33FBD">
            <w:pPr>
              <w:autoSpaceDE w:val="0"/>
              <w:autoSpaceDN w:val="0"/>
              <w:adjustRightInd w:val="0"/>
              <w:rPr>
                <w:sz w:val="20"/>
                <w:szCs w:val="20"/>
              </w:rPr>
            </w:pPr>
            <w:r w:rsidRPr="00AC391A">
              <w:rPr>
                <w:sz w:val="20"/>
              </w:rPr>
              <w:t>4</w:t>
            </w:r>
          </w:p>
          <w:p w:rsidR="00AF0131" w:rsidRPr="00AC391A" w:rsidRDefault="00AC391A" w:rsidP="00C33FBD">
            <w:pPr>
              <w:autoSpaceDE w:val="0"/>
              <w:autoSpaceDN w:val="0"/>
              <w:adjustRightInd w:val="0"/>
              <w:rPr>
                <w:sz w:val="20"/>
                <w:szCs w:val="20"/>
              </w:rPr>
            </w:pPr>
            <w:r w:rsidRPr="00AC391A">
              <w:rPr>
                <w:sz w:val="20"/>
              </w:rPr>
              <w:t>10</w:t>
            </w:r>
          </w:p>
        </w:tc>
      </w:tr>
      <w:tr w:rsidR="00010AD3" w:rsidRPr="00AC391A" w:rsidTr="00C33FBD">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Lopullisessa äänestyksessä läsnä olleet jäsenet</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João Albuquerque, Marc Angel, Dominique Bilde, Gabriele Bischoff, Milan Brglez, Jordi Cañas, David Casa, Ilan De Basso, Margarita de la Pisa Carrión, Özlem Demirel, Klára Dobrev, Jarosław Duda, Estrella Durá Ferrandis, Lucia Ďuriš Nicholsonová, Loucas Four</w:t>
            </w:r>
            <w:r w:rsidRPr="00AC391A">
              <w:rPr>
                <w:sz w:val="20"/>
              </w:rPr>
              <w:t>las, Cindy Franssen, Chiara Gemma, Helmut Geuking, Elisabetta Gualmini, Alicia Homs Ginel, Agnes Jongerius, Stelios Kympouropoulos, Katrin Langensiepen, Miriam Lexmann, Elena Lizzi, Sara Matthieu, Max Orville, Kira Marie Peter-Hansen, Dragoş Pîslaru, Elżbi</w:t>
            </w:r>
            <w:r w:rsidRPr="00AC391A">
              <w:rPr>
                <w:sz w:val="20"/>
              </w:rPr>
              <w:t>eta Rafalska, Daniela Rondinelli, Pirkko Ruohonen-Lerner, Monica Semedo, Romana Tomc, Nikolaj Villumsen, Marianne Vind, Maria Walsh, Tomáš Zdechovský</w:t>
            </w:r>
          </w:p>
        </w:tc>
      </w:tr>
      <w:tr w:rsidR="00010AD3" w:rsidRPr="00AC391A"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Lopullisessa äänestyksessä läsnä olleet varajäsenet</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Alexander Alexandrov Yordanov, Aurore Lalucq, Eugenia</w:t>
            </w:r>
            <w:r w:rsidRPr="00AC391A">
              <w:rPr>
                <w:sz w:val="20"/>
              </w:rPr>
              <w:t xml:space="preserve"> Rodríguez Palop</w:t>
            </w:r>
          </w:p>
        </w:tc>
      </w:tr>
      <w:tr w:rsidR="00010AD3" w:rsidRPr="00AC391A" w:rsidTr="00C33FBD">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b/>
                <w:bCs/>
                <w:sz w:val="20"/>
                <w:szCs w:val="20"/>
              </w:rPr>
            </w:pPr>
            <w:r w:rsidRPr="00AC391A">
              <w:rPr>
                <w:b/>
                <w:sz w:val="20"/>
              </w:rPr>
              <w:t>Lopullisessa äänestyksessä läsnä olleet sijaiset (209 art. 7 kohta)</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F0131" w:rsidRPr="00AC391A" w:rsidRDefault="00AC391A" w:rsidP="00C33FBD">
            <w:pPr>
              <w:autoSpaceDE w:val="0"/>
              <w:autoSpaceDN w:val="0"/>
              <w:adjustRightInd w:val="0"/>
              <w:rPr>
                <w:sz w:val="20"/>
                <w:szCs w:val="20"/>
              </w:rPr>
            </w:pPr>
            <w:r w:rsidRPr="00AC391A">
              <w:rPr>
                <w:sz w:val="20"/>
              </w:rPr>
              <w:t>Sirpa Pietikäinen, Caroline Roose</w:t>
            </w:r>
          </w:p>
        </w:tc>
      </w:tr>
    </w:tbl>
    <w:p w:rsidR="00AF0131" w:rsidRPr="00AC391A" w:rsidRDefault="00AF0131" w:rsidP="00AF0131"/>
    <w:bookmarkEnd w:id="2"/>
    <w:p w:rsidR="00AF0131" w:rsidRPr="00AC391A" w:rsidRDefault="00AF0131" w:rsidP="00AF0131">
      <w:pPr>
        <w:sectPr w:rsidR="00AF0131" w:rsidRPr="00AC391A" w:rsidSect="0094666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AF0131" w:rsidRPr="00AC391A" w:rsidRDefault="00AC391A" w:rsidP="00AF0131">
      <w:pPr>
        <w:pStyle w:val="PageHeadingNotTOC"/>
      </w:pPr>
      <w:bookmarkStart w:id="3" w:name="RollCallPageAD"/>
      <w:r w:rsidRPr="00AC391A">
        <w:lastRenderedPageBreak/>
        <w:t>LOPULLINEN ÄÄNESTYS NIMENHUUTOÄÄNESTYKSENÄ</w:t>
      </w:r>
      <w:r w:rsidRPr="00AC391A">
        <w:br/>
        <w:t>LAUSUNNON ANTAVASSA VALIOKUNNASSA</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10AD3" w:rsidRPr="00AC391A" w:rsidTr="00C33FBD">
        <w:trPr>
          <w:cantSplit/>
        </w:trPr>
        <w:tc>
          <w:tcPr>
            <w:tcW w:w="1701" w:type="dxa"/>
            <w:shd w:val="pct10" w:color="000000" w:fill="FFFFFF"/>
            <w:vAlign w:val="center"/>
          </w:tcPr>
          <w:p w:rsidR="00AF0131" w:rsidRPr="00AC391A" w:rsidRDefault="00AC391A" w:rsidP="00C33FBD">
            <w:pPr>
              <w:pStyle w:val="RollCallVotes"/>
            </w:pPr>
            <w:r w:rsidRPr="00AC391A">
              <w:t>29</w:t>
            </w:r>
          </w:p>
        </w:tc>
        <w:tc>
          <w:tcPr>
            <w:tcW w:w="7371" w:type="dxa"/>
            <w:shd w:val="pct10" w:color="000000" w:fill="FFFFFF"/>
          </w:tcPr>
          <w:p w:rsidR="00AF0131" w:rsidRPr="00AC391A" w:rsidRDefault="00AC391A" w:rsidP="00C33FBD">
            <w:pPr>
              <w:pStyle w:val="RollCallSymbols14pt"/>
            </w:pPr>
            <w:r w:rsidRPr="00AC391A">
              <w:t>+</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PPE</w:t>
            </w:r>
          </w:p>
        </w:tc>
        <w:tc>
          <w:tcPr>
            <w:tcW w:w="7371" w:type="dxa"/>
            <w:shd w:val="clear" w:color="auto" w:fill="FFFFFF"/>
          </w:tcPr>
          <w:p w:rsidR="00AF0131" w:rsidRPr="00AC391A" w:rsidRDefault="00AC391A" w:rsidP="00C33FBD">
            <w:pPr>
              <w:pStyle w:val="RollCallTable"/>
            </w:pPr>
            <w:r w:rsidRPr="00AC391A">
              <w:t>David Casa, Loucas Fourlas, Cindy Franssen, Stelios Kympouropoulos, Sirpa Pietikäinen, Maria Walsh</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Renew</w:t>
            </w:r>
          </w:p>
        </w:tc>
        <w:tc>
          <w:tcPr>
            <w:tcW w:w="7371" w:type="dxa"/>
            <w:shd w:val="clear" w:color="auto" w:fill="FFFFFF"/>
          </w:tcPr>
          <w:p w:rsidR="00AF0131" w:rsidRPr="00AC391A" w:rsidRDefault="00AC391A" w:rsidP="00C33FBD">
            <w:pPr>
              <w:pStyle w:val="RollCallTable"/>
            </w:pPr>
            <w:r w:rsidRPr="00AC391A">
              <w:t>Jordi Cañas, Lucia Ďuriš Nicholsonová, Max Orville, Dragoş Pîslaru, Monica Semedo</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S&amp;D</w:t>
            </w:r>
          </w:p>
        </w:tc>
        <w:tc>
          <w:tcPr>
            <w:tcW w:w="7371" w:type="dxa"/>
            <w:shd w:val="clear" w:color="auto" w:fill="FFFFFF"/>
          </w:tcPr>
          <w:p w:rsidR="00AF0131" w:rsidRPr="00AC391A" w:rsidRDefault="00AC391A" w:rsidP="00C33FBD">
            <w:pPr>
              <w:pStyle w:val="RollCallTable"/>
            </w:pPr>
            <w:r w:rsidRPr="00AC391A">
              <w:t xml:space="preserve">João Albuquerque, Marc Angel, Gabriele Bischoff, Milan Brglez, </w:t>
            </w:r>
            <w:r w:rsidRPr="00AC391A">
              <w:t>Klára Dobrev, Estrella Durá Ferrandis, Elisabetta Gualmini, Alicia Homs Ginel, Agnes Jongerius, Aurore Lalucq, Daniela Rondinelli, Marianne Vind</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The Left</w:t>
            </w:r>
          </w:p>
        </w:tc>
        <w:tc>
          <w:tcPr>
            <w:tcW w:w="7371" w:type="dxa"/>
            <w:shd w:val="clear" w:color="auto" w:fill="FFFFFF"/>
          </w:tcPr>
          <w:p w:rsidR="00AF0131" w:rsidRPr="00AC391A" w:rsidRDefault="00AC391A" w:rsidP="00C33FBD">
            <w:pPr>
              <w:pStyle w:val="RollCallTable"/>
            </w:pPr>
            <w:r w:rsidRPr="00AC391A">
              <w:t>Eugenia Rodríguez Palop, Nikolaj Villumsen</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Verts/ALE</w:t>
            </w:r>
          </w:p>
        </w:tc>
        <w:tc>
          <w:tcPr>
            <w:tcW w:w="7371" w:type="dxa"/>
            <w:shd w:val="clear" w:color="auto" w:fill="FFFFFF"/>
          </w:tcPr>
          <w:p w:rsidR="00AF0131" w:rsidRPr="00AC391A" w:rsidRDefault="00AC391A" w:rsidP="00C33FBD">
            <w:pPr>
              <w:pStyle w:val="RollCallTable"/>
            </w:pPr>
            <w:r w:rsidRPr="00AC391A">
              <w:t>Katrin Langensiepen, Sara Matthieu, Kira Marie Peter-Hansen, Caroline Roose</w:t>
            </w:r>
          </w:p>
        </w:tc>
      </w:tr>
    </w:tbl>
    <w:p w:rsidR="00AF0131" w:rsidRPr="00AC391A" w:rsidRDefault="00AF0131" w:rsidP="00AF013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10AD3" w:rsidRPr="00AC391A" w:rsidTr="00C33FBD">
        <w:trPr>
          <w:cantSplit/>
        </w:trPr>
        <w:tc>
          <w:tcPr>
            <w:tcW w:w="1701" w:type="dxa"/>
            <w:shd w:val="pct10" w:color="000000" w:fill="FFFFFF"/>
            <w:vAlign w:val="center"/>
          </w:tcPr>
          <w:p w:rsidR="00AF0131" w:rsidRPr="00AC391A" w:rsidRDefault="00AC391A" w:rsidP="00C33FBD">
            <w:pPr>
              <w:pStyle w:val="RollCallVotes"/>
            </w:pPr>
            <w:r w:rsidRPr="00AC391A">
              <w:t>4</w:t>
            </w:r>
          </w:p>
        </w:tc>
        <w:tc>
          <w:tcPr>
            <w:tcW w:w="7371" w:type="dxa"/>
            <w:shd w:val="pct10" w:color="000000" w:fill="FFFFFF"/>
          </w:tcPr>
          <w:p w:rsidR="00AF0131" w:rsidRPr="00AC391A" w:rsidRDefault="00AC391A" w:rsidP="00C33FBD">
            <w:pPr>
              <w:pStyle w:val="RollCallSymbols14pt"/>
            </w:pPr>
            <w:r w:rsidRPr="00AC391A">
              <w:t>-</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ECR</w:t>
            </w:r>
          </w:p>
        </w:tc>
        <w:tc>
          <w:tcPr>
            <w:tcW w:w="7371" w:type="dxa"/>
            <w:shd w:val="clear" w:color="auto" w:fill="FFFFFF"/>
          </w:tcPr>
          <w:p w:rsidR="00AF0131" w:rsidRPr="00AC391A" w:rsidRDefault="00AC391A" w:rsidP="00C33FBD">
            <w:pPr>
              <w:pStyle w:val="RollCallTable"/>
            </w:pPr>
            <w:r w:rsidRPr="00AC391A">
              <w:t>Margarita de la Pisa Carrión, Elżbieta Rafalska, Pirkko Ruohonen-Lerner</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ID</w:t>
            </w:r>
          </w:p>
        </w:tc>
        <w:tc>
          <w:tcPr>
            <w:tcW w:w="7371" w:type="dxa"/>
            <w:shd w:val="clear" w:color="auto" w:fill="FFFFFF"/>
          </w:tcPr>
          <w:p w:rsidR="00AF0131" w:rsidRPr="00AC391A" w:rsidRDefault="00AC391A" w:rsidP="00C33FBD">
            <w:pPr>
              <w:pStyle w:val="RollCallTable"/>
            </w:pPr>
            <w:r w:rsidRPr="00AC391A">
              <w:t>Dominique Bilde</w:t>
            </w:r>
          </w:p>
        </w:tc>
      </w:tr>
    </w:tbl>
    <w:p w:rsidR="00AF0131" w:rsidRPr="00AC391A" w:rsidRDefault="00AF0131" w:rsidP="00AF013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010AD3" w:rsidRPr="00AC391A" w:rsidTr="00C33FBD">
        <w:trPr>
          <w:cantSplit/>
        </w:trPr>
        <w:tc>
          <w:tcPr>
            <w:tcW w:w="1701" w:type="dxa"/>
            <w:shd w:val="pct10" w:color="000000" w:fill="FFFFFF"/>
            <w:vAlign w:val="center"/>
          </w:tcPr>
          <w:p w:rsidR="00AF0131" w:rsidRPr="00AC391A" w:rsidRDefault="00AC391A" w:rsidP="00C33FBD">
            <w:pPr>
              <w:pStyle w:val="RollCallVotes"/>
            </w:pPr>
            <w:r w:rsidRPr="00AC391A">
              <w:t>10</w:t>
            </w:r>
          </w:p>
        </w:tc>
        <w:tc>
          <w:tcPr>
            <w:tcW w:w="7371" w:type="dxa"/>
            <w:shd w:val="pct10" w:color="000000" w:fill="FFFFFF"/>
          </w:tcPr>
          <w:p w:rsidR="00AF0131" w:rsidRPr="00AC391A" w:rsidRDefault="00AC391A" w:rsidP="00C33FBD">
            <w:pPr>
              <w:pStyle w:val="RollCallSymbols14pt"/>
            </w:pPr>
            <w:r w:rsidRPr="00AC391A">
              <w:t>0</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ECR</w:t>
            </w:r>
          </w:p>
        </w:tc>
        <w:tc>
          <w:tcPr>
            <w:tcW w:w="7371" w:type="dxa"/>
            <w:shd w:val="clear" w:color="auto" w:fill="FFFFFF"/>
          </w:tcPr>
          <w:p w:rsidR="00AF0131" w:rsidRPr="00AC391A" w:rsidRDefault="00AC391A" w:rsidP="00C33FBD">
            <w:pPr>
              <w:pStyle w:val="RollCallTable"/>
            </w:pPr>
            <w:r w:rsidRPr="00AC391A">
              <w:t>Chiara Gemma</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ID</w:t>
            </w:r>
          </w:p>
        </w:tc>
        <w:tc>
          <w:tcPr>
            <w:tcW w:w="7371" w:type="dxa"/>
            <w:shd w:val="clear" w:color="auto" w:fill="FFFFFF"/>
          </w:tcPr>
          <w:p w:rsidR="00AF0131" w:rsidRPr="00AC391A" w:rsidRDefault="00AC391A" w:rsidP="00C33FBD">
            <w:pPr>
              <w:pStyle w:val="RollCallTable"/>
            </w:pPr>
            <w:r w:rsidRPr="00AC391A">
              <w:t>Elena Lizzi</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PPE</w:t>
            </w:r>
          </w:p>
        </w:tc>
        <w:tc>
          <w:tcPr>
            <w:tcW w:w="7371" w:type="dxa"/>
            <w:shd w:val="clear" w:color="auto" w:fill="FFFFFF"/>
          </w:tcPr>
          <w:p w:rsidR="00AF0131" w:rsidRPr="00AC391A" w:rsidRDefault="00AC391A" w:rsidP="00C33FBD">
            <w:pPr>
              <w:pStyle w:val="RollCallTable"/>
            </w:pPr>
            <w:r w:rsidRPr="00AC391A">
              <w:t>Alexander Alexandrov Yordanov, Jarosław Duda, Helmut Geuking, Miriam Lexmann, Romana Tomc, Tomáš Zdechovský</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S&amp;D</w:t>
            </w:r>
          </w:p>
        </w:tc>
        <w:tc>
          <w:tcPr>
            <w:tcW w:w="7371" w:type="dxa"/>
            <w:shd w:val="clear" w:color="auto" w:fill="FFFFFF"/>
          </w:tcPr>
          <w:p w:rsidR="00AF0131" w:rsidRPr="00AC391A" w:rsidRDefault="00AC391A" w:rsidP="00C33FBD">
            <w:pPr>
              <w:pStyle w:val="RollCallTable"/>
            </w:pPr>
            <w:r w:rsidRPr="00AC391A">
              <w:t>Ilan De Basso</w:t>
            </w:r>
          </w:p>
        </w:tc>
      </w:tr>
      <w:tr w:rsidR="00010AD3" w:rsidRPr="00AC391A" w:rsidTr="00C33FBD">
        <w:trPr>
          <w:cantSplit/>
        </w:trPr>
        <w:tc>
          <w:tcPr>
            <w:tcW w:w="1701" w:type="dxa"/>
            <w:shd w:val="clear" w:color="auto" w:fill="FFFFFF"/>
          </w:tcPr>
          <w:p w:rsidR="00AF0131" w:rsidRPr="00AC391A" w:rsidRDefault="00AC391A" w:rsidP="00C33FBD">
            <w:pPr>
              <w:pStyle w:val="RollCallTable"/>
            </w:pPr>
            <w:r w:rsidRPr="00AC391A">
              <w:t>The Left</w:t>
            </w:r>
          </w:p>
        </w:tc>
        <w:tc>
          <w:tcPr>
            <w:tcW w:w="7371" w:type="dxa"/>
            <w:shd w:val="clear" w:color="auto" w:fill="FFFFFF"/>
          </w:tcPr>
          <w:p w:rsidR="00AF0131" w:rsidRPr="00AC391A" w:rsidRDefault="00AC391A" w:rsidP="00C33FBD">
            <w:pPr>
              <w:pStyle w:val="RollCallTable"/>
            </w:pPr>
            <w:r w:rsidRPr="00AC391A">
              <w:t>Özlem Demirel</w:t>
            </w:r>
          </w:p>
        </w:tc>
      </w:tr>
    </w:tbl>
    <w:p w:rsidR="00AF0131" w:rsidRPr="00AC391A" w:rsidRDefault="00AF0131" w:rsidP="00AF0131">
      <w:pPr>
        <w:pStyle w:val="Normal12a"/>
      </w:pPr>
    </w:p>
    <w:p w:rsidR="00AF0131" w:rsidRPr="00AC391A" w:rsidRDefault="00AC391A" w:rsidP="00AF0131">
      <w:r w:rsidRPr="00AC391A">
        <w:t>Symbolien selitys:</w:t>
      </w:r>
    </w:p>
    <w:p w:rsidR="00AF0131" w:rsidRPr="00AC391A" w:rsidRDefault="00AC391A" w:rsidP="00AF0131">
      <w:pPr>
        <w:pStyle w:val="RollCallTabs"/>
      </w:pPr>
      <w:r w:rsidRPr="00AC391A">
        <w:t>+</w:t>
      </w:r>
      <w:r w:rsidRPr="00AC391A">
        <w:tab/>
        <w:t>:</w:t>
      </w:r>
      <w:r w:rsidRPr="00AC391A">
        <w:tab/>
        <w:t>puolesta</w:t>
      </w:r>
    </w:p>
    <w:p w:rsidR="00AF0131" w:rsidRPr="00AC391A" w:rsidRDefault="00AC391A" w:rsidP="00AF0131">
      <w:pPr>
        <w:pStyle w:val="RollCallTabs"/>
      </w:pPr>
      <w:r w:rsidRPr="00AC391A">
        <w:t>-</w:t>
      </w:r>
      <w:r w:rsidRPr="00AC391A">
        <w:tab/>
        <w:t>:</w:t>
      </w:r>
      <w:r w:rsidRPr="00AC391A">
        <w:tab/>
        <w:t>vastaan</w:t>
      </w:r>
    </w:p>
    <w:p w:rsidR="00AF0131" w:rsidRPr="00AC391A" w:rsidRDefault="00AC391A" w:rsidP="00AF0131">
      <w:pPr>
        <w:pStyle w:val="RollCallTabs"/>
      </w:pPr>
      <w:r w:rsidRPr="00AC391A">
        <w:t>0</w:t>
      </w:r>
      <w:r w:rsidRPr="00AC391A">
        <w:tab/>
        <w:t>:</w:t>
      </w:r>
      <w:r w:rsidRPr="00AC391A">
        <w:tab/>
        <w:t>tyhjää</w:t>
      </w:r>
    </w:p>
    <w:p w:rsidR="00AF0131" w:rsidRPr="00AC391A" w:rsidRDefault="00AF0131" w:rsidP="00AF0131"/>
    <w:bookmarkEnd w:id="3"/>
    <w:p w:rsidR="00AF0131" w:rsidRPr="00AC391A" w:rsidRDefault="00AF0131" w:rsidP="00AF0131"/>
    <w:p w:rsidR="00DB56E4" w:rsidRPr="00AC391A" w:rsidRDefault="00DB56E4" w:rsidP="00AF0131">
      <w:pPr>
        <w:pStyle w:val="CoverReference"/>
      </w:pPr>
    </w:p>
    <w:sectPr w:rsidR="00DB56E4" w:rsidRPr="00AC391A" w:rsidSect="00C56375">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946662" w:rsidRDefault="00AC391A">
      <w:r w:rsidRPr="00946662">
        <w:separator/>
      </w:r>
    </w:p>
  </w:endnote>
  <w:endnote w:type="continuationSeparator" w:id="0">
    <w:p w:rsidR="00000000" w:rsidRPr="00946662" w:rsidRDefault="00AC391A">
      <w:r w:rsidRPr="009466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662" w:rsidRPr="00946662" w:rsidRDefault="00946662" w:rsidP="00946662">
    <w:pPr>
      <w:pStyle w:val="EPFooter"/>
    </w:pPr>
    <w:r w:rsidRPr="00946662">
      <w:t>PE</w:t>
    </w:r>
    <w:r w:rsidRPr="00946662">
      <w:rPr>
        <w:rStyle w:val="HideTWBExt"/>
      </w:rPr>
      <w:t>&lt;NoPE&gt;</w:t>
    </w:r>
    <w:r w:rsidRPr="00946662">
      <w:t>752.621</w:t>
    </w:r>
    <w:r w:rsidRPr="00946662">
      <w:rPr>
        <w:rStyle w:val="HideTWBExt"/>
      </w:rPr>
      <w:t>&lt;/NoPE&gt;&lt;Version&gt;</w:t>
    </w:r>
    <w:r w:rsidRPr="00946662">
      <w:t>v02-00</w:t>
    </w:r>
    <w:r w:rsidRPr="00946662">
      <w:rPr>
        <w:rStyle w:val="HideTWBExt"/>
      </w:rPr>
      <w:t>&lt;/Version&gt;</w:t>
    </w:r>
    <w:r w:rsidRPr="00946662">
      <w:tab/>
    </w:r>
    <w:r w:rsidRPr="00946662">
      <w:fldChar w:fldCharType="begin"/>
    </w:r>
    <w:r w:rsidRPr="00946662">
      <w:instrText xml:space="preserve"> PAGE  \* MERGEFORMAT </w:instrText>
    </w:r>
    <w:r w:rsidRPr="00946662">
      <w:fldChar w:fldCharType="separate"/>
    </w:r>
    <w:r w:rsidR="00AC391A">
      <w:rPr>
        <w:noProof/>
      </w:rPr>
      <w:t>26</w:t>
    </w:r>
    <w:r w:rsidRPr="00946662">
      <w:fldChar w:fldCharType="end"/>
    </w:r>
    <w:r w:rsidRPr="00946662">
      <w:t>/</w:t>
    </w:r>
    <w:r w:rsidRPr="00946662">
      <w:fldChar w:fldCharType="begin"/>
    </w:r>
    <w:r w:rsidRPr="00946662">
      <w:instrText xml:space="preserve"> NUMPAGES  \* MERGEFORMAT </w:instrText>
    </w:r>
    <w:r w:rsidRPr="00946662">
      <w:fldChar w:fldCharType="separate"/>
    </w:r>
    <w:r w:rsidR="00AC391A">
      <w:rPr>
        <w:noProof/>
      </w:rPr>
      <w:t>29</w:t>
    </w:r>
    <w:r w:rsidRPr="00946662">
      <w:fldChar w:fldCharType="end"/>
    </w:r>
    <w:r w:rsidRPr="00946662">
      <w:tab/>
    </w:r>
    <w:r w:rsidRPr="00946662">
      <w:rPr>
        <w:rStyle w:val="HideTWBExt"/>
      </w:rPr>
      <w:t>&lt;PathFdR&gt;</w:t>
    </w:r>
    <w:r w:rsidRPr="00946662">
      <w:t>AD\1288324FI.docx</w:t>
    </w:r>
    <w:r w:rsidRPr="00946662">
      <w:rPr>
        <w:rStyle w:val="HideTWBExt"/>
      </w:rPr>
      <w:t>&lt;/PathFdR&gt;</w:t>
    </w:r>
  </w:p>
  <w:p w:rsidR="00AF0131" w:rsidRPr="00946662" w:rsidRDefault="00946662" w:rsidP="00946662">
    <w:pPr>
      <w:pStyle w:val="EPFooter2"/>
    </w:pPr>
    <w:r w:rsidRPr="00946662">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662" w:rsidRPr="00946662" w:rsidRDefault="00946662" w:rsidP="00946662">
    <w:pPr>
      <w:pStyle w:val="EPFooter"/>
    </w:pPr>
    <w:r w:rsidRPr="00946662">
      <w:rPr>
        <w:rStyle w:val="HideTWBExt"/>
      </w:rPr>
      <w:t>&lt;PathFdR&gt;</w:t>
    </w:r>
    <w:r w:rsidRPr="00946662">
      <w:t>AD\1288324FI.docx</w:t>
    </w:r>
    <w:r w:rsidRPr="00946662">
      <w:rPr>
        <w:rStyle w:val="HideTWBExt"/>
      </w:rPr>
      <w:t>&lt;/PathFdR&gt;</w:t>
    </w:r>
    <w:r w:rsidRPr="00946662">
      <w:tab/>
    </w:r>
    <w:r w:rsidRPr="00946662">
      <w:fldChar w:fldCharType="begin"/>
    </w:r>
    <w:r w:rsidRPr="00946662">
      <w:instrText xml:space="preserve"> PAGE  \* MERGEFORMAT </w:instrText>
    </w:r>
    <w:r w:rsidRPr="00946662">
      <w:fldChar w:fldCharType="separate"/>
    </w:r>
    <w:r w:rsidR="00AC391A">
      <w:rPr>
        <w:noProof/>
      </w:rPr>
      <w:t>27</w:t>
    </w:r>
    <w:r w:rsidRPr="00946662">
      <w:fldChar w:fldCharType="end"/>
    </w:r>
    <w:r w:rsidRPr="00946662">
      <w:t>/</w:t>
    </w:r>
    <w:r w:rsidRPr="00946662">
      <w:fldChar w:fldCharType="begin"/>
    </w:r>
    <w:r w:rsidRPr="00946662">
      <w:instrText xml:space="preserve"> NUMPAGES  \* MERGEFORMAT </w:instrText>
    </w:r>
    <w:r w:rsidRPr="00946662">
      <w:fldChar w:fldCharType="separate"/>
    </w:r>
    <w:r w:rsidR="00AC391A">
      <w:rPr>
        <w:noProof/>
      </w:rPr>
      <w:t>29</w:t>
    </w:r>
    <w:r w:rsidRPr="00946662">
      <w:fldChar w:fldCharType="end"/>
    </w:r>
    <w:r w:rsidRPr="00946662">
      <w:tab/>
      <w:t>PE</w:t>
    </w:r>
    <w:r w:rsidRPr="00946662">
      <w:rPr>
        <w:rStyle w:val="HideTWBExt"/>
      </w:rPr>
      <w:t>&lt;NoPE&gt;</w:t>
    </w:r>
    <w:r w:rsidRPr="00946662">
      <w:t>752.621</w:t>
    </w:r>
    <w:r w:rsidRPr="00946662">
      <w:rPr>
        <w:rStyle w:val="HideTWBExt"/>
      </w:rPr>
      <w:t>&lt;/NoPE&gt;&lt;Version&gt;</w:t>
    </w:r>
    <w:r w:rsidRPr="00946662">
      <w:t>v02-00</w:t>
    </w:r>
    <w:r w:rsidRPr="00946662">
      <w:rPr>
        <w:rStyle w:val="HideTWBExt"/>
      </w:rPr>
      <w:t>&lt;/Version&gt;</w:t>
    </w:r>
  </w:p>
  <w:p w:rsidR="00AF0131" w:rsidRPr="00946662" w:rsidRDefault="00946662" w:rsidP="00946662">
    <w:pPr>
      <w:pStyle w:val="EPFooter2"/>
    </w:pPr>
    <w:r w:rsidRPr="00946662">
      <w:tab/>
    </w:r>
    <w:r w:rsidRPr="00946662">
      <w:tab/>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662" w:rsidRPr="00946662" w:rsidRDefault="00946662" w:rsidP="00946662">
    <w:pPr>
      <w:pStyle w:val="EPFooter"/>
    </w:pPr>
    <w:r w:rsidRPr="00946662">
      <w:rPr>
        <w:rStyle w:val="HideTWBExt"/>
      </w:rPr>
      <w:t>&lt;PathFdR&gt;</w:t>
    </w:r>
    <w:r w:rsidRPr="00946662">
      <w:t>AD\1288324FI.docx</w:t>
    </w:r>
    <w:r w:rsidRPr="00946662">
      <w:rPr>
        <w:rStyle w:val="HideTWBExt"/>
      </w:rPr>
      <w:t>&lt;/PathFdR&gt;</w:t>
    </w:r>
    <w:r w:rsidRPr="00946662">
      <w:tab/>
    </w:r>
    <w:r w:rsidRPr="00946662">
      <w:tab/>
      <w:t>PE</w:t>
    </w:r>
    <w:r w:rsidRPr="00946662">
      <w:rPr>
        <w:rStyle w:val="HideTWBExt"/>
      </w:rPr>
      <w:t>&lt;NoPE&gt;</w:t>
    </w:r>
    <w:r w:rsidRPr="00946662">
      <w:t>752.621</w:t>
    </w:r>
    <w:r w:rsidRPr="00946662">
      <w:rPr>
        <w:rStyle w:val="HideTWBExt"/>
      </w:rPr>
      <w:t>&lt;/NoPE&gt;&lt;Version&gt;</w:t>
    </w:r>
    <w:r w:rsidRPr="00946662">
      <w:t>v02-00</w:t>
    </w:r>
    <w:r w:rsidRPr="00946662">
      <w:rPr>
        <w:rStyle w:val="HideTWBExt"/>
      </w:rPr>
      <w:t>&lt;/Version&gt;</w:t>
    </w:r>
  </w:p>
  <w:p w:rsidR="00AF0131" w:rsidRPr="00946662" w:rsidRDefault="00946662" w:rsidP="00946662">
    <w:pPr>
      <w:pStyle w:val="EPFooter2"/>
    </w:pPr>
    <w:r w:rsidRPr="00946662">
      <w:t>FI</w:t>
    </w:r>
    <w:r w:rsidRPr="00946662">
      <w:tab/>
    </w:r>
    <w:r w:rsidRPr="00946662">
      <w:rPr>
        <w:b w:val="0"/>
        <w:i/>
        <w:color w:val="C0C0C0"/>
        <w:sz w:val="22"/>
      </w:rPr>
      <w:t>Moninaisuudessaan yhtenäinen</w:t>
    </w:r>
    <w:r w:rsidRPr="00946662">
      <w:tab/>
      <w:t>FI</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452" w:rsidRPr="00AC391A" w:rsidRDefault="001A7452" w:rsidP="00AC3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946662" w:rsidRDefault="00AC391A">
      <w:r w:rsidRPr="00946662">
        <w:separator/>
      </w:r>
    </w:p>
  </w:footnote>
  <w:footnote w:type="continuationSeparator" w:id="0">
    <w:p w:rsidR="00000000" w:rsidRPr="00946662" w:rsidRDefault="00AC391A">
      <w:r w:rsidRPr="0094666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91A" w:rsidRDefault="00AC39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91A" w:rsidRDefault="00AC39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391A" w:rsidRDefault="00AC391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8E0" w:rsidRPr="002258E0" w:rsidRDefault="002258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2"/>
    <w:docVar w:name="CJMNU" w:val="1"/>
    <w:docVar w:name="CODEMNU" w:val=" 1"/>
    <w:docVar w:name="COM2KEY" w:val="ECON"/>
    <w:docVar w:name="COMKEY" w:val="EMPL"/>
    <w:docVar w:name="CopyToNetwork" w:val="-1"/>
    <w:docVar w:name="CVAR" w:val="1"/>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1"/>
    <w:docVar w:name="iNoAmendB"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104921 HideTWBExt;}{_x000d__x000a_\s18\ql \li0\ri0\sa120\nowidctlpar\wrapdefault\aspalpha\aspnum\faauto\adjustright\rin0\lin0\itap0 \rtlch\fcs1 \af0\afs20\alang1025 \ltrch\fcs0 \fs24\lang2057\langfe2057\cgrid\langnp2057\langfenp2057 \sbasedon0 \snext18 \spriority0 \styrsid2104921 _x000d__x000a_Normal6a;}{\s19\ql \li0\ri0\nowidctlpar\wrapdefault\aspalpha\aspnum\faauto\adjustright\rin0\lin0\itap0 \rtlch\fcs1 \af0\afs20\alang1025 \ltrch\fcs0 \b\fs24\lang2057\langfe2057\cgrid\langnp2057\langfenp2057 \sbasedon0 \snext19 \spriority0 \styrsid2104921 _x000d__x000a_NormalBold;}{\*\cs20 \additive \v\f1\fs20\cf15 \spriority0 \styrsid2104921 HideTWBInt;}{\s21\qc \li0\ri0\sa240\nowidctlpar\wrapdefault\aspalpha\aspnum\faauto\adjustright\rin0\lin0\itap0 \rtlch\fcs1 \af0\afs20\alang1025 \ltrch\fcs0 _x000d__x000a_\i\fs24\lang2057\langfe2057\cgrid\langnp2057\langfenp2057 \sbasedon0 \snext21 \spriority0 \styrsid2104921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2104921 AmNumberTabs;}{\s23\ql \li0\ri0\sb240\nowidctlpar\wrapdefault\aspalpha\aspnum\faauto\adjustright\rin0\lin0\itap0 \rtlch\fcs1 _x000d__x000a_\af0\afs20\alang1025 \ltrch\fcs0 \b\fs24\lang2057\langfe2057\cgrid\langnp2057\langfenp2057 \sbasedon0 \snext23 \spriority0 \styrsid2104921 NormalBold12b;}}{\*\rsidtbl \rsid24658\rsid223860\rsid735077\rsid1718133\rsid2104921\rsid2892074\rsid3565327_x000d__x000a_\rsid4666813\rsid6641733\rsid7823322\rsid9636012\rsid10377208\rsid11215221\rsid11549030\rsid11881958\rsid12154954\rsid14382809\rsid14424199\rsid15204470\rsid15285974\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30}{\nofchars176}{\nofcharsws204}{\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2104921\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1881958 \chftnsep _x000d__x000a_\par }}{\*\ftnsepc \ltrpar \pard\plain \ltrpar\ql \li0\ri0\widctlpar\wrapdefault\aspalpha\aspnum\faauto\adjustright\rin0\lin0\itap0 \rtlch\fcs1 \af0\afs20\alang1025 \ltrch\fcs0 \fs24\lang2057\langfe2057\cgrid\langnp2057\langfenp2057 {\rtlch\fcs1 \af0 _x000d__x000a_\ltrch\fcs0 \insrsid11881958 \chftnsepc _x000d__x000a_\par }}{\*\aftnsep \ltrpar \pard\plain \ltrpar\ql \li0\ri0\widctlpar\wrapdefault\aspalpha\aspnum\faauto\adjustright\rin0\lin0\itap0 \rtlch\fcs1 \af0\afs20\alang1025 \ltrch\fcs0 \fs24\lang2057\langfe2057\cgrid\langnp2057\langfenp2057 {\rtlch\fcs1 \af0 _x000d__x000a_\ltrch\fcs0 \insrsid11881958 \chftnsep _x000d__x000a_\par }}{\*\aftnsepc \ltrpar \pard\plain \ltrpar\ql \li0\ri0\widctlpar\wrapdefault\aspalpha\aspnum\faauto\adjustright\rin0\lin0\itap0 \rtlch\fcs1 \af0\afs20\alang1025 \ltrch\fcs0 \fs24\lang2057\langfe2057\cgrid\langnp2057\langfenp2057 {\rtlch\fcs1 \af0 _x000d__x000a_\ltrch\fcs0 \insrsid1188195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2104921 \rtlch\fcs1 _x000d__x000a_\af0\afs20\alang1025 \ltrch\fcs0 \b\fs24\lang2057\langfe2057\cgrid\langnp2057\langfenp2057 {\rtlch\fcs1 \af0 \ltrch\fcs0 \cs17\b0\v\fs20\cf9\lang1024\langfe1024\loch\af1\hich\af1\dbch\af31501\noproof\insrsid2104921\charrsid7612140 {\*\bkmkstart restartA}_x000d__x000a_\hich\af1\dbch\af31501\loch\f1 &lt;AmendA&gt;}{\rtlch\fcs1 \af0 \ltrch\fcs0 \insrsid2104921\charrsid7612140 Amendment\tab \tab }{\rtlch\fcs1 \af0 \ltrch\fcs0 _x000d__x000a_\cs17\b0\v\fs20\cf9\lang1024\langfe1024\loch\af1\hich\af1\dbch\af31501\noproof\insrsid2104921\charrsid7612140 \hich\af1\dbch\af31501\loch\f1 &lt;NumAmA&gt;}{\rtlch\fcs1 \af0 \ltrch\fcs0 \insrsid2104921\charrsid7612140 #}{\rtlch\fcs1 \af1 \ltrch\fcs0 _x000d__x000a_\cs20\v\f1\fs20\cf15\insrsid2104921\charrsid7612140 ENMIENDA@NRAM@}{\rtlch\fcs1 \af0 \ltrch\fcs0 \insrsid2104921\charrsid7612140 #}{\rtlch\fcs1 \af0 \ltrch\fcs0 _x000d__x000a_\cs17\b0\v\fs20\cf9\lang1024\langfe1024\loch\af1\hich\af1\dbch\af31501\noproof\insrsid2104921\charrsid7612140 \hich\af1\dbch\af31501\loch\f1 &lt;/NumAmA&gt;}{\rtlch\fcs1 \af0 \ltrch\fcs0 \insrsid2104921\charrsid7612140 _x000d__x000a_\par }\pard\plain \ltrpar\s23\ql \li0\ri0\sb240\keepn\nowidctlpar\wrapdefault\aspalpha\aspnum\faauto\adjustright\rin0\lin0\itap0\pararsid2104921 \rtlch\fcs1 \af0\afs20\alang1025 \ltrch\fcs0 \b\fs24\lang2057\langfe2057\cgrid\langnp2057\langfenp2057 {_x000d__x000a_\rtlch\fcs1 \af0 \ltrch\fcs0 \cs17\b0\v\fs20\cf9\lang1024\langfe1024\loch\af1\hich\af1\dbch\af31501\noproof\insrsid2104921\charrsid7612140 \hich\af1\dbch\af31501\loch\f1 &lt;DocAmend&gt;}{\rtlch\fcs1 \af0 \ltrch\fcs0 \insrsid2104921\charrsid7612140 _x000d__x000a_Draft legislative resolution}{\rtlch\fcs1 \af0 \ltrch\fcs0 \cs17\b0\v\fs20\cf9\lang1024\langfe1024\loch\af1\hich\af1\dbch\af31501\noproof\insrsid2104921\charrsid7612140 \hich\af1\dbch\af31501\loch\f1 &lt;/DocAmend&gt;}{\rtlch\fcs1 \af0 \ltrch\fcs0 _x000d__x000a_\insrsid2104921\charrsid7612140 _x000d__x000a_\par }\pard\plain \ltrpar\s19\ql \li0\ri0\nowidctlpar\wrapdefault\aspalpha\aspnum\faauto\adjustright\rin0\lin0\itap0\pararsid2104921 \rtlch\fcs1 \af0\afs20\alang1025 \ltrch\fcs0 \b\fs24\lang2057\langfe2057\cgrid\langnp2057\langfenp2057 {\rtlch\fcs1 \af0 _x000d__x000a_\ltrch\fcs0 \cs17\b0\v\fs20\cf9\lang1024\langfe1024\loch\af1\hich\af1\dbch\af31501\noproof\insrsid2104921\charrsid7612140 \hich\af1\dbch\af31501\loch\f1 &lt;Article&gt;}{\rtlch\fcs1 \af0 \ltrch\fcs0 \cf10\insrsid2104921\charrsid10711382 \u9668\'3f}{\rtlch\fcs1 _x000d__x000a_\af0 \ltrch\fcs0 \insrsid2104921\charrsid7612140 #}{\rtlch\fcs1 \af1 \ltrch\fcs0 \cs20\v\f1\fs20\cf15\insrsid2104921\charrsid7612140 TVTRESPART@RESPART@}{\rtlch\fcs1 \af0 \ltrch\fcs0 \insrsid2104921\charrsid7612140 #}{\rtlch\fcs1 \af0 \ltrch\fcs0 _x000d__x000a_\cf10\insrsid2104921\charrsid10711382 \u9658\'3f}{\rtlch\fcs1 \af0 \ltrch\fcs0 \cs17\b0\v\fs20\cf9\lang1024\langfe1024\loch\af1\hich\af1\dbch\af31501\noproof\insrsid2104921\charrsid7612140 \hich\af1\dbch\af31501\loch\f1 &lt;/Article&gt;}{\rtlch\fcs1 \af0 _x000d__x000a_\ltrch\fcs0 \insrsid2104921\charrsid7612140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2104921\charrsid7612140 \cell }\pard \ltrpar\ql \li0\ri0\widctlpar\intbl\wrapdefault\aspalpha\aspnum\faauto\adjustright\rin0\lin0 {\rtlch\fcs1 \af0 \ltrch\fcs0 _x000d__x000a_\insrsid2104921\charrsid7612140 \trowd \irow0\irowband0\ltrrow\ts11\trqc\trgaph340\trleft-340\trftsWidth1\trftsWidthB3\trpaddl340\trpaddr340\trpaddfl3\trpaddft3\trpaddfb3\trpaddfr3\tblrsid14374628\tblind0\tblindtype3 \clvertalt\clbrdrt\brdrtbl \clbrdrl_x000d__x000a_\brdrtbl \clbrdrb\brdrtbl \clbrdrr\brdrtbl \cltxlrtb\clftsWidth3\clwWidth9752\clshdrawnil \cellx9412\row \ltrrow}\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2104921\charrsid7612140 Draft legislative resolution\cell Amendment\cell }\pard\plain \ltrpar\ql \li0\ri0\widctlpar\intbl\wrapdefault\aspalpha\aspnum\faauto\adjustright\rin0\lin0 \rtlch\fcs1 \af0\afs20\alang1025 \ltrch\fcs0 _x000d__x000a_\fs24\lang2057\langfe2057\cgrid\langnp2057\langfenp2057 {\rtlch\fcs1 \af0 \ltrch\fcs0 \insrsid2104921\charrsid7612140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2104921\charrsid7612140 ##\cell ##}{\rtlch\fcs1 \af0\afs24 \ltrch\fcs0 \insrsid2104921\charrsid7612140 \cell }\pard\plain \ltrpar\ql \li0\ri0\widctlpar\intbl\wrapdefault\aspalpha\aspnum\faauto\adjustright\rin0\lin0 \rtlch\fcs1 _x000d__x000a_\af0\afs20\alang1025 \ltrch\fcs0 \fs24\lang2057\langfe2057\cgrid\langnp2057\langfenp2057 {\rtlch\fcs1 \af0 \ltrch\fcs0 \insrsid2104921\charrsid7612140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2104921 {\rtlch\fcs1 \af0 \ltrch\fcs0 \cs17\v\fs20\cf9\lang1024\langfe1024\loch\af1\hich\af1\dbch\af31501\noproof\insrsid2104921\charrsid7612140 _x000d__x000a_\hich\af1\dbch\af31501\loch\f1 &lt;/AmendA&gt;}{\rtlch\fcs1 \af0 \ltrch\fcs0 \insrsid2104921\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60_x000d__x000a_4a3d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5485513 HideTWBExt;}{_x000d__x000a_\s18\ql \li0\ri0\sa120\nowidctlpar\wrapdefault\aspalpha\aspnum\faauto\adjustright\rin0\lin0\itap0 \rtlch\fcs1 \af0\afs20\alang1025 \ltrch\fcs0 \fs24\lang2057\langfe2057\cgrid\langnp2057\langfenp2057 \sbasedon0 \snext18 \spriority0 \styrsid15485513 _x000d__x000a_Normal6a;}{\s19\ql \li0\ri0\nowidctlpar\wrapdefault\aspalpha\aspnum\faauto\adjustright\rin0\lin0\itap0 \rtlch\fcs1 \af0\afs20\alang1025 \ltrch\fcs0 \b\fs24\lang2057\langfe2057\cgrid\langnp2057\langfenp2057 \sbasedon0 \snext19 \spriority0 \styrsid15485513 _x000d__x000a_NormalBold;}{\s20\ql \li0\ri0\sa240\nowidctlpar\wrapdefault\aspalpha\aspnum\faauto\adjustright\rin0\lin0\itap0 \rtlch\fcs1 \af0\afs20\alang1025 \ltrch\fcs0 \i\fs24\lang2057\langfe2057\cgrid\langnp2057\langfenp2057 _x000d__x000a_\sbasedon0 \snext20 \spriority0 \styrsid15485513 AmJustText;}{\s21\qc \li0\ri0\sb240\sa240\nowidctlpar\wrapdefault\aspalpha\aspnum\faauto\adjustright\rin0\lin0\itap0 \rtlch\fcs1 \af0\afs20\alang1025 \ltrch\fcs0 _x000d__x000a_\i\fs24\lang2057\langfe2057\cgrid\langnp2057\langfenp2057 \sbasedon0 \snext21 \spriority0 \styrsid15485513 AmCrossRef;}{\*\cs22 \additive \v\f1\fs20\cf15 \spriority0 \styrsid15485513 HideTWBInt;}{_x000d__x000a_\s23\qc \li0\ri0\sb240\sa240\keepn\nowidctlpar\wrapdefault\aspalpha\aspnum\faauto\adjustright\rin0\lin0\itap0 \rtlch\fcs1 \af0\afs20\alang1025 \ltrch\fcs0 \i\fs24\lang2057\langfe2057\cgrid\langnp2057\langfenp2057 _x000d__x000a_\sbasedon0 \snext20 \spriority0 \styrsid15485513 AmJustTitle;}{\s24\qc \li0\ri0\sa240\nowidctlpar\wrapdefault\aspalpha\aspnum\faauto\adjustright\rin0\lin0\itap0 \rtlch\fcs1 \af0\afs20\alang1025 \ltrch\fcs0 _x000d__x000a_\i\fs24\lang2057\langfe2057\cgrid\langnp2057\langfenp2057 \sbasedon0 \snext24 \spriority0 \styrsid15485513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5485513 AmNumberTabs;}{\s26\ql \li0\ri0\sb240\nowidctlpar\wrapdefault\aspalpha\aspnum\faauto\adjustright\rin0\lin0\itap0 \rtlch\fcs1 _x000d__x000a_\af0\afs20\alang1025 \ltrch\fcs0 \b\fs24\lang2057\langfe2057\cgrid\langnp2057\langfenp2057 \sbasedon0 \snext26 \spriority0 \styrsid15485513 NormalBold12b;}}{\*\rsidtbl \rsid24658\rsid223860\rsid735077\rsid1718133\rsid2892074\rsid3565327\rsid4666813_x000d__x000a_\rsid6641733\rsid7823322\rsid9636012\rsid10377208\rsid11215221\rsid11549030\rsid12154954\rsid14382809\rsid14424199\rsid15204470\rsid15285974\rsid15485513\rsid15667495\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99}{\nofchars567}{\nofcharsws660}{\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5485513\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5667495 \chftnsep _x000d__x000a_\par }}{\*\ftnsepc \ltrpar \pard\plain \ltrpar\ql \li0\ri0\widctlpar\wrapdefault\aspalpha\aspnum\faauto\adjustright\rin0\lin0\itap0 \rtlch\fcs1 \af0\afs20\alang1025 \ltrch\fcs0 \fs24\lang2057\langfe2057\cgrid\langnp2057\langfenp2057 {\rtlch\fcs1 \af0 _x000d__x000a_\ltrch\fcs0 \insrsid15667495 \chftnsepc _x000d__x000a_\par }}{\*\aftnsep \ltrpar \pard\plain \ltrpar\ql \li0\ri0\widctlpar\wrapdefault\aspalpha\aspnum\faauto\adjustright\rin0\lin0\itap0 \rtlch\fcs1 \af0\afs20\alang1025 \ltrch\fcs0 \fs24\lang2057\langfe2057\cgrid\langnp2057\langfenp2057 {\rtlch\fcs1 \af0 _x000d__x000a_\ltrch\fcs0 \insrsid15667495 \chftnsep _x000d__x000a_\par }}{\*\aftnsepc \ltrpar \pard\plain \ltrpar\ql \li0\ri0\widctlpar\wrapdefault\aspalpha\aspnum\faauto\adjustright\rin0\lin0\itap0 \rtlch\fcs1 \af0\afs20\alang1025 \ltrch\fcs0 \fs24\lang2057\langfe2057\cgrid\langnp2057\langfenp2057 {\rtlch\fcs1 \af0 _x000d__x000a_\ltrch\fcs0 \insrsid156674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5485513 \rtlch\fcs1 _x000d__x000a_\af0\afs20\alang1025 \ltrch\fcs0 \b\fs24\lang2057\langfe2057\cgrid\langnp2057\langfenp2057 {\rtlch\fcs1 \af0 \ltrch\fcs0 \cs17\b0\v\fs20\cf9\lang1024\langfe1024\loch\af1\hich\af1\dbch\af31501\noproof\insrsid15485513\charrsid7612140 {\*\bkmkstart restartB}_x000d__x000a_\hich\af1\dbch\af31501\loch\f1 &lt;AmendB&gt;}{\rtlch\fcs1 \af0 \ltrch\fcs0 \insrsid15485513\charrsid7612140 Amendment\tab \tab }{\rtlch\fcs1 \af0 \ltrch\fcs0 _x000d__x000a_\cs17\b0\v\fs20\cf9\lang1024\langfe1024\loch\af1\hich\af1\dbch\af31501\noproof\insrsid15485513\charrsid7612140 \hich\af1\dbch\af31501\loch\f1 &lt;NumAmB&gt;}{\rtlch\fcs1 \af0 \ltrch\fcs0 \insrsid15485513\charrsid7612140 #}{\rtlch\fcs1 \af1 \ltrch\fcs0 _x000d__x000a_\cs22\v\f1\fs20\cf15\insrsid15485513\charrsid7612140 ENMIENDA@NRAM@}{\rtlch\fcs1 \af0 \ltrch\fcs0 \insrsid15485513\charrsid7612140 #}{\rtlch\fcs1 \af0 \ltrch\fcs0 _x000d__x000a_\cs17\b0\v\fs20\cf9\lang1024\langfe1024\loch\af1\hich\af1\dbch\af31501\noproof\insrsid15485513\charrsid7612140 \hich\af1\dbch\af31501\loch\f1 &lt;/NumAmB&gt;}{\rtlch\fcs1 \af0 \ltrch\fcs0 \insrsid15485513\charrsid7612140 _x000d__x000a_\par }\pard\plain \ltrpar\s26\ql \li0\ri0\sb240\keepn\nowidctlpar\wrapdefault\aspalpha\aspnum\faauto\adjustright\rin0\lin0\itap0\pararsid15485513 \rtlch\fcs1 \af0\afs20\alang1025 \ltrch\fcs0 \b\fs24\lang2057\langfe2057\cgrid\langnp2057\langfenp2057 {_x000d__x000a_\rtlch\fcs1 \af0 \ltrch\fcs0 \cs17\b0\v\fs20\cf9\lang1024\langfe1024\loch\af1\hich\af1\dbch\af31501\noproof\insrsid15485513\charrsid7612140 \hich\af1\dbch\af31501\loch\f1 &lt;DocAmend&gt;}{\rtlch\fcs1 \af0 \ltrch\fcs0 \insrsid15485513\charrsid7612140 #}{_x000d__x000a_\rtlch\fcs1 \af1 \ltrch\fcs0 \cs22\v\f1\fs20\cf15\insrsid15485513\charrsid7612140 MNU[OPTPROPOSALCOD][OPTPROPOSALCNS][OPTPROPOSALNLE][OPTPROPOSALINL]@CHOICE@CODEMNU}{\rtlch\fcs1 \af0 \ltrch\fcs0 \insrsid15485513\charrsid7612140 ##}{\rtlch\fcs1 \af1 _x000d__x000a_\ltrch\fcs0 \cs22\v\f1\fs20\cf15\insrsid15485513\charrsid7612140 MNU[AMACTYES][NOTAPP]@CHOICE@AMACTMNU}{\rtlch\fcs1 \af0 \ltrch\fcs0 \insrsid15485513\charrsid7612140 #}{\rtlch\fcs1 \af0 \ltrch\fcs0 _x000d__x000a_\cs17\b0\v\fs20\cf9\lang1024\langfe1024\loch\af1\hich\af1\dbch\af31501\noproof\insrsid15485513\charrsid7612140 \hich\af1\dbch\af31501\loch\f1 &lt;/DocAmend&gt;}{\rtlch\fcs1 \af0 \ltrch\fcs0 \insrsid15485513\charrsid7612140 _x000d__x000a_\par }\pard\plain \ltrpar\s19\ql \li0\ri0\keepn\nowidctlpar\wrapdefault\aspalpha\aspnum\faauto\adjustright\rin0\lin0\itap0\pararsid15485513 \rtlch\fcs1 \af0\afs20\alang1025 \ltrch\fcs0 \b\fs24\lang2057\langfe2057\cgrid\langnp2057\langfenp2057 {\rtlch\fcs1 _x000d__x000a_\af0 \ltrch\fcs0 \cs17\b0\v\fs20\cf9\lang1024\langfe1024\loch\af1\hich\af1\dbch\af31501\noproof\insrsid15485513\charrsid7612140 \hich\af1\dbch\af31501\loch\f1 &lt;Article&gt;}{\rtlch\fcs1 \af0 \ltrch\fcs0 \insrsid15485513\charrsid7612140 #}{\rtlch\fcs1 \af1 _x000d__x000a_\ltrch\fcs0 \cs22\v\f1\fs20\cf15\insrsid15485513\charrsid7612140 MNU[AMACTPARTYES][AMACTPARTNO]@CHOICE@AMACTMNU}{\rtlch\fcs1 \af0 \ltrch\fcs0 \insrsid15485513\charrsid7612140 #}{\rtlch\fcs1 \af0 \ltrch\fcs0 _x000d__x000a_\cs17\b0\v\fs20\cf9\lang1024\langfe1024\loch\af1\hich\af1\dbch\af31501\noproof\insrsid15485513\charrsid7612140 \hich\af1\dbch\af31501\loch\f1 &lt;/Article&gt;}{\rtlch\fcs1 \af0 \ltrch\fcs0 \insrsid15485513\charrsid7612140 _x000d__x000a_\par }\pard\plain \ltrpar\ql \li0\ri0\keepn\widctlpar\wrapdefault\aspalpha\aspnum\faauto\adjustright\rin0\lin0\itap0\pararsid15485513 \rtlch\fcs1 \af0\afs20\alang1025 \ltrch\fcs0 \fs24\lang2057\langfe2057\cgrid\langnp2057\langfenp2057 {\rtlch\fcs1 \af0 _x000d__x000a_\ltrch\fcs0 \cs17\v\fs20\cf9\lang1024\langfe1024\loch\af1\hich\af1\dbch\af31501\noproof\insrsid15485513\charrsid7612140 \hich\af1\dbch\af31501\loch\f1 &lt;DocAmend\hich\af1\dbch\af31501\loch\f1 2&gt;&lt;OptDel&gt;}{\rtlch\fcs1 \af0 \ltrch\fcs0 _x000d__x000a_\insrsid15485513\charrsid7612140 #}{\rtlch\fcs1 \af1 \ltrch\fcs0 \cs22\v\f1\fs20\cf15\insrsid15485513\charrsid7612140 MNU[OPTNRACTYES][NOTAPP]@CHOICE@AMACTMNU}{\rtlch\fcs1 \af0 \ltrch\fcs0 \insrsid15485513\charrsid7612140 #}{\rtlch\fcs1 \af0 \ltrch\fcs0 _x000d__x000a_\cs17\v\fs20\cf9\lang1024\langfe1024\loch\af1\hich\af1\dbch\af31501\noproof\insrsid15485513\charrsid7612140 \hich\af1\dbch\af31501\loch\f1 &lt;/OptDel&gt;&lt;/DocAmend2&gt;}{\rtlch\fcs1 \af0 \ltrch\fcs0 \insrsid15485513\charrsid7612140 _x000d__x000a_\par }\pard \ltrpar\ql \li0\ri0\widctlpar\wrapdefault\aspalpha\aspnum\faauto\adjustright\rin0\lin0\itap0\pararsid15485513 {\rtlch\fcs1 \af0 \ltrch\fcs0 \cs17\v\fs20\cf9\lang1024\langfe1024\loch\af1\hich\af1\dbch\af31501\noproof\insrsid15485513\charrsid7612140 _x000d__x000a_\hich\af1\dbch\af31501\loch\f1 &lt;Article2&gt;&lt;OptDel&gt;}{\rtlch\fcs1 \af0 \ltrch\fcs0 \insrsid15485513\charrsid7612140 #}{\rtlch\fcs1 \af1 \ltrch\fcs0 \cs22\v\f1\fs20\cf15\insrsid15485513\charrsid7612140 MNU[OPTACTPARTYES][NOTAPP]@CHOICE@AMACTMNU}{\rtlch\fcs1 _x000d__x000a_\af0 \ltrch\fcs0 \insrsid15485513\charrsid7612140 #}{\rtlch\fcs1 \af0 \ltrch\fcs0 \cs17\v\fs20\cf9\lang1024\langfe1024\loch\af1\hich\af1\dbch\af31501\noproof\insrsid15485513\charrsid7612140 \hich\af1\dbch\af31501\loch\f1 &lt;/OptDel&gt;&lt;/Article2&gt;}{\rtlch\fcs1 _x000d__x000a_\af0 \ltrch\fcs0 \insrsid15485513\charrsid7612140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insrsid15485513\charrsid7612140 \cell }\pard \ltrpar\ql \li0\ri0\widctlpar\intbl\wrapdefault\aspalpha\aspnum\faauto\adjustright\rin0\lin0 {\rtlch\fcs1 \af0 \ltrch\fcs0 \insrsid15485513\charrsid7612140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4\qc \li0\ri0\sa240\keepn\nowidctlpar\intbl\wrapdefault\aspalpha\aspnum\faauto\adjustright\rin0\lin0\pararsid14374628 \rtlch\fcs1 \af0\afs20\alang1025 \ltrch\fcs0 \i\fs24\lang2057\langfe2057\cgrid\langnp2057\langfenp2057 {\rtlch\fcs1 \af0 \ltrch\fcs0 _x000d__x000a_\insrsid15485513\charrsid7612140 #}{\rtlch\fcs1 \af1 \ltrch\fcs0 \cs22\v\f1\fs20\cf15\insrsid15485513\charrsid7612140 MNU[OPTLEFTAMACT][LEFTPROP]@CHOICE@AMACTMNU}{\rtlch\fcs1 \af0 \ltrch\fcs0 \insrsid15485513\charrsid7612140 #\cell Amendment\cell _x000d__x000a_}\pard\plain \ltrpar\ql \li0\ri0\widctlpar\intbl\wrapdefault\aspalpha\aspnum\faauto\adjustright\rin0\lin0 \rtlch\fcs1 \af0\afs20\alang1025 \ltrch\fcs0 \fs24\lang2057\langfe2057\cgrid\langnp2057\langfenp2057 {\rtlch\fcs1 \af0 \ltrch\fcs0 _x000d__x000a_\insrsid15485513\charrsid7612140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15485513\charrsid7612140 ##\cell ##}{\rtlch\fcs1 \af0\afs24 \ltrch\fcs0 \insrsid15485513\charrsid7612140 \cell }\pard\plain \ltrpar\ql \li0\ri0\widctlpar\intbl\wrapdefault\aspalpha\aspnum\faauto\adjustright\rin0\lin0 _x000d__x000a_\rtlch\fcs1 \af0\afs20\alang1025 \ltrch\fcs0 \fs24\lang2057\langfe2057\cgrid\langnp2057\langfenp2057 {\rtlch\fcs1 \af0 \ltrch\fcs0 \insrsid15485513\charrsid7612140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485513 \rtlch\fcs1 \af0\afs20\alang1025 \ltrch\fcs0 \i\fs24\lang2057\langfe2057\cgrid\langnp2057\langfenp2057 {\rtlch\fcs1 \af0 \ltrch\fcs0 _x000d__x000a_\cs17\i0\v\fs20\cf9\lang1024\langfe1024\loch\af1\hich\af1\dbch\af31501\noproof\insrsid15485513\charrsid7612140 \hich\af1\dbch\af31501\loch\f1 &lt;OptDel&gt;}{\rtlch\fcs1 \af0 \ltrch\fcs0 \insrsid15485513\charrsid7612140 #}{\rtlch\fcs1 \af1 \ltrch\fcs0 _x000d__x000a_\cs22\v\f1\fs20\cf15\insrsid15485513\charrsid7612140 MNU[CROSSREFNO][CROSSREFYES]@CHOICE@}{\rtlch\fcs1 \af0 \ltrch\fcs0 \insrsid15485513\charrsid7612140 #}{\rtlch\fcs1 \af0 \ltrch\fcs0 _x000d__x000a_\cs17\i0\v\fs20\cf9\lang1024\langfe1024\loch\af1\hich\af1\dbch\af31501\noproof\insrsid15485513\charrsid7612140 \hich\af1\dbch\af31501\loch\f1 &lt;/OptDel&gt;}{\rtlch\fcs1 \af0 \ltrch\fcs0 \insrsid15485513\charrsid7612140 _x000d__x000a_\par }\pard\plain \ltrpar\s23\qc \li0\ri0\sb240\sa240\keepn\nowidctlpar\wrapdefault\aspalpha\aspnum\faauto\adjustright\rin0\lin0\itap0\pararsid15485513 \rtlch\fcs1 \af0\afs20\alang1025 \ltrch\fcs0 \i\fs24\lang2057\langfe2057\cgrid\langnp2057\langfenp2057 {_x000d__x000a_\rtlch\fcs1 \af0 \ltrch\fcs0 \cs17\i0\v\fs20\cf9\lang1024\langfe1024\loch\af1\hich\af1\dbch\af31501\noproof\insrsid15485513\charrsid7612140 \hich\af1\dbch\af31501\loch\f1 &lt;TitreJust&gt;}{\rtlch\fcs1 \af0 \ltrch\fcs0 \insrsid15485513\charrsid7612140 _x000d__x000a_Justification}{\rtlch\fcs1 \af0 \ltrch\fcs0 \cs17\i0\v\fs20\cf9\lang1024\langfe1024\loch\af1\hich\af1\dbch\af31501\noproof\insrsid15485513\charrsid7612140 \hich\af1\dbch\af31501\loch\f1 &lt;/TitreJust&gt;}{\rtlch\fcs1 \af0 \ltrch\fcs0 _x000d__x000a_\insrsid15485513\charrsid7612140 _x000d__x000a_\par }\pard\plain \ltrpar\s20\ql \li0\ri0\sa240\nowidctlpar\wrapdefault\aspalpha\aspnum\faauto\adjustright\rin0\lin0\itap0\pararsid15485513 \rtlch\fcs1 \af0\afs20\alang1025 \ltrch\fcs0 \i\fs24\lang2057\langfe2057\cgrid\langnp2057\langfenp2057 {\rtlch\fcs1 _x000d__x000a_\af0 \ltrch\fcs0 \cs17\i0\v\fs20\cf9\lang1024\langfe1024\loch\af1\hich\af1\dbch\af31501\noproof\insrsid15485513\charrsid7612140 \hich\af1\dbch\af31501\loch\f1 &lt;OptDelPrev&gt;}{\rtlch\fcs1 \af0 \ltrch\fcs0 \insrsid15485513\charrsid7612140 #}{\rtlch\fcs1 \af1 _x000d__x000a_\ltrch\fcs0 \cs22\v\f1\fs20\cf15\insrsid15485513\charrsid7612140 MNU[TEXTJUSTYES][TEXTJUSTNO]@CHOICE@}{\rtlch\fcs1 \af0 \ltrch\fcs0 \insrsid15485513\charrsid7612140 #}{\rtlch\fcs1 \af0 \ltrch\fcs0 _x000d__x000a_\cs17\i0\v\fs20\cf9\lang1024\langfe1024\loch\af1\hich\af1\dbch\af31501\noproof\insrsid15485513\charrsid7612140 \hich\af1\dbch\af31501\loch\f1 &lt;/OptDelPrev&gt;}{\rtlch\fcs1 \af0 \ltrch\fcs0 \insrsid15485513\charrsid7612140 _x000d__x000a_\par }\pard\plain \ltrpar\ql \li0\ri0\widctlpar\wrapdefault\aspalpha\aspnum\faauto\adjustright\rin0\lin0\itap0\pararsid15485513 \rtlch\fcs1 \af0\afs20\alang1025 \ltrch\fcs0 \fs24\lang2057\langfe2057\cgrid\langnp2057\langfenp2057 {\rtlch\fcs1 \af0 \ltrch\fcs0 _x000d__x000a_\cs17\v\fs20\cf9\lang1024\langfe1024\loch\af1\hich\af1\dbch\af31501\noproof\insrsid15485513\charrsid7612140 \hich\af1\dbch\af31501\loch\f1 &lt;/AmendB&gt;}{\rtlch\fcs1 \af0 \ltrch\fcs0 \insrsid1548551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48_x000d__x000a_313f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473135 HideTWBExt;}{_x000d__x000a_\s18\ql \li0\ri0\sa120\nowidctlpar\wrapdefault\aspalpha\aspnum\faauto\adjustright\rin0\lin0\itap0 \rtlch\fcs1 \af0\afs20\alang1025 \ltrch\fcs0 \fs24\lang2057\langfe2057\cgrid\langnp2057\langfenp2057 \sbasedon0 \snext18 \spriority0 \styrsid8473135 _x000d__x000a_Normal6a;}{\s19\ql \li0\ri0\nowidctlpar\wrapdefault\aspalpha\aspnum\faauto\adjustright\rin0\lin0\itap0 \rtlch\fcs1 \af0\afs20\alang1025 \ltrch\fcs0 \b\fs24\lang2057\langfe2057\cgrid\langnp2057\langfenp2057 \sbasedon0 \snext19 \spriority0 \styrsid8473135 _x000d__x000a_NormalBold;}{\s20\qc \li0\ri0\sa240\nowidctlpar\wrapdefault\aspalpha\aspnum\faauto\adjustright\rin0\lin0\itap0 \rtlch\fcs1 \af0\afs20\alang1025 \ltrch\fcs0 \i\fs24\lang2057\langfe2057\cgrid\langnp2057\langfenp2057 _x000d__x000a_\sbasedon0 \snext20 \spriority0 \styrsid8473135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8473135 AmNumberTabs;}{\s22\ql \li0\ri0\sb240\nowidctlpar\wrapdefault\aspalpha\aspnum\faauto\adjustright\rin0\lin0\itap0 \rtlch\fcs1 _x000d__x000a_\af0\afs20\alang1025 \ltrch\fcs0 \b\fs24\lang2057\langfe2057\cgrid\langnp2057\langfenp2057 \sbasedon0 \snext22 \spriority0 \styrsid8473135 NormalBold12b;}}{\*\rsidtbl \rsid24658\rsid223860\rsid735077\rsid1718133\rsid2892074\rsid3565327\rsid4666813_x000d__x000a_\rsid6641733\rsid7823322\rsid8473135\rsid9636012\rsid10377208\rsid11215221\rsid11549030\rsid12154954\rsid14382809\rsid14424199\rsid15204470\rsid15285974\rsid15335601\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24}{\nofchars139}{\nofcharsws162}{\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473135\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5335601 \chftnsep _x000d__x000a_\par }}{\*\ftnsepc \ltrpar \pard\plain \ltrpar\ql \li0\ri0\widctlpar\wrapdefault\aspalpha\aspnum\faauto\adjustright\rin0\lin0\itap0 \rtlch\fcs1 \af0\afs20\alang1025 \ltrch\fcs0 \fs24\lang2057\langfe2057\cgrid\langnp2057\langfenp2057 {\rtlch\fcs1 \af0 _x000d__x000a_\ltrch\fcs0 \insrsid15335601 \chftnsepc _x000d__x000a_\par }}{\*\aftnsep \ltrpar \pard\plain \ltrpar\ql \li0\ri0\widctlpar\wrapdefault\aspalpha\aspnum\faauto\adjustright\rin0\lin0\itap0 \rtlch\fcs1 \af0\afs20\alang1025 \ltrch\fcs0 \fs24\lang2057\langfe2057\cgrid\langnp2057\langfenp2057 {\rtlch\fcs1 \af0 _x000d__x000a_\ltrch\fcs0 \insrsid15335601 \chftnsep _x000d__x000a_\par }}{\*\aftnsepc \ltrpar \pard\plain \ltrpar\ql \li0\ri0\widctlpar\wrapdefault\aspalpha\aspnum\faauto\adjustright\rin0\lin0\itap0 \rtlch\fcs1 \af0\afs20\alang1025 \ltrch\fcs0 \fs24\lang2057\langfe2057\cgrid\langnp2057\langfenp2057 {\rtlch\fcs1 \af0 _x000d__x000a_\ltrch\fcs0 \insrsid1533560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8473135 \rtlch\fcs1 _x000d__x000a_\af0\afs20\alang1025 \ltrch\fcs0 \b\fs24\lang2057\langfe2057\cgrid\langnp2057\langfenp2057 {\rtlch\fcs1 \af0 \ltrch\fcs0 \cs17\b0\v\fs20\cf9\lang1024\langfe1024\loch\af1\hich\af1\dbch\af31501\noproof\insrsid8473135\charrsid15879488 {\*\bkmkstart restartA}_x000d__x000a_\hich\af1\dbch\af31501\loch\f1 &lt;AmendA&gt;}{\rtlch\fcs1 \af0 \ltrch\fcs0 \insrsid8473135\charrsid15879488 [ZAMENDMENT]\tab \tab }{\rtlch\fcs1 \af0 \ltrch\fcs0 _x000d__x000a_\cs17\b0\v\fs20\cf9\lang1024\langfe1024\loch\af1\hich\af1\dbch\af31501\noproof\insrsid8473135\charrsid15879488 \hich\af1\dbch\af31501\loch\f1 &lt;NumAmA&gt;}{\rtlch\fcs1 \af0 \ltrch\fcs0 \insrsid8473135\charrsid15879488 [ZNRAM]}{\rtlch\fcs1 \af0 \ltrch\fcs0 _x000d__x000a_\cs17\b0\v\fs20\cf9\lang1024\langfe1024\loch\af1\hich\af1\dbch\af31501\noproof\insrsid8473135\charrsid15879488 \hich\af1\dbch\af31501\loch\f1 &lt;/NumAmA&gt;}{\rtlch\fcs1 \af0 \ltrch\fcs0 \insrsid8473135\charrsid15879488 _x000d__x000a_\par }\pard\plain \ltrpar\s22\ql \li0\ri0\sb240\keepn\nowidctlpar\wrapdefault\aspalpha\aspnum\faauto\adjustright\rin0\lin0\itap0\pararsid8473135 \rtlch\fcs1 \af0\afs20\alang1025 \ltrch\fcs0 \b\fs24\lang2057\langfe2057\cgrid\langnp2057\langfenp2057 {_x000d__x000a_\rtlch\fcs1 \af0 \ltrch\fcs0 \cs17\b0\v\fs20\cf9\lang1024\langfe1024\loch\af1\hich\af1\dbch\af31501\noproof\langnp1036\insrsid8473135\charrsid11356624 \hich\af1\dbch\af31501\loch\f1 &lt;DocAmend&gt;}{\rtlch\fcs1 \af0 \ltrch\fcs0 _x000d__x000a_\lang1036\langfe2057\langnp1036\insrsid8473135\charrsid11356624 [ZRESOLUTION]}{\rtlch\fcs1 \af0 \ltrch\fcs0 \cs17\b0\v\fs20\cf9\lang1024\langfe1024\loch\af1\hich\af1\dbch\af31501\noproof\langnp1036\insrsid8473135\charrsid11356624 _x000d__x000a_\hich\af1\dbch\af31501\loch\f1 &lt;/DocAmend&gt;}{\rtlch\fcs1 \af0 \ltrch\fcs0 \lang1036\langfe2057\langnp1036\insrsid8473135\charrsid11356624 _x000d__x000a_\par }\pard\plain \ltrpar\s19\ql \li0\ri0\nowidctlpar\wrapdefault\aspalpha\aspnum\faauto\adjustright\rin0\lin0\itap0\pararsid8473135 \rtlch\fcs1 \af0\afs20\alang1025 \ltrch\fcs0 \b\fs24\lang2057\langfe2057\cgrid\langnp2057\langfenp2057 {\rtlch\fcs1 \af0 _x000d__x000a_\ltrch\fcs0 \cs17\b0\v\fs20\cf9\lang1024\langfe1024\loch\af1\hich\af1\dbch\af31501\noproof\langnp1036\insrsid8473135\charrsid11356624 \hich\af1\dbch\af31501\loch\f1 &lt;Article&gt;}{\rtlch\fcs1 \af0 \ltrch\fcs0 _x000d__x000a_\lang1036\langfe2057\langnp1036\insrsid8473135\charrsid11356624 [ZRESPART]}{\rtlch\fcs1 \af0 \ltrch\fcs0 \cs17\b0\v\fs20\cf9\lang1024\langfe1024\loch\af1\hich\af1\dbch\af31501\noproof\langnp1036\insrsid8473135\charrsid11356624 _x000d__x000a_\hich\af1\dbch\af31501\loch\f1 &lt;/Article&gt;}{\rtlch\fcs1 \af0 \ltrch\fcs0 \lang1036\langfe2057\langnp1036\insrsid8473135\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8473135\charrsid11356624 \cell }\pard \ltrpar_x000d__x000a_\ql \li0\ri0\widctlpar\intbl\wrapdefault\aspalpha\aspnum\faauto\adjustright\rin0\lin0 {\rtlch\fcs1 \af0 \ltrch\fcs0 \insrsid8473135\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8473135\charrsid15879488 [ZLEFTA]\cell [ZRIGHT]\cell }\pard\plain \ltrpar\ql \li0\ri0\widctlpar\intbl\wrapdefault\aspalpha\aspnum\faauto\adjustright\rin0\lin0 _x000d__x000a_\rtlch\fcs1 \af0\afs20\alang1025 \ltrch\fcs0 \fs24\lang2057\langfe2057\cgrid\langnp2057\langfenp2057 {\rtlch\fcs1 \af0 \ltrch\fcs0 \insrsid8473135\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8473135\charrsid15879488 [ZTEXTL]\cell [ZTEXTR]}{\rtlch\fcs1 \af0\afs24 \ltrch\fcs0 \insrsid8473135\charrsid15879488 \cell }\pard\plain \ltrpar\ql \li0\ri0\widctlpar\intbl\wrapdefault\aspalpha\aspnum\faauto\adjustright\rin0\lin0 \rtlch\fcs1 _x000d__x000a_\af0\afs20\alang1025 \ltrch\fcs0 \fs24\lang2057\langfe2057\cgrid\langnp2057\langfenp2057 {\rtlch\fcs1 \af0 \ltrch\fcs0 \insrsid8473135\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8473135 {\rtlch\fcs1 \af0 \ltrch\fcs0 \cs17\v\fs20\cf9\lang1024\langfe1024\loch\af1\hich\af1\dbch\af31501\noproof\insrsid8473135\charrsid15879488 _x000d__x000a_\hich\af1\dbch\af31501\loch\f1 &lt;/AmendA&gt;}{\rtlch\fcs1 \af0 \ltrch\fcs0 \insrsid8473135\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9_x000d__x000a_3041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24\fbidi \froman\fcharset238\fprq2 Times New Roman CE;}{\f325\fbidi \froman\fcharset204\fprq2 Times New Roman Cyr;}_x000d__x000a_{\f327\fbidi \froman\fcharset161\fprq2 Times New Roman Greek;}{\f328\fbidi \froman\fcharset162\fprq2 Times New Roman Tur;}{\f329\fbidi \froman\fcharset177\fprq2 Times New Roman (Hebrew);}{\f330\fbidi \froman\fcharset178\fprq2 Times New Roman (Arabic);}_x000d__x000a_{\f331\fbidi \froman\fcharset186\fprq2 Times New Roman Baltic;}{\f332\fbidi \froman\fcharset163\fprq2 Times New Roman (Vietnamese);}{\f334\fbidi \fswiss\fcharset238\fprq2 Arial CE;}{\f335\fbidi \fswiss\fcharset204\fprq2 Arial Cyr;}_x000d__x000a_{\f337\fbidi \fswiss\fcharset161\fprq2 Arial Greek;}{\f338\fbidi \fswiss\fcharset162\fprq2 Arial Tur;}{\f339\fbidi \fswiss\fcharset177\fprq2 Arial (Hebrew);}{\f340\fbidi \fswiss\fcharset178\fprq2 Arial (Arabic);}_x000d__x000a_{\f341\fbidi \fswiss\fcharset186\fprq2 Arial Baltic;}{\f342\fbidi \fswiss\fcharset163\fprq2 Arial (Vietnamese);}{\f664\fbidi \froman\fcharset238\fprq2 Cambria Math CE;}{\f665\fbidi \froman\fcharset204\fprq2 Cambria Math Cyr;}_x000d__x000a_{\f667\fbidi \froman\fcharset161\fprq2 Cambria Math Greek;}{\f668\fbidi \froman\fcharset162\fprq2 Cambria Math Tur;}{\f671\fbidi \froman\fcharset186\fprq2 Cambria Math Baltic;}{\f67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22627 HideTWBExt;}{_x000d__x000a_\s18\ql \li0\ri0\sa120\nowidctlpar\wrapdefault\aspalpha\aspnum\faauto\adjustright\rin0\lin0\itap0 \rtlch\fcs1 \af0\afs20\alang1025 \ltrch\fcs0 \fs24\lang2057\langfe2057\cgrid\langnp2057\langfenp2057 \sbasedon0 \snext18 \spriority0 \styrsid722627 _x000d__x000a_Normal6a;}{\s19\ql \li0\ri0\nowidctlpar\wrapdefault\aspalpha\aspnum\faauto\adjustright\rin0\lin0\itap0 \rtlch\fcs1 \af0\afs20\alang1025 \ltrch\fcs0 \b\fs24\lang2057\langfe2057\cgrid\langnp2057\langfenp2057 \sbasedon0 \snext19 \spriority0 \styrsid722627 _x000d__x000a_NormalBold;}{\s20\ql \li0\ri0\sa240\nowidctlpar\wrapdefault\aspalpha\aspnum\faauto\adjustright\rin0\lin0\itap0 \rtlch\fcs1 \af0\afs20\alang1025 \ltrch\fcs0 \i\fs24\lang2057\langfe2057\cgrid\langnp2057\langfenp2057 _x000d__x000a_\sbasedon0 \snext20 \spriority0 \styrsid722627 AmJustText;}{\s21\qc \li0\ri0\sb240\sa240\nowidctlpar\wrapdefault\aspalpha\aspnum\faauto\adjustright\rin0\lin0\itap0 \rtlch\fcs1 \af0\afs20\alang1025 \ltrch\fcs0 _x000d__x000a_\i\fs24\lang2057\langfe2057\cgrid\langnp2057\langfenp2057 \sbasedon0 \snext21 \spriority0 \styrsid722627 AmCrossRef;}{\s22\qc \li0\ri0\sb240\sa240\keepn\nowidctlpar\wrapdefault\aspalpha\aspnum\faauto\adjustright\rin0\lin0\itap0 \rtlch\fcs1 _x000d__x000a_\af0\afs20\alang1025 \ltrch\fcs0 \i\fs24\lang2057\langfe2057\cgrid\langnp2057\langfenp2057 \sbasedon0 \snext20 \spriority0 \styrsid722627 AmJustTitle;}{\s23\qc \li0\ri0\sa240\nowidctlpar\wrapdefault\aspalpha\aspnum\faauto\adjustright\rin0\lin0\itap0 _x000d__x000a_\rtlch\fcs1 \af0\afs20\alang1025 \ltrch\fcs0 \i\fs24\lang2057\langfe2057\cgrid\langnp2057\langfenp2057 \sbasedon0 \snext23 \spriority0 \styrsid722627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22627 AmNumberTabs;}{\s25\ql \li0\ri0\sb240\nowidctlpar\wrapdefault\aspalpha\aspnum\faauto\adjustright\rin0\lin0\itap0 \rtlch\fcs1 _x000d__x000a_\af0\afs20\alang1025 \ltrch\fcs0 \b\fs24\lang2057\langfe2057\cgrid\langnp2057\langfenp2057 \sbasedon0 \snext25 \spriority0 \styrsid722627 NormalBold12b;}}{\*\rsidtbl \rsid24658\rsid223860\rsid722627\rsid735077\rsid1718133\rsid2375206\rsid2892074_x000d__x000a_\rsid3565327\rsid4666813\rsid6641733\rsid7823322\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KRIEG Milena}{\operator KRIEG Milena}{\creatim\yr2023\mo10\dy25\hr17\min9}{\revtim\yr2023\mo10\dy25\hr17\min9}{\version1}{\edmins0}{\nofpages1}_x000d__x000a_{\nofwords55}{\nofchars317}{\nofcharsws36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22627\newtblstyruls\nogrowautofit\usenormstyforlist\noindnmbrts\felnbrelev\nocxsptable\indrlsweleven\noafcnsttbl\afelev\utinl\hwelev\spltpgpar\notcvasp\notbrkcnstfrctbl\notvatxbx\krnprsnet\cachedcolbal \nouicompat \fet0_x000d__x000a_{\*\wgrffmtfilter 013f}\nofeaturethrottle1\ilfomacatclnup0{\*\template C:\\Users\\mkrieg\\AppData\\Local\\Temp\\Blank1.dotx}{\*\ftnsep \ltrpar \pard\plain \ltrpar\ql \li0\ri0\widctlpar\wrapdefault\aspalpha\aspnum\faauto\adjustright\rin0\lin0\itap0 _x000d__x000a_\rtlch\fcs1 \af0\afs20\alang1025 \ltrch\fcs0 \fs24\lang2057\langfe2057\cgrid\langnp2057\langfenp2057 {\rtlch\fcs1 \af0 \ltrch\fcs0 \insrsid2375206 \chftnsep _x000d__x000a_\par }}{\*\ftnsepc \ltrpar \pard\plain \ltrpar\ql \li0\ri0\widctlpar\wrapdefault\aspalpha\aspnum\faauto\adjustright\rin0\lin0\itap0 \rtlch\fcs1 \af0\afs20\alang1025 \ltrch\fcs0 \fs24\lang2057\langfe2057\cgrid\langnp2057\langfenp2057 {\rtlch\fcs1 \af0 _x000d__x000a_\ltrch\fcs0 \insrsid2375206 \chftnsepc _x000d__x000a_\par }}{\*\aftnsep \ltrpar \pard\plain \ltrpar\ql \li0\ri0\widctlpar\wrapdefault\aspalpha\aspnum\faauto\adjustright\rin0\lin0\itap0 \rtlch\fcs1 \af0\afs20\alang1025 \ltrch\fcs0 \fs24\lang2057\langfe2057\cgrid\langnp2057\langfenp2057 {\rtlch\fcs1 \af0 _x000d__x000a_\ltrch\fcs0 \insrsid2375206 \chftnsep _x000d__x000a_\par }}{\*\aftnsepc \ltrpar \pard\plain \ltrpar\ql \li0\ri0\widctlpar\wrapdefault\aspalpha\aspnum\faauto\adjustright\rin0\lin0\itap0 \rtlch\fcs1 \af0\afs20\alang1025 \ltrch\fcs0 \fs24\lang2057\langfe2057\cgrid\langnp2057\langfenp2057 {\rtlch\fcs1 \af0 _x000d__x000a_\ltrch\fcs0 \insrsid237520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22627 \rtlch\fcs1 _x000d__x000a_\af0\afs20\alang1025 \ltrch\fcs0 \b\fs24\lang2057\langfe2057\cgrid\langnp2057\langfenp2057 {\rtlch\fcs1 \af0 \ltrch\fcs0 \cs17\b0\v\fs20\cf9\lang1024\langfe1024\loch\af1\hich\af1\dbch\af31501\noproof\insrsid722627\charrsid15879488 {\*\bkmkstart restartB}_x000d__x000a_\hich\af1\dbch\af31501\loch\f1 &lt;AmendB&gt;}{\rtlch\fcs1 \af0 \ltrch\fcs0 \insrsid722627\charrsid15879488 [ZAMENDMENT]\tab \tab }{\rtlch\fcs1 \af0 \ltrch\fcs0 _x000d__x000a_\cs17\b0\v\fs20\cf9\lang1024\langfe1024\loch\af1\hich\af1\dbch\af31501\noproof\insrsid722627\charrsid15879488 \hich\af1\dbch\af31501\loch\f1 &lt;NumAmB&gt;}{\rtlch\fcs1 \af0 \ltrch\fcs0 \insrsid722627\charrsid15879488 [ZNRAM]}{\rtlch\fcs1 \af0 \ltrch\fcs0 _x000d__x000a_\cs17\b0\v\fs20\cf9\lang1024\langfe1024\loch\af1\hich\af1\dbch\af31501\noproof\insrsid722627\charrsid15879488 \hich\af1\dbch\af31501\loch\f1 &lt;/NumAmB&gt;}{\rtlch\fcs1 \af0 \ltrch\fcs0 \insrsid722627\charrsid15879488 _x000d__x000a_\par }\pard\plain \ltrpar\s25\ql \li0\ri0\sb240\keepn\nowidctlpar\wrapdefault\aspalpha\aspnum\faauto\adjustright\rin0\lin0\itap0\pararsid722627 \rtlch\fcs1 \af0\afs20\alang1025 \ltrch\fcs0 \b\fs24\lang2057\langfe2057\cgrid\langnp2057\langfenp2057 {\rtlch\fcs1 _x000d__x000a_\af0 \ltrch\fcs0 \cs17\b0\v\fs20\cf9\lang1024\langfe1024\loch\af1\hich\af1\dbch\af31501\noproof\insrsid722627\charrsid15879488 \hich\af1\dbch\af31501\loch\f1 &lt;DocAmend&gt;}{\rtlch\fcs1 \af0 \ltrch\fcs0 \insrsid722627\charrsid15879488 [ZPROPOSAL][ZAMACT]}{_x000d__x000a_\rtlch\fcs1 \af0 \ltrch\fcs0 \cs17\b0\v\fs20\cf9\lang1024\langfe1024\loch\af1\hich\af1\dbch\af31501\noproof\insrsid722627\charrsid15879488 \hich\af1\dbch\af31501\loch\f1 &lt;/DocAmend&gt;}{\rtlch\fcs1 \af0 \ltrch\fcs0 \insrsid722627\charrsid15879488 _x000d__x000a_\par }\pard\plain \ltrpar\s19\ql \li0\ri0\keepn\nowidctlpar\wrapdefault\aspalpha\aspnum\faauto\adjustright\rin0\lin0\itap0\pararsid722627 \rtlch\fcs1 \af0\afs20\alang1025 \ltrch\fcs0 \b\fs24\lang2057\langfe2057\cgrid\langnp2057\langfenp2057 {\rtlch\fcs1 \af0 _x000d__x000a_\ltrch\fcs0 \cs17\b0\v\fs20\cf9\lang1024\langfe1024\loch\af1\hich\af1\dbch\af31501\noproof\insrsid722627\charrsid15879488 \hich\af1\dbch\af31501\loch\f1 &lt;Article&gt;}{\rtlch\fcs1 \af0 \ltrch\fcs0 \insrsid722627\charrsid15879488 [ZAMPART]}{\rtlch\fcs1 \af0 _x000d__x000a_\ltrch\fcs0 \cs17\b0\v\fs20\cf9\lang1024\langfe1024\loch\af1\hich\af1\dbch\af31501\noproof\insrsid722627\charrsid15879488 \hich\af1\dbch\af31501\loch\f1 &lt;/Article&gt;}{\rtlch\fcs1 \af0 \ltrch\fcs0 \insrsid722627\charrsid15879488 _x000d__x000a_\par }\pard\plain \ltrpar\ql \li0\ri0\keepn\widctlpar\wrapdefault\aspalpha\aspnum\faauto\adjustright\rin0\lin0\itap0\pararsid722627 \rtlch\fcs1 \af0\afs20\alang1025 \ltrch\fcs0 \fs24\lang2057\langfe2057\cgrid\langnp2057\langfenp2057 {\rtlch\fcs1 \af0 _x000d__x000a_\ltrch\fcs0 \cs17\v\fs20\cf9\lang1024\langfe1024\loch\af1\hich\af1\dbch\af31501\noproof\insrsid722627\charrsid15879488 \hich\af1\dbch\af31501\loch\f1 &lt;DocAmend2&gt;&lt;OptDel&gt;}{\rtlch\fcs1 \af0 \ltrch\fcs0 \insrsid722627\charrsid15879488 [ZNRACT]}{\rtlch\fcs1 _x000d__x000a_\af0 \ltrch\fcs0 \cs17\v\fs20\cf9\lang1024\langfe1024\loch\af1\hich\af1\dbch\af31501\noproof\insrsid722627\charrsid15879488 \hich\af1\dbch\af31501\loch\f1 &lt;/OptDel&gt;&lt;/DocAmend2&gt;}{\rtlch\fcs1 \af0 \ltrch\fcs0 \insrsid722627\charrsid15879488 _x000d__x000a_\par }\pard \ltrpar\ql \li0\ri0\widctlpar\wrapdefault\aspalpha\aspnum\faauto\adjustright\rin0\lin0\itap0\pararsid722627 {\rtlch\fcs1 \af0 \ltrch\fcs0 _x000d__x000a_\cs17\v\fs20\cf9\lang1024\langfe1024\loch\af1\hich\af1\dbch\af31501\noproof\langnp1036\insrsid722627\charrsid11356624 \hich\af1\dbch\af31501\loch\f1 &lt;Article2&gt;&lt;OptDel&gt;}{\rtlch\fcs1 \af0 \ltrch\fcs0 _x000d__x000a_\lang1036\langfe2057\langnp1036\insrsid722627\charrsid11356624 [ZACTPART]}{\rtlch\fcs1 \af0 \ltrch\fcs0 \cs17\v\fs20\cf9\lang1024\langfe1024\loch\af1\hich\af1\dbch\af31501\noproof\langnp1036\insrsid722627\charrsid11356624 \hich\af1\dbch\af31501\loch\f1 _x000d__x000a_&lt;/OptDel&gt;&lt;/Article2&gt;}{\rtlch\fcs1 \af0 \ltrch\fcs0 \lang1036\langfe2057\langnp1036\insrsid722627\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22627\charrsid11356624 \cell }\pard \ltrpar\ql \li0\ri0\widctlpar\intbl\wrapdefault\aspalpha\aspnum\faauto\adjustright\rin0\lin0 {\rtlch\fcs1 \af0 \ltrch\fcs0 \insrsid722627\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22627\charrsid15879488 [ZLEFTB]\cell [ZRIGHT]\cell }\pard\plain \ltrpar\ql \li0\ri0\widctlpar\intbl\wrapdefault\aspalpha\aspnum\faauto\adjustright\rin0\lin0 \rtlch\fcs1 \af0\afs20\alang1025 \ltrch\fcs0 _x000d__x000a_\fs24\lang2057\langfe2057\cgrid\langnp2057\langfenp2057 {\rtlch\fcs1 \af0 \ltrch\fcs0 \insrsid722627\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22627\charrsid15879488 [ZTEXTL]\cell [ZTEXTR]}{\rtlch\fcs1 \af0\afs24 \ltrch\fcs0 \insrsid722627\charrsid15879488 \cell }\pard\plain \ltrpar\ql \li0\ri0\widctlpar\intbl\wrapdefault\aspalpha\aspnum\faauto\adjustright\rin0\lin0 \rtlch\fcs1 _x000d__x000a_\af0\afs20\alang1025 \ltrch\fcs0 \fs24\lang2057\langfe2057\cgrid\langnp2057\langfenp2057 {\rtlch\fcs1 \af0 \ltrch\fcs0 \insrsid722627\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22627 \rtlch\fcs1 \af0\afs20\alang1025 \ltrch\fcs0 \i\fs24\lang2057\langfe2057\cgrid\langnp2057\langfenp2057 {\rtlch\fcs1 \af0 \ltrch\fcs0 _x000d__x000a_\cs17\i0\v\fs20\cf9\lang1024\langfe1024\loch\af1\hich\af1\dbch\af31501\noproof\insrsid722627\charrsid15879488 \hich\af1\dbch\af31501\loch\f1 &lt;OptDel&gt;}{\rtlch\fcs1 \af0 \ltrch\fcs0 \insrsid722627\charrsid15879488 [ZCROSSREF]}{\rtlch\fcs1 \af0 \ltrch\fcs0 _x000d__x000a_\cs17\i0\v\fs20\cf9\lang1024\langfe1024\loch\af1\hich\af1\dbch\af31501\noproof\insrsid722627\charrsid15879488 \hich\af1\dbch\af31501\loch\f1 &lt;/OptDel&gt;}{\rtlch\fcs1 \af0 \ltrch\fcs0 \insrsid722627\charrsid15879488 _x000d__x000a_\par }\pard\plain \ltrpar\s22\qc \li0\ri0\sb240\sa240\keepn\nowidctlpar\wrapdefault\aspalpha\aspnum\faauto\adjustright\rin0\lin0\itap0\pararsid722627 \rtlch\fcs1 \af0\afs20\alang1025 \ltrch\fcs0 \i\fs24\lang2057\langfe2057\cgrid\langnp2057\langfenp2057 {_x000d__x000a_\rtlch\fcs1 \af0 \ltrch\fcs0 \cs17\i0\v\fs20\cf9\lang1024\langfe1024\loch\af1\hich\af1\dbch\af31501\noproof\insrsid722627\charrsid15879488 \hich\af1\dbch\af31501\loch\f1 &lt;TitreJust&gt;}{\rtlch\fcs1 \af0 \ltrch\fcs0 \insrsid722627\charrsid15879488 _x000d__x000a_[ZJUSTIFICATION]}{\rtlch\fcs1 \af0 \ltrch\fcs0 \cs17\i0\v\fs20\cf9\lang1024\langfe1024\loch\af1\hich\af1\dbch\af31501\noproof\insrsid722627\charrsid15879488 \hich\af1\dbch\af31501\loch\f1 &lt;/TitreJust&gt;}{\rtlch\fcs1 \af0 \ltrch\fcs0 _x000d__x000a_\insrsid722627\charrsid15879488 _x000d__x000a_\par }\pard\plain \ltrpar\s20\ql \li0\ri0\sa240\nowidctlpar\wrapdefault\aspalpha\aspnum\faauto\adjustright\rin0\lin0\itap0\pararsid722627 \rtlch\fcs1 \af0\afs20\alang1025 \ltrch\fcs0 \i\fs24\lang2057\langfe2057\cgrid\langnp2057\langfenp2057 {\rtlch\fcs1 \af0 _x000d__x000a_\ltrch\fcs0 \cs17\i0\v\fs20\cf9\lang1024\langfe1024\loch\af1\hich\af1\dbch\af31501\noproof\insrsid722627\charrsid15879488 \hich\af1\dbch\af31501\loch\f1 &lt;OptDelPrev&gt;}{\rtlch\fcs1 \af0 \ltrch\fcs0 \insrsid722627\charrsid15879488 [ZTEXTJUST]}{\rtlch\fcs1 _x000d__x000a_\af0 \ltrch\fcs0 \cs17\i0\v\fs20\cf9\lang1024\langfe1024\loch\af1\hich\af1\dbch\af31501\noproof\insrsid722627\charrsid15879488 \hich\af1\dbch\af31501\loch\f1 &lt;/OptDelPrev&gt;}{\rtlch\fcs1 \af0 \ltrch\fcs0 \insrsid722627\charrsid15879488 _x000d__x000a_\par }\pard\plain \ltrpar\ql \li0\ri0\widctlpar\wrapdefault\aspalpha\aspnum\faauto\adjustright\rin0\lin0\itap0\pararsid722627 \rtlch\fcs1 \af0\afs20\alang1025 \ltrch\fcs0 \fs24\lang2057\langfe2057\cgrid\langnp2057\langfenp2057 {\rtlch\fcs1 \af0 \ltrch\fcs0 _x000d__x000a_\cs17\v\fs20\cf9\lang1024\langfe1024\loch\af1\hich\af1\dbch\af31501\noproof\insrsid722627\charrsid15879488 \hich\af1\dbch\af31501\loch\f1 &lt;/AmendB&gt;}{\rtlch\fcs1 \af0 \ltrch\fcs0 \insrsid722627\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7_x000d__x000a_15435507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88"/>
    <w:docVar w:name="TITLECODMNU" w:val=" 1"/>
    <w:docVar w:name="TVTAMACTPART" w:val="abc"/>
    <w:docVar w:name="TVTRESPART" w:val="abc"/>
    <w:docVar w:name="TXTLANGUE" w:val="EN"/>
    <w:docVar w:name="TXTLANGUEMIN" w:val="en"/>
    <w:docVar w:name="TXTNRC" w:val="0150/2023"/>
    <w:docVar w:name="TXTNRCOM" w:val="(2023)0240"/>
    <w:docVar w:name="TXTNRFIRSTAM" w:val="1"/>
    <w:docVar w:name="TXTNRLASTAM" w:val="5"/>
    <w:docVar w:name="TXTNRPE" w:val="752.621"/>
    <w:docVar w:name="TXTNRPROC" w:val="2023/0138"/>
    <w:docVar w:name="TXTPEorAP" w:val="PE"/>
    <w:docVar w:name="TXTROUTE" w:val="AD\1288324EN.docx"/>
    <w:docVar w:name="TXTVERSION" w:val="02-00"/>
  </w:docVars>
  <w:rsids>
    <w:rsidRoot w:val="007426EC"/>
    <w:rsid w:val="00010AD3"/>
    <w:rsid w:val="00026559"/>
    <w:rsid w:val="00027FA8"/>
    <w:rsid w:val="0004474F"/>
    <w:rsid w:val="000522F2"/>
    <w:rsid w:val="00082EC4"/>
    <w:rsid w:val="000C751C"/>
    <w:rsid w:val="000D44A6"/>
    <w:rsid w:val="00121470"/>
    <w:rsid w:val="00122C05"/>
    <w:rsid w:val="00122CC3"/>
    <w:rsid w:val="00134974"/>
    <w:rsid w:val="00141CD7"/>
    <w:rsid w:val="001616BD"/>
    <w:rsid w:val="00180E36"/>
    <w:rsid w:val="001820A9"/>
    <w:rsid w:val="001A0556"/>
    <w:rsid w:val="001A7452"/>
    <w:rsid w:val="001B0A1E"/>
    <w:rsid w:val="001C0886"/>
    <w:rsid w:val="001D5154"/>
    <w:rsid w:val="001E3AC4"/>
    <w:rsid w:val="0020077A"/>
    <w:rsid w:val="00220500"/>
    <w:rsid w:val="002258E0"/>
    <w:rsid w:val="0023131B"/>
    <w:rsid w:val="002A67EE"/>
    <w:rsid w:val="002C26F8"/>
    <w:rsid w:val="002D23D0"/>
    <w:rsid w:val="00304EA8"/>
    <w:rsid w:val="003300D9"/>
    <w:rsid w:val="00341A99"/>
    <w:rsid w:val="00360FAA"/>
    <w:rsid w:val="003668DD"/>
    <w:rsid w:val="0038294E"/>
    <w:rsid w:val="003A2F84"/>
    <w:rsid w:val="003A6A67"/>
    <w:rsid w:val="003B07E2"/>
    <w:rsid w:val="003C7390"/>
    <w:rsid w:val="003E00BF"/>
    <w:rsid w:val="003E1280"/>
    <w:rsid w:val="003F128E"/>
    <w:rsid w:val="0040055C"/>
    <w:rsid w:val="00415589"/>
    <w:rsid w:val="004515F9"/>
    <w:rsid w:val="00487596"/>
    <w:rsid w:val="004B3A53"/>
    <w:rsid w:val="004C2A0D"/>
    <w:rsid w:val="004F1D2F"/>
    <w:rsid w:val="00502B76"/>
    <w:rsid w:val="00513F6F"/>
    <w:rsid w:val="00522B51"/>
    <w:rsid w:val="00524707"/>
    <w:rsid w:val="00525B43"/>
    <w:rsid w:val="00543D1E"/>
    <w:rsid w:val="005539B7"/>
    <w:rsid w:val="00565298"/>
    <w:rsid w:val="00571233"/>
    <w:rsid w:val="005716CD"/>
    <w:rsid w:val="00586041"/>
    <w:rsid w:val="005922EC"/>
    <w:rsid w:val="005D22C6"/>
    <w:rsid w:val="00600087"/>
    <w:rsid w:val="00613134"/>
    <w:rsid w:val="0062175F"/>
    <w:rsid w:val="00626D52"/>
    <w:rsid w:val="006315F6"/>
    <w:rsid w:val="00632FD4"/>
    <w:rsid w:val="00643DA8"/>
    <w:rsid w:val="00653EDA"/>
    <w:rsid w:val="00657D5C"/>
    <w:rsid w:val="00683DD1"/>
    <w:rsid w:val="00691B1C"/>
    <w:rsid w:val="006A0F0A"/>
    <w:rsid w:val="006A48AA"/>
    <w:rsid w:val="006B1267"/>
    <w:rsid w:val="006D292E"/>
    <w:rsid w:val="006F1531"/>
    <w:rsid w:val="00712462"/>
    <w:rsid w:val="00716BAA"/>
    <w:rsid w:val="0073137C"/>
    <w:rsid w:val="00740A09"/>
    <w:rsid w:val="00741A65"/>
    <w:rsid w:val="007426EC"/>
    <w:rsid w:val="0078548A"/>
    <w:rsid w:val="007875FA"/>
    <w:rsid w:val="007B7CE3"/>
    <w:rsid w:val="007D04FC"/>
    <w:rsid w:val="007F187F"/>
    <w:rsid w:val="00817D13"/>
    <w:rsid w:val="00820C7D"/>
    <w:rsid w:val="00832841"/>
    <w:rsid w:val="00833D11"/>
    <w:rsid w:val="00836FD3"/>
    <w:rsid w:val="008375A8"/>
    <w:rsid w:val="008506A6"/>
    <w:rsid w:val="008652A4"/>
    <w:rsid w:val="00872A52"/>
    <w:rsid w:val="00876A73"/>
    <w:rsid w:val="0089388A"/>
    <w:rsid w:val="008F3DB0"/>
    <w:rsid w:val="00904864"/>
    <w:rsid w:val="009052FE"/>
    <w:rsid w:val="009215FC"/>
    <w:rsid w:val="00921659"/>
    <w:rsid w:val="009230BA"/>
    <w:rsid w:val="00924555"/>
    <w:rsid w:val="00930617"/>
    <w:rsid w:val="009368B3"/>
    <w:rsid w:val="00946662"/>
    <w:rsid w:val="00982B83"/>
    <w:rsid w:val="009857B4"/>
    <w:rsid w:val="009B6583"/>
    <w:rsid w:val="009E7319"/>
    <w:rsid w:val="00A36CA0"/>
    <w:rsid w:val="00A71228"/>
    <w:rsid w:val="00A74E25"/>
    <w:rsid w:val="00A9371F"/>
    <w:rsid w:val="00AC2A60"/>
    <w:rsid w:val="00AC391A"/>
    <w:rsid w:val="00AC6CD7"/>
    <w:rsid w:val="00AD49D0"/>
    <w:rsid w:val="00AF0131"/>
    <w:rsid w:val="00B0002A"/>
    <w:rsid w:val="00B00EE6"/>
    <w:rsid w:val="00B1322B"/>
    <w:rsid w:val="00B31BC8"/>
    <w:rsid w:val="00B476DC"/>
    <w:rsid w:val="00B556CD"/>
    <w:rsid w:val="00B62D4B"/>
    <w:rsid w:val="00B904FA"/>
    <w:rsid w:val="00BA3E40"/>
    <w:rsid w:val="00BA7875"/>
    <w:rsid w:val="00BB2414"/>
    <w:rsid w:val="00BD1F76"/>
    <w:rsid w:val="00BD41AD"/>
    <w:rsid w:val="00BE20CF"/>
    <w:rsid w:val="00C22327"/>
    <w:rsid w:val="00C22F30"/>
    <w:rsid w:val="00C335C6"/>
    <w:rsid w:val="00C33FBD"/>
    <w:rsid w:val="00C4219C"/>
    <w:rsid w:val="00C46349"/>
    <w:rsid w:val="00C47E8C"/>
    <w:rsid w:val="00C52A28"/>
    <w:rsid w:val="00C56375"/>
    <w:rsid w:val="00C709B7"/>
    <w:rsid w:val="00C75E98"/>
    <w:rsid w:val="00C81C5B"/>
    <w:rsid w:val="00C83B35"/>
    <w:rsid w:val="00CB6296"/>
    <w:rsid w:val="00D25CF2"/>
    <w:rsid w:val="00D56CE0"/>
    <w:rsid w:val="00D6254D"/>
    <w:rsid w:val="00D65AA8"/>
    <w:rsid w:val="00D6771F"/>
    <w:rsid w:val="00D67D0A"/>
    <w:rsid w:val="00D74FD1"/>
    <w:rsid w:val="00D851D4"/>
    <w:rsid w:val="00D943A5"/>
    <w:rsid w:val="00D9581F"/>
    <w:rsid w:val="00DB56E4"/>
    <w:rsid w:val="00E27F01"/>
    <w:rsid w:val="00E34A5C"/>
    <w:rsid w:val="00E602B4"/>
    <w:rsid w:val="00E6766A"/>
    <w:rsid w:val="00E77FF5"/>
    <w:rsid w:val="00E9018C"/>
    <w:rsid w:val="00E94D64"/>
    <w:rsid w:val="00EA24D0"/>
    <w:rsid w:val="00EA29B5"/>
    <w:rsid w:val="00EA3802"/>
    <w:rsid w:val="00EF1432"/>
    <w:rsid w:val="00EF33D5"/>
    <w:rsid w:val="00F15744"/>
    <w:rsid w:val="00F24D40"/>
    <w:rsid w:val="00FA3C27"/>
    <w:rsid w:val="00FD3BC6"/>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0D76C4-8E8F-426E-A880-D61A29C2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character" w:customStyle="1" w:styleId="NormalBoldChar">
    <w:name w:val="NormalBold Char"/>
    <w:link w:val="NormalBold"/>
    <w:locked/>
    <w:rsid w:val="00525B43"/>
    <w:rPr>
      <w:b/>
      <w:sz w:val="24"/>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character" w:customStyle="1" w:styleId="HeaderChar">
    <w:name w:val="Header Char"/>
    <w:basedOn w:val="DefaultParagraphFont"/>
    <w:link w:val="Header"/>
    <w:semiHidden/>
    <w:rsid w:val="00626D52"/>
    <w:rPr>
      <w:sz w:val="24"/>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A71228"/>
    <w:pPr>
      <w:spacing w:after="240"/>
    </w:pPr>
  </w:style>
  <w:style w:type="character" w:customStyle="1" w:styleId="FooterChar">
    <w:name w:val="Footer Char"/>
    <w:basedOn w:val="DefaultParagraphFont"/>
    <w:link w:val="Footer"/>
    <w:rsid w:val="00525B43"/>
    <w:rPr>
      <w:sz w:val="22"/>
    </w:rPr>
  </w:style>
  <w:style w:type="paragraph" w:styleId="Footer">
    <w:name w:val="footer"/>
    <w:link w:val="FooterChar"/>
    <w:unhideWhenUsed/>
    <w:rsid w:val="00525B43"/>
    <w:pPr>
      <w:tabs>
        <w:tab w:val="center" w:pos="4536"/>
        <w:tab w:val="right" w:pos="9072"/>
      </w:tabs>
      <w:spacing w:before="240" w:after="240" w:line="220" w:lineRule="auto"/>
    </w:pPr>
    <w:rPr>
      <w:sz w:val="22"/>
    </w:rPr>
  </w:style>
  <w:style w:type="character" w:customStyle="1" w:styleId="Normal12Char">
    <w:name w:val="Normal12 Char"/>
    <w:link w:val="Normal12"/>
    <w:locked/>
    <w:rsid w:val="00525B43"/>
    <w:rPr>
      <w:noProof/>
      <w:sz w:val="24"/>
    </w:rPr>
  </w:style>
  <w:style w:type="paragraph" w:customStyle="1" w:styleId="Normal12">
    <w:name w:val="Normal12"/>
    <w:basedOn w:val="Normal"/>
    <w:link w:val="Normal12Char"/>
    <w:rsid w:val="00525B43"/>
    <w:pPr>
      <w:spacing w:after="240"/>
    </w:pPr>
    <w:rPr>
      <w:noProof/>
      <w:szCs w:val="20"/>
    </w:rPr>
  </w:style>
  <w:style w:type="character" w:customStyle="1" w:styleId="Normal6Char">
    <w:name w:val="Normal6 Char"/>
    <w:link w:val="Normal6"/>
    <w:locked/>
    <w:rsid w:val="00525B43"/>
    <w:rPr>
      <w:sz w:val="24"/>
      <w:lang w:val="fi-FI"/>
    </w:rPr>
  </w:style>
  <w:style w:type="paragraph" w:customStyle="1" w:styleId="Normal6">
    <w:name w:val="Normal6"/>
    <w:basedOn w:val="Normal"/>
    <w:link w:val="Normal6Char"/>
    <w:rsid w:val="00525B43"/>
    <w:pPr>
      <w:spacing w:after="120"/>
    </w:pPr>
    <w:rPr>
      <w:szCs w:val="20"/>
    </w:rPr>
  </w:style>
  <w:style w:type="paragraph" w:customStyle="1" w:styleId="Normal12Italic">
    <w:name w:val="Normal12Italic"/>
    <w:basedOn w:val="Normal12"/>
    <w:rsid w:val="00525B43"/>
    <w:rPr>
      <w:i/>
    </w:rPr>
  </w:style>
  <w:style w:type="paragraph" w:customStyle="1" w:styleId="Footer2">
    <w:name w:val="Footer2"/>
    <w:basedOn w:val="Normal12"/>
    <w:rsid w:val="00525B43"/>
    <w:pPr>
      <w:tabs>
        <w:tab w:val="center" w:pos="4535"/>
        <w:tab w:val="right" w:pos="9923"/>
      </w:tabs>
      <w:spacing w:line="480" w:lineRule="auto"/>
      <w:ind w:left="-851"/>
    </w:pPr>
    <w:rPr>
      <w:rFonts w:ascii="Arial" w:cs="Arial"/>
      <w:b/>
      <w:sz w:val="48"/>
    </w:rPr>
  </w:style>
  <w:style w:type="paragraph" w:customStyle="1" w:styleId="EntPE">
    <w:name w:val="EntPE"/>
    <w:basedOn w:val="Normal12"/>
    <w:rsid w:val="00525B43"/>
    <w:pPr>
      <w:jc w:val="center"/>
    </w:pPr>
    <w:rPr>
      <w:noProof w:val="0"/>
      <w:sz w:val="56"/>
    </w:rPr>
  </w:style>
  <w:style w:type="paragraph" w:customStyle="1" w:styleId="AMNumberTabs0">
    <w:name w:val="AMNumberTabs"/>
    <w:basedOn w:val="Normal"/>
    <w:rsid w:val="00525B4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ColumnHeading">
    <w:name w:val="ColumnHeading"/>
    <w:basedOn w:val="Normal"/>
    <w:rsid w:val="00525B43"/>
    <w:pPr>
      <w:spacing w:after="240"/>
      <w:jc w:val="center"/>
    </w:pPr>
    <w:rPr>
      <w:i/>
      <w:szCs w:val="20"/>
    </w:rPr>
  </w:style>
  <w:style w:type="paragraph" w:customStyle="1" w:styleId="Olang">
    <w:name w:val="Olang"/>
    <w:basedOn w:val="Normal"/>
    <w:rsid w:val="00525B43"/>
    <w:pPr>
      <w:spacing w:before="240" w:after="240"/>
      <w:jc w:val="right"/>
    </w:pPr>
    <w:rPr>
      <w:noProof/>
    </w:rPr>
  </w:style>
  <w:style w:type="paragraph" w:styleId="BalloonText">
    <w:name w:val="Balloon Text"/>
    <w:basedOn w:val="Normal"/>
    <w:link w:val="BalloonTextChar"/>
    <w:semiHidden/>
    <w:unhideWhenUsed/>
    <w:rsid w:val="000522F2"/>
    <w:rPr>
      <w:rFonts w:ascii="Segoe UI" w:hAnsi="Segoe UI" w:cs="Segoe UI"/>
      <w:sz w:val="18"/>
      <w:szCs w:val="18"/>
    </w:rPr>
  </w:style>
  <w:style w:type="character" w:customStyle="1" w:styleId="BalloonTextChar">
    <w:name w:val="Balloon Text Char"/>
    <w:basedOn w:val="DefaultParagraphFont"/>
    <w:link w:val="BalloonText"/>
    <w:semiHidden/>
    <w:rsid w:val="000522F2"/>
    <w:rPr>
      <w:rFonts w:ascii="Segoe UI" w:hAnsi="Segoe UI" w:cs="Segoe UI"/>
      <w:sz w:val="18"/>
      <w:szCs w:val="18"/>
    </w:rPr>
  </w:style>
  <w:style w:type="paragraph" w:customStyle="1" w:styleId="RollCallSymbols14pt">
    <w:name w:val="RollCallSymbols14pt"/>
    <w:basedOn w:val="Normal"/>
    <w:rsid w:val="00565298"/>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565298"/>
    <w:pPr>
      <w:tabs>
        <w:tab w:val="center" w:pos="284"/>
        <w:tab w:val="left" w:pos="426"/>
      </w:tabs>
    </w:pPr>
    <w:rPr>
      <w:snapToGrid w:val="0"/>
      <w:szCs w:val="20"/>
      <w:lang w:eastAsia="en-US"/>
    </w:rPr>
  </w:style>
  <w:style w:type="paragraph" w:customStyle="1" w:styleId="RollCallVotes">
    <w:name w:val="RollCallVotes"/>
    <w:basedOn w:val="Normal"/>
    <w:rsid w:val="00565298"/>
    <w:pPr>
      <w:spacing w:before="120" w:after="120"/>
      <w:jc w:val="center"/>
    </w:pPr>
    <w:rPr>
      <w:b/>
      <w:bCs/>
      <w:snapToGrid w:val="0"/>
      <w:sz w:val="16"/>
      <w:szCs w:val="20"/>
      <w:lang w:eastAsia="en-US"/>
    </w:rPr>
  </w:style>
  <w:style w:type="paragraph" w:customStyle="1" w:styleId="RollCallTable">
    <w:name w:val="RollCallTable"/>
    <w:basedOn w:val="Normal"/>
    <w:rsid w:val="00565298"/>
    <w:pPr>
      <w:spacing w:before="120" w:after="120"/>
    </w:pPr>
    <w:rPr>
      <w:snapToGrid w:val="0"/>
      <w:sz w:val="16"/>
      <w:szCs w:val="20"/>
      <w:lang w:eastAsia="en-US"/>
    </w:rPr>
  </w:style>
  <w:style w:type="character" w:styleId="CommentReference">
    <w:name w:val="annotation reference"/>
    <w:basedOn w:val="DefaultParagraphFont"/>
    <w:rsid w:val="00AF0131"/>
    <w:rPr>
      <w:sz w:val="16"/>
      <w:szCs w:val="16"/>
    </w:rPr>
  </w:style>
  <w:style w:type="paragraph" w:styleId="CommentText">
    <w:name w:val="annotation text"/>
    <w:basedOn w:val="Normal"/>
    <w:link w:val="CommentTextChar"/>
    <w:rsid w:val="00AF0131"/>
    <w:rPr>
      <w:sz w:val="20"/>
      <w:szCs w:val="20"/>
    </w:rPr>
  </w:style>
  <w:style w:type="character" w:customStyle="1" w:styleId="CommentTextChar">
    <w:name w:val="Comment Text Char"/>
    <w:basedOn w:val="DefaultParagraphFont"/>
    <w:link w:val="CommentText"/>
    <w:rsid w:val="00AF0131"/>
  </w:style>
  <w:style w:type="paragraph" w:styleId="CommentSubject">
    <w:name w:val="annotation subject"/>
    <w:basedOn w:val="CommentText"/>
    <w:next w:val="CommentText"/>
    <w:link w:val="CommentSubjectChar"/>
    <w:semiHidden/>
    <w:unhideWhenUsed/>
    <w:rsid w:val="00AF0131"/>
    <w:rPr>
      <w:b/>
      <w:bCs/>
    </w:rPr>
  </w:style>
  <w:style w:type="character" w:customStyle="1" w:styleId="CommentSubjectChar">
    <w:name w:val="Comment Subject Char"/>
    <w:basedOn w:val="CommentTextChar"/>
    <w:link w:val="CommentSubject"/>
    <w:semiHidden/>
    <w:rsid w:val="00AF01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9E4A5B-D7A0-4A6E-BB09-703CF11A7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5461</Words>
  <Characters>47167</Characters>
  <Application>Microsoft Office Word</Application>
  <DocSecurity>0</DocSecurity>
  <Lines>1766</Lines>
  <Paragraphs>435</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52342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2023-11-15T13:33:00Z</dcterms:created>
  <dcterms:modified xsi:type="dcterms:W3CDTF">2023-11-15T13:33:00Z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1288324</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\\eiciBRUpr1\pdocep$\DocEP\TRANSFIL\EN\PA_Legam.EN(21/03/2023 17:53:01)</vt:lpwstr>
  </property>
  <property fmtid="{D5CDD505-2E9C-101B-9397-08002B2CF9AE}" pid="7" name="&lt;Type&gt;">
    <vt:lpwstr>AD</vt:lpwstr>
  </property>
  <property fmtid="{D5CDD505-2E9C-101B-9397-08002B2CF9AE}" pid="8" name="Created with">
    <vt:lpwstr>9.14.1 Build [20230315]</vt:lpwstr>
  </property>
  <property fmtid="{D5CDD505-2E9C-101B-9397-08002B2CF9AE}" pid="9" name="FooterPath">
    <vt:lpwstr>AD\1288324FI.docx</vt:lpwstr>
  </property>
  <property fmtid="{D5CDD505-2E9C-101B-9397-08002B2CF9AE}" pid="10" name="LastEdited with">
    <vt:lpwstr>9.16.1 Build [20230920]</vt:lpwstr>
  </property>
  <property fmtid="{D5CDD505-2E9C-101B-9397-08002B2CF9AE}" pid="11" name="PE number">
    <vt:lpwstr>752.621</vt:lpwstr>
  </property>
  <property fmtid="{D5CDD505-2E9C-101B-9397-08002B2CF9AE}" pid="12" name="SendToEpades">
    <vt:lpwstr>OK - 2023/10/30 08:33</vt:lpwstr>
  </property>
  <property fmtid="{D5CDD505-2E9C-101B-9397-08002B2CF9AE}" pid="13" name="SDLStudio">
    <vt:lpwstr/>
  </property>
  <property fmtid="{D5CDD505-2E9C-101B-9397-08002B2CF9AE}" pid="14" name="Bookout">
    <vt:lpwstr>OK - 2023/11/15 14:31</vt:lpwstr>
  </property>
</Properties>
</file>