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F03B9" w:rsidRPr="006F587D" w:rsidTr="00C85D0F">
        <w:trPr>
          <w:trHeight w:hRule="exact" w:val="1418"/>
        </w:trPr>
        <w:tc>
          <w:tcPr>
            <w:tcW w:w="6804" w:type="dxa"/>
            <w:shd w:val="clear" w:color="auto" w:fill="auto"/>
            <w:vAlign w:val="center"/>
          </w:tcPr>
          <w:p w:rsidR="00BA3E40" w:rsidRPr="006F587D" w:rsidRDefault="00604E9C" w:rsidP="00C85D0F">
            <w:pPr>
              <w:pStyle w:val="EPName"/>
            </w:pPr>
            <w:r w:rsidRPr="006F587D">
              <w:t>Europski parlament</w:t>
            </w:r>
          </w:p>
          <w:p w:rsidR="00BA3E40" w:rsidRPr="006F587D" w:rsidRDefault="00604E9C" w:rsidP="00453CE3">
            <w:pPr>
              <w:pStyle w:val="EPTerm"/>
            </w:pPr>
            <w:r w:rsidRPr="006F587D">
              <w:t>2019-2024</w:t>
            </w:r>
          </w:p>
        </w:tc>
        <w:tc>
          <w:tcPr>
            <w:tcW w:w="2268" w:type="dxa"/>
            <w:shd w:val="clear" w:color="auto" w:fill="auto"/>
          </w:tcPr>
          <w:p w:rsidR="00BA3E40" w:rsidRPr="006F587D" w:rsidRDefault="00604E9C" w:rsidP="00C85D0F">
            <w:pPr>
              <w:pStyle w:val="EPLogo"/>
            </w:pPr>
            <w:r w:rsidRPr="006F58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F587D" w:rsidRDefault="00F24D40" w:rsidP="00F24D40">
      <w:pPr>
        <w:pStyle w:val="LineTop"/>
      </w:pPr>
    </w:p>
    <w:p w:rsidR="00F24D40" w:rsidRPr="006F587D" w:rsidRDefault="00604E9C" w:rsidP="00F24D40">
      <w:pPr>
        <w:pStyle w:val="EPBody"/>
      </w:pPr>
      <w:r w:rsidRPr="006F587D">
        <w:rPr>
          <w:rStyle w:val="HideTWBExt"/>
          <w:i w:val="0"/>
          <w:szCs w:val="24"/>
        </w:rPr>
        <w:t>&lt;Commission&gt;</w:t>
      </w:r>
      <w:r w:rsidRPr="006F587D">
        <w:rPr>
          <w:rStyle w:val="HideTWBInt"/>
          <w:i w:val="0"/>
          <w:szCs w:val="24"/>
        </w:rPr>
        <w:t>{EMPL}</w:t>
      </w:r>
      <w:r w:rsidRPr="006F587D">
        <w:t>Odbor za zapošljavanje i socijalna pitanja</w:t>
      </w:r>
      <w:r w:rsidRPr="006F587D">
        <w:rPr>
          <w:rStyle w:val="HideTWBExt"/>
          <w:i w:val="0"/>
          <w:szCs w:val="24"/>
        </w:rPr>
        <w:t>&lt;/Commission&gt;</w:t>
      </w:r>
    </w:p>
    <w:p w:rsidR="00F24D40" w:rsidRPr="006F587D" w:rsidRDefault="00F24D40" w:rsidP="00F24D40">
      <w:pPr>
        <w:pStyle w:val="LineBottom"/>
      </w:pPr>
    </w:p>
    <w:p w:rsidR="00DB56E4" w:rsidRPr="006F587D" w:rsidRDefault="00604E9C" w:rsidP="00DB56E4">
      <w:pPr>
        <w:pStyle w:val="CoverReference"/>
      </w:pPr>
      <w:r w:rsidRPr="006F587D">
        <w:rPr>
          <w:rStyle w:val="HideTWBExt"/>
          <w:b w:val="0"/>
          <w:szCs w:val="24"/>
        </w:rPr>
        <w:t>&lt;RefProc&gt;</w:t>
      </w:r>
      <w:bookmarkStart w:id="0" w:name="DocEPLastVariable"/>
      <w:bookmarkEnd w:id="0"/>
      <w:r w:rsidRPr="006F587D">
        <w:t>2023/0138</w:t>
      </w:r>
      <w:r w:rsidRPr="006F587D">
        <w:rPr>
          <w:rStyle w:val="HideTWBExt"/>
          <w:b w:val="0"/>
          <w:szCs w:val="24"/>
        </w:rPr>
        <w:t>&lt;/RefProc&gt;&lt;RefTypeProc&gt;</w:t>
      </w:r>
      <w:r w:rsidRPr="006F587D">
        <w:t>(COD)</w:t>
      </w:r>
      <w:r w:rsidRPr="006F587D">
        <w:rPr>
          <w:rStyle w:val="HideTWBExt"/>
          <w:b w:val="0"/>
          <w:szCs w:val="24"/>
        </w:rPr>
        <w:t>&lt;/RefTypeProc&gt;</w:t>
      </w:r>
    </w:p>
    <w:p w:rsidR="00DB56E4" w:rsidRPr="006F587D" w:rsidRDefault="00604E9C" w:rsidP="00DB56E4">
      <w:pPr>
        <w:pStyle w:val="CoverDate"/>
      </w:pPr>
      <w:r w:rsidRPr="006F587D">
        <w:rPr>
          <w:rStyle w:val="HideTWBExt"/>
        </w:rPr>
        <w:t>&lt;Date&gt;</w:t>
      </w:r>
      <w:r w:rsidRPr="006F587D">
        <w:rPr>
          <w:rStyle w:val="HideTWBInt"/>
        </w:rPr>
        <w:t>{30/10/2023}</w:t>
      </w:r>
      <w:r w:rsidRPr="006F587D">
        <w:t>30.10.2023</w:t>
      </w:r>
      <w:r w:rsidRPr="006F587D">
        <w:rPr>
          <w:rStyle w:val="HideTWBExt"/>
        </w:rPr>
        <w:t>&lt;/Date&gt;</w:t>
      </w:r>
    </w:p>
    <w:p w:rsidR="00DB56E4" w:rsidRPr="006F587D" w:rsidRDefault="00604E9C" w:rsidP="00DB56E4">
      <w:pPr>
        <w:pStyle w:val="CoverDocType24a"/>
      </w:pPr>
      <w:r w:rsidRPr="006F587D">
        <w:rPr>
          <w:rStyle w:val="HideTWBExt"/>
          <w:b w:val="0"/>
          <w:szCs w:val="24"/>
        </w:rPr>
        <w:t>&lt;TitreType&gt;</w:t>
      </w:r>
      <w:r w:rsidRPr="006F587D">
        <w:t>MIŠLJENJE</w:t>
      </w:r>
      <w:r w:rsidRPr="006F587D">
        <w:rPr>
          <w:rStyle w:val="HideTWBExt"/>
          <w:b w:val="0"/>
          <w:szCs w:val="24"/>
        </w:rPr>
        <w:t>&lt;/TitreType&gt;</w:t>
      </w:r>
    </w:p>
    <w:p w:rsidR="00DB56E4" w:rsidRPr="006F587D" w:rsidRDefault="00604E9C" w:rsidP="00DB56E4">
      <w:pPr>
        <w:pStyle w:val="CoverNormal24a"/>
      </w:pPr>
      <w:r w:rsidRPr="006F587D">
        <w:rPr>
          <w:rStyle w:val="HideTWBExt"/>
        </w:rPr>
        <w:t>&lt;CommissionResp&gt;</w:t>
      </w:r>
      <w:r w:rsidRPr="006F587D">
        <w:t>Odbora za zapošljavanje i socijalna pitanja</w:t>
      </w:r>
      <w:r w:rsidRPr="006F587D">
        <w:rPr>
          <w:rStyle w:val="HideTWBExt"/>
        </w:rPr>
        <w:t>&lt;/CommissionResp&gt;</w:t>
      </w:r>
    </w:p>
    <w:p w:rsidR="00DB56E4" w:rsidRPr="006F587D" w:rsidRDefault="00604E9C" w:rsidP="00DB56E4">
      <w:pPr>
        <w:pStyle w:val="CoverNormal24a"/>
      </w:pPr>
      <w:r w:rsidRPr="006F587D">
        <w:rPr>
          <w:rStyle w:val="HideTWBExt"/>
        </w:rPr>
        <w:t>&lt;CommissionInt&gt;</w:t>
      </w:r>
      <w:r w:rsidRPr="006F587D">
        <w:t>upućeno Odboru za ekonomsku i monetarnu politiku</w:t>
      </w:r>
      <w:r w:rsidRPr="006F587D">
        <w:rPr>
          <w:rStyle w:val="HideTWBExt"/>
        </w:rPr>
        <w:t>&lt;/CommissionInt&gt;</w:t>
      </w:r>
    </w:p>
    <w:p w:rsidR="00457B38" w:rsidRPr="006F587D" w:rsidRDefault="00604E9C" w:rsidP="00457B38">
      <w:pPr>
        <w:pStyle w:val="CoverNormal"/>
      </w:pPr>
      <w:r w:rsidRPr="006F587D">
        <w:rPr>
          <w:rStyle w:val="HideTWBExt"/>
        </w:rPr>
        <w:t>&lt;Titre&gt;</w:t>
      </w:r>
      <w:r w:rsidRPr="006F587D">
        <w:t>o Prijedlogu uredbe Europskog parlamenta i Vijeća o djelotvornoj koordinaciji ekonomskih politika i multilateralnom proračunskom nadzoru i stavljanju izvan snage Uredbe Vijeća (EZ) br. 1466/97</w:t>
      </w:r>
      <w:r w:rsidRPr="006F587D">
        <w:rPr>
          <w:rStyle w:val="HideTWBExt"/>
        </w:rPr>
        <w:t>&lt;/Titre&gt;</w:t>
      </w:r>
    </w:p>
    <w:p w:rsidR="00457B38" w:rsidRPr="006F587D" w:rsidRDefault="00604E9C" w:rsidP="00457B38">
      <w:pPr>
        <w:pStyle w:val="CoverNormal24a"/>
      </w:pPr>
      <w:r w:rsidRPr="006F587D">
        <w:rPr>
          <w:rStyle w:val="HideTWBExt"/>
        </w:rPr>
        <w:t>&lt;DocRef&gt;</w:t>
      </w:r>
      <w:r w:rsidRPr="006F587D">
        <w:t>(COM(2023)0240 – C9</w:t>
      </w:r>
      <w:r w:rsidRPr="006F587D">
        <w:noBreakHyphen/>
        <w:t>0150/2023 – 2023/0138(COD))</w:t>
      </w:r>
      <w:r w:rsidRPr="006F587D">
        <w:rPr>
          <w:rStyle w:val="HideTWBExt"/>
        </w:rPr>
        <w:t>&lt;/DocRef&gt;</w:t>
      </w:r>
    </w:p>
    <w:p w:rsidR="00DB56E4" w:rsidRPr="006F587D" w:rsidRDefault="00604E9C" w:rsidP="00DB56E4">
      <w:pPr>
        <w:pStyle w:val="CoverNormal24a"/>
      </w:pPr>
      <w:r w:rsidRPr="006F587D">
        <w:t xml:space="preserve">Izvjestiteljica za mišljenje </w:t>
      </w:r>
      <w:r w:rsidRPr="006F587D">
        <w:rPr>
          <w:snapToGrid w:val="0"/>
        </w:rPr>
        <w:t>(*)</w:t>
      </w:r>
      <w:r w:rsidRPr="006F587D">
        <w:t xml:space="preserve">: </w:t>
      </w:r>
      <w:r w:rsidRPr="006F587D">
        <w:rPr>
          <w:rStyle w:val="HideTWBExt"/>
        </w:rPr>
        <w:t>&lt;Depute&gt;</w:t>
      </w:r>
      <w:r w:rsidRPr="006F587D">
        <w:t>Gabriele Bischoff</w:t>
      </w:r>
      <w:r w:rsidRPr="006F587D">
        <w:rPr>
          <w:rStyle w:val="HideTWBExt"/>
        </w:rPr>
        <w:t>&lt;/Depute&gt;</w:t>
      </w:r>
    </w:p>
    <w:p w:rsidR="00453CE3" w:rsidRPr="006F587D" w:rsidRDefault="00604E9C" w:rsidP="00453CE3">
      <w:pPr>
        <w:pStyle w:val="CoverNormal"/>
      </w:pPr>
      <w:r w:rsidRPr="006F587D">
        <w:rPr>
          <w:snapToGrid w:val="0"/>
        </w:rPr>
        <w:t>(*) Pridruženi odbor – članak 57. Poslovnika</w:t>
      </w:r>
    </w:p>
    <w:p w:rsidR="00DB56E4" w:rsidRPr="006F587D" w:rsidRDefault="00604E9C" w:rsidP="0004474F">
      <w:pPr>
        <w:tabs>
          <w:tab w:val="center" w:pos="4677"/>
        </w:tabs>
      </w:pPr>
      <w:bookmarkStart w:id="1" w:name="DocEPLastPosition"/>
      <w:bookmarkEnd w:id="1"/>
      <w:r w:rsidRPr="006F587D">
        <w:br w:type="page"/>
      </w:r>
      <w:r w:rsidRPr="006F587D">
        <w:lastRenderedPageBreak/>
        <w:t>PA_Legam</w:t>
      </w:r>
    </w:p>
    <w:p w:rsidR="001445D8" w:rsidRPr="006F587D" w:rsidRDefault="00604E9C" w:rsidP="00457B38">
      <w:pPr>
        <w:pStyle w:val="PageHeadingNotTOC"/>
      </w:pPr>
      <w:r w:rsidRPr="006F587D">
        <w:br w:type="page"/>
      </w:r>
    </w:p>
    <w:p w:rsidR="00DB56E4" w:rsidRPr="006F587D" w:rsidRDefault="00604E9C" w:rsidP="00DB56E4">
      <w:pPr>
        <w:pStyle w:val="AmHeadingPA"/>
      </w:pPr>
      <w:r w:rsidRPr="006F587D">
        <w:lastRenderedPageBreak/>
        <w:t>AMANDMANI</w:t>
      </w:r>
    </w:p>
    <w:p w:rsidR="00DB56E4" w:rsidRPr="006F587D" w:rsidRDefault="00604E9C" w:rsidP="001E3AC4">
      <w:pPr>
        <w:pStyle w:val="Normal12a"/>
      </w:pPr>
      <w:bookmarkStart w:id="2" w:name="IntroA"/>
      <w:r w:rsidRPr="006F587D">
        <w:t>Odbor za zapošljavanje i socijalna pitanja poziva Odbor za ekonomsku i monetarnu politiku da kao nadležni odbor uzme u obzir sljedeće amandmane:</w:t>
      </w:r>
    </w:p>
    <w:bookmarkEnd w:id="2"/>
    <w:p w:rsidR="00457B38" w:rsidRPr="006F587D" w:rsidRDefault="00604E9C" w:rsidP="00457B38">
      <w:r w:rsidRPr="006F587D">
        <w:rPr>
          <w:rStyle w:val="HideTWBExt"/>
        </w:rPr>
        <w:t>&lt;RepeatBlock-Amend&gt;&lt;Amend&gt;</w:t>
      </w:r>
      <w:r w:rsidRPr="006F587D">
        <w:t>Amandman</w:t>
      </w:r>
      <w:r w:rsidRPr="006F587D">
        <w:tab/>
      </w:r>
      <w:r w:rsidRPr="006F587D">
        <w:rPr>
          <w:rStyle w:val="HideTWBExt"/>
        </w:rPr>
        <w:t>&lt;NumAm&gt;</w:t>
      </w:r>
      <w:r w:rsidRPr="006F587D">
        <w:t>1</w:t>
      </w:r>
      <w:r w:rsidRPr="006F587D">
        <w:rPr>
          <w:rStyle w:val="HideTWBExt"/>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2.</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(2)</w:t>
            </w:r>
            <w:r w:rsidRPr="006F587D">
              <w:tab/>
              <w:t>Pakt o stabilnosti i rastu, koji se izvorno sastojao od Uredbe Vijeća (EZ) br. 1466/97</w:t>
            </w:r>
            <w:r w:rsidRPr="006F587D">
              <w:rPr>
                <w:vertAlign w:val="superscript"/>
              </w:rPr>
              <w:t>19</w:t>
            </w:r>
            <w:r w:rsidRPr="006F587D">
              <w:t>, Uredbe Vijeća (EZ) br. 1467/97 od 7. srpnja 1997.</w:t>
            </w:r>
            <w:r w:rsidRPr="006F587D">
              <w:rPr>
                <w:vertAlign w:val="superscript"/>
              </w:rPr>
              <w:t>20</w:t>
            </w:r>
            <w:r w:rsidRPr="006F587D">
              <w:t xml:space="preserve"> i Rezolucije Europskog parlamenta od 17. lipnja 1997. o Paktu o stabilnosti i rastu</w:t>
            </w:r>
            <w:r w:rsidRPr="006F587D">
              <w:rPr>
                <w:vertAlign w:val="superscript"/>
              </w:rPr>
              <w:t>21</w:t>
            </w:r>
            <w:r w:rsidRPr="006F587D">
              <w:t xml:space="preserve">, temelji se na cilju zdravih i održivih javnih financija kao sredstvu za jačanje uvjeta za stabilnost cijena i za snažan održiv i uključiv rast koji se temelji na financijskoj stabilnosti, čime se pridonosi ostvarivanju Unijinih ciljeva za održiv rast </w:t>
            </w:r>
            <w:r w:rsidRPr="006F587D">
              <w:rPr>
                <w:b/>
                <w:i/>
              </w:rPr>
              <w:t>i</w:t>
            </w:r>
            <w:r w:rsidRPr="006F587D">
              <w:t xml:space="preserve"> zapošljavanje.</w:t>
            </w:r>
          </w:p>
        </w:tc>
        <w:tc>
          <w:tcPr>
            <w:tcW w:w="4876" w:type="dxa"/>
            <w:hideMark/>
          </w:tcPr>
          <w:p w:rsidR="00457B38" w:rsidRPr="006F587D" w:rsidRDefault="00604E9C" w:rsidP="00F56D04">
            <w:pPr>
              <w:pStyle w:val="Normal6"/>
              <w:rPr>
                <w:szCs w:val="24"/>
              </w:rPr>
            </w:pPr>
            <w:r w:rsidRPr="006F587D">
              <w:t>(2)</w:t>
            </w:r>
            <w:r w:rsidRPr="006F587D">
              <w:tab/>
              <w:t>Pakt o stabilnosti i rastu, koji se izvorno sastojao od Uredbe Vijeća (EZ) br. 1466/97</w:t>
            </w:r>
            <w:r w:rsidRPr="006F587D">
              <w:rPr>
                <w:vertAlign w:val="superscript"/>
              </w:rPr>
              <w:t>19</w:t>
            </w:r>
            <w:r w:rsidRPr="006F587D">
              <w:t>, Uredbe Vijeća (EZ) br. 1467/97 od 7. srpnja 1997.</w:t>
            </w:r>
            <w:r w:rsidRPr="006F587D">
              <w:rPr>
                <w:vertAlign w:val="superscript"/>
              </w:rPr>
              <w:t>20</w:t>
            </w:r>
            <w:r w:rsidRPr="006F587D">
              <w:t xml:space="preserve"> i Rezolucije Europskog parlamenta od 17. lipnja 1997. o Paktu o stabilnosti i rastu</w:t>
            </w:r>
            <w:r w:rsidRPr="006F587D">
              <w:rPr>
                <w:vertAlign w:val="superscript"/>
              </w:rPr>
              <w:t>21</w:t>
            </w:r>
            <w:r w:rsidRPr="006F587D">
              <w:t xml:space="preserve">, temelji se na cilju zdravih i održivih javnih financija kao sredstvu za jačanje uvjeta za stabilnost cijena i za snažan održiv i uključiv rast koji </w:t>
            </w:r>
            <w:r w:rsidRPr="006F587D">
              <w:rPr>
                <w:b/>
                <w:i/>
              </w:rPr>
              <w:t xml:space="preserve">pogoduje stvaranju radnih mjesta i koji </w:t>
            </w:r>
            <w:r w:rsidRPr="006F587D">
              <w:t>se temelji na financijskoj stabilnosti, čime se pridonosi ostvarivanju Unijinih ciljeva za održiv</w:t>
            </w:r>
            <w:r w:rsidRPr="006F587D">
              <w:rPr>
                <w:b/>
                <w:i/>
              </w:rPr>
              <w:t xml:space="preserve"> i uključiv</w:t>
            </w:r>
            <w:r w:rsidRPr="006F587D">
              <w:t xml:space="preserve"> rast </w:t>
            </w:r>
            <w:r w:rsidRPr="006F587D">
              <w:rPr>
                <w:b/>
                <w:i/>
              </w:rPr>
              <w:t>koji je usmjeren na potpuno</w:t>
            </w:r>
            <w:r w:rsidRPr="006F587D">
              <w:t xml:space="preserve"> zapošljavanje</w:t>
            </w:r>
            <w:r w:rsidRPr="006F587D">
              <w:rPr>
                <w:b/>
                <w:i/>
              </w:rPr>
              <w:t xml:space="preserve"> i društveni napredak</w:t>
            </w:r>
            <w:r w:rsidRPr="006F587D">
              <w:t>.</w:t>
            </w:r>
          </w:p>
        </w:tc>
      </w:tr>
      <w:tr w:rsidR="006F587D" w:rsidRPr="006F587D" w:rsidTr="00F56D04">
        <w:trPr>
          <w:jc w:val="center"/>
        </w:trPr>
        <w:tc>
          <w:tcPr>
            <w:tcW w:w="4876" w:type="dxa"/>
            <w:hideMark/>
          </w:tcPr>
          <w:p w:rsidR="00457B38" w:rsidRPr="006F587D" w:rsidRDefault="00604E9C" w:rsidP="00F56D04">
            <w:pPr>
              <w:pStyle w:val="Normal6"/>
            </w:pPr>
            <w:r w:rsidRPr="006F587D">
              <w:t>__________________</w:t>
            </w:r>
          </w:p>
        </w:tc>
        <w:tc>
          <w:tcPr>
            <w:tcW w:w="4876" w:type="dxa"/>
            <w:hideMark/>
          </w:tcPr>
          <w:p w:rsidR="00457B38" w:rsidRPr="006F587D" w:rsidRDefault="00604E9C" w:rsidP="00F56D04">
            <w:pPr>
              <w:pStyle w:val="Normal6"/>
              <w:rPr>
                <w:szCs w:val="24"/>
              </w:rPr>
            </w:pPr>
            <w:r w:rsidRPr="006F587D">
              <w:t>__________________</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19</w:t>
            </w:r>
            <w:r w:rsidRPr="006F587D">
              <w:t>Uredba Vijeća (EZ) br. 1466/97 od 7. srpnja 1997. o jačanju nadzora stanja proračuna i nadzora i koordinacije ekonomskih politika (SL L 209, 2.8.1997., str. 1.).</w:t>
            </w:r>
          </w:p>
        </w:tc>
        <w:tc>
          <w:tcPr>
            <w:tcW w:w="4876" w:type="dxa"/>
            <w:hideMark/>
          </w:tcPr>
          <w:p w:rsidR="00457B38" w:rsidRPr="006F587D" w:rsidRDefault="00604E9C" w:rsidP="00F56D04">
            <w:pPr>
              <w:pStyle w:val="Normal6"/>
              <w:rPr>
                <w:szCs w:val="24"/>
              </w:rPr>
            </w:pPr>
            <w:r w:rsidRPr="006F587D">
              <w:rPr>
                <w:vertAlign w:val="superscript"/>
              </w:rPr>
              <w:t>19</w:t>
            </w:r>
            <w:r w:rsidRPr="006F587D">
              <w:t>Uredba Vijeća (EZ) br. 1466/97 od 7. srpnja 1997. o jačanju nadzora stanja proračuna i nadzora i koordinacije ekonomskih politika (SL L 209, 2.8.1997., str. 1.).</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20</w:t>
            </w:r>
            <w:r w:rsidRPr="006F587D">
              <w:t>Uredba Vijeća (EZ) br. 1467/97 od 7. srpnja 1997. o ubrzanju i pojašnjenju provedbe postupka u slučaju prekomjernog deficita (SL L 209, 2.8.1997., str. 6.).</w:t>
            </w:r>
          </w:p>
        </w:tc>
        <w:tc>
          <w:tcPr>
            <w:tcW w:w="4876" w:type="dxa"/>
            <w:hideMark/>
          </w:tcPr>
          <w:p w:rsidR="00457B38" w:rsidRPr="006F587D" w:rsidRDefault="00604E9C" w:rsidP="00F56D04">
            <w:pPr>
              <w:pStyle w:val="Normal6"/>
              <w:rPr>
                <w:szCs w:val="24"/>
              </w:rPr>
            </w:pPr>
            <w:r w:rsidRPr="006F587D">
              <w:rPr>
                <w:vertAlign w:val="superscript"/>
              </w:rPr>
              <w:t>20</w:t>
            </w:r>
            <w:r w:rsidRPr="006F587D">
              <w:t>Uredba Vijeća (EZ) br. 1467/97 od 7. srpnja 1997. o ubrzanju i pojašnjenju provedbe postupka u slučaju prekomjernog deficita (SL L 209, 2.8.1997., str. 6.).</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21</w:t>
            </w:r>
            <w:r w:rsidRPr="006F587D">
              <w:t>Rezolucija Europskog vijeća o Paktu o stabilnosti i rastu, Amsterdam, 17. lipnja 1997. (SL C 236, 2.8.1997., str. 1.).</w:t>
            </w:r>
          </w:p>
        </w:tc>
        <w:tc>
          <w:tcPr>
            <w:tcW w:w="4876" w:type="dxa"/>
            <w:hideMark/>
          </w:tcPr>
          <w:p w:rsidR="00457B38" w:rsidRPr="006F587D" w:rsidRDefault="00604E9C" w:rsidP="00F56D04">
            <w:pPr>
              <w:pStyle w:val="Normal6"/>
              <w:rPr>
                <w:szCs w:val="24"/>
              </w:rPr>
            </w:pPr>
            <w:r w:rsidRPr="006F587D">
              <w:rPr>
                <w:vertAlign w:val="superscript"/>
              </w:rPr>
              <w:t>21</w:t>
            </w:r>
            <w:r w:rsidRPr="006F587D">
              <w:t>Rezolucija Europskog vijeća o Paktu o stabilnosti i rastu, Amsterdam, 17. lipnja 1997. (SL C 236, 2.8.1997., str. 1.).</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lastRenderedPageBreak/>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5.</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(5)</w:t>
            </w:r>
            <w:r w:rsidRPr="006F587D">
              <w:tab/>
              <w:t xml:space="preserve">Unijin okvir gospodarskog upravljanja trebalo bi bolje prilagoditi zbog sve većih razlika u fiskalnom položaju, problemima javnog duga i drugim slabostima među državama članicama. Odlučan politički odgovor na pandemiju bolesti COVID-19 pokazao se vrlo učinkovitim u ublažavanju gospodarskih i socijalnih štetnih posljedica krize, ali kriza je dovela do znatnog povećanja udjela duga u javnom i privatnom sektoru te ukazala na važnost postupnog i </w:t>
            </w:r>
            <w:r w:rsidRPr="006F587D">
              <w:rPr>
                <w:b/>
                <w:i/>
              </w:rPr>
              <w:t>održivog</w:t>
            </w:r>
            <w:r w:rsidRPr="006F587D">
              <w:t xml:space="preserve"> smanjenja udjela duga na razborite razine kojim se potiče rast i uklanjanja makroekonomskih neravnoteža, pri čemu treba voditi računa o ciljevima zapošljavanja i socijalnim ciljevima. Unijin okvir gospodarskog upravljanja istodobno bi trebalo prilagoditi da se olakša svladavanje srednjoročnih i dugoročnih izazova s kojima se Unija suočava, među ostalim postizanjem pravedne digitalne i zelene tranzicije, uključujući Zakon o klimi</w:t>
            </w:r>
            <w:r w:rsidRPr="006F587D">
              <w:rPr>
                <w:vertAlign w:val="superscript"/>
              </w:rPr>
              <w:t>22</w:t>
            </w:r>
            <w:r w:rsidRPr="006F587D">
              <w:t xml:space="preserve">, </w:t>
            </w:r>
            <w:r w:rsidRPr="006F587D">
              <w:rPr>
                <w:b/>
                <w:i/>
              </w:rPr>
              <w:t>energetsku sigurnost</w:t>
            </w:r>
            <w:r w:rsidRPr="006F587D">
              <w:t xml:space="preserve">, </w:t>
            </w:r>
            <w:r w:rsidRPr="006F587D">
              <w:rPr>
                <w:b/>
                <w:i/>
              </w:rPr>
              <w:t>otvorenu stratešku autonomiju</w:t>
            </w:r>
            <w:r w:rsidRPr="006F587D">
              <w:t xml:space="preserve">, </w:t>
            </w:r>
            <w:r w:rsidRPr="006F587D">
              <w:rPr>
                <w:b/>
                <w:i/>
              </w:rPr>
              <w:t>odgovor</w:t>
            </w:r>
            <w:r w:rsidRPr="006F587D">
              <w:t xml:space="preserve"> na demografske promjene, </w:t>
            </w:r>
            <w:r w:rsidRPr="006F587D">
              <w:rPr>
                <w:b/>
                <w:i/>
              </w:rPr>
              <w:t>jačanje</w:t>
            </w:r>
            <w:r w:rsidRPr="006F587D">
              <w:t xml:space="preserve"> socijalne i gospodarske otpornosti</w:t>
            </w:r>
            <w:r w:rsidRPr="006F587D">
              <w:rPr>
                <w:b/>
                <w:i/>
              </w:rPr>
              <w:t xml:space="preserve"> i provedbu</w:t>
            </w:r>
            <w:r w:rsidRPr="006F587D">
              <w:t xml:space="preserve"> strateškog kompasa za sigurnost i obranu. Za sve su to u narednim godinama potrebne reforme i kontinuirana znatna ulaganja.</w:t>
            </w:r>
          </w:p>
        </w:tc>
        <w:tc>
          <w:tcPr>
            <w:tcW w:w="4876" w:type="dxa"/>
            <w:hideMark/>
          </w:tcPr>
          <w:p w:rsidR="00457B38" w:rsidRPr="006F587D" w:rsidRDefault="00604E9C" w:rsidP="00F56D04">
            <w:pPr>
              <w:pStyle w:val="Normal6"/>
              <w:rPr>
                <w:szCs w:val="24"/>
              </w:rPr>
            </w:pPr>
            <w:r w:rsidRPr="006F587D">
              <w:t>(5)</w:t>
            </w:r>
            <w:r w:rsidRPr="006F587D">
              <w:tab/>
              <w:t>Unijin okvir gospodarskog upravljanja trebalo bi bolje prilagoditi zbog sve većih razlika u fiskalnom položaju, problemima javnog duga i drugim slabostima među državama članicama. Odlučan politički odgovor na pandemiju bolesti COVID-19 pokazao se vrlo učinkovitim u ublažavanju gospodarskih i socijalnih štetnih posljedica krize, ali kriza je dovela do znatnog povećanja udjela duga u javnom i privatnom sektoru te ukazala na važnost postupnog</w:t>
            </w:r>
            <w:r w:rsidRPr="006F587D">
              <w:rPr>
                <w:b/>
                <w:i/>
              </w:rPr>
              <w:t>, održivog</w:t>
            </w:r>
            <w:r w:rsidRPr="006F587D">
              <w:t xml:space="preserve"> i </w:t>
            </w:r>
            <w:r w:rsidRPr="006F587D">
              <w:rPr>
                <w:b/>
                <w:i/>
              </w:rPr>
              <w:t>uključivog</w:t>
            </w:r>
            <w:r w:rsidRPr="006F587D">
              <w:t xml:space="preserve"> smanjenja udjela duga na razborite razine kojim se potiče rast i uklanjanja makroekonomskih neravnoteža, </w:t>
            </w:r>
            <w:r w:rsidRPr="006F587D">
              <w:rPr>
                <w:b/>
                <w:i/>
              </w:rPr>
              <w:t xml:space="preserve">kao i podupiranja uzlazne socijalne konvergencije, </w:t>
            </w:r>
            <w:r w:rsidRPr="006F587D">
              <w:t>pri čemu treba voditi računa o ciljevima</w:t>
            </w:r>
            <w:r w:rsidRPr="006F587D">
              <w:rPr>
                <w:b/>
                <w:i/>
              </w:rPr>
              <w:t xml:space="preserve"> kvalitetnog</w:t>
            </w:r>
            <w:r w:rsidRPr="006F587D">
              <w:t xml:space="preserve"> zapošljavanja i socijalnim ciljevima. Unijin okvir gospodarskog upravljanja istodobno bi trebalo prilagoditi da se olakša svladavanje srednjoročnih i dugoročnih izazova s kojima se Unija suočava, među ostalim postizanjem pravedne digitalne i zelene tranzicije, uključujući Zakon o klimi</w:t>
            </w:r>
            <w:r w:rsidRPr="006F587D">
              <w:rPr>
                <w:vertAlign w:val="superscript"/>
              </w:rPr>
              <w:t>22</w:t>
            </w:r>
            <w:r w:rsidRPr="006F587D">
              <w:rPr>
                <w:b/>
                <w:i/>
              </w:rPr>
              <w:t xml:space="preserve"> i provedbom europskog stupa socijalnih prava</w:t>
            </w:r>
            <w:r w:rsidRPr="006F587D">
              <w:t xml:space="preserve">, </w:t>
            </w:r>
            <w:r w:rsidRPr="006F587D">
              <w:rPr>
                <w:b/>
                <w:i/>
              </w:rPr>
              <w:t>osiguranjem energetske sigurnosti</w:t>
            </w:r>
            <w:r w:rsidRPr="006F587D">
              <w:t xml:space="preserve">, </w:t>
            </w:r>
            <w:r w:rsidRPr="006F587D">
              <w:rPr>
                <w:b/>
                <w:i/>
              </w:rPr>
              <w:t>otvorene strateške autonomije</w:t>
            </w:r>
            <w:r w:rsidRPr="006F587D">
              <w:t xml:space="preserve">, </w:t>
            </w:r>
            <w:r w:rsidRPr="006F587D">
              <w:rPr>
                <w:b/>
                <w:i/>
              </w:rPr>
              <w:t>pružanjem odgovora</w:t>
            </w:r>
            <w:r w:rsidRPr="006F587D">
              <w:t xml:space="preserve"> na demografske promjene, </w:t>
            </w:r>
            <w:r w:rsidRPr="006F587D">
              <w:rPr>
                <w:b/>
                <w:i/>
              </w:rPr>
              <w:t>jačanjem</w:t>
            </w:r>
            <w:r w:rsidRPr="006F587D">
              <w:t xml:space="preserve"> socijalne i gospodarske otpornosti</w:t>
            </w:r>
            <w:r w:rsidRPr="006F587D">
              <w:rPr>
                <w:b/>
                <w:i/>
              </w:rPr>
              <w:t>, uključujući kroz jačanje socijalnih ulaganja, te provedbom</w:t>
            </w:r>
            <w:r w:rsidRPr="006F587D">
              <w:t xml:space="preserve"> strateškog kompasa za sigurnost i obranu. Za sve su to u narednim godinama potrebne reforme i kontinuirana znatna ulaganja.</w:t>
            </w:r>
          </w:p>
        </w:tc>
      </w:tr>
      <w:tr w:rsidR="006F587D" w:rsidRPr="006F587D" w:rsidTr="00F56D04">
        <w:trPr>
          <w:jc w:val="center"/>
        </w:trPr>
        <w:tc>
          <w:tcPr>
            <w:tcW w:w="4876" w:type="dxa"/>
            <w:hideMark/>
          </w:tcPr>
          <w:p w:rsidR="00457B38" w:rsidRPr="006F587D" w:rsidRDefault="00604E9C" w:rsidP="00F56D04">
            <w:pPr>
              <w:pStyle w:val="Normal6"/>
            </w:pPr>
            <w:r w:rsidRPr="006F587D">
              <w:t>__________________</w:t>
            </w:r>
          </w:p>
        </w:tc>
        <w:tc>
          <w:tcPr>
            <w:tcW w:w="4876" w:type="dxa"/>
            <w:hideMark/>
          </w:tcPr>
          <w:p w:rsidR="00457B38" w:rsidRPr="006F587D" w:rsidRDefault="00604E9C" w:rsidP="00F56D04">
            <w:pPr>
              <w:pStyle w:val="Normal6"/>
              <w:rPr>
                <w:szCs w:val="24"/>
              </w:rPr>
            </w:pPr>
            <w:r w:rsidRPr="006F587D">
              <w:t>__________________</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22</w:t>
            </w:r>
            <w:r w:rsidRPr="006F587D">
              <w:t xml:space="preserve">Europskim zakonom o klimi utvrđuje se cilj klimatske neutralnosti na razini Unije do 2050. i propisuje da su institucije Unije i države članice dužne osigurati napredak u poboljšavanju kapaciteta za prilagodbu, za </w:t>
            </w:r>
            <w:r w:rsidRPr="006F587D">
              <w:lastRenderedPageBreak/>
              <w:t>što su potrebna znatna javna ulaganja radi smanjenja negativnih socioekonomskih posljedica klimatskih promjena na EU i njegove države članice, uključujući negativne posljedice na rast i fiskalnu održivost.</w:t>
            </w:r>
          </w:p>
        </w:tc>
        <w:tc>
          <w:tcPr>
            <w:tcW w:w="4876" w:type="dxa"/>
            <w:hideMark/>
          </w:tcPr>
          <w:p w:rsidR="00457B38" w:rsidRPr="006F587D" w:rsidRDefault="00604E9C" w:rsidP="00F56D04">
            <w:pPr>
              <w:pStyle w:val="Normal6"/>
              <w:rPr>
                <w:szCs w:val="24"/>
              </w:rPr>
            </w:pPr>
            <w:r w:rsidRPr="006F587D">
              <w:rPr>
                <w:vertAlign w:val="superscript"/>
              </w:rPr>
              <w:lastRenderedPageBreak/>
              <w:t>22</w:t>
            </w:r>
            <w:r w:rsidRPr="006F587D">
              <w:t xml:space="preserve">Europskim zakonom o klimi utvrđuje se cilj klimatske neutralnosti na razini Unije do 2050. i propisuje da su institucije Unije i države članice dužne osigurati napredak u poboljšavanju kapaciteta za prilagodbu, za </w:t>
            </w:r>
            <w:r w:rsidRPr="006F587D">
              <w:lastRenderedPageBreak/>
              <w:t>što su potrebna znatna javna ulaganja radi smanjenja negativnih socioekonomskih posljedica klimatskih promjena na EU i njegove države članice, uključujući negativne posljedice na rast i fiskalnu održivost.</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7.</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(7)</w:t>
            </w:r>
            <w:r w:rsidRPr="006F587D">
              <w:tab/>
              <w:t xml:space="preserve">U okviru postupka multilateralnog nadzora iz članka 121. stavaka 2., 3. i 4. te članka 148. stavka 4. UFEU-a trebalo bi pratiti, u skladu s detaljnijim pravilima, sva gospodarska kretanja </w:t>
            </w:r>
            <w:r w:rsidRPr="006F587D">
              <w:rPr>
                <w:b/>
                <w:i/>
              </w:rPr>
              <w:t>i</w:t>
            </w:r>
            <w:r w:rsidRPr="006F587D">
              <w:t xml:space="preserve"> kretanja u području zapošljavanja u svakoj državi članici i u Uniji. To uključuje otkrivanje makroekonomskih neravnoteža te sprečavanje i ispravljanje prekomjernih neravnoteža, kako je utvrđeno u uredbama (EU) br. 1174/2011</w:t>
            </w:r>
            <w:r w:rsidRPr="006F587D">
              <w:rPr>
                <w:vertAlign w:val="superscript"/>
              </w:rPr>
              <w:t>23</w:t>
            </w:r>
            <w:r w:rsidRPr="006F587D">
              <w:t xml:space="preserve"> i (EU) br. 1176/2011</w:t>
            </w:r>
            <w:r w:rsidRPr="006F587D">
              <w:rPr>
                <w:vertAlign w:val="superscript"/>
              </w:rPr>
              <w:t>24</w:t>
            </w:r>
            <w:r w:rsidRPr="006F587D">
              <w:t xml:space="preserve"> Europskog parlamenta i Vijeća. Za potrebe praćenja takvih gospodarskih kretanja i kretanja u području zapošljavanja države članice trebale bi dostaviti informacije u obliku srednjoročnih fiskalno-strukturnih planova.</w:t>
            </w:r>
          </w:p>
        </w:tc>
        <w:tc>
          <w:tcPr>
            <w:tcW w:w="4876" w:type="dxa"/>
            <w:hideMark/>
          </w:tcPr>
          <w:p w:rsidR="00457B38" w:rsidRPr="006F587D" w:rsidRDefault="00604E9C" w:rsidP="00F56D04">
            <w:pPr>
              <w:pStyle w:val="Normal6"/>
              <w:rPr>
                <w:szCs w:val="24"/>
              </w:rPr>
            </w:pPr>
            <w:r w:rsidRPr="006F587D">
              <w:t>(7)</w:t>
            </w:r>
            <w:r w:rsidRPr="006F587D">
              <w:tab/>
              <w:t xml:space="preserve">U okviru postupka multilateralnog nadzora iz članka 121. stavaka 2., 3. i 4. te članka 148. stavka 4. UFEU-a trebalo bi pratiti, u skladu s detaljnijim pravilima, sva gospodarska </w:t>
            </w:r>
            <w:r w:rsidRPr="006F587D">
              <w:rPr>
                <w:b/>
                <w:i/>
              </w:rPr>
              <w:t xml:space="preserve">i relevantna socijalna </w:t>
            </w:r>
            <w:r w:rsidRPr="006F587D">
              <w:t xml:space="preserve">kretanja </w:t>
            </w:r>
            <w:r w:rsidRPr="006F587D">
              <w:rPr>
                <w:b/>
                <w:i/>
              </w:rPr>
              <w:t>te</w:t>
            </w:r>
            <w:r w:rsidRPr="006F587D">
              <w:t xml:space="preserve"> kretanja u području zapošljavanja u svakoj državi članici i u Uniji</w:t>
            </w:r>
            <w:r w:rsidRPr="006F587D">
              <w:rPr>
                <w:b/>
                <w:i/>
              </w:rPr>
              <w:t xml:space="preserve"> povezana s glavnim ciljevima, uključujući napredak u ostvarenju nacionalnih ciljeva, i njihovim glavnim i sekundarnim pokazateljima u okviru europskog stupa socijalnih prava</w:t>
            </w:r>
            <w:r w:rsidRPr="006F587D">
              <w:t>. To uključuje otkrivanje makroekonomskih neravnoteža te sprečavanje i ispravljanje prekomjernih neravnoteža, kako je utvrđeno u uredbama (EU) br. 1174/2011</w:t>
            </w:r>
            <w:r w:rsidRPr="006F587D">
              <w:rPr>
                <w:vertAlign w:val="superscript"/>
              </w:rPr>
              <w:t>23</w:t>
            </w:r>
            <w:r w:rsidRPr="006F587D">
              <w:t xml:space="preserve"> i (EU) br. 1176/2011</w:t>
            </w:r>
            <w:r w:rsidRPr="006F587D">
              <w:rPr>
                <w:vertAlign w:val="superscript"/>
              </w:rPr>
              <w:t>24</w:t>
            </w:r>
            <w:r w:rsidRPr="006F587D">
              <w:t xml:space="preserve"> Europskog parlamenta i Vijeća. Za potrebe praćenja takvih gospodarskih kretanja i kretanja u području zapošljavanja</w:t>
            </w:r>
            <w:r w:rsidRPr="006F587D">
              <w:rPr>
                <w:b/>
                <w:i/>
              </w:rPr>
              <w:t xml:space="preserve"> te razvoja socijalne konvergencije</w:t>
            </w:r>
            <w:r w:rsidRPr="006F587D">
              <w:t xml:space="preserve"> države članice trebale bi dostaviti informacije u obliku srednjoročnih fiskalno-strukturnih planova.</w:t>
            </w:r>
          </w:p>
        </w:tc>
      </w:tr>
      <w:tr w:rsidR="006F587D" w:rsidRPr="006F587D" w:rsidTr="00F56D04">
        <w:trPr>
          <w:jc w:val="center"/>
        </w:trPr>
        <w:tc>
          <w:tcPr>
            <w:tcW w:w="4876" w:type="dxa"/>
            <w:hideMark/>
          </w:tcPr>
          <w:p w:rsidR="00457B38" w:rsidRPr="006F587D" w:rsidRDefault="00604E9C" w:rsidP="00F56D04">
            <w:pPr>
              <w:pStyle w:val="Normal6"/>
            </w:pPr>
            <w:r w:rsidRPr="006F587D">
              <w:t>__________________</w:t>
            </w:r>
          </w:p>
        </w:tc>
        <w:tc>
          <w:tcPr>
            <w:tcW w:w="4876" w:type="dxa"/>
            <w:hideMark/>
          </w:tcPr>
          <w:p w:rsidR="00457B38" w:rsidRPr="006F587D" w:rsidRDefault="00604E9C" w:rsidP="00F56D04">
            <w:pPr>
              <w:pStyle w:val="Normal6"/>
              <w:rPr>
                <w:szCs w:val="24"/>
              </w:rPr>
            </w:pPr>
            <w:r w:rsidRPr="006F587D">
              <w:t>__________________</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23</w:t>
            </w:r>
            <w:r w:rsidRPr="006F587D">
              <w:t>Uredba (EU) br. 1174/2011 Europskog parlamenta i Vijeća od 16. studenoga 2011. o provedbenim mjerama za ispravljanje prekomjernih makroekonomskih neravnoteža u europodručju (SL L 306, 23.11.2011., str. 8.).</w:t>
            </w:r>
          </w:p>
        </w:tc>
        <w:tc>
          <w:tcPr>
            <w:tcW w:w="4876" w:type="dxa"/>
            <w:hideMark/>
          </w:tcPr>
          <w:p w:rsidR="00457B38" w:rsidRPr="006F587D" w:rsidRDefault="00604E9C" w:rsidP="00F56D04">
            <w:pPr>
              <w:pStyle w:val="Normal6"/>
              <w:rPr>
                <w:szCs w:val="24"/>
              </w:rPr>
            </w:pPr>
            <w:r w:rsidRPr="006F587D">
              <w:rPr>
                <w:vertAlign w:val="superscript"/>
              </w:rPr>
              <w:t>23</w:t>
            </w:r>
            <w:r w:rsidRPr="006F587D">
              <w:t>Uredba (EU) br. 1174/2011 Europskog parlamenta i Vijeća od 16. studenoga 2011. o provedbenim mjerama za ispravljanje prekomjernih makroekonomskih neravnoteža u europodručju (SL L 306, 23.11.2011., str. 8.).</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24</w:t>
            </w:r>
            <w:r w:rsidRPr="006F587D">
              <w:t xml:space="preserve">Uredba (EU) br. 1176/2011 Europskog </w:t>
            </w:r>
            <w:r w:rsidRPr="006F587D">
              <w:lastRenderedPageBreak/>
              <w:t>parlamenta i Vijeća od 16. studenoga 2011. o sprečavanju i ispravljanju makroekonomskih neravnoteža (SL L 306, 23.11.2011., str. 25.)</w:t>
            </w:r>
          </w:p>
        </w:tc>
        <w:tc>
          <w:tcPr>
            <w:tcW w:w="4876" w:type="dxa"/>
            <w:hideMark/>
          </w:tcPr>
          <w:p w:rsidR="00457B38" w:rsidRPr="006F587D" w:rsidRDefault="00604E9C" w:rsidP="00F56D04">
            <w:pPr>
              <w:pStyle w:val="Normal6"/>
              <w:rPr>
                <w:szCs w:val="24"/>
              </w:rPr>
            </w:pPr>
            <w:r w:rsidRPr="006F587D">
              <w:rPr>
                <w:vertAlign w:val="superscript"/>
              </w:rPr>
              <w:lastRenderedPageBreak/>
              <w:t>24</w:t>
            </w:r>
            <w:r w:rsidRPr="006F587D">
              <w:t xml:space="preserve">Uredba (EU) br. 1176/2011 Europskog </w:t>
            </w:r>
            <w:r w:rsidRPr="006F587D">
              <w:lastRenderedPageBreak/>
              <w:t>parlamenta i Vijeća od 16. studenoga 2011. o sprečavanju i ispravljanju makroekonomskih neravnoteža (SL L 306, 23.11.2011., str. 25.)</w:t>
            </w:r>
          </w:p>
        </w:tc>
      </w:tr>
    </w:tbl>
    <w:p w:rsidR="00457B38" w:rsidRPr="006F587D" w:rsidRDefault="00604E9C" w:rsidP="00457B38">
      <w:pPr>
        <w:rPr>
          <w:rStyle w:val="HideTWBExt"/>
          <w:rFonts w:eastAsiaTheme="majorEastAsia"/>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7.a (nova)</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(7.a)</w:t>
            </w:r>
            <w:r w:rsidRPr="006F587D">
              <w:rPr>
                <w:b/>
                <w:i/>
              </w:rPr>
              <w:tab/>
              <w:t>Kako bi se promicala uzlazna socijalna konvergencija, postupak multilateralnog nadzora utvrđen u članku 148. stavku 4. UFEU-a dopunjen je sustavom ranog upozoravanja u okviru europskog semestra (okvir za socijalnu konvergenciju). Unutar okvira za socijalnu konvergenciju Komisija, u skladu s člankom 148. UFEU-a, u zajedničkom izvješću o zapošljavanju na temelju glavnih pokazatelja iz pregleda socijalnih pokazatelja prvo utvrđuje rizike za uzlaznu konvergenciju za države članice. U drugoj fazi Komisija utvrđuje države članice koje je potrebno dodatno ispitati i objavljuje „izvješća o socijalnoj konvergenciji” za one države članice za koje je utvrđeno da se suočavaju s rizicima za uzlaznu socijalnu konvergenciju. Zaključci po državama članicama o aktivnostima multilateralnog nadzora unutar novog okvira trebali bi poslužiti kao doprinos razmatranjima Komisije o prijedlozima preporuka za pojedine zemlje.</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5</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8.</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(8)</w:t>
            </w:r>
            <w:r w:rsidRPr="006F587D">
              <w:tab/>
              <w:t xml:space="preserve">Stoga bi trebalo utvrditi detaljna </w:t>
            </w:r>
            <w:r w:rsidRPr="006F587D">
              <w:lastRenderedPageBreak/>
              <w:t>pravila o sadržaju, podnošenju, ocjenjivanju i praćenju nacionalnih srednjoročnih fiskalno-strukturnih planova kako bi se srednjoročnim planiranjem promicala održivost duga</w:t>
            </w:r>
            <w:r w:rsidRPr="006F587D">
              <w:rPr>
                <w:b/>
                <w:i/>
              </w:rPr>
              <w:t xml:space="preserve"> te</w:t>
            </w:r>
            <w:r w:rsidRPr="006F587D">
              <w:t xml:space="preserve"> održiv i uključiv rast u državama članicama i spriječili prekomjerni državni deficiti.</w:t>
            </w:r>
          </w:p>
        </w:tc>
        <w:tc>
          <w:tcPr>
            <w:tcW w:w="4876" w:type="dxa"/>
            <w:hideMark/>
          </w:tcPr>
          <w:p w:rsidR="00457B38" w:rsidRPr="006F587D" w:rsidRDefault="00604E9C" w:rsidP="00F56D04">
            <w:pPr>
              <w:pStyle w:val="Normal6"/>
              <w:rPr>
                <w:szCs w:val="24"/>
              </w:rPr>
            </w:pPr>
            <w:r w:rsidRPr="006F587D">
              <w:lastRenderedPageBreak/>
              <w:t>(8)</w:t>
            </w:r>
            <w:r w:rsidRPr="006F587D">
              <w:tab/>
              <w:t xml:space="preserve">Stoga bi trebalo utvrditi detaljna </w:t>
            </w:r>
            <w:r w:rsidRPr="006F587D">
              <w:lastRenderedPageBreak/>
              <w:t>pravila o sadržaju, podnošenju, ocjenjivanju i praćenju nacionalnih srednjoročnih fiskalno-strukturnih planova kako bi se srednjoročnim planiranjem promicala održivost duga</w:t>
            </w:r>
            <w:r w:rsidRPr="006F587D">
              <w:rPr>
                <w:b/>
                <w:i/>
              </w:rPr>
              <w:t>,</w:t>
            </w:r>
            <w:r w:rsidRPr="006F587D">
              <w:t xml:space="preserve"> održiv i uključiv rast</w:t>
            </w:r>
            <w:r w:rsidRPr="006F587D">
              <w:rPr>
                <w:b/>
                <w:i/>
              </w:rPr>
              <w:t xml:space="preserve"> te uzlazna socijalna konvergencija</w:t>
            </w:r>
            <w:r w:rsidRPr="006F587D">
              <w:t xml:space="preserve"> u državama članicama i spriječili prekomjerni državni deficiti.</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6</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9.</w:t>
      </w:r>
      <w:r w:rsidRPr="006F587D">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(9)</w:t>
            </w:r>
            <w:r w:rsidRPr="006F587D">
              <w:tab/>
              <w:t>Nacionalni srednjoročni fiskalno-strukturni planovi trebali bi objediniti fiskalne obveze svake države članice i obveze u pogledu strukturnih reformi i ulaganja te bi trebali biti temelj Unijina okvira gospodarskog upravljanja. Svaka država članica trebala bi podnijeti srednjoročni plan koji sadržava njezinu fiskalnu putanju i prioritetne obveze u pogledu javnih ulaganja i reformi, kojima se zajedno osigurava održivo i postupno smanjenje duga te održiv i uključiv rast, a izbjegava prociklička fiskalna politika, kao i šire reformske i ulagačke obveze, među ostalim u vezi sa zelenom i digitalnom tranzicijom, socijalnom i gospodarskom otpornosti i provedbom europskog stupa socijalnih prava. Tijekom trajanja Mehanizma za oporavak i otpornost</w:t>
            </w:r>
            <w:r w:rsidRPr="006F587D">
              <w:rPr>
                <w:vertAlign w:val="superscript"/>
              </w:rPr>
              <w:t>25</w:t>
            </w:r>
            <w:r w:rsidRPr="006F587D">
              <w:t xml:space="preserve"> trebalo bi na odgovarajući način uzimati u obzir obveze preuzete u nacionalnim planovima za oporavak i otpornost.</w:t>
            </w:r>
          </w:p>
        </w:tc>
        <w:tc>
          <w:tcPr>
            <w:tcW w:w="4876" w:type="dxa"/>
            <w:hideMark/>
          </w:tcPr>
          <w:p w:rsidR="00457B38" w:rsidRPr="006F587D" w:rsidRDefault="00604E9C" w:rsidP="00F56D04">
            <w:pPr>
              <w:pStyle w:val="Normal6"/>
              <w:rPr>
                <w:szCs w:val="24"/>
              </w:rPr>
            </w:pPr>
            <w:r w:rsidRPr="006F587D">
              <w:t>(9)</w:t>
            </w:r>
            <w:r w:rsidRPr="006F587D">
              <w:tab/>
              <w:t xml:space="preserve">Nacionalni srednjoročni fiskalno-strukturni planovi trebali bi objediniti fiskalne obveze svake države članice i obveze u pogledu strukturnih reformi i ulaganja te bi trebali biti temelj Unijina okvira gospodarskog </w:t>
            </w:r>
            <w:r w:rsidRPr="006F587D">
              <w:rPr>
                <w:b/>
                <w:i/>
              </w:rPr>
              <w:t xml:space="preserve">i socijalnog </w:t>
            </w:r>
            <w:r w:rsidRPr="006F587D">
              <w:t>upravljanja. Svaka država članica trebala bi podnijeti srednjoročni plan koji sadržava njezinu fiskalnu putanju i prioritetne obveze u pogledu javnih ulaganja i reformi, kojima se zajedno osigurava održivo i postupno smanjenje duga te održiv i uključiv rast, a izbjegava prociklička fiskalna politika, kao i šire reformske i ulagačke obveze, među ostalim u vezi sa zelenom i digitalnom tranzicijom, socijalnom i gospodarskom otpornosti i provedbom europskog stupa socijalnih prava</w:t>
            </w:r>
            <w:r w:rsidRPr="006F587D">
              <w:rPr>
                <w:b/>
                <w:i/>
              </w:rPr>
              <w:t>, uključujući povezane ciljeve u pogledu zapošljavanja, vještina i smanjenja siromaštva do 2030.</w:t>
            </w:r>
            <w:r w:rsidRPr="006F587D">
              <w:rPr>
                <w:b/>
                <w:i/>
                <w:vertAlign w:val="superscript"/>
              </w:rPr>
              <w:t>1a</w:t>
            </w:r>
            <w:r w:rsidRPr="006F587D">
              <w:t>. Tijekom trajanja Mehanizma za oporavak i otpornost</w:t>
            </w:r>
            <w:r w:rsidRPr="006F587D">
              <w:rPr>
                <w:vertAlign w:val="superscript"/>
              </w:rPr>
              <w:t>25</w:t>
            </w:r>
            <w:r w:rsidRPr="006F587D">
              <w:t xml:space="preserve"> trebalo bi na odgovarajući način uzimati u obzir obveze preuzete u nacionalnim planovima za oporavak i otpornost.</w:t>
            </w:r>
          </w:p>
        </w:tc>
      </w:tr>
      <w:tr w:rsidR="006F587D" w:rsidRPr="006F587D" w:rsidTr="00F56D04">
        <w:trPr>
          <w:jc w:val="center"/>
        </w:trPr>
        <w:tc>
          <w:tcPr>
            <w:tcW w:w="4876" w:type="dxa"/>
            <w:hideMark/>
          </w:tcPr>
          <w:p w:rsidR="00457B38" w:rsidRPr="006F587D" w:rsidRDefault="00604E9C" w:rsidP="00F56D04">
            <w:pPr>
              <w:pStyle w:val="Normal6"/>
            </w:pPr>
            <w:r w:rsidRPr="006F587D">
              <w:t>__________________</w:t>
            </w:r>
          </w:p>
        </w:tc>
        <w:tc>
          <w:tcPr>
            <w:tcW w:w="4876" w:type="dxa"/>
            <w:hideMark/>
          </w:tcPr>
          <w:p w:rsidR="00457B38" w:rsidRPr="006F587D" w:rsidRDefault="00604E9C" w:rsidP="00F56D04">
            <w:pPr>
              <w:pStyle w:val="Normal6"/>
              <w:rPr>
                <w:szCs w:val="24"/>
              </w:rPr>
            </w:pPr>
            <w:r w:rsidRPr="006F587D">
              <w:t>__________________</w:t>
            </w:r>
          </w:p>
        </w:tc>
      </w:tr>
      <w:tr w:rsidR="006F587D" w:rsidRPr="006F587D" w:rsidTr="00F56D04">
        <w:trPr>
          <w:jc w:val="center"/>
        </w:trPr>
        <w:tc>
          <w:tcPr>
            <w:tcW w:w="4876" w:type="dxa"/>
          </w:tcPr>
          <w:p w:rsidR="00457B38" w:rsidRPr="006F587D" w:rsidRDefault="00457B38" w:rsidP="00F56D04">
            <w:pPr>
              <w:pStyle w:val="Normal6"/>
              <w:rPr>
                <w:vertAlign w:val="superscript"/>
              </w:rPr>
            </w:pPr>
          </w:p>
        </w:tc>
        <w:tc>
          <w:tcPr>
            <w:tcW w:w="4876" w:type="dxa"/>
          </w:tcPr>
          <w:p w:rsidR="00457B38" w:rsidRPr="006F587D" w:rsidRDefault="00604E9C" w:rsidP="00F56D04">
            <w:pPr>
              <w:pStyle w:val="Normal6"/>
              <w:rPr>
                <w:vertAlign w:val="superscript"/>
              </w:rPr>
            </w:pPr>
            <w:r w:rsidRPr="006F587D">
              <w:rPr>
                <w:b/>
                <w:i/>
                <w:vertAlign w:val="superscript"/>
              </w:rPr>
              <w:t>25a</w:t>
            </w:r>
            <w:r w:rsidRPr="006F587D">
              <w:rPr>
                <w:b/>
                <w:i/>
              </w:rPr>
              <w:t xml:space="preserve">Komunikacija Komisije Europskom parlamentu, Vijeću, Europskom gospodarskom i socijalnom odboru i </w:t>
            </w:r>
            <w:r w:rsidRPr="006F587D">
              <w:rPr>
                <w:b/>
                <w:i/>
              </w:rPr>
              <w:lastRenderedPageBreak/>
              <w:t>Odboru regija „Akcijski plan za provedbu europskog stupa socijalnih prava” (COM(2021)0102 final).</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lastRenderedPageBreak/>
              <w:t>25</w:t>
            </w:r>
            <w:r w:rsidRPr="006F587D">
              <w:t>Uredba (EU) 2021/241 Europskog parlamenta i Vijeća od 12. veljače 2021. o uspostavi Mehanizma za oporavak i otpornost (SL L 57, 18.2.2021., str. 17.).</w:t>
            </w:r>
          </w:p>
        </w:tc>
        <w:tc>
          <w:tcPr>
            <w:tcW w:w="4876" w:type="dxa"/>
            <w:hideMark/>
          </w:tcPr>
          <w:p w:rsidR="00457B38" w:rsidRPr="006F587D" w:rsidRDefault="00604E9C" w:rsidP="00F56D04">
            <w:pPr>
              <w:pStyle w:val="Normal6"/>
              <w:rPr>
                <w:szCs w:val="24"/>
              </w:rPr>
            </w:pPr>
            <w:r w:rsidRPr="006F587D">
              <w:rPr>
                <w:vertAlign w:val="superscript"/>
              </w:rPr>
              <w:t>25</w:t>
            </w:r>
            <w:r w:rsidRPr="006F587D">
              <w:t>Uredba (EU) 2021/241 Europskog parlamenta i Vijeća od 12. veljače 2021. o uspostavi Mehanizma za oporavak i otpornost (SL L 57, 18.2.2021., str. 17.).</w:t>
            </w:r>
          </w:p>
        </w:tc>
      </w:tr>
    </w:tbl>
    <w:p w:rsidR="00457B38" w:rsidRPr="006F587D" w:rsidRDefault="00604E9C" w:rsidP="00457B38">
      <w:pPr>
        <w:rPr>
          <w:rFonts w:eastAsiaTheme="majorEastAsia"/>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7</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10.</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(10)</w:t>
            </w:r>
            <w:r w:rsidRPr="006F587D">
              <w:tab/>
              <w:t>Fondovi kohezijske politike također su usklađeni s postupkom europskog semestra. Ulaganja i reforme u okviru kohezijske politike dio su politike dugoročnih ulaganja iz proračuna EU-a, pa bi ih trebalo na odgovarajući način uzeti u obzir pri izradi nacionalnih srednjoročnih fiskalno-strukturnih planova. Svaka država članica trebala bi objasniti i kako će svojim nacionalnim srednjoročnim fiskalno-strukturnim planom osigurati usklađenost s rashodima za programe EU-a koji su u cijelosti pokriveni prihodima iz fondova EU-a i relevantnim nacionalnim sufinanciranjem.</w:t>
            </w:r>
          </w:p>
        </w:tc>
        <w:tc>
          <w:tcPr>
            <w:tcW w:w="4876" w:type="dxa"/>
            <w:hideMark/>
          </w:tcPr>
          <w:p w:rsidR="00457B38" w:rsidRPr="006F587D" w:rsidRDefault="00604E9C" w:rsidP="00F56D04">
            <w:pPr>
              <w:pStyle w:val="Normal6"/>
              <w:rPr>
                <w:szCs w:val="24"/>
              </w:rPr>
            </w:pPr>
            <w:r w:rsidRPr="006F587D">
              <w:t>(10)</w:t>
            </w:r>
            <w:r w:rsidRPr="006F587D">
              <w:tab/>
              <w:t>Fondovi kohezijske politike također su usklađeni s postupkom europskog semestra. Ulaganja i reforme u okviru kohezijske politike dio su politike dugoročnih ulaganja iz proračuna EU-a</w:t>
            </w:r>
            <w:r w:rsidRPr="006F587D">
              <w:rPr>
                <w:b/>
                <w:i/>
              </w:rPr>
              <w:t xml:space="preserve"> za jačanje gospodarske, socijalne i teritorijalne kohezije</w:t>
            </w:r>
            <w:r w:rsidRPr="006F587D">
              <w:t>, pa bi ih trebalo na odgovarajući način uzeti u obzir pri izradi nacionalnih srednjoročnih fiskalno-strukturnih planova. Svaka država članica trebala bi objasniti i kako će svojim nacionalnim srednjoročnim fiskalno-strukturnim planom osigurati usklađenost s rashodima za programe EU-a koji su u cijelosti pokriveni prihodima iz fondova EU-a i relevantnim nacionalnim sufinanciranjem.</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8</w:t>
      </w:r>
      <w:r w:rsidRPr="006F587D">
        <w:rPr>
          <w:rStyle w:val="HideTWBExt"/>
          <w:b w:val="0"/>
          <w:szCs w:val="24"/>
        </w:rPr>
        <w:t>&lt;/NumAm&gt;</w:t>
      </w:r>
    </w:p>
    <w:p w:rsidR="00457B38" w:rsidRPr="006F587D" w:rsidRDefault="00457B38" w:rsidP="00457B38">
      <w:pPr>
        <w:rPr>
          <w:b/>
        </w:rPr>
      </w:pPr>
    </w:p>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13.</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(13)</w:t>
            </w:r>
            <w:r w:rsidRPr="006F587D">
              <w:tab/>
              <w:t xml:space="preserve">Kako bi državama članicama pružila smjernice za izradu srednjoročnog fiskalno-strukturnog plana, Komisija bi trebala predložiti tehnički smjer kretanja na temelju minimalne fiskalne prilagodbe </w:t>
            </w:r>
            <w:r w:rsidRPr="006F587D">
              <w:lastRenderedPageBreak/>
              <w:t xml:space="preserve">kojom će se kretanje duga države članice uvjerljivo smanjiti ili dug zadržati na razboritoj razini. Trebalo bi osigurati i da udio javnog duga na kraju razdoblja planiranja bude niži nego u godini prije početka tehničkog smjera kretanja. </w:t>
            </w:r>
            <w:r w:rsidRPr="006F587D">
              <w:rPr>
                <w:b/>
                <w:i/>
              </w:rPr>
              <w:t>Održivost tog smanjenja duga trebala bi biti rezultat primjerenih fiskalnih politika.</w:t>
            </w:r>
          </w:p>
        </w:tc>
        <w:tc>
          <w:tcPr>
            <w:tcW w:w="4876" w:type="dxa"/>
            <w:hideMark/>
          </w:tcPr>
          <w:p w:rsidR="00457B38" w:rsidRPr="006F587D" w:rsidRDefault="00604E9C" w:rsidP="00F56D04">
            <w:pPr>
              <w:pStyle w:val="Normal6"/>
              <w:rPr>
                <w:szCs w:val="24"/>
              </w:rPr>
            </w:pPr>
            <w:r w:rsidRPr="006F587D">
              <w:lastRenderedPageBreak/>
              <w:t>(13)</w:t>
            </w:r>
            <w:r w:rsidRPr="006F587D">
              <w:tab/>
              <w:t xml:space="preserve">Kako bi državama članicama pružila smjernice za izradu srednjoročnog fiskalno-strukturnog plana, Komisija bi trebala predložiti tehnički smjer kretanja na temelju minimalne fiskalne prilagodbe </w:t>
            </w:r>
            <w:r w:rsidRPr="006F587D">
              <w:lastRenderedPageBreak/>
              <w:t>kojom će se kretanje duga države članice uvjerljivo smanjiti ili dug zadržati na razboritoj razini</w:t>
            </w:r>
            <w:r w:rsidRPr="006F587D">
              <w:rPr>
                <w:b/>
                <w:i/>
              </w:rPr>
              <w:t>, uzimajući pritom u obzir ciljana ulaganja potrebna kako bi se ostvarili zajednički prioriteti Unije</w:t>
            </w:r>
            <w:r w:rsidRPr="006F587D">
              <w:t>. Trebalo bi osigurati i da udio javnog duga na kraju razdoblja planiranja bude niži nego u godini prije početka tehničkog smjera kretanja.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9</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Uvodna izjava 22.</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(22)</w:t>
            </w:r>
            <w:r w:rsidRPr="006F587D">
              <w:tab/>
              <w:t xml:space="preserve">Kako bi se osiguralo postupnije smanjenje duga, razdoblje prilagodbe može se produljiti za najviše tri godine ako država članica svoj srednjoročni fiskalno-strukturni plan temelji na skupu provjerljivih i vremenski ograničenih reformi i ulaganja kojima se u cjelini: </w:t>
            </w:r>
            <w:r w:rsidRPr="006F587D">
              <w:rPr>
                <w:b/>
                <w:i/>
              </w:rPr>
              <w:t>potiče</w:t>
            </w:r>
            <w:r w:rsidRPr="006F587D">
              <w:t xml:space="preserve"> rast, pridonosi fiskalnoj održivosti, pridonosi zajedničkim prioritetima Unije, provode relevantne preporuke upućene državama članicama u okviru europskog semestra i </w:t>
            </w:r>
            <w:r w:rsidRPr="006F587D">
              <w:rPr>
                <w:b/>
                <w:i/>
              </w:rPr>
              <w:t>pridonosi ulagačkim prioritetima specifičnima</w:t>
            </w:r>
            <w:r w:rsidRPr="006F587D">
              <w:t xml:space="preserve"> za svaku pojedinu zemlju, a da se pritom u razdoblju prilagodbe ne smanje javna ulaganja koja financira država, kako bi </w:t>
            </w:r>
            <w:r w:rsidRPr="006F587D">
              <w:rPr>
                <w:b/>
                <w:i/>
              </w:rPr>
              <w:t>ulaganja imala</w:t>
            </w:r>
            <w:r w:rsidRPr="006F587D">
              <w:t xml:space="preserve"> makroekonomski učinak i kako bi se izbjeglo istiskivanje drugih prioritetnih ulaganja.</w:t>
            </w:r>
          </w:p>
        </w:tc>
        <w:tc>
          <w:tcPr>
            <w:tcW w:w="4876" w:type="dxa"/>
            <w:hideMark/>
          </w:tcPr>
          <w:p w:rsidR="00457B38" w:rsidRPr="006F587D" w:rsidRDefault="00604E9C" w:rsidP="00F56D04">
            <w:pPr>
              <w:pStyle w:val="Normal6"/>
              <w:rPr>
                <w:szCs w:val="24"/>
              </w:rPr>
            </w:pPr>
            <w:r w:rsidRPr="006F587D">
              <w:t>(22)</w:t>
            </w:r>
            <w:r w:rsidRPr="006F587D">
              <w:tab/>
              <w:t xml:space="preserve">Kako bi se osiguralo postupnije smanjenje duga, razdoblje prilagodbe može se produljiti za najviše tri godine ako država članica svoj srednjoročni fiskalno-strukturni plan temelji na skupu provjerljivih i vremenski ograničenih reformi i ulaganja kojima se u cjelini: </w:t>
            </w:r>
            <w:r w:rsidRPr="006F587D">
              <w:rPr>
                <w:b/>
                <w:i/>
              </w:rPr>
              <w:t>jača održivi i uključivi</w:t>
            </w:r>
            <w:r w:rsidRPr="006F587D">
              <w:t xml:space="preserve"> rast</w:t>
            </w:r>
            <w:r w:rsidRPr="006F587D">
              <w:rPr>
                <w:b/>
                <w:i/>
              </w:rPr>
              <w:t>, promiče socijalna konvergencija</w:t>
            </w:r>
            <w:r w:rsidRPr="006F587D">
              <w:t xml:space="preserve">, pridonosi fiskalnoj održivosti, pridonosi zajedničkim prioritetima Unije, provode relevantne preporuke upućene državama članicama u okviru europskog semestra i </w:t>
            </w:r>
            <w:r w:rsidRPr="006F587D">
              <w:rPr>
                <w:b/>
                <w:i/>
              </w:rPr>
              <w:t>razmatraju ulagački prioriteti specifični</w:t>
            </w:r>
            <w:r w:rsidRPr="006F587D">
              <w:t xml:space="preserve"> za svaku pojedinu zemlju, a da se pritom u razdoblju prilagodbe ne smanje javna ulaganja koja financira država, </w:t>
            </w:r>
            <w:r w:rsidRPr="006F587D">
              <w:rPr>
                <w:b/>
                <w:i/>
              </w:rPr>
              <w:t xml:space="preserve">uključujući socijalna ulaganja, </w:t>
            </w:r>
            <w:r w:rsidRPr="006F587D">
              <w:t xml:space="preserve">kako bi </w:t>
            </w:r>
            <w:r w:rsidRPr="006F587D">
              <w:rPr>
                <w:b/>
                <w:i/>
              </w:rPr>
              <w:t>se osigurao</w:t>
            </w:r>
            <w:r w:rsidRPr="006F587D">
              <w:t xml:space="preserve"> makroekonomski učinak</w:t>
            </w:r>
            <w:r w:rsidRPr="006F587D">
              <w:rPr>
                <w:b/>
                <w:i/>
              </w:rPr>
              <w:t xml:space="preserve"> ulaganja</w:t>
            </w:r>
            <w:r w:rsidRPr="006F587D">
              <w:t xml:space="preserve"> i kako bi se izbjeglo istiskivanje drugih prioritetnih ulaganja.</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rPr>
          <w:rStyle w:val="HideTWBExt"/>
          <w:b w:val="0"/>
          <w:szCs w:val="24"/>
        </w:rPr>
        <w:t>&lt;NumAm&gt;</w:t>
      </w:r>
      <w:r w:rsidRPr="006F587D">
        <w:t>10</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Ovom se Uredbom utvrđuju pravila kojima se osigurava djelotvorna koordinacija ekonomskih politika država članica, čime se podupire ostvarivanje Unijinih ciljeva rasta i zapošljavanja.</w:t>
            </w:r>
          </w:p>
        </w:tc>
        <w:tc>
          <w:tcPr>
            <w:tcW w:w="4876" w:type="dxa"/>
            <w:hideMark/>
          </w:tcPr>
          <w:p w:rsidR="00457B38" w:rsidRPr="006F587D" w:rsidRDefault="00604E9C" w:rsidP="00F56D04">
            <w:pPr>
              <w:pStyle w:val="Normal6"/>
              <w:rPr>
                <w:szCs w:val="24"/>
              </w:rPr>
            </w:pPr>
            <w:r w:rsidRPr="006F587D">
              <w:t xml:space="preserve">Ovom se Uredbom utvrđuju pravila kojima se osigurava djelotvorna koordinacija ekonomskih politika država članica, čime se podupire ostvarivanje Unijinih ciljeva </w:t>
            </w:r>
            <w:r w:rsidRPr="006F587D">
              <w:rPr>
                <w:b/>
                <w:i/>
              </w:rPr>
              <w:t xml:space="preserve">održivog i uključivog </w:t>
            </w:r>
            <w:r w:rsidRPr="006F587D">
              <w:t>rasta i</w:t>
            </w:r>
            <w:r w:rsidRPr="006F587D">
              <w:rPr>
                <w:b/>
                <w:i/>
              </w:rPr>
              <w:t xml:space="preserve"> kvalitetnog</w:t>
            </w:r>
            <w:r w:rsidRPr="006F587D">
              <w:t xml:space="preserve"> zapošljavanja.</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11</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 – stavak 2.</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Njome se utvrđuju detaljna pravila o sadržaju, podnošenju, ocjenjivanju i praćenju nacionalnih srednjoročnih fiskalno-strukturnih planova kao dijela multilateralnog proračunskog nadzora koji provode Vijeće i Komisija kako bi se srednjoročnim planiranjem promicala održivost duga</w:t>
            </w:r>
            <w:r w:rsidRPr="006F587D">
              <w:rPr>
                <w:b/>
                <w:i/>
              </w:rPr>
              <w:t xml:space="preserve"> te</w:t>
            </w:r>
            <w:r w:rsidRPr="006F587D">
              <w:t xml:space="preserve"> održiv i uključiv rast u državama članicama </w:t>
            </w:r>
            <w:r w:rsidRPr="006F587D">
              <w:rPr>
                <w:b/>
                <w:i/>
              </w:rPr>
              <w:t>i</w:t>
            </w:r>
            <w:r w:rsidRPr="006F587D">
              <w:t xml:space="preserve"> spriječili prekomjerni državni deficiti.</w:t>
            </w:r>
          </w:p>
        </w:tc>
        <w:tc>
          <w:tcPr>
            <w:tcW w:w="4876" w:type="dxa"/>
            <w:hideMark/>
          </w:tcPr>
          <w:p w:rsidR="00457B38" w:rsidRPr="006F587D" w:rsidRDefault="00604E9C" w:rsidP="00F56D04">
            <w:pPr>
              <w:pStyle w:val="Normal6"/>
              <w:rPr>
                <w:szCs w:val="24"/>
              </w:rPr>
            </w:pPr>
            <w:r w:rsidRPr="006F587D">
              <w:t>Njome se utvrđuju detaljna pravila o sadržaju, podnošenju, ocjenjivanju i praćenju nacionalnih srednjoročnih fiskalno-strukturnih planova kao dijela multilateralnog proračunskog nadzora koji provode Vijeće i Komisija kako bi se srednjoročnim planiranjem promicala održivost duga</w:t>
            </w:r>
            <w:r w:rsidRPr="006F587D">
              <w:rPr>
                <w:b/>
                <w:i/>
              </w:rPr>
              <w:t>,</w:t>
            </w:r>
            <w:r w:rsidRPr="006F587D">
              <w:t xml:space="preserve"> održiv i uključiv rast</w:t>
            </w:r>
            <w:r w:rsidRPr="006F587D">
              <w:rPr>
                <w:b/>
                <w:i/>
              </w:rPr>
              <w:t xml:space="preserve"> i uzlazna socijalna konvergencija</w:t>
            </w:r>
            <w:r w:rsidRPr="006F587D">
              <w:t xml:space="preserve"> u državama članicama </w:t>
            </w:r>
            <w:r w:rsidRPr="006F587D">
              <w:rPr>
                <w:b/>
                <w:i/>
              </w:rPr>
              <w:t>te</w:t>
            </w:r>
            <w:r w:rsidRPr="006F587D">
              <w:t xml:space="preserve"> spriječili prekomjerni državni deficiti</w:t>
            </w:r>
            <w:r w:rsidRPr="006F587D">
              <w:rPr>
                <w:b/>
                <w:i/>
              </w:rPr>
              <w:t>, a istodobno osigurala ciljana gospodarska i socijalna ulaganja u skladu sa zajedničkim prioritetima Unije</w:t>
            </w:r>
            <w:r w:rsidRPr="006F587D">
              <w:t>.</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12</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3.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 xml:space="preserve">Kako bi se osigurala tješnja koordinacija ekonomskih politika i </w:t>
            </w:r>
            <w:r w:rsidRPr="006F587D">
              <w:rPr>
                <w:b/>
                <w:i/>
              </w:rPr>
              <w:t>održiva</w:t>
            </w:r>
            <w:r w:rsidRPr="006F587D">
              <w:t xml:space="preserve"> konvergencija gospodarskih i socijalnih rezultata država članica, Vijeće i Komisija provode multilateralni nadzor u okviru europskog semestra u skladu s ciljevima i zahtjevima utvrđenima u UFEU-u. </w:t>
            </w:r>
            <w:r w:rsidRPr="006F587D">
              <w:lastRenderedPageBreak/>
              <w:t>Multilateralni nadzor oslanja se na visokokvalitetnu i neovisnu statistiku izrađenu u skladu s načelima utvrđenima u Uredbi (EZ) br. 223/2009 Europskog parlamenta i Vijeća.</w:t>
            </w:r>
          </w:p>
        </w:tc>
        <w:tc>
          <w:tcPr>
            <w:tcW w:w="4876" w:type="dxa"/>
            <w:hideMark/>
          </w:tcPr>
          <w:p w:rsidR="00457B38" w:rsidRPr="006F587D" w:rsidRDefault="00604E9C" w:rsidP="00F56D04">
            <w:pPr>
              <w:pStyle w:val="Normal6"/>
              <w:rPr>
                <w:szCs w:val="24"/>
              </w:rPr>
            </w:pPr>
            <w:r w:rsidRPr="006F587D">
              <w:lastRenderedPageBreak/>
              <w:t xml:space="preserve">Kako bi se osigurala tješnja koordinacija ekonomskih politika i </w:t>
            </w:r>
            <w:r w:rsidRPr="006F587D">
              <w:rPr>
                <w:b/>
                <w:i/>
              </w:rPr>
              <w:t>politika zapošljavanja i uzlazna</w:t>
            </w:r>
            <w:r w:rsidRPr="006F587D">
              <w:t xml:space="preserve"> konvergencija gospodarskih i socijalnih rezultata država članica</w:t>
            </w:r>
            <w:r w:rsidRPr="006F587D">
              <w:rPr>
                <w:b/>
                <w:i/>
              </w:rPr>
              <w:t>, u skladu sa zajedničkim prioritetima Unije</w:t>
            </w:r>
            <w:r w:rsidRPr="006F587D">
              <w:t xml:space="preserve">, Vijeće i Komisija provode multilateralni nadzor u okviru </w:t>
            </w:r>
            <w:r w:rsidRPr="006F587D">
              <w:lastRenderedPageBreak/>
              <w:t>europskog semestra u skladu s ciljevima i zahtjevima utvrđenima u UFEU-u. Multilateralni nadzor oslanja se na visokokvalitetnu i neovisnu statistiku izrađenu u skladu s načelima utvrđenima u Uredbi (EZ) br. 223/2009 Europskog parlamenta i Vijeća.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13</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3. – stavak 2. – točka b</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(b)</w:t>
            </w:r>
            <w:r w:rsidRPr="006F587D">
              <w:tab/>
              <w:t>oblikovanje i nadzor provedbe smjernica za zapošljavanje koje države članice trebaju uzeti u obzir u skladu s člankom</w:t>
            </w:r>
            <w:r w:rsidRPr="006F587D">
              <w:rPr>
                <w:b/>
                <w:i/>
              </w:rPr>
              <w:t> </w:t>
            </w:r>
            <w:r w:rsidRPr="006F587D">
              <w:t>148. stavkom</w:t>
            </w:r>
            <w:r w:rsidRPr="006F587D">
              <w:rPr>
                <w:b/>
                <w:i/>
              </w:rPr>
              <w:t> </w:t>
            </w:r>
            <w:r w:rsidRPr="006F587D">
              <w:t xml:space="preserve">2. UFEU-a, </w:t>
            </w:r>
            <w:r w:rsidRPr="006F587D">
              <w:rPr>
                <w:b/>
                <w:i/>
              </w:rPr>
              <w:t>uključujući europski stup</w:t>
            </w:r>
            <w:r w:rsidRPr="006F587D">
              <w:t xml:space="preserve"> socijalnih prava</w:t>
            </w:r>
            <w:r w:rsidRPr="006F587D">
              <w:rPr>
                <w:b/>
                <w:i/>
              </w:rPr>
              <w:t>,</w:t>
            </w:r>
            <w:r w:rsidRPr="006F587D">
              <w:t xml:space="preserve"> te </w:t>
            </w:r>
            <w:r w:rsidRPr="006F587D">
              <w:rPr>
                <w:b/>
                <w:i/>
              </w:rPr>
              <w:t>povezanih preporuka</w:t>
            </w:r>
            <w:r w:rsidRPr="006F587D">
              <w:t xml:space="preserve"> za pojedine zemlje</w:t>
            </w:r>
            <w:r w:rsidRPr="006F587D">
              <w:rPr>
                <w:b/>
                <w:i/>
              </w:rPr>
              <w:t>;</w:t>
            </w:r>
          </w:p>
        </w:tc>
        <w:tc>
          <w:tcPr>
            <w:tcW w:w="4876" w:type="dxa"/>
            <w:hideMark/>
          </w:tcPr>
          <w:p w:rsidR="00457B38" w:rsidRPr="006F587D" w:rsidRDefault="00604E9C" w:rsidP="00F56D04">
            <w:pPr>
              <w:pStyle w:val="Normal6"/>
              <w:rPr>
                <w:szCs w:val="24"/>
              </w:rPr>
            </w:pPr>
            <w:r w:rsidRPr="006F587D">
              <w:t>(b)</w:t>
            </w:r>
            <w:r w:rsidRPr="006F587D">
              <w:tab/>
              <w:t>oblikovanje i nadzor provedbe smjernica za zapošljavanje koje države članice trebaju uzeti u obzir u skladu s člankom</w:t>
            </w:r>
            <w:r w:rsidRPr="006F587D">
              <w:rPr>
                <w:b/>
                <w:i/>
              </w:rPr>
              <w:t xml:space="preserve"> </w:t>
            </w:r>
            <w:r w:rsidRPr="006F587D">
              <w:t>148. stavkom</w:t>
            </w:r>
            <w:r w:rsidRPr="006F587D">
              <w:rPr>
                <w:b/>
                <w:i/>
              </w:rPr>
              <w:t xml:space="preserve"> </w:t>
            </w:r>
            <w:r w:rsidRPr="006F587D">
              <w:t xml:space="preserve">2. UFEU-a, </w:t>
            </w:r>
            <w:r w:rsidRPr="006F587D">
              <w:rPr>
                <w:b/>
                <w:i/>
              </w:rPr>
              <w:t>europskim stupom</w:t>
            </w:r>
            <w:r w:rsidRPr="006F587D">
              <w:t xml:space="preserve"> socijalnih prava</w:t>
            </w:r>
            <w:r w:rsidRPr="006F587D">
              <w:rPr>
                <w:b/>
                <w:i/>
              </w:rPr>
              <w:t xml:space="preserve"> i njegovim glavnim ciljevima</w:t>
            </w:r>
            <w:r w:rsidRPr="006F587D">
              <w:t xml:space="preserve"> te </w:t>
            </w:r>
            <w:r w:rsidRPr="006F587D">
              <w:rPr>
                <w:b/>
                <w:i/>
              </w:rPr>
              <w:t>povezanim preporukama</w:t>
            </w:r>
            <w:r w:rsidRPr="006F587D">
              <w:t xml:space="preserve"> za pojedine zemlje</w:t>
            </w:r>
            <w:r w:rsidRPr="006F587D">
              <w:rPr>
                <w:b/>
                <w:i/>
              </w:rPr>
              <w:t>, kao i pregledom socijalnih pokazatelja i njegovim glavnim i sekundarnim pokazateljima te okvirom za socijalnu konvergenciju, kako bi se spriječili i utvrdili rizici socijalne konvergencije.</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14</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4.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1.</w:t>
            </w:r>
            <w:r w:rsidRPr="006F587D">
              <w:tab/>
              <w:t xml:space="preserve">Nakon ocjene srednjoročnih fiskalno-strukturnih planova u skladu s ovom Uredbom, godišnjih izvješća o napretku i socioekonomskog stanja u dotičnim državama članicama, Vijeće, na temelju preporuka Komisije, prema potrebi dotičnim državama članicama upućuje preporuke koristeći u potpunosti pravne instrumente propisane člancima 121. i 148. UFEU-a </w:t>
            </w:r>
            <w:r w:rsidRPr="006F587D">
              <w:rPr>
                <w:b/>
                <w:i/>
              </w:rPr>
              <w:t>i</w:t>
            </w:r>
            <w:r w:rsidRPr="006F587D">
              <w:t xml:space="preserve"> povezanim sekundarnim </w:t>
            </w:r>
            <w:r w:rsidRPr="006F587D">
              <w:lastRenderedPageBreak/>
              <w:t>zakonodavstvom.</w:t>
            </w:r>
          </w:p>
        </w:tc>
        <w:tc>
          <w:tcPr>
            <w:tcW w:w="4876" w:type="dxa"/>
            <w:hideMark/>
          </w:tcPr>
          <w:p w:rsidR="00457B38" w:rsidRPr="006F587D" w:rsidRDefault="00604E9C" w:rsidP="00F56D04">
            <w:pPr>
              <w:pStyle w:val="Normal6"/>
              <w:rPr>
                <w:szCs w:val="24"/>
              </w:rPr>
            </w:pPr>
            <w:r w:rsidRPr="006F587D">
              <w:lastRenderedPageBreak/>
              <w:t>1.</w:t>
            </w:r>
            <w:r w:rsidRPr="006F587D">
              <w:tab/>
              <w:t xml:space="preserve">Nakon ocjene srednjoročnih fiskalno-strukturnih planova u skladu s ovom Uredbom, godišnjih izvješća o napretku i socioekonomskog stanja u dotičnim državama članicama, Vijeće, na temelju preporuka Komisije, prema potrebi dotičnim državama članicama upućuje preporuke koristeći u potpunosti </w:t>
            </w:r>
            <w:r w:rsidRPr="006F587D">
              <w:rPr>
                <w:b/>
                <w:i/>
              </w:rPr>
              <w:t xml:space="preserve">Europski stup socijalnih prava i </w:t>
            </w:r>
            <w:r w:rsidRPr="006F587D">
              <w:t xml:space="preserve">pravne instrumente propisane člancima 121. i 148. UFEU-a </w:t>
            </w:r>
            <w:r w:rsidRPr="006F587D">
              <w:rPr>
                <w:b/>
                <w:i/>
              </w:rPr>
              <w:t>te</w:t>
            </w:r>
            <w:r w:rsidRPr="006F587D">
              <w:t xml:space="preserve"> </w:t>
            </w:r>
            <w:r w:rsidRPr="006F587D">
              <w:lastRenderedPageBreak/>
              <w:t>povezanim sekundarnim zakonodavstvom.</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15</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4. – stavak 3. – točka ba (nova)</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(ba)</w:t>
            </w:r>
            <w:r w:rsidRPr="006F587D">
              <w:rPr>
                <w:b/>
                <w:i/>
              </w:rPr>
              <w:tab/>
              <w:t>preporuke Vijeća na temelju prijedloga Komisije u skladu s člankom 148. stavkom 4. UFEU-a ili koje odražavaju rezultate okvira za socijalnu konvergenciju;</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rPr>
          <w:rStyle w:val="HideTWBExt"/>
          <w:b w:val="0"/>
          <w:szCs w:val="24"/>
        </w:rPr>
        <w:t>&lt;NumAm&gt;</w:t>
      </w:r>
      <w:r w:rsidRPr="006F587D">
        <w:t>16</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7. – stavak 1. – točka b</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(b)</w:t>
            </w:r>
            <w:r w:rsidRPr="006F587D">
              <w:tab/>
              <w:t>svoju makroekonomsku prognozu i pretpostavke;</w:t>
            </w:r>
          </w:p>
        </w:tc>
        <w:tc>
          <w:tcPr>
            <w:tcW w:w="4876" w:type="dxa"/>
            <w:hideMark/>
          </w:tcPr>
          <w:p w:rsidR="00457B38" w:rsidRPr="006F587D" w:rsidRDefault="00604E9C" w:rsidP="00F56D04">
            <w:pPr>
              <w:pStyle w:val="Normal6"/>
              <w:rPr>
                <w:szCs w:val="24"/>
              </w:rPr>
            </w:pPr>
            <w:r w:rsidRPr="006F587D">
              <w:t>(b)</w:t>
            </w:r>
            <w:r w:rsidRPr="006F587D">
              <w:tab/>
              <w:t xml:space="preserve">svoju makroekonomsku prognozu i pretpostavke; </w:t>
            </w:r>
            <w:r w:rsidRPr="006F587D">
              <w:rPr>
                <w:b/>
                <w:i/>
              </w:rPr>
              <w:t>svoju prognozu socijalnih rizika i pretpostavke;</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17</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11. – stavak 1. – podstavak 2.</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 xml:space="preserve">U nacionalnom srednjoročnom fiskalno-strukturnom planu opisuju se i mjere dotične države članice za provedbu preporuka koje su joj upućene, uključujući one koje su relevantne za postupak u slučaju makroekonomskih neravnoteža, </w:t>
            </w:r>
            <w:r w:rsidRPr="006F587D">
              <w:rPr>
                <w:b/>
                <w:i/>
              </w:rPr>
              <w:t>te</w:t>
            </w:r>
            <w:r w:rsidRPr="006F587D">
              <w:t xml:space="preserve"> upozorenja Komisije, ako je primjenjivo, ili preporuka Vijeća, ako je primjenjivo, upućenih na temelju članka 121. stavka 4. UFEU-a.</w:t>
            </w:r>
          </w:p>
        </w:tc>
        <w:tc>
          <w:tcPr>
            <w:tcW w:w="4876" w:type="dxa"/>
            <w:hideMark/>
          </w:tcPr>
          <w:p w:rsidR="00457B38" w:rsidRPr="006F587D" w:rsidRDefault="00604E9C" w:rsidP="00F56D04">
            <w:pPr>
              <w:pStyle w:val="Normal6"/>
              <w:rPr>
                <w:szCs w:val="24"/>
              </w:rPr>
            </w:pPr>
            <w:r w:rsidRPr="006F587D">
              <w:t xml:space="preserve">U nacionalnom srednjoročnom fiskalno-strukturnom planu opisuju se i mjere dotične države članice za provedbu preporuka koje su joj upućene, uključujući one koje su relevantne za postupak u slučaju makroekonomskih neravnoteža, </w:t>
            </w:r>
            <w:r w:rsidRPr="006F587D">
              <w:rPr>
                <w:b/>
                <w:i/>
              </w:rPr>
              <w:t>kao i izazovi utvrđeni u izvješćima o socijalnoj konvergenciji unutar okvira za socijalnu konvergenciju te</w:t>
            </w:r>
            <w:r w:rsidRPr="006F587D">
              <w:t xml:space="preserve"> upozorenja Komisije, ako je primjenjivo, ili preporuka Vijeća, ako je primjenjivo, upućenih na temelju članka 121. stavka </w:t>
            </w:r>
            <w:r w:rsidRPr="006F587D">
              <w:rPr>
                <w:b/>
                <w:i/>
              </w:rPr>
              <w:t xml:space="preserve">4. UFEU-a i </w:t>
            </w:r>
            <w:r w:rsidRPr="006F587D">
              <w:rPr>
                <w:b/>
                <w:i/>
              </w:rPr>
              <w:lastRenderedPageBreak/>
              <w:t xml:space="preserve">članka 148. stavka </w:t>
            </w:r>
            <w:r w:rsidRPr="006F587D">
              <w:t>4. UFEU-a.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18</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12. – stavak 1. – točka b</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(b)</w:t>
            </w:r>
            <w:r w:rsidRPr="006F587D">
              <w:tab/>
              <w:t>objašnjava se na koji će se način osigurati provedba ulaganja i reformi kojima se odgovara na glavne izazove utvrđene u okviru europskog semestra i u preporukama za pojedine zemlje, prema potrebi ispraviti makroekonomske neravnoteže utvrđene u okviru postupka u slučaju makroekonomskih neravnoteža i ostvarivati zajednički prioriteti Unije iz Priloga</w:t>
            </w:r>
            <w:r w:rsidRPr="006F587D">
              <w:rPr>
                <w:b/>
                <w:i/>
              </w:rPr>
              <w:t> </w:t>
            </w:r>
            <w:r w:rsidRPr="006F587D">
              <w:t>VI. ovoj Uredbi, što uključuje europski zeleni plan, europski stup socijalnih prava i digitalno desetljeće, vodeći pritom računa o usklađenosti s ažuriranim nacionalnim energetskim i klimatskim planovima i nacionalnim planovima za digitalno desetljeće;</w:t>
            </w:r>
          </w:p>
        </w:tc>
        <w:tc>
          <w:tcPr>
            <w:tcW w:w="4876" w:type="dxa"/>
            <w:hideMark/>
          </w:tcPr>
          <w:p w:rsidR="00457B38" w:rsidRPr="006F587D" w:rsidRDefault="00604E9C" w:rsidP="00F56D04">
            <w:pPr>
              <w:pStyle w:val="Normal6"/>
              <w:rPr>
                <w:szCs w:val="24"/>
              </w:rPr>
            </w:pPr>
            <w:r w:rsidRPr="006F587D">
              <w:t>(b)</w:t>
            </w:r>
            <w:r w:rsidRPr="006F587D">
              <w:tab/>
            </w:r>
            <w:r w:rsidRPr="006F587D">
              <w:rPr>
                <w:b/>
                <w:i/>
              </w:rPr>
              <w:t>procjenjuju se nedostaci nacionalnih javnih ulaganja kako bi se postigli zajednički prioriteti; na temelju toga njime se osigurava da se planiranom fiskalnom prilagodbom omoguće socijalna ulaganja potrebna za provedbu načela europskog stupa socijalnih prava. Uz to, u njemu se</w:t>
            </w:r>
            <w:r w:rsidRPr="006F587D">
              <w:t xml:space="preserve"> objašnjava na koji će se način osigurati provedba ulaganja i reformi kojima se odgovara na glavne izazove utvrđene u okviru europskog semestra i u preporukama za pojedine zemlje, prema potrebi ispraviti makroekonomske neravnoteže utvrđene u okviru postupka u slučaju makroekonomskih neravnoteža</w:t>
            </w:r>
            <w:r w:rsidRPr="006F587D">
              <w:rPr>
                <w:b/>
                <w:i/>
              </w:rPr>
              <w:t>, ispraviti utvrđeni rizici za socijalnu konvergenciju u okviru okvira za socijalnu konvergenciju, ako je to primjenjivo,</w:t>
            </w:r>
            <w:r w:rsidRPr="006F587D">
              <w:t xml:space="preserve"> i ostvarivati zajednički prioriteti Unije iz Priloga</w:t>
            </w:r>
            <w:r w:rsidRPr="006F587D">
              <w:rPr>
                <w:b/>
                <w:i/>
              </w:rPr>
              <w:t xml:space="preserve"> </w:t>
            </w:r>
            <w:r w:rsidRPr="006F587D">
              <w:t>VI. ovoj Uredbi, što uključuje europski zeleni plan, europski stup socijalnih prava</w:t>
            </w:r>
            <w:r w:rsidRPr="006F587D">
              <w:rPr>
                <w:b/>
                <w:i/>
              </w:rPr>
              <w:t>, uključujući povezane ciljeve u pogledu zapošljavanja, obrazovanja</w:t>
            </w:r>
            <w:r w:rsidRPr="006F587D">
              <w:t xml:space="preserve"> i </w:t>
            </w:r>
            <w:r w:rsidRPr="006F587D">
              <w:rPr>
                <w:b/>
                <w:i/>
              </w:rPr>
              <w:t xml:space="preserve">smanjenja siromaštva do 2030. te </w:t>
            </w:r>
            <w:r w:rsidRPr="006F587D">
              <w:t>digitalno desetljeće, vodeći pritom računa o usklađenosti s ažuriranim nacionalnim energetskim i klimatskim planovima i nacionalnim planovima za digitalno desetljeće</w:t>
            </w:r>
            <w:r w:rsidRPr="006F587D">
              <w:rPr>
                <w:b/>
                <w:i/>
              </w:rPr>
              <w:t>. Osim toga, objašnjava se na koji način doprinosi provedbi općih smjernica ekonomskih politika država članica i smjernica za zapošljavanje u skladu s člankom 121. stavkom 2. i člankom 148. stavkom 2. UFEU-a</w:t>
            </w:r>
            <w:r w:rsidRPr="006F587D">
              <w:t>;</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19</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lastRenderedPageBreak/>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12. – stavak 1. – točka da (nova)</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(d a)</w:t>
            </w:r>
            <w:r w:rsidRPr="006F587D">
              <w:rPr>
                <w:b/>
                <w:i/>
              </w:rPr>
              <w:tab/>
              <w:t>objašnjava se postupak savjetovanja, proveden u skladu s nacionalnim pravnim okvirom, s lokalnim i regionalnim vlastima, socijalnim partnerima, organizacijama civilnog društva i drugim relevantnim dionicima te način na koji se doprinos dionika odražava u planu i postupku provedbe; te</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20</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13. – stavak 2. – podstavak 2. – točka iv.</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iv.</w:t>
            </w:r>
            <w:r w:rsidRPr="006F587D">
              <w:tab/>
              <w:t>pridonosi provedbi relevantnih preporuka upućenih dotičnoj državi članici, uključujući, prema potrebi, preporuke upućene u okviru postupka u slučaju makroekonomskih neravnoteža;</w:t>
            </w:r>
          </w:p>
        </w:tc>
        <w:tc>
          <w:tcPr>
            <w:tcW w:w="4876" w:type="dxa"/>
            <w:hideMark/>
          </w:tcPr>
          <w:p w:rsidR="00457B38" w:rsidRPr="006F587D" w:rsidRDefault="00604E9C" w:rsidP="00F56D04">
            <w:pPr>
              <w:pStyle w:val="Normal6"/>
              <w:rPr>
                <w:szCs w:val="24"/>
              </w:rPr>
            </w:pPr>
            <w:r w:rsidRPr="006F587D">
              <w:t>iv.</w:t>
            </w:r>
            <w:r w:rsidRPr="006F587D">
              <w:tab/>
              <w:t xml:space="preserve">pridonosi provedbi relevantnih preporuka upućenih dotičnoj državi članici, </w:t>
            </w:r>
            <w:r w:rsidRPr="006F587D">
              <w:rPr>
                <w:b/>
                <w:i/>
              </w:rPr>
              <w:t xml:space="preserve">u okviru članka 121. stavka 4. i članka 148. stavka 4. UFEU-a </w:t>
            </w:r>
            <w:r w:rsidRPr="006F587D">
              <w:t>uključujući, prema potrebi, preporuke upućene u okviru postupka u slučaju makroekonomskih neravnoteža</w:t>
            </w:r>
            <w:r w:rsidRPr="006F587D">
              <w:rPr>
                <w:b/>
                <w:i/>
              </w:rPr>
              <w:t>, kao i unutar okvira za socijalnu konvergenciju</w:t>
            </w:r>
            <w:r w:rsidRPr="006F587D">
              <w:t>;</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21</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16.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 xml:space="preserve">Vijeće na preporuku Komisije donosi preporuku kojom se utvrđuje kretanje neto rashoda dotične države članice i, prema potrebi, potvrđuje skup reformskih i ulagačkih obveza na kojima se temelji produljenje razdoblja prilagodbe iz njezina nacionalnog srednjoročnog fiskalno-strukturnog plana, u pravilu </w:t>
            </w:r>
            <w:r w:rsidRPr="006F587D">
              <w:rPr>
                <w:b/>
                <w:i/>
              </w:rPr>
              <w:t>u roku od četiri tjedna</w:t>
            </w:r>
            <w:r w:rsidRPr="006F587D">
              <w:t xml:space="preserve"> nakon što Komisija donese </w:t>
            </w:r>
            <w:r w:rsidRPr="006F587D">
              <w:lastRenderedPageBreak/>
              <w:t>preporuku.</w:t>
            </w:r>
          </w:p>
        </w:tc>
        <w:tc>
          <w:tcPr>
            <w:tcW w:w="4876" w:type="dxa"/>
            <w:hideMark/>
          </w:tcPr>
          <w:p w:rsidR="00457B38" w:rsidRPr="006F587D" w:rsidRDefault="00604E9C" w:rsidP="00F56D04">
            <w:pPr>
              <w:pStyle w:val="Normal6"/>
              <w:rPr>
                <w:szCs w:val="24"/>
              </w:rPr>
            </w:pPr>
            <w:r w:rsidRPr="006F587D">
              <w:lastRenderedPageBreak/>
              <w:t xml:space="preserve">Vijeće na preporuku Komisije </w:t>
            </w:r>
            <w:r w:rsidRPr="006F587D">
              <w:rPr>
                <w:b/>
                <w:i/>
              </w:rPr>
              <w:t xml:space="preserve">i nakon savjetovanja s relevantnim savjetodavnim odborima utvrđenim u skladu s člankom 26. </w:t>
            </w:r>
            <w:r w:rsidRPr="006F587D">
              <w:t xml:space="preserve">donosi preporuku kojom se utvrđuje kretanje neto rashoda dotične države članice i, prema potrebi, potvrđuje skup reformskih i ulagačkih obveza na kojima se temelji produljenje razdoblja prilagodbe iz njezina nacionalnog srednjoročnog </w:t>
            </w:r>
            <w:r w:rsidRPr="006F587D">
              <w:lastRenderedPageBreak/>
              <w:t xml:space="preserve">fiskalno-strukturnog plana, u pravilu </w:t>
            </w:r>
            <w:r w:rsidRPr="006F587D">
              <w:rPr>
                <w:b/>
                <w:i/>
              </w:rPr>
              <w:t>između šest i deset tjedana</w:t>
            </w:r>
            <w:r w:rsidRPr="006F587D">
              <w:t xml:space="preserve"> nakon što Komisija donese preporuku.</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22</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17.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Ako smatra da plan nije u skladu sa zahtjevima iz članka 15. stavka 2. i stavka 3. točke (a), Vijeće na preporuku Komisije preporučuje da dotična država članica podnese revidirani nacionalni srednjoročni fiskalno-strukturni plan.</w:t>
            </w:r>
          </w:p>
        </w:tc>
        <w:tc>
          <w:tcPr>
            <w:tcW w:w="4876" w:type="dxa"/>
            <w:hideMark/>
          </w:tcPr>
          <w:p w:rsidR="00457B38" w:rsidRPr="006F587D" w:rsidRDefault="00604E9C" w:rsidP="00F56D04">
            <w:pPr>
              <w:pStyle w:val="Normal6"/>
              <w:rPr>
                <w:szCs w:val="24"/>
              </w:rPr>
            </w:pPr>
            <w:r w:rsidRPr="006F587D">
              <w:t>Ako smatra da plan nije u skladu sa zahtjevima iz članka 15. stavka 2. i stavka 3. točke (a)</w:t>
            </w:r>
            <w:r w:rsidRPr="006F587D">
              <w:rPr>
                <w:b/>
                <w:i/>
              </w:rPr>
              <w:t xml:space="preserve"> i (b)</w:t>
            </w:r>
            <w:r w:rsidRPr="006F587D">
              <w:t>, Vijeće na preporuku Komisije</w:t>
            </w:r>
            <w:r w:rsidRPr="006F587D">
              <w:rPr>
                <w:b/>
                <w:i/>
              </w:rPr>
              <w:t xml:space="preserve"> i nakon savjetovanja s relevantnim savjetodavnim odborima utvrđenima u skladu s člankom 26.</w:t>
            </w:r>
            <w:r w:rsidRPr="006F587D">
              <w:t xml:space="preserve"> preporučuje da dotična država članica podnese revidirani nacionalni srednjoročni fiskalno-strukturni plan.</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23</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20. – stavak 2.</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2.</w:t>
            </w:r>
            <w:r w:rsidRPr="006F587D">
              <w:tab/>
              <w:t>Godišnje izvješće o napretku iz stavka 1. sadržava prije svega informacije o napretku u provedbi kretanja neto rashoda, provedbi općih reformskih i ulagačkih obveza u kontekstu europskog semestra</w:t>
            </w:r>
            <w:r w:rsidRPr="006F587D">
              <w:rPr>
                <w:b/>
                <w:i/>
              </w:rPr>
              <w:t xml:space="preserve"> te</w:t>
            </w:r>
            <w:r w:rsidRPr="006F587D">
              <w:t>, prema potrebi, u provedbi reformskih i ulagačkih obveza na kojima se temelji produljenje razdoblja prilagodbe.</w:t>
            </w:r>
          </w:p>
        </w:tc>
        <w:tc>
          <w:tcPr>
            <w:tcW w:w="4876" w:type="dxa"/>
            <w:hideMark/>
          </w:tcPr>
          <w:p w:rsidR="00457B38" w:rsidRPr="006F587D" w:rsidRDefault="00604E9C" w:rsidP="00F56D04">
            <w:pPr>
              <w:pStyle w:val="Normal6"/>
              <w:rPr>
                <w:szCs w:val="24"/>
              </w:rPr>
            </w:pPr>
            <w:r w:rsidRPr="006F587D">
              <w:t>2.</w:t>
            </w:r>
            <w:r w:rsidRPr="006F587D">
              <w:tab/>
              <w:t>Godišnje izvješće o napretku iz stavka 1. sadržava prije svega informacije o napretku u provedbi kretanja neto rashoda, provedbi općih reformskih i ulagačkih obveza u kontekstu europskog semestra</w:t>
            </w:r>
            <w:r w:rsidRPr="006F587D">
              <w:rPr>
                <w:b/>
                <w:i/>
              </w:rPr>
              <w:t>, uključujući napredak u ostvarivanju ciljeva Unije i nacionalnih ciljeva u pogledu zapošljavanja</w:t>
            </w:r>
            <w:r w:rsidRPr="006F587D">
              <w:t>,</w:t>
            </w:r>
            <w:r w:rsidRPr="006F587D">
              <w:rPr>
                <w:b/>
                <w:i/>
              </w:rPr>
              <w:t xml:space="preserve"> osposobljavanja i smanjenja siromaštva do 2030. i zajedničkim prioritetima Unije iz Priloga VI., te</w:t>
            </w:r>
            <w:r w:rsidRPr="006F587D">
              <w:t xml:space="preserve"> prema potrebi, u provedbi reformskih i ulagačkih obveza na kojima se temelji produljenje razdoblja prilagodbe.</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24</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lastRenderedPageBreak/>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22.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Svaka neovisna nacionalna fiskalna institucija iz članka</w:t>
            </w:r>
            <w:r w:rsidRPr="006F587D">
              <w:rPr>
                <w:b/>
                <w:i/>
              </w:rPr>
              <w:t> </w:t>
            </w:r>
            <w:r w:rsidRPr="006F587D">
              <w:t>8. Direktive Vijeća [...]</w:t>
            </w:r>
            <w:r w:rsidRPr="006F587D">
              <w:rPr>
                <w:vertAlign w:val="superscript"/>
              </w:rPr>
              <w:t>32</w:t>
            </w:r>
            <w:r w:rsidRPr="006F587D">
              <w:t xml:space="preserve"> [o nacionalnim proračunskim okvirima] dostavlja procjenu usklađenosti podataka o realizaciji proračuna navedenih u izvješću o napretku iz članka 20. s kretanjem neto rashoda. Svaka neovisna nacionalna fiskalna institucija prema potrebi analizira i čimbenike na kojima se temelji odstupanje od kretanja neto rashoda.</w:t>
            </w:r>
          </w:p>
        </w:tc>
        <w:tc>
          <w:tcPr>
            <w:tcW w:w="4876" w:type="dxa"/>
            <w:hideMark/>
          </w:tcPr>
          <w:p w:rsidR="00457B38" w:rsidRPr="006F587D" w:rsidRDefault="00604E9C" w:rsidP="00F56D04">
            <w:pPr>
              <w:pStyle w:val="Normal6"/>
              <w:rPr>
                <w:szCs w:val="24"/>
              </w:rPr>
            </w:pPr>
            <w:r w:rsidRPr="006F587D">
              <w:t>Svaka neovisna nacionalna fiskalna institucija iz članka</w:t>
            </w:r>
            <w:r w:rsidRPr="006F587D">
              <w:rPr>
                <w:b/>
                <w:i/>
              </w:rPr>
              <w:t xml:space="preserve"> </w:t>
            </w:r>
            <w:r w:rsidRPr="006F587D">
              <w:t>8. Direktive Vijeća [...]</w:t>
            </w:r>
            <w:r w:rsidRPr="006F587D">
              <w:rPr>
                <w:vertAlign w:val="superscript"/>
              </w:rPr>
              <w:t>32</w:t>
            </w:r>
            <w:r w:rsidRPr="006F587D">
              <w:t xml:space="preserve"> [o nacionalnim proračunskim okvirima]</w:t>
            </w:r>
            <w:r w:rsidRPr="006F587D">
              <w:rPr>
                <w:b/>
                <w:i/>
              </w:rPr>
              <w:t>:</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(a)</w:t>
            </w:r>
            <w:r w:rsidRPr="006F587D">
              <w:t xml:space="preserve"> </w:t>
            </w:r>
            <w:r w:rsidRPr="006F587D">
              <w:tab/>
              <w:t>dostavlja procjenu usklađenosti podataka o realizaciji proračuna navedenih u izvješću o napretku iz članka 20. ove Uredbe s kretanjem neto rashoda;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(b)</w:t>
            </w:r>
            <w:r w:rsidRPr="006F587D">
              <w:t xml:space="preserve"> </w:t>
            </w:r>
            <w:r w:rsidRPr="006F587D">
              <w:tab/>
              <w:t>prema potrebi analizira i čimbenike na kojima se temelji odstupanje od kretanja neto rashoda;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 xml:space="preserve">(c) </w:t>
            </w:r>
            <w:r w:rsidRPr="006F587D">
              <w:tab/>
            </w:r>
            <w:r w:rsidRPr="006F587D">
              <w:rPr>
                <w:b/>
                <w:i/>
              </w:rPr>
              <w:t>dostavlja procjenu socijalnog učinka političkih odluka u pogledu fiskalne prilagodbe.</w:t>
            </w:r>
          </w:p>
        </w:tc>
      </w:tr>
      <w:tr w:rsidR="006F587D" w:rsidRPr="006F587D" w:rsidTr="00F56D04">
        <w:trPr>
          <w:jc w:val="center"/>
        </w:trPr>
        <w:tc>
          <w:tcPr>
            <w:tcW w:w="4876" w:type="dxa"/>
            <w:hideMark/>
          </w:tcPr>
          <w:p w:rsidR="00457B38" w:rsidRPr="006F587D" w:rsidRDefault="00604E9C" w:rsidP="00F56D04">
            <w:pPr>
              <w:pStyle w:val="Normal6"/>
            </w:pPr>
            <w:r w:rsidRPr="006F587D">
              <w:t>__________________</w:t>
            </w:r>
          </w:p>
        </w:tc>
        <w:tc>
          <w:tcPr>
            <w:tcW w:w="4876" w:type="dxa"/>
            <w:hideMark/>
          </w:tcPr>
          <w:p w:rsidR="00457B38" w:rsidRPr="006F587D" w:rsidRDefault="00604E9C" w:rsidP="00F56D04">
            <w:pPr>
              <w:pStyle w:val="Normal6"/>
              <w:rPr>
                <w:szCs w:val="24"/>
              </w:rPr>
            </w:pPr>
            <w:r w:rsidRPr="006F587D">
              <w:t>__________________</w:t>
            </w:r>
          </w:p>
        </w:tc>
      </w:tr>
      <w:tr w:rsidR="006F587D" w:rsidRPr="006F587D" w:rsidTr="00F56D04">
        <w:trPr>
          <w:jc w:val="center"/>
        </w:trPr>
        <w:tc>
          <w:tcPr>
            <w:tcW w:w="4876" w:type="dxa"/>
            <w:hideMark/>
          </w:tcPr>
          <w:p w:rsidR="00457B38" w:rsidRPr="006F587D" w:rsidRDefault="00604E9C" w:rsidP="00F56D04">
            <w:pPr>
              <w:pStyle w:val="Normal6"/>
            </w:pPr>
            <w:r w:rsidRPr="006F587D">
              <w:rPr>
                <w:vertAlign w:val="superscript"/>
              </w:rPr>
              <w:t>32</w:t>
            </w:r>
            <w:r w:rsidRPr="006F587D">
              <w:t>Direktiva Vijeća [...] od [...] [o izmjeni Direktive Vijeća 2011/85/EU o zahtjevima za proračunske okvire država članica] (SL L…., …, str.…).</w:t>
            </w:r>
          </w:p>
        </w:tc>
        <w:tc>
          <w:tcPr>
            <w:tcW w:w="4876" w:type="dxa"/>
            <w:hideMark/>
          </w:tcPr>
          <w:p w:rsidR="00457B38" w:rsidRPr="006F587D" w:rsidRDefault="00604E9C" w:rsidP="00F56D04">
            <w:pPr>
              <w:pStyle w:val="Normal6"/>
              <w:rPr>
                <w:szCs w:val="24"/>
              </w:rPr>
            </w:pPr>
            <w:r w:rsidRPr="006F587D">
              <w:rPr>
                <w:vertAlign w:val="superscript"/>
              </w:rPr>
              <w:t>32</w:t>
            </w:r>
            <w:r w:rsidRPr="006F587D">
              <w:t>Direktiva Vijeća [...] od [...] [o izmjeni Direktive Vijeća 2011/85/EU o zahtjevima za proračunske okvire država članica] (SL L…., …, str.…).</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25</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26. – stavak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 xml:space="preserve">Europski parlament propisno sudjeluje u europskom semestru radi povećanja transparentnosti, proaktivnosti i zajedničke odgovornosti za donesene odluke, posebno putem gospodarskog dijaloga. U okviru europskog semestra traži se, prema potrebi, </w:t>
            </w:r>
            <w:r w:rsidRPr="006F587D">
              <w:lastRenderedPageBreak/>
              <w:t>mišljenje Gospodarskog i financijskog odbora, Odbora za ekonomsku politiku, Odbora za zapošljavanje i Odbora za socijalnu sigurnost. Relevantni dionici, posebno socijalni partneri, prema potrebi sudjeluju u okviru europskog semestra u dijalogu o glavnim pitanjima politika u skladu s odredbama UFEU-a, te nacionalnim pravnim i političkim aranžmanima.</w:t>
            </w:r>
          </w:p>
        </w:tc>
        <w:tc>
          <w:tcPr>
            <w:tcW w:w="4876" w:type="dxa"/>
            <w:hideMark/>
          </w:tcPr>
          <w:p w:rsidR="00457B38" w:rsidRPr="006F587D" w:rsidRDefault="00604E9C" w:rsidP="00F56D04">
            <w:pPr>
              <w:pStyle w:val="Normal6"/>
              <w:rPr>
                <w:szCs w:val="24"/>
              </w:rPr>
            </w:pPr>
            <w:r w:rsidRPr="006F587D">
              <w:lastRenderedPageBreak/>
              <w:t>Europski parlament propisno sudjeluje u europskom semestru radi povećanja transparentnosti, proaktivnosti i zajedničke odgovornosti za donesene odluke, posebno putem gospodarskog dijaloga</w:t>
            </w:r>
            <w:r w:rsidRPr="006F587D">
              <w:rPr>
                <w:b/>
                <w:i/>
              </w:rPr>
              <w:t xml:space="preserve"> i dijaloga o zapošljavanju, kao i radi utvrđivanja </w:t>
            </w:r>
            <w:r w:rsidRPr="006F587D">
              <w:rPr>
                <w:b/>
                <w:i/>
              </w:rPr>
              <w:lastRenderedPageBreak/>
              <w:t>prioriteta makroekonomske i socijalne politike</w:t>
            </w:r>
            <w:r w:rsidRPr="006F587D">
              <w:t xml:space="preserve">. U okviru europskog semestra traži se, prema potrebi, mišljenje Gospodarskog i financijskog odbora, Odbora za ekonomsku politiku, Odbora za zapošljavanje i Odbora za socijalnu sigurnost. </w:t>
            </w:r>
            <w:r w:rsidRPr="006F587D">
              <w:rPr>
                <w:b/>
                <w:i/>
              </w:rPr>
              <w:t>Također se, prema potrebi, u okviru europskog semestra provodi savjetovanje s Europskim gospodarskim i socijalnim odborom i Odborom regija.</w:t>
            </w:r>
            <w:r w:rsidRPr="006F587D">
              <w:t xml:space="preserve"> Relevantni dionici, posebno socijalni partneri</w:t>
            </w:r>
            <w:r w:rsidRPr="006F587D">
              <w:rPr>
                <w:b/>
                <w:i/>
              </w:rPr>
              <w:t xml:space="preserve"> i organizacije civilnog društva</w:t>
            </w:r>
            <w:r w:rsidRPr="006F587D">
              <w:t>, prema potrebi sudjeluju u okviru europskog semestra u dijalogu o glavnim pitanjima politika u skladu s odredbama UFEU-a, te nacionalnim pravnim i političkim aranžmanima.</w:t>
            </w:r>
          </w:p>
        </w:tc>
      </w:tr>
    </w:tbl>
    <w:p w:rsidR="00457B38" w:rsidRPr="006F587D" w:rsidRDefault="00604E9C" w:rsidP="00457B38">
      <w:pPr>
        <w:rPr>
          <w:rFonts w:eastAsiaTheme="majorEastAsia"/>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26</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26. – stavak 2.</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Kako bi se poboljšao dijalog između institucija Unije, posebno Europskog parlamenta, Vijeća i Komisije, te kako bi se osigurala transparentnost i odgovornost, Europski parlament može pozvati predsjednika Vijeća, Komisije i, prema potrebi, predsjednika Europskog vijeća ili predsjednika Euroskupine da se pojave pred njim radi rasprave o političkim smjernicama koje je Komisija uputila državama članicama, zaključcima Europskog vijeća i rezultatima multilateralnog nadzora provedenog na temelju ove Uredbe.</w:t>
            </w:r>
          </w:p>
        </w:tc>
        <w:tc>
          <w:tcPr>
            <w:tcW w:w="4876" w:type="dxa"/>
            <w:hideMark/>
          </w:tcPr>
          <w:p w:rsidR="00457B38" w:rsidRPr="006F587D" w:rsidRDefault="00604E9C" w:rsidP="00F56D04">
            <w:pPr>
              <w:pStyle w:val="Normal6"/>
              <w:rPr>
                <w:szCs w:val="24"/>
              </w:rPr>
            </w:pPr>
            <w:r w:rsidRPr="006F587D">
              <w:t>Kako bi se poboljšao dijalog između institucija Unije, posebno Europskog parlamenta, Vijeća i Komisije, te kako bi se osigurala transparentnost i odgovornost, Europski parlament može pozvati predsjednika Vijeća, Komisije i, prema potrebi, predsjednika Europskog vijeća ili predsjednika Euroskupine da se pojave pred njim radi rasprave o političkim smjernicama koje je Komisija uputila državama članicama, zaključcima Europskog vijeća i rezultatima multilateralnog nadzora provedenog na temelju ove Uredbe</w:t>
            </w:r>
            <w:r w:rsidRPr="006F587D">
              <w:rPr>
                <w:b/>
                <w:i/>
              </w:rPr>
              <w:t>, uključujući sustave ranog upozoravanja uspostavljene u skladu s člankom 121. stavkom 4. i člankom 148. UFEU-a</w:t>
            </w:r>
            <w:r w:rsidRPr="006F587D">
              <w:t>.</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27</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lastRenderedPageBreak/>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Članak 26. – stavak 3.a (novi)</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Nadležni odbori Europskog parlamenta mogu pozvati Komisiju da raspravi o sljedećim pitanjima: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(a)</w:t>
            </w:r>
            <w:r w:rsidRPr="006F587D">
              <w:rPr>
                <w:b/>
                <w:i/>
              </w:rPr>
              <w:tab/>
              <w:t>Komisijinoj procjeni srednjoročne projekcije javnog duga nacionalnih srednjoročnih fiskalno-strukturnih planova i analizi održivosti duga;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(b)</w:t>
            </w:r>
            <w:r w:rsidRPr="006F587D">
              <w:rPr>
                <w:b/>
                <w:i/>
              </w:rPr>
              <w:tab/>
              <w:t xml:space="preserve"> procjeni informacija koje države članice trebaju navesti u godišnjim izvješćima o napretku;</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(c)</w:t>
            </w:r>
            <w:r w:rsidRPr="006F587D">
              <w:rPr>
                <w:b/>
                <w:i/>
              </w:rPr>
              <w:tab/>
              <w:t>procjeni skupa reformskih i ulagačkih obveza na kojima se temelji produljenje razdoblja prilagodbe;</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(d) evaluaciji preporuka za pojedinu zemlju i rizika socijalne konvergencije te napretku u provedbi načela europskog stupa socijalnih prava.</w:t>
            </w:r>
          </w:p>
        </w:tc>
      </w:tr>
    </w:tbl>
    <w:p w:rsidR="00457B38" w:rsidRPr="006F587D" w:rsidRDefault="00604E9C" w:rsidP="00457B38">
      <w:pPr>
        <w:rPr>
          <w:rStyle w:val="HideTWBExt"/>
          <w:rFonts w:eastAsiaTheme="majorEastAsia"/>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28</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d</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(d)</w:t>
            </w:r>
            <w:r w:rsidRPr="006F587D">
              <w:tab/>
              <w:t xml:space="preserve">informacije o implicitnim </w:t>
            </w:r>
            <w:r w:rsidRPr="006F587D">
              <w:rPr>
                <w:b/>
                <w:i/>
              </w:rPr>
              <w:t xml:space="preserve">obvezama povezanima sa starenjem stanovništva </w:t>
            </w:r>
            <w:r w:rsidRPr="006F587D">
              <w:t>i nepredviđenim obvezama s potencijalno velikim učinkom na državne proračune, uključujući državna jamstva, neprihodonosne kredite i obveze koje proizlaze iz poslovanja javnih poduzeća, uključujući njihov opseg, potencijalne troškove i obveze koji proizlaze iz sudskih postupaka i, u mjeri u kojoj je to moguće, informacije o potencijalnim obvezama povezanima s katastrofama i klimom;</w:t>
            </w:r>
          </w:p>
        </w:tc>
        <w:tc>
          <w:tcPr>
            <w:tcW w:w="4876" w:type="dxa"/>
            <w:hideMark/>
          </w:tcPr>
          <w:p w:rsidR="00457B38" w:rsidRPr="006F587D" w:rsidRDefault="00604E9C" w:rsidP="00F56D04">
            <w:pPr>
              <w:pStyle w:val="Normal6"/>
              <w:rPr>
                <w:szCs w:val="24"/>
              </w:rPr>
            </w:pPr>
            <w:r w:rsidRPr="006F587D">
              <w:t>(d)</w:t>
            </w:r>
            <w:r w:rsidRPr="006F587D">
              <w:tab/>
              <w:t>informacije o implicitnim i nepredviđenim obvezama s potencijalno velikim učinkom na državne proračune, uključujući državna jamstva, neprihodonosne kredite i obveze koje proizlaze iz poslovanja javnih poduzeća, uključujući njihov opseg, potencijalne troškove i obveze koji proizlaze iz sudskih postupaka i, u mjeri u kojoj je to moguće, informacije o potencijalnim obvezama povezanima s katastrofama i klimom.</w:t>
            </w:r>
          </w:p>
        </w:tc>
      </w:tr>
    </w:tbl>
    <w:p w:rsidR="00457B38" w:rsidRPr="006F587D" w:rsidRDefault="00604E9C" w:rsidP="00457B38">
      <w:pPr>
        <w:pStyle w:val="AMNumberTabs0"/>
        <w:keepNext/>
      </w:pPr>
      <w:r w:rsidRPr="006F587D">
        <w:rPr>
          <w:rStyle w:val="HideTWBExt"/>
          <w:b w:val="0"/>
          <w:szCs w:val="24"/>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29</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f</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(f)</w:t>
            </w:r>
            <w:r w:rsidRPr="006F587D">
              <w:tab/>
              <w:t>ako država članica primijeni pretpostavke iz točke (e) koje se razlikuju od Komisijinih pretpostavki za razdoblje prilagodbe nacionalnog srednjoročnog fiskalno-strukturnog plana i naredno desetogodišnje razdoblje bez dodatnih proračunskih mjera: odgovarajuća objašnjenja i obrazloženja tih razlika utemeljena na uvjerljivim ekonomskim argumentima.</w:t>
            </w:r>
          </w:p>
        </w:tc>
        <w:tc>
          <w:tcPr>
            <w:tcW w:w="4876" w:type="dxa"/>
            <w:hideMark/>
          </w:tcPr>
          <w:p w:rsidR="00457B38" w:rsidRPr="006F587D" w:rsidRDefault="00604E9C" w:rsidP="00F56D04">
            <w:pPr>
              <w:pStyle w:val="Normal6"/>
              <w:rPr>
                <w:szCs w:val="24"/>
              </w:rPr>
            </w:pPr>
            <w:r w:rsidRPr="006F587D">
              <w:t>(f)</w:t>
            </w:r>
            <w:r w:rsidRPr="006F587D">
              <w:tab/>
              <w:t xml:space="preserve">ako država članica primijeni pretpostavke iz točke (e) koje se razlikuju od Komisijinih pretpostavki za razdoblje prilagodbe nacionalnog srednjoročnog fiskalno-strukturnog plana i naredno desetogodišnje razdoblje bez dodatnih proračunskih mjera: odgovarajuća objašnjenja i obrazloženja tih razlika utemeljena na uvjerljivim ekonomskim </w:t>
            </w:r>
            <w:r w:rsidRPr="006F587D">
              <w:rPr>
                <w:b/>
                <w:i/>
              </w:rPr>
              <w:t xml:space="preserve">i socijalnim </w:t>
            </w:r>
            <w:r w:rsidRPr="006F587D">
              <w:t>argumentima.</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30</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g</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(g)</w:t>
            </w:r>
            <w:r w:rsidRPr="006F587D">
              <w:tab/>
              <w:t>analiza načina na koji bi promjene glavnih ekonomskih pretpostavki utjecale na stanje proračuna i dug države članice;</w:t>
            </w:r>
          </w:p>
        </w:tc>
        <w:tc>
          <w:tcPr>
            <w:tcW w:w="4876" w:type="dxa"/>
            <w:hideMark/>
          </w:tcPr>
          <w:p w:rsidR="00457B38" w:rsidRPr="006F587D" w:rsidRDefault="00604E9C" w:rsidP="00F56D04">
            <w:pPr>
              <w:pStyle w:val="Normal6"/>
              <w:rPr>
                <w:szCs w:val="24"/>
              </w:rPr>
            </w:pPr>
            <w:r w:rsidRPr="006F587D">
              <w:t>(g)</w:t>
            </w:r>
            <w:r w:rsidRPr="006F587D">
              <w:tab/>
              <w:t xml:space="preserve">analiza načina na koji bi promjene glavnih ekonomskih </w:t>
            </w:r>
            <w:r w:rsidRPr="006F587D">
              <w:rPr>
                <w:b/>
                <w:i/>
              </w:rPr>
              <w:t xml:space="preserve">i socijalnih </w:t>
            </w:r>
            <w:r w:rsidRPr="006F587D">
              <w:t>pretpostavki utjecale na stanje proračuna i dug države članice</w:t>
            </w:r>
            <w:r w:rsidRPr="006F587D">
              <w:rPr>
                <w:b/>
                <w:i/>
              </w:rPr>
              <w:t xml:space="preserve"> te na postizanje nacionalnih ciljeva povezanih s glavnim ciljevima europskog stupa socijalnih prava i njihovim glavnim sekundarnim pokazateljima i zajedničkim prioritetima Unije</w:t>
            </w:r>
            <w:r w:rsidRPr="006F587D">
              <w:t>;</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31</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h</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(h)</w:t>
            </w:r>
            <w:r w:rsidRPr="006F587D">
              <w:tab/>
              <w:t xml:space="preserve">ako je primjenjivo, propisno obrazložene razloge (s relevantnim </w:t>
            </w:r>
            <w:r w:rsidRPr="006F587D">
              <w:lastRenderedPageBreak/>
              <w:t>uvjerljivim i provjerljivim ekonomskim argumentima) za odstupanje od tehničkog smjera kretanja koji je predložila Komisija;</w:t>
            </w:r>
          </w:p>
        </w:tc>
        <w:tc>
          <w:tcPr>
            <w:tcW w:w="4876" w:type="dxa"/>
            <w:hideMark/>
          </w:tcPr>
          <w:p w:rsidR="00457B38" w:rsidRPr="006F587D" w:rsidRDefault="00604E9C" w:rsidP="00F56D04">
            <w:pPr>
              <w:pStyle w:val="Normal6"/>
              <w:rPr>
                <w:szCs w:val="24"/>
              </w:rPr>
            </w:pPr>
            <w:r w:rsidRPr="006F587D">
              <w:lastRenderedPageBreak/>
              <w:t>(h)</w:t>
            </w:r>
            <w:r w:rsidRPr="006F587D">
              <w:tab/>
              <w:t xml:space="preserve">ako je primjenjivo, propisno obrazložene razloge (s relevantnim </w:t>
            </w:r>
            <w:r w:rsidRPr="006F587D">
              <w:lastRenderedPageBreak/>
              <w:t xml:space="preserve">uvjerljivim i provjerljivim ekonomskim </w:t>
            </w:r>
            <w:r w:rsidRPr="006F587D">
              <w:rPr>
                <w:b/>
                <w:i/>
              </w:rPr>
              <w:t xml:space="preserve">i socijalnim </w:t>
            </w:r>
            <w:r w:rsidRPr="006F587D">
              <w:t>argumentima) za odstupanje od tehničkog smjera kretanja koji je predložila Komisija;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32</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j</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(j)</w:t>
            </w:r>
            <w:r w:rsidRPr="006F587D">
              <w:tab/>
              <w:t>ukupni rashodi za javna ulaganja te rashodi za reforme i javna ulaganja koji se odnose na zajedničke prioritete Unije iz Priloga VI.</w:t>
            </w:r>
          </w:p>
        </w:tc>
        <w:tc>
          <w:tcPr>
            <w:tcW w:w="4876" w:type="dxa"/>
            <w:hideMark/>
          </w:tcPr>
          <w:p w:rsidR="00457B38" w:rsidRPr="006F587D" w:rsidRDefault="00604E9C" w:rsidP="00F56D04">
            <w:pPr>
              <w:pStyle w:val="Normal6"/>
              <w:rPr>
                <w:szCs w:val="24"/>
              </w:rPr>
            </w:pPr>
            <w:r w:rsidRPr="006F587D">
              <w:t>(j)</w:t>
            </w:r>
            <w:r w:rsidRPr="006F587D">
              <w:tab/>
              <w:t xml:space="preserve">ukupni rashodi za javna ulaganja te rashodi za reforme i javna ulaganja koji se odnose na </w:t>
            </w:r>
            <w:r w:rsidRPr="006F587D">
              <w:rPr>
                <w:b/>
                <w:i/>
              </w:rPr>
              <w:t xml:space="preserve">sve </w:t>
            </w:r>
            <w:r w:rsidRPr="006F587D">
              <w:t>zajedničke prioritete Unije iz Priloga VI.</w:t>
            </w:r>
            <w:r w:rsidRPr="006F587D">
              <w:rPr>
                <w:b/>
                <w:i/>
              </w:rPr>
              <w:t>;</w:t>
            </w:r>
          </w:p>
        </w:tc>
      </w:tr>
    </w:tbl>
    <w:p w:rsidR="00457B38" w:rsidRPr="006F587D" w:rsidRDefault="00604E9C" w:rsidP="00457B38">
      <w:pPr>
        <w:rPr>
          <w:rFonts w:eastAsiaTheme="majorEastAsia"/>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33</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k</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(k)</w:t>
            </w:r>
            <w:r w:rsidRPr="006F587D">
              <w:tab/>
              <w:t>ako je primjenjivo, informacije o specifičnom, vremenski ograničenom i provjerljivom skupu reformskih i ulagačkih obveza na kojima se temelji produljenje razdoblja prilagodbe u skladu s člankom 13., rok za njihovu provedbu te uvjerljivi ekonomski argumenti koji pokazuju da taj skup reformskih i ulagačkih obveza ispunjava kriterije iz članka 13., uzimajući u obzir kriterije za procjenu iz Priloga VII.;</w:t>
            </w:r>
          </w:p>
        </w:tc>
        <w:tc>
          <w:tcPr>
            <w:tcW w:w="4876" w:type="dxa"/>
            <w:hideMark/>
          </w:tcPr>
          <w:p w:rsidR="00457B38" w:rsidRPr="006F587D" w:rsidRDefault="00604E9C" w:rsidP="00F56D04">
            <w:pPr>
              <w:pStyle w:val="Normal6"/>
              <w:rPr>
                <w:szCs w:val="24"/>
              </w:rPr>
            </w:pPr>
            <w:r w:rsidRPr="006F587D">
              <w:t>(k)</w:t>
            </w:r>
            <w:r w:rsidRPr="006F587D">
              <w:tab/>
              <w:t xml:space="preserve">ako je primjenjivo, informacije o specifičnom, vremenski ograničenom i provjerljivom skupu reformskih i ulagačkih obveza na kojima se temelji produljenje razdoblja prilagodbe u skladu s člankom 13., rok za njihovu provedbu te uvjerljivi ekonomski </w:t>
            </w:r>
            <w:r w:rsidRPr="006F587D">
              <w:rPr>
                <w:b/>
                <w:i/>
              </w:rPr>
              <w:t xml:space="preserve">i socijalni </w:t>
            </w:r>
            <w:r w:rsidRPr="006F587D">
              <w:t>argumenti koji pokazuju da taj skup reformskih i ulagačkih obveza ispunjava kriterije iz članka 13., uzimajući u obzir kriterije za procjenu iz Priloga VII.;</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34</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l</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(l)</w:t>
            </w:r>
            <w:r w:rsidRPr="006F587D">
              <w:tab/>
              <w:t xml:space="preserve">kvantifikacija, u najvećoj mogućoj mjeri, očekivanih učinaka reformi i </w:t>
            </w:r>
            <w:r w:rsidRPr="006F587D">
              <w:lastRenderedPageBreak/>
              <w:t>ulaganja iz točke (k) na fiskalnu održivost, rast i zapošljavanje, prema potrebi u skladu sa zajednički dogovorenim metodologijama;</w:t>
            </w:r>
          </w:p>
        </w:tc>
        <w:tc>
          <w:tcPr>
            <w:tcW w:w="4876" w:type="dxa"/>
            <w:hideMark/>
          </w:tcPr>
          <w:p w:rsidR="00457B38" w:rsidRPr="006F587D" w:rsidRDefault="00604E9C" w:rsidP="00F56D04">
            <w:pPr>
              <w:pStyle w:val="Normal6"/>
              <w:rPr>
                <w:szCs w:val="24"/>
              </w:rPr>
            </w:pPr>
            <w:r w:rsidRPr="006F587D">
              <w:lastRenderedPageBreak/>
              <w:t>(l)</w:t>
            </w:r>
            <w:r w:rsidRPr="006F587D">
              <w:tab/>
              <w:t xml:space="preserve">kvantifikacija, u najvećoj mogućoj mjeri, očekivanih učinaka reformi i </w:t>
            </w:r>
            <w:r w:rsidRPr="006F587D">
              <w:lastRenderedPageBreak/>
              <w:t xml:space="preserve">ulaganja iz točke (k) na fiskalnu održivost, </w:t>
            </w:r>
            <w:r w:rsidRPr="006F587D">
              <w:rPr>
                <w:b/>
                <w:i/>
              </w:rPr>
              <w:t xml:space="preserve">održivi i uključivi </w:t>
            </w:r>
            <w:r w:rsidRPr="006F587D">
              <w:t>rast i</w:t>
            </w:r>
            <w:r w:rsidRPr="006F587D">
              <w:rPr>
                <w:b/>
                <w:i/>
              </w:rPr>
              <w:t xml:space="preserve"> konkurentnost, kvalitetno</w:t>
            </w:r>
            <w:r w:rsidRPr="006F587D">
              <w:t xml:space="preserve"> zapošljavanje</w:t>
            </w:r>
            <w:r w:rsidRPr="006F587D">
              <w:rPr>
                <w:b/>
                <w:i/>
              </w:rPr>
              <w:t>, kao i uzlaznu socijalnu konvergenciju</w:t>
            </w:r>
            <w:r w:rsidRPr="006F587D">
              <w:t>, prema potrebi u skladu sa zajednički dogovorenim metodologijama;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35</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na (nova)</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(na)</w:t>
            </w:r>
            <w:r w:rsidRPr="006F587D">
              <w:rPr>
                <w:b/>
                <w:i/>
              </w:rPr>
              <w:tab/>
              <w:t>ako je primjenjivo, reforme i ulaganja za ispravljanje utvrđenih rizika socijalne konvergencije unutar okvira za socijalnu konvergenciju.</w:t>
            </w:r>
          </w:p>
        </w:tc>
      </w:tr>
    </w:tbl>
    <w:p w:rsidR="00457B38" w:rsidRPr="006F587D" w:rsidRDefault="00604E9C" w:rsidP="00457B38">
      <w:pPr>
        <w:rPr>
          <w:rFonts w:eastAsiaTheme="majorEastAsia"/>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36</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p</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(p)</w:t>
            </w:r>
            <w:r w:rsidRPr="006F587D">
              <w:tab/>
              <w:t>kada je riječ o državama članicama s niskim javnim dugom, ali velikim implicitnim obvezama</w:t>
            </w:r>
            <w:r w:rsidRPr="006F587D">
              <w:rPr>
                <w:b/>
                <w:i/>
              </w:rPr>
              <w:t xml:space="preserve"> zbog starenja stanovništva</w:t>
            </w:r>
            <w:r w:rsidRPr="006F587D">
              <w:t>, pri određivanju smjera kretanja nacionalnih neto rashoda i reformi u nacionalnim srednjoročnim fiskalno-strukturnim planovima trebalo bi voditi računa o izazovima dugoročne fiskalne održivosti javnih financija.</w:t>
            </w:r>
          </w:p>
        </w:tc>
        <w:tc>
          <w:tcPr>
            <w:tcW w:w="4876" w:type="dxa"/>
            <w:hideMark/>
          </w:tcPr>
          <w:p w:rsidR="00457B38" w:rsidRPr="006F587D" w:rsidRDefault="00604E9C" w:rsidP="00F56D04">
            <w:pPr>
              <w:pStyle w:val="Normal6"/>
              <w:rPr>
                <w:szCs w:val="24"/>
              </w:rPr>
            </w:pPr>
            <w:r w:rsidRPr="006F587D">
              <w:t>(p)</w:t>
            </w:r>
            <w:r w:rsidRPr="006F587D">
              <w:tab/>
              <w:t>kada je riječ o državama članicama s niskim javnim dugom, ali velikim implicitnim obvezama, pri određivanju smjera kretanja nacionalnih neto rashoda i reformi u nacionalnim srednjoročnim fiskalno-strukturnim planovima trebalo bi voditi računa o izazovima dugoročne fiskalne održivosti javnih financija</w:t>
            </w:r>
            <w:r w:rsidRPr="006F587D">
              <w:rPr>
                <w:b/>
                <w:i/>
              </w:rPr>
              <w:t xml:space="preserve"> kao i o rizicima od socijalne konvergencije, kako je utvrđeno u najnovijem praćenju</w:t>
            </w:r>
            <w:r w:rsidRPr="006F587D">
              <w:t>.</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37</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 – stavak 1. – točka q</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(q)</w:t>
            </w:r>
            <w:r w:rsidRPr="006F587D">
              <w:tab/>
              <w:t xml:space="preserve">informacije o savjetovanjima sa </w:t>
            </w:r>
            <w:r w:rsidRPr="006F587D">
              <w:lastRenderedPageBreak/>
              <w:t>socijalnim partnerima, organizacijama civilnog društva i drugim relevantnim dionicima tijekom pripreme plana.</w:t>
            </w:r>
          </w:p>
        </w:tc>
        <w:tc>
          <w:tcPr>
            <w:tcW w:w="4876" w:type="dxa"/>
            <w:hideMark/>
          </w:tcPr>
          <w:p w:rsidR="00457B38" w:rsidRPr="006F587D" w:rsidRDefault="00604E9C" w:rsidP="00F56D04">
            <w:pPr>
              <w:pStyle w:val="Normal6"/>
              <w:rPr>
                <w:szCs w:val="24"/>
              </w:rPr>
            </w:pPr>
            <w:r w:rsidRPr="006F587D">
              <w:lastRenderedPageBreak/>
              <w:t>(q)</w:t>
            </w:r>
            <w:r w:rsidRPr="006F587D">
              <w:tab/>
              <w:t xml:space="preserve">informacije o </w:t>
            </w:r>
            <w:r w:rsidRPr="006F587D">
              <w:rPr>
                <w:b/>
                <w:i/>
              </w:rPr>
              <w:t xml:space="preserve">učinkovitim </w:t>
            </w:r>
            <w:r w:rsidRPr="006F587D">
              <w:lastRenderedPageBreak/>
              <w:t>savjetovanjima sa socijalnim partnerima, organizacijama civilnog društva i drugim relevantnim dionicima tijekom pripreme plana.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38</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III. – stavak 1. – točka b</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(b)</w:t>
            </w:r>
            <w:r w:rsidRPr="006F587D">
              <w:tab/>
              <w:t>usporedba, od početka nacionalnog srednjoročnog fiskalno-strukturnog plana, projekcija glavnih gospodarskih varijabli navedenih u tom planu i stvarnih podataka za te varijable, kao i implikacije za usklađenost s kretanjem neto rashoda koje je utvrdilo Vijeće i za predviđeno kretanje udjela javnog duga navedeno u tom planu</w:t>
            </w:r>
            <w:r w:rsidRPr="006F587D">
              <w:rPr>
                <w:b/>
                <w:i/>
              </w:rPr>
              <w:t>;</w:t>
            </w:r>
          </w:p>
        </w:tc>
        <w:tc>
          <w:tcPr>
            <w:tcW w:w="4876" w:type="dxa"/>
            <w:hideMark/>
          </w:tcPr>
          <w:p w:rsidR="00457B38" w:rsidRPr="006F587D" w:rsidRDefault="00604E9C" w:rsidP="00F56D04">
            <w:pPr>
              <w:pStyle w:val="Normal6"/>
              <w:rPr>
                <w:szCs w:val="24"/>
              </w:rPr>
            </w:pPr>
            <w:r w:rsidRPr="006F587D">
              <w:t>(b)</w:t>
            </w:r>
            <w:r w:rsidRPr="006F587D">
              <w:tab/>
              <w:t xml:space="preserve">usporedba, od početka nacionalnog srednjoročnog fiskalno-strukturnog plana, projekcija glavnih gospodarskih </w:t>
            </w:r>
            <w:r w:rsidRPr="006F587D">
              <w:rPr>
                <w:b/>
                <w:i/>
              </w:rPr>
              <w:t xml:space="preserve">i socijalnih </w:t>
            </w:r>
            <w:r w:rsidRPr="006F587D">
              <w:t>varijabli navedenih u tom planu i stvarnih podataka za te varijable, kao i implikacije za usklađenost s kretanjem neto rashoda koje je utvrdilo Vijeće i za predviđeno kretanje udjela javnog duga navedeno u tom planu</w:t>
            </w:r>
            <w:r w:rsidRPr="006F587D">
              <w:rPr>
                <w:b/>
                <w:i/>
              </w:rPr>
              <w:t>, kao i za usklađenost s postizanjem nacionalnih ciljeva povezanih s glavnim ciljevima europskog stupa socijalnih prava.</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39</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III. – stavak 1. – točka h</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(h)</w:t>
            </w:r>
            <w:r w:rsidRPr="006F587D">
              <w:tab/>
              <w:t>glavne pretpostavke o očekivanim gospodarskim kretanjima i glavnim gospodarskim varijablama za sljedeće godine razdoblja prilagodbe, među ostalim o udjelu javnog duga;</w:t>
            </w:r>
          </w:p>
        </w:tc>
        <w:tc>
          <w:tcPr>
            <w:tcW w:w="4876" w:type="dxa"/>
            <w:hideMark/>
          </w:tcPr>
          <w:p w:rsidR="00457B38" w:rsidRPr="006F587D" w:rsidRDefault="00604E9C" w:rsidP="00F56D04">
            <w:pPr>
              <w:pStyle w:val="Normal6"/>
              <w:rPr>
                <w:szCs w:val="24"/>
              </w:rPr>
            </w:pPr>
            <w:r w:rsidRPr="006F587D">
              <w:t>(h)</w:t>
            </w:r>
            <w:r w:rsidRPr="006F587D">
              <w:tab/>
              <w:t xml:space="preserve">glavne pretpostavke o očekivanim gospodarskim </w:t>
            </w:r>
            <w:r w:rsidRPr="006F587D">
              <w:rPr>
                <w:b/>
                <w:i/>
              </w:rPr>
              <w:t xml:space="preserve">i socijalnim </w:t>
            </w:r>
            <w:r w:rsidRPr="006F587D">
              <w:t>kretanjima i glavnim gospodarskim</w:t>
            </w:r>
            <w:r w:rsidRPr="006F587D">
              <w:rPr>
                <w:b/>
                <w:i/>
              </w:rPr>
              <w:t xml:space="preserve"> i socijalnim</w:t>
            </w:r>
            <w:r w:rsidRPr="006F587D">
              <w:t xml:space="preserve"> varijablama za sljedeće godine razdoblja prilagodbe, među ostalim o udjelu javnog duga;</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40</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III. – stavak 1. – točka l</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(l)</w:t>
            </w:r>
            <w:r w:rsidRPr="006F587D">
              <w:tab/>
              <w:t xml:space="preserve">analiza kretanja makroekonomskih neravnoteža utvrđenih u okviru postupka u slučaju makroekonomskih neravnoteža </w:t>
            </w:r>
            <w:r w:rsidRPr="006F587D">
              <w:rPr>
                <w:b/>
                <w:i/>
              </w:rPr>
              <w:t>i</w:t>
            </w:r>
            <w:r w:rsidRPr="006F587D">
              <w:t xml:space="preserve"> učinka koji na njih ima provedba relevantnih reformi i ulaganja navedenih u nacionalnom srednjoročnom fiskalno-strukturnom planu u skladu s Prilogom II. </w:t>
            </w:r>
            <w:r w:rsidRPr="006F587D">
              <w:rPr>
                <w:b/>
                <w:i/>
              </w:rPr>
              <w:t>točkom</w:t>
            </w:r>
            <w:r w:rsidRPr="006F587D">
              <w:t> (n), ako je primjenjivo;</w:t>
            </w:r>
          </w:p>
        </w:tc>
        <w:tc>
          <w:tcPr>
            <w:tcW w:w="4876" w:type="dxa"/>
            <w:hideMark/>
          </w:tcPr>
          <w:p w:rsidR="00457B38" w:rsidRPr="006F587D" w:rsidRDefault="00604E9C" w:rsidP="00F56D04">
            <w:pPr>
              <w:pStyle w:val="Normal6"/>
              <w:rPr>
                <w:szCs w:val="24"/>
              </w:rPr>
            </w:pPr>
            <w:r w:rsidRPr="006F587D">
              <w:t>(l)</w:t>
            </w:r>
            <w:r w:rsidRPr="006F587D">
              <w:tab/>
              <w:t xml:space="preserve">analiza kretanja makroekonomskih neravnoteža utvrđenih u okviru postupka u slučaju makroekonomskih neravnoteža </w:t>
            </w:r>
            <w:r w:rsidRPr="006F587D">
              <w:rPr>
                <w:b/>
                <w:i/>
              </w:rPr>
              <w:t>te rizika socijalne konvergencije utvrđenih unutar okvira za socijalnu konvergenciju te</w:t>
            </w:r>
            <w:r w:rsidRPr="006F587D">
              <w:t xml:space="preserve"> učinka koji na njih ima provedba relevantnih reformi i ulaganja navedenih u nacionalnom srednjoročnom fiskalno-strukturnom planu u skladu s Prilogom II. </w:t>
            </w:r>
            <w:r w:rsidRPr="006F587D">
              <w:rPr>
                <w:b/>
                <w:i/>
              </w:rPr>
              <w:t>točkama</w:t>
            </w:r>
            <w:r w:rsidRPr="006F587D">
              <w:t> (n</w:t>
            </w:r>
            <w:r w:rsidRPr="006F587D">
              <w:rPr>
                <w:b/>
                <w:i/>
              </w:rPr>
              <w:t>) i(o</w:t>
            </w:r>
            <w:r w:rsidRPr="006F587D">
              <w:t>), ako je primjenjivo;</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41</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III. – stavak 1. – točka n</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(n)</w:t>
            </w:r>
            <w:r w:rsidRPr="006F587D">
              <w:tab/>
              <w:t>informacije o kretanjima povezanima s tržištem rada, vještinama i socijalnom politikom te o provedbi poduzetih mjera politike kojima se potiče uzlazna socijalna konvergencija među državama članicama prema boljim radnim i životnim uvjetima, u skladu s načelima europskog stupa socijalnih prava i smjernicama za zapošljavanje na temelju članka 148. UFEU-a. To uključuje očekivani učinak mjera u odnosu na napredak u postizanju nacionalnih ciljeva u pogledu zapošljavanja, vještina i smanjenja siromaštva do 2030.</w:t>
            </w:r>
            <w:r w:rsidRPr="006F587D">
              <w:rPr>
                <w:b/>
                <w:i/>
              </w:rPr>
              <w:t>;</w:t>
            </w:r>
          </w:p>
        </w:tc>
        <w:tc>
          <w:tcPr>
            <w:tcW w:w="4876" w:type="dxa"/>
            <w:hideMark/>
          </w:tcPr>
          <w:p w:rsidR="00457B38" w:rsidRPr="006F587D" w:rsidRDefault="00604E9C" w:rsidP="00F56D04">
            <w:pPr>
              <w:pStyle w:val="Normal6"/>
              <w:rPr>
                <w:szCs w:val="24"/>
              </w:rPr>
            </w:pPr>
            <w:r w:rsidRPr="006F587D">
              <w:t>(n)</w:t>
            </w:r>
            <w:r w:rsidRPr="006F587D">
              <w:tab/>
              <w:t>informacije o kretanjima povezanima s tržištem rada, vještinama i socijalnom politikom te o provedbi poduzetih mjera politike kojima se potiče uzlazna socijalna konvergencija među državama članicama prema boljim radnim i životnim uvjetima, u skladu s načelima europskog stupa socijalnih prava i smjernicama za zapošljavanje na temelju članka 148. UFEU-a</w:t>
            </w:r>
            <w:r w:rsidRPr="006F587D">
              <w:rPr>
                <w:b/>
                <w:i/>
              </w:rPr>
              <w:t xml:space="preserve"> i okvira za socijalnu konvergenciju</w:t>
            </w:r>
            <w:r w:rsidRPr="006F587D">
              <w:t>. To uključuje očekivani učinak mjera u odnosu na napredak u postizanju nacionalnih ciljeva u pogledu zapošljavanja, vještina i smanjenja siromaštva do 2030.</w:t>
            </w:r>
            <w:r w:rsidRPr="006F587D">
              <w:rPr>
                <w:b/>
                <w:i/>
              </w:rPr>
              <w:t xml:space="preserve"> te, ako je primjenjivo, očekivani učinak mjera za ispravljanje rizika socijalne konvergencije utvrđenih unutar okvira za socijalnu konvergenciju.</w:t>
            </w:r>
          </w:p>
        </w:tc>
      </w:tr>
    </w:tbl>
    <w:p w:rsidR="00457B38" w:rsidRPr="006F587D" w:rsidRDefault="00604E9C" w:rsidP="00457B38">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42</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III. – stavak 1. – točka oa (nova)</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(o a)</w:t>
            </w:r>
            <w:r w:rsidRPr="006F587D">
              <w:tab/>
            </w:r>
            <w:r w:rsidRPr="006F587D">
              <w:rPr>
                <w:b/>
                <w:i/>
              </w:rPr>
              <w:t>informacije o savjetovanjima sa socijalnim partnerima, organizacijama civilnog društva i drugim relevantnim dionicima tijekom pripreme izvješća.</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43</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VII. – točka 2. – stavak 2. – točka 2.1. – uvodni dio</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F587D" w:rsidP="00F56D04">
            <w:pPr>
              <w:pStyle w:val="Normal6"/>
            </w:pPr>
            <w:r>
              <w:t>2.</w:t>
            </w:r>
            <w:r w:rsidR="00604E9C" w:rsidRPr="006F587D">
              <w:t>1</w:t>
            </w:r>
            <w:r>
              <w:t>.</w:t>
            </w:r>
            <w:r w:rsidR="00604E9C" w:rsidRPr="006F587D">
              <w:tab/>
              <w:t>Skupom reformskih i ulagačkih obveza potiče se rast.</w:t>
            </w:r>
          </w:p>
        </w:tc>
        <w:tc>
          <w:tcPr>
            <w:tcW w:w="4876" w:type="dxa"/>
            <w:hideMark/>
          </w:tcPr>
          <w:p w:rsidR="00457B38" w:rsidRPr="006F587D" w:rsidRDefault="00604E9C" w:rsidP="006F587D">
            <w:pPr>
              <w:pStyle w:val="Normal6"/>
              <w:rPr>
                <w:szCs w:val="24"/>
              </w:rPr>
            </w:pPr>
            <w:r w:rsidRPr="006F587D">
              <w:t>2</w:t>
            </w:r>
            <w:r w:rsidR="006F587D">
              <w:t>.</w:t>
            </w:r>
            <w:r w:rsidRPr="006F587D">
              <w:t>1</w:t>
            </w:r>
            <w:r w:rsidR="006F587D">
              <w:t>.</w:t>
            </w:r>
            <w:r w:rsidRPr="006F587D">
              <w:tab/>
              <w:t xml:space="preserve">Skupom reformskih i ulagačkih obveza potiče se </w:t>
            </w:r>
            <w:r w:rsidRPr="006F587D">
              <w:rPr>
                <w:b/>
                <w:i/>
              </w:rPr>
              <w:t xml:space="preserve">održivi </w:t>
            </w:r>
            <w:r w:rsidRPr="006F587D">
              <w:t xml:space="preserve">rast. </w:t>
            </w:r>
            <w:r w:rsidRPr="006F587D">
              <w:rPr>
                <w:b/>
                <w:i/>
              </w:rPr>
              <w:t>Očekuje se da će skup obveza u pogledu reformi i ulaganja dovesti do dovoljnog napretka u ostvarivanju nacionalnih ciljeva povezanih s glavnim ciljevima europskog stupa socijalnih prava i njihovim glavnim i sekundarnim pokazateljima.</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44</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VII. – točka 2. – stavak 2. – točka 2.2.a (nova)</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tcPr>
          <w:p w:rsidR="00457B38" w:rsidRPr="006F587D" w:rsidRDefault="00457B38" w:rsidP="00F56D04">
            <w:pPr>
              <w:pStyle w:val="Normal6"/>
            </w:pPr>
          </w:p>
        </w:tc>
        <w:tc>
          <w:tcPr>
            <w:tcW w:w="4876" w:type="dxa"/>
            <w:hideMark/>
          </w:tcPr>
          <w:p w:rsidR="00457B38" w:rsidRPr="006F587D" w:rsidRDefault="00604E9C" w:rsidP="00F56D04">
            <w:pPr>
              <w:pStyle w:val="Normal6"/>
              <w:rPr>
                <w:szCs w:val="24"/>
              </w:rPr>
            </w:pPr>
            <w:r w:rsidRPr="006F587D">
              <w:rPr>
                <w:b/>
                <w:i/>
              </w:rPr>
              <w:t>2.2.a</w:t>
            </w:r>
            <w:r w:rsidRPr="006F587D">
              <w:rPr>
                <w:b/>
                <w:i/>
              </w:rPr>
              <w:tab/>
              <w:t>Skup reformskih i ulagačkih obveza podupire uzlaznu socijalnu konvergenciju;</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45</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VII. – točka 2. – stavak 2. – točka 2.4. – uvodni dio</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F587D" w:rsidP="00F56D04">
            <w:pPr>
              <w:pStyle w:val="Normal6"/>
            </w:pPr>
            <w:r>
              <w:t>2.</w:t>
            </w:r>
            <w:r w:rsidR="00604E9C" w:rsidRPr="006F587D">
              <w:t>4</w:t>
            </w:r>
            <w:r>
              <w:t>.</w:t>
            </w:r>
            <w:r w:rsidR="00604E9C" w:rsidRPr="006F587D">
              <w:tab/>
              <w:t xml:space="preserve">Skup reformskih i ulagačkih obveza, gledano u cjelini, pridonosi provedbi relevantnih preporuka za pojedine </w:t>
            </w:r>
            <w:r w:rsidR="00604E9C" w:rsidRPr="006F587D">
              <w:lastRenderedPageBreak/>
              <w:t>zemlje, uključujući, ako je primjenjivo, preporuke upućene u okviru postupka u slučaju makroekonomskih neravnoteža.</w:t>
            </w:r>
          </w:p>
        </w:tc>
        <w:tc>
          <w:tcPr>
            <w:tcW w:w="4876" w:type="dxa"/>
            <w:hideMark/>
          </w:tcPr>
          <w:p w:rsidR="00457B38" w:rsidRPr="006F587D" w:rsidRDefault="00604E9C" w:rsidP="006F587D">
            <w:pPr>
              <w:pStyle w:val="Normal6"/>
              <w:rPr>
                <w:szCs w:val="24"/>
              </w:rPr>
            </w:pPr>
            <w:r w:rsidRPr="006F587D">
              <w:lastRenderedPageBreak/>
              <w:t>2</w:t>
            </w:r>
            <w:r w:rsidR="006F587D">
              <w:t>.</w:t>
            </w:r>
            <w:r w:rsidRPr="006F587D">
              <w:t>4</w:t>
            </w:r>
            <w:r w:rsidR="006F587D">
              <w:t>.</w:t>
            </w:r>
            <w:r w:rsidRPr="006F587D">
              <w:tab/>
              <w:t xml:space="preserve">Skup reformskih i ulagačkih obveza, gledano u cjelini, pridonosi provedbi relevantnih preporuka za pojedine </w:t>
            </w:r>
            <w:r w:rsidRPr="006F587D">
              <w:lastRenderedPageBreak/>
              <w:t>zemlje</w:t>
            </w:r>
            <w:r w:rsidRPr="006F587D">
              <w:rPr>
                <w:b/>
                <w:i/>
              </w:rPr>
              <w:t xml:space="preserve"> u skladu s člankom 121. stavkom 4. i člankom 148. stavkom 4. UFEU-a</w:t>
            </w:r>
            <w:r w:rsidRPr="006F587D">
              <w:t>, uključujući, ako je primjenjivo, preporuke upućene u okviru postupka u slučaju makroekonomskih neravnoteža.</w:t>
            </w:r>
          </w:p>
        </w:tc>
      </w:tr>
    </w:tbl>
    <w:p w:rsidR="00457B38" w:rsidRPr="006F587D" w:rsidRDefault="00604E9C" w:rsidP="00457B38">
      <w:pPr>
        <w:rPr>
          <w:rStyle w:val="HideTWBExt"/>
        </w:rPr>
      </w:pPr>
      <w:r w:rsidRPr="006F587D">
        <w:rPr>
          <w:rStyle w:val="HideTWBExt"/>
        </w:rPr>
        <w:lastRenderedPageBreak/>
        <w:t>&lt;/Amend&gt;</w:t>
      </w:r>
    </w:p>
    <w:p w:rsidR="00457B38" w:rsidRPr="006F587D" w:rsidRDefault="00457B38" w:rsidP="00457B38">
      <w:pPr>
        <w:rPr>
          <w:rStyle w:val="HideTWBExt"/>
        </w:rPr>
      </w:pPr>
    </w:p>
    <w:p w:rsidR="00457B38" w:rsidRPr="006F587D" w:rsidRDefault="00604E9C" w:rsidP="00457B38">
      <w:pPr>
        <w:pStyle w:val="AmNumberTabs"/>
      </w:pPr>
      <w:r w:rsidRPr="006F587D">
        <w:rPr>
          <w:rStyle w:val="HideTWBExt"/>
          <w:b w:val="0"/>
          <w:szCs w:val="24"/>
        </w:rPr>
        <w:t>&lt;Amend&gt;</w:t>
      </w:r>
      <w:r w:rsidRPr="006F587D">
        <w:t>Amandman</w:t>
      </w:r>
      <w:r w:rsidRPr="006F587D">
        <w:tab/>
      </w:r>
      <w:r w:rsidRPr="006F587D">
        <w:tab/>
      </w:r>
      <w:r w:rsidRPr="006F587D">
        <w:rPr>
          <w:rStyle w:val="HideTWBExt"/>
          <w:b w:val="0"/>
          <w:szCs w:val="24"/>
        </w:rPr>
        <w:t>&lt;NumAm&gt;</w:t>
      </w:r>
      <w:r w:rsidRPr="006F587D">
        <w:t>46</w:t>
      </w:r>
      <w:r w:rsidRPr="006F587D">
        <w:rPr>
          <w:rStyle w:val="HideTWBExt"/>
          <w:b w:val="0"/>
          <w:szCs w:val="24"/>
        </w:rPr>
        <w:t>&lt;/NumAm&gt;</w:t>
      </w:r>
    </w:p>
    <w:p w:rsidR="00457B38" w:rsidRPr="006F587D" w:rsidRDefault="00457B38" w:rsidP="00457B38"/>
    <w:p w:rsidR="00457B38" w:rsidRPr="006F587D" w:rsidRDefault="00604E9C" w:rsidP="00457B38">
      <w:pPr>
        <w:pStyle w:val="NormalBold"/>
        <w:keepNext/>
      </w:pPr>
      <w:r w:rsidRPr="006F587D">
        <w:rPr>
          <w:rStyle w:val="HideTWBExt"/>
          <w:b w:val="0"/>
          <w:szCs w:val="24"/>
        </w:rPr>
        <w:t>&lt;DocAmend&gt;</w:t>
      </w:r>
      <w:r w:rsidRPr="006F587D">
        <w:t>Prijedlog uredbe</w:t>
      </w:r>
      <w:r w:rsidRPr="006F587D">
        <w:rPr>
          <w:rStyle w:val="HideTWBExt"/>
          <w:b w:val="0"/>
          <w:szCs w:val="24"/>
        </w:rPr>
        <w:t>&lt;/DocAmend&gt;</w:t>
      </w:r>
    </w:p>
    <w:p w:rsidR="00457B38" w:rsidRPr="006F587D" w:rsidRDefault="00604E9C" w:rsidP="00457B38">
      <w:pPr>
        <w:pStyle w:val="NormalBold"/>
      </w:pPr>
      <w:r w:rsidRPr="006F587D">
        <w:rPr>
          <w:rStyle w:val="HideTWBExt"/>
          <w:b w:val="0"/>
          <w:szCs w:val="24"/>
        </w:rPr>
        <w:t>&lt;Article&gt;</w:t>
      </w:r>
      <w:r w:rsidRPr="006F587D">
        <w:t>Prilog VII. – točka 2. – stavak 2. – točka 2.4. – alineja 1.</w:t>
      </w:r>
      <w:r w:rsidRPr="006F587D">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587D" w:rsidRPr="006F587D" w:rsidTr="00F56D04">
        <w:trPr>
          <w:jc w:val="center"/>
        </w:trPr>
        <w:tc>
          <w:tcPr>
            <w:tcW w:w="9752" w:type="dxa"/>
            <w:gridSpan w:val="2"/>
          </w:tcPr>
          <w:p w:rsidR="00457B38" w:rsidRPr="006F587D" w:rsidRDefault="00457B38" w:rsidP="00F56D04">
            <w:pPr>
              <w:keepNext/>
            </w:pPr>
          </w:p>
        </w:tc>
      </w:tr>
      <w:tr w:rsidR="006F587D" w:rsidRPr="006F587D" w:rsidTr="00F56D04">
        <w:trPr>
          <w:jc w:val="center"/>
        </w:trPr>
        <w:tc>
          <w:tcPr>
            <w:tcW w:w="4876" w:type="dxa"/>
            <w:hideMark/>
          </w:tcPr>
          <w:p w:rsidR="00457B38" w:rsidRPr="006F587D" w:rsidRDefault="00604E9C" w:rsidP="00F56D04">
            <w:pPr>
              <w:pStyle w:val="ColumnHeading"/>
              <w:keepNext/>
            </w:pPr>
            <w:r w:rsidRPr="006F587D">
              <w:t>Tekst koji je predložila Komisija</w:t>
            </w:r>
          </w:p>
        </w:tc>
        <w:tc>
          <w:tcPr>
            <w:tcW w:w="4876" w:type="dxa"/>
            <w:hideMark/>
          </w:tcPr>
          <w:p w:rsidR="00457B38" w:rsidRPr="006F587D" w:rsidRDefault="00604E9C" w:rsidP="00F56D04">
            <w:pPr>
              <w:pStyle w:val="ColumnHeading"/>
              <w:keepNext/>
            </w:pPr>
            <w:r w:rsidRPr="006F587D">
              <w:t>Izmjena</w:t>
            </w:r>
          </w:p>
        </w:tc>
      </w:tr>
      <w:tr w:rsidR="006F587D" w:rsidRPr="006F587D" w:rsidTr="00F56D04">
        <w:trPr>
          <w:jc w:val="center"/>
        </w:trPr>
        <w:tc>
          <w:tcPr>
            <w:tcW w:w="4876" w:type="dxa"/>
            <w:hideMark/>
          </w:tcPr>
          <w:p w:rsidR="00457B38" w:rsidRPr="006F587D" w:rsidRDefault="00604E9C" w:rsidP="00F56D04">
            <w:pPr>
              <w:pStyle w:val="Normal6"/>
            </w:pPr>
            <w:r w:rsidRPr="006F587D">
              <w:t>–</w:t>
            </w:r>
            <w:r w:rsidRPr="006F587D">
              <w:tab/>
              <w:t>Očekuje se da će se skupom relevantnih reformskih i ulagačkih obveza na kojima se temelji produljenje razdoblja prilagodbe kumulativno odgovoriti na izazove utvrđene u relevantnim preporukama za pojedinu zemlju, uključujući, ako je primjenjivo, preporuke upućene u okviru postupka u slučaju makroekonomskih neravnoteža, uzimajući u obzir opseg i razmjer izazova specifičnih za pojedine zemlje i, prema potrebi, obveze preuzete u planovima za oporavak i otpornost.</w:t>
            </w:r>
          </w:p>
        </w:tc>
        <w:tc>
          <w:tcPr>
            <w:tcW w:w="4876" w:type="dxa"/>
            <w:hideMark/>
          </w:tcPr>
          <w:p w:rsidR="00457B38" w:rsidRPr="006F587D" w:rsidRDefault="00604E9C" w:rsidP="00F56D04">
            <w:pPr>
              <w:pStyle w:val="Normal6"/>
              <w:rPr>
                <w:szCs w:val="24"/>
              </w:rPr>
            </w:pPr>
            <w:r w:rsidRPr="006F587D">
              <w:t>–</w:t>
            </w:r>
            <w:r w:rsidRPr="006F587D">
              <w:tab/>
              <w:t>Očekuje se da će se skupom relevantnih reformskih i ulagačkih obveza na kojima se temelji produljenje razdoblja prilagodbe kumulativno odgovoriti na izazove utvrđene u relevantnim preporukama za pojedinu zemlju, uključujući, ako je primjenjivo, preporuke upućene u okviru postupka u slučaju makroekonomskih neravnoteža</w:t>
            </w:r>
            <w:r w:rsidRPr="006F587D">
              <w:rPr>
                <w:b/>
                <w:i/>
              </w:rPr>
              <w:t xml:space="preserve"> i uključujući preporuke izdane u skladu s člankom 148. stavkom 4. UFEU-a</w:t>
            </w:r>
            <w:r w:rsidRPr="006F587D">
              <w:t>, uzimajući u obzir opseg i razmjer izazova specifičnih za pojedine zemlje i, prema potrebi, obveze preuzete u planovima za oporavak i otpornost.</w:t>
            </w:r>
          </w:p>
        </w:tc>
      </w:tr>
    </w:tbl>
    <w:p w:rsidR="00457B38" w:rsidRPr="006F587D" w:rsidRDefault="00604E9C" w:rsidP="00457B38">
      <w:pPr>
        <w:rPr>
          <w:rStyle w:val="HideTWBExt"/>
        </w:rPr>
      </w:pPr>
      <w:r w:rsidRPr="006F587D">
        <w:rPr>
          <w:rStyle w:val="HideTWBExt"/>
        </w:rPr>
        <w:t>&lt;/Amend&gt;</w:t>
      </w:r>
    </w:p>
    <w:p w:rsidR="00457B38" w:rsidRPr="006F587D" w:rsidRDefault="00604E9C" w:rsidP="00457B38">
      <w:pPr>
        <w:rPr>
          <w:rStyle w:val="HideTWBExt"/>
        </w:rPr>
      </w:pPr>
      <w:r w:rsidRPr="006F587D">
        <w:rPr>
          <w:rStyle w:val="HideTWBExt"/>
        </w:rPr>
        <w:t>&lt;/RepeatBlock-Amend&gt;</w:t>
      </w:r>
    </w:p>
    <w:p w:rsidR="007E7C3E" w:rsidRPr="006F587D" w:rsidRDefault="00604E9C" w:rsidP="00457B38">
      <w:r w:rsidRPr="006F587D">
        <w:br w:type="page"/>
      </w:r>
    </w:p>
    <w:p w:rsidR="007E7C3E" w:rsidRPr="006F587D" w:rsidRDefault="00604E9C" w:rsidP="007E7C3E">
      <w:pPr>
        <w:pStyle w:val="PageHeadingNotTOC"/>
      </w:pPr>
      <w:bookmarkStart w:id="3" w:name="ProcPageAD"/>
      <w:r w:rsidRPr="006F587D">
        <w:lastRenderedPageBreak/>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Učinkovita koordinacija ekonomskih politika i multilateralni proračunski nadzor te stavljanje izvan snage Uredbe Vijeća (EZ) br. 1466/97</w:t>
            </w:r>
          </w:p>
        </w:tc>
      </w:tr>
      <w:tr w:rsidR="006F587D" w:rsidRPr="006F5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COM(2023)0240 – C9-0150/2023 – 2023/0138(COD)</w:t>
            </w:r>
          </w:p>
        </w:tc>
      </w:tr>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Nadležni odbor</w:t>
            </w:r>
          </w:p>
          <w:p w:rsidR="007E7C3E" w:rsidRPr="006F587D" w:rsidRDefault="00604E9C">
            <w:pPr>
              <w:autoSpaceDE w:val="0"/>
              <w:autoSpaceDN w:val="0"/>
              <w:adjustRightInd w:val="0"/>
              <w:rPr>
                <w:sz w:val="20"/>
                <w:szCs w:val="20"/>
              </w:rPr>
            </w:pPr>
            <w:r w:rsidRPr="006F587D">
              <w:rPr>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ECON</w:t>
            </w:r>
          </w:p>
          <w:p w:rsidR="007E7C3E" w:rsidRPr="006F587D" w:rsidRDefault="00604E9C">
            <w:pPr>
              <w:autoSpaceDE w:val="0"/>
              <w:autoSpaceDN w:val="0"/>
              <w:adjustRightInd w:val="0"/>
              <w:rPr>
                <w:sz w:val="20"/>
                <w:szCs w:val="20"/>
              </w:rPr>
            </w:pPr>
            <w:r w:rsidRPr="006F587D">
              <w:rPr>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r>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Odbori koji su dali mišljenje</w:t>
            </w:r>
          </w:p>
          <w:p w:rsidR="007E7C3E" w:rsidRPr="006F587D" w:rsidRDefault="00604E9C">
            <w:pPr>
              <w:autoSpaceDE w:val="0"/>
              <w:autoSpaceDN w:val="0"/>
              <w:adjustRightInd w:val="0"/>
              <w:rPr>
                <w:sz w:val="20"/>
                <w:szCs w:val="20"/>
              </w:rPr>
            </w:pPr>
            <w:r w:rsidRPr="006F587D">
              <w:rPr>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EMPL</w:t>
            </w:r>
          </w:p>
          <w:p w:rsidR="007E7C3E" w:rsidRPr="006F587D" w:rsidRDefault="00604E9C">
            <w:pPr>
              <w:autoSpaceDE w:val="0"/>
              <w:autoSpaceDN w:val="0"/>
              <w:adjustRightInd w:val="0"/>
              <w:rPr>
                <w:sz w:val="20"/>
                <w:szCs w:val="20"/>
              </w:rPr>
            </w:pPr>
            <w:r w:rsidRPr="006F587D">
              <w:rPr>
                <w:sz w:val="20"/>
              </w:rPr>
              <w:t>12.6.2023</w:t>
            </w:r>
          </w:p>
        </w:tc>
      </w:tr>
      <w:tr w:rsidR="006F587D" w:rsidRPr="006F5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Pridruženi odbori - datum objave na plenarnoj sjednici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14.9.2023</w:t>
            </w:r>
          </w:p>
        </w:tc>
      </w:tr>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Izvjestitelj(ica) za mišljenje</w:t>
            </w:r>
          </w:p>
          <w:p w:rsidR="007E7C3E" w:rsidRPr="006F587D" w:rsidRDefault="00604E9C">
            <w:pPr>
              <w:autoSpaceDE w:val="0"/>
              <w:autoSpaceDN w:val="0"/>
              <w:adjustRightInd w:val="0"/>
              <w:rPr>
                <w:sz w:val="20"/>
                <w:szCs w:val="20"/>
              </w:rPr>
            </w:pPr>
            <w:r w:rsidRPr="006F587D">
              <w:rPr>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Gabriele Bischoff</w:t>
            </w:r>
          </w:p>
          <w:p w:rsidR="007E7C3E" w:rsidRPr="006F587D" w:rsidRDefault="00604E9C">
            <w:pPr>
              <w:autoSpaceDE w:val="0"/>
              <w:autoSpaceDN w:val="0"/>
              <w:adjustRightInd w:val="0"/>
              <w:rPr>
                <w:sz w:val="20"/>
                <w:szCs w:val="20"/>
              </w:rPr>
            </w:pPr>
            <w:r w:rsidRPr="006F587D">
              <w:rPr>
                <w:sz w:val="20"/>
              </w:rPr>
              <w:t>29.6.2023</w:t>
            </w:r>
          </w:p>
        </w:tc>
      </w:tr>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r>
      <w:tr w:rsidR="006F587D" w:rsidRPr="006F5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E7C3E" w:rsidRPr="006F587D" w:rsidRDefault="007E7C3E">
            <w:pPr>
              <w:autoSpaceDE w:val="0"/>
              <w:autoSpaceDN w:val="0"/>
              <w:adjustRightInd w:val="0"/>
              <w:rPr>
                <w:rFonts w:ascii="sans-serif" w:hAnsi="sans-serif" w:cs="sans-serif"/>
              </w:rPr>
            </w:pPr>
          </w:p>
        </w:tc>
      </w:tr>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w:t>
            </w:r>
          </w:p>
          <w:p w:rsidR="007E7C3E" w:rsidRPr="006F587D" w:rsidRDefault="00604E9C">
            <w:pPr>
              <w:autoSpaceDE w:val="0"/>
              <w:autoSpaceDN w:val="0"/>
              <w:adjustRightInd w:val="0"/>
              <w:rPr>
                <w:sz w:val="20"/>
                <w:szCs w:val="20"/>
              </w:rPr>
            </w:pPr>
            <w:r w:rsidRPr="006F587D">
              <w:rPr>
                <w:sz w:val="20"/>
              </w:rPr>
              <w:t>–:</w:t>
            </w:r>
          </w:p>
          <w:p w:rsidR="007E7C3E" w:rsidRPr="006F587D" w:rsidRDefault="00604E9C">
            <w:pPr>
              <w:autoSpaceDE w:val="0"/>
              <w:autoSpaceDN w:val="0"/>
              <w:adjustRightInd w:val="0"/>
              <w:rPr>
                <w:sz w:val="20"/>
                <w:szCs w:val="20"/>
              </w:rPr>
            </w:pPr>
            <w:r w:rsidRPr="006F587D">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29</w:t>
            </w:r>
          </w:p>
          <w:p w:rsidR="007E7C3E" w:rsidRPr="006F587D" w:rsidRDefault="00604E9C">
            <w:pPr>
              <w:autoSpaceDE w:val="0"/>
              <w:autoSpaceDN w:val="0"/>
              <w:adjustRightInd w:val="0"/>
              <w:rPr>
                <w:sz w:val="20"/>
                <w:szCs w:val="20"/>
              </w:rPr>
            </w:pPr>
            <w:r w:rsidRPr="006F587D">
              <w:rPr>
                <w:sz w:val="20"/>
              </w:rPr>
              <w:t>4</w:t>
            </w:r>
          </w:p>
          <w:p w:rsidR="007E7C3E" w:rsidRPr="006F587D" w:rsidRDefault="00604E9C">
            <w:pPr>
              <w:autoSpaceDE w:val="0"/>
              <w:autoSpaceDN w:val="0"/>
              <w:adjustRightInd w:val="0"/>
              <w:rPr>
                <w:sz w:val="20"/>
                <w:szCs w:val="20"/>
              </w:rPr>
            </w:pPr>
            <w:r w:rsidRPr="006F587D">
              <w:rPr>
                <w:sz w:val="20"/>
              </w:rPr>
              <w:t>10</w:t>
            </w:r>
          </w:p>
        </w:tc>
      </w:tr>
      <w:tr w:rsidR="006F587D" w:rsidRPr="006F58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João Albuquerque, Marc Angel, Dominique Bilde, Gabriele Bischoff, Milan Brglez, Jordi Cañas, David Casa, Ilan De Basso, Margarita de la Pisa Carrión, Özlem Demirel, Klára Dobrev, Jarosław Duda, Estrella Durá Ferrandis, Lucia Ďuriš Nicholsonová, Loucas Fourlas, Cindy Franssen, Chiara Gemma, Helmut Geuking, Elisabetta Gualmini, Alicia Homs Ginel, Agnes Jongerius, Stelios Kympouropoulos, Katrin Langensiepen, Miriam Lexmann, Elena Lizzi, Sara Matthieu, Max Orville, Kira Marie Peter-Hansen, Dragoş Pîslaru, Elżbieta Rafalska, Daniela Rondinelli, Pirkko Ruohonen-Lerner, Monica Semedo, Romana Tomc, Nikolaj Villumsen, Marianne Vind, Maria Walsh, Tomáš Zdechovský</w:t>
            </w:r>
          </w:p>
        </w:tc>
      </w:tr>
      <w:tr w:rsidR="006F587D" w:rsidRPr="006F5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Alexander Alexandrov Yordanov, Aurore Lalucq, Eugenia Rodríguez Palop</w:t>
            </w:r>
          </w:p>
        </w:tc>
      </w:tr>
      <w:tr w:rsidR="006F587D" w:rsidRPr="006F58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b/>
                <w:bCs/>
                <w:sz w:val="20"/>
                <w:szCs w:val="20"/>
              </w:rPr>
            </w:pPr>
            <w:r w:rsidRPr="006F587D">
              <w:rPr>
                <w:b/>
                <w:sz w:val="20"/>
              </w:rPr>
              <w:t>Zamjenici nazočni na konačnom glasovanju prema čl. 209. st.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E7C3E" w:rsidRPr="006F587D" w:rsidRDefault="00604E9C">
            <w:pPr>
              <w:autoSpaceDE w:val="0"/>
              <w:autoSpaceDN w:val="0"/>
              <w:adjustRightInd w:val="0"/>
              <w:rPr>
                <w:sz w:val="20"/>
                <w:szCs w:val="20"/>
              </w:rPr>
            </w:pPr>
            <w:r w:rsidRPr="006F587D">
              <w:rPr>
                <w:sz w:val="20"/>
              </w:rPr>
              <w:t>Sirpa Pietikäinen, Caroline Roose</w:t>
            </w:r>
          </w:p>
        </w:tc>
      </w:tr>
    </w:tbl>
    <w:p w:rsidR="007E7C3E" w:rsidRPr="006F587D" w:rsidRDefault="007E7C3E"/>
    <w:bookmarkEnd w:id="3"/>
    <w:p w:rsidR="00457B38" w:rsidRPr="006F587D" w:rsidRDefault="00457B38" w:rsidP="00457B38"/>
    <w:p w:rsidR="00457B38" w:rsidRPr="006F587D" w:rsidRDefault="00457B38" w:rsidP="00457B38">
      <w:pPr>
        <w:sectPr w:rsidR="00457B38" w:rsidRPr="006F587D" w:rsidSect="00457B3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57B38" w:rsidRPr="006F587D" w:rsidRDefault="00604E9C" w:rsidP="00457B38">
      <w:pPr>
        <w:pStyle w:val="PageHeadingNotTOC"/>
      </w:pPr>
      <w:bookmarkStart w:id="4" w:name="RollCallPageAD"/>
      <w:r w:rsidRPr="006F587D">
        <w:lastRenderedPageBreak/>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F587D" w:rsidRPr="006F587D" w:rsidTr="00F56D04">
        <w:trPr>
          <w:cantSplit/>
        </w:trPr>
        <w:tc>
          <w:tcPr>
            <w:tcW w:w="1701" w:type="dxa"/>
            <w:shd w:val="pct10" w:color="000000" w:fill="FFFFFF"/>
            <w:vAlign w:val="center"/>
          </w:tcPr>
          <w:p w:rsidR="00457B38" w:rsidRPr="006F587D" w:rsidRDefault="00604E9C" w:rsidP="00F56D04">
            <w:pPr>
              <w:pStyle w:val="RollCallVotes"/>
            </w:pPr>
            <w:r w:rsidRPr="006F587D">
              <w:t>29</w:t>
            </w:r>
          </w:p>
        </w:tc>
        <w:tc>
          <w:tcPr>
            <w:tcW w:w="7371" w:type="dxa"/>
            <w:shd w:val="pct10" w:color="000000" w:fill="FFFFFF"/>
          </w:tcPr>
          <w:p w:rsidR="00457B38" w:rsidRPr="006F587D" w:rsidRDefault="00604E9C" w:rsidP="00F56D04">
            <w:pPr>
              <w:pStyle w:val="RollCallSymbols14pt"/>
            </w:pPr>
            <w:r w:rsidRPr="006F587D">
              <w:t>+</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PPE</w:t>
            </w:r>
          </w:p>
        </w:tc>
        <w:tc>
          <w:tcPr>
            <w:tcW w:w="7371" w:type="dxa"/>
            <w:shd w:val="clear" w:color="auto" w:fill="FFFFFF"/>
          </w:tcPr>
          <w:p w:rsidR="00457B38" w:rsidRPr="006F587D" w:rsidRDefault="00604E9C" w:rsidP="00F56D04">
            <w:pPr>
              <w:pStyle w:val="RollCallTable"/>
            </w:pPr>
            <w:r w:rsidRPr="006F587D">
              <w:t>David Casa, Loucas Fourlas, Cindy Franssen, Stelios Kympouropoulos, Sirpa Pietikäinen, Maria Walsh</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Renew</w:t>
            </w:r>
          </w:p>
        </w:tc>
        <w:tc>
          <w:tcPr>
            <w:tcW w:w="7371" w:type="dxa"/>
            <w:shd w:val="clear" w:color="auto" w:fill="FFFFFF"/>
          </w:tcPr>
          <w:p w:rsidR="00457B38" w:rsidRPr="006F587D" w:rsidRDefault="00604E9C" w:rsidP="00F56D04">
            <w:pPr>
              <w:pStyle w:val="RollCallTable"/>
            </w:pPr>
            <w:r w:rsidRPr="006F587D">
              <w:t>Jordi Cañas, Lucia Ďuriš Nicholsonová, Max Orville, Dragoş Pîslaru, Monica Semedo</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S&amp;D</w:t>
            </w:r>
          </w:p>
        </w:tc>
        <w:tc>
          <w:tcPr>
            <w:tcW w:w="7371" w:type="dxa"/>
            <w:shd w:val="clear" w:color="auto" w:fill="FFFFFF"/>
          </w:tcPr>
          <w:p w:rsidR="00457B38" w:rsidRPr="006F587D" w:rsidRDefault="00604E9C" w:rsidP="00F56D04">
            <w:pPr>
              <w:pStyle w:val="RollCallTable"/>
            </w:pPr>
            <w:r w:rsidRPr="006F587D">
              <w:t>João Albuquerque, Marc Angel, Gabriele Bischoff, Milan Brglez, Klára Dobrev, Estrella Durá Ferrandis, Elisabetta Gualmini, Alicia Homs Ginel, Agnes Jongerius, Aurore Lalucq, Daniela Rondinelli, Marianne Vind</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The Left</w:t>
            </w:r>
          </w:p>
        </w:tc>
        <w:tc>
          <w:tcPr>
            <w:tcW w:w="7371" w:type="dxa"/>
            <w:shd w:val="clear" w:color="auto" w:fill="FFFFFF"/>
          </w:tcPr>
          <w:p w:rsidR="00457B38" w:rsidRPr="006F587D" w:rsidRDefault="00604E9C" w:rsidP="00F56D04">
            <w:pPr>
              <w:pStyle w:val="RollCallTable"/>
            </w:pPr>
            <w:r w:rsidRPr="006F587D">
              <w:t>Eugenia Rodríguez Palop, Nikolaj Villumsen</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Verts/ALE</w:t>
            </w:r>
          </w:p>
        </w:tc>
        <w:tc>
          <w:tcPr>
            <w:tcW w:w="7371" w:type="dxa"/>
            <w:shd w:val="clear" w:color="auto" w:fill="FFFFFF"/>
          </w:tcPr>
          <w:p w:rsidR="00457B38" w:rsidRPr="006F587D" w:rsidRDefault="00604E9C" w:rsidP="00F56D04">
            <w:pPr>
              <w:pStyle w:val="RollCallTable"/>
            </w:pPr>
            <w:r w:rsidRPr="006F587D">
              <w:t>Katrin Langensiepen, Sara Matthieu, Kira Marie Peter-Hansen, Caroline Roose</w:t>
            </w:r>
          </w:p>
        </w:tc>
      </w:tr>
    </w:tbl>
    <w:p w:rsidR="00457B38" w:rsidRPr="006F587D" w:rsidRDefault="00457B38" w:rsidP="00457B3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F587D" w:rsidRPr="006F587D" w:rsidTr="00F56D04">
        <w:trPr>
          <w:cantSplit/>
        </w:trPr>
        <w:tc>
          <w:tcPr>
            <w:tcW w:w="1701" w:type="dxa"/>
            <w:shd w:val="pct10" w:color="000000" w:fill="FFFFFF"/>
            <w:vAlign w:val="center"/>
          </w:tcPr>
          <w:p w:rsidR="00457B38" w:rsidRPr="006F587D" w:rsidRDefault="00604E9C" w:rsidP="00F56D04">
            <w:pPr>
              <w:pStyle w:val="RollCallVotes"/>
            </w:pPr>
            <w:r w:rsidRPr="006F587D">
              <w:t>4</w:t>
            </w:r>
          </w:p>
        </w:tc>
        <w:tc>
          <w:tcPr>
            <w:tcW w:w="7371" w:type="dxa"/>
            <w:shd w:val="pct10" w:color="000000" w:fill="FFFFFF"/>
          </w:tcPr>
          <w:p w:rsidR="00457B38" w:rsidRPr="006F587D" w:rsidRDefault="00604E9C" w:rsidP="00F56D04">
            <w:pPr>
              <w:pStyle w:val="RollCallSymbols14pt"/>
            </w:pPr>
            <w:r w:rsidRPr="006F587D">
              <w:t>-</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ECR</w:t>
            </w:r>
          </w:p>
        </w:tc>
        <w:tc>
          <w:tcPr>
            <w:tcW w:w="7371" w:type="dxa"/>
            <w:shd w:val="clear" w:color="auto" w:fill="FFFFFF"/>
          </w:tcPr>
          <w:p w:rsidR="00457B38" w:rsidRPr="006F587D" w:rsidRDefault="00604E9C" w:rsidP="00F56D04">
            <w:pPr>
              <w:pStyle w:val="RollCallTable"/>
            </w:pPr>
            <w:r w:rsidRPr="006F587D">
              <w:t>Margarita de la Pisa Carrión, Elżbieta Rafalska, Pirkko Ruohonen-Lerner</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ID</w:t>
            </w:r>
          </w:p>
        </w:tc>
        <w:tc>
          <w:tcPr>
            <w:tcW w:w="7371" w:type="dxa"/>
            <w:shd w:val="clear" w:color="auto" w:fill="FFFFFF"/>
          </w:tcPr>
          <w:p w:rsidR="00457B38" w:rsidRPr="006F587D" w:rsidRDefault="00604E9C" w:rsidP="00F56D04">
            <w:pPr>
              <w:pStyle w:val="RollCallTable"/>
            </w:pPr>
            <w:r w:rsidRPr="006F587D">
              <w:t>Dominique Bilde</w:t>
            </w:r>
          </w:p>
        </w:tc>
      </w:tr>
    </w:tbl>
    <w:p w:rsidR="00457B38" w:rsidRPr="006F587D" w:rsidRDefault="00457B38" w:rsidP="00457B3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F587D" w:rsidRPr="006F587D" w:rsidTr="00F56D04">
        <w:trPr>
          <w:cantSplit/>
        </w:trPr>
        <w:tc>
          <w:tcPr>
            <w:tcW w:w="1701" w:type="dxa"/>
            <w:shd w:val="pct10" w:color="000000" w:fill="FFFFFF"/>
            <w:vAlign w:val="center"/>
          </w:tcPr>
          <w:p w:rsidR="00457B38" w:rsidRPr="006F587D" w:rsidRDefault="00604E9C" w:rsidP="00F56D04">
            <w:pPr>
              <w:pStyle w:val="RollCallVotes"/>
            </w:pPr>
            <w:r w:rsidRPr="006F587D">
              <w:t>10</w:t>
            </w:r>
          </w:p>
        </w:tc>
        <w:tc>
          <w:tcPr>
            <w:tcW w:w="7371" w:type="dxa"/>
            <w:shd w:val="pct10" w:color="000000" w:fill="FFFFFF"/>
          </w:tcPr>
          <w:p w:rsidR="00457B38" w:rsidRPr="006F587D" w:rsidRDefault="00604E9C" w:rsidP="00F56D04">
            <w:pPr>
              <w:pStyle w:val="RollCallSymbols14pt"/>
            </w:pPr>
            <w:r w:rsidRPr="006F587D">
              <w:t>0</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ECR</w:t>
            </w:r>
          </w:p>
        </w:tc>
        <w:tc>
          <w:tcPr>
            <w:tcW w:w="7371" w:type="dxa"/>
            <w:shd w:val="clear" w:color="auto" w:fill="FFFFFF"/>
          </w:tcPr>
          <w:p w:rsidR="00457B38" w:rsidRPr="006F587D" w:rsidRDefault="00604E9C" w:rsidP="00F56D04">
            <w:pPr>
              <w:pStyle w:val="RollCallTable"/>
            </w:pPr>
            <w:r w:rsidRPr="006F587D">
              <w:t>Chiara Gemma</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ID</w:t>
            </w:r>
          </w:p>
        </w:tc>
        <w:tc>
          <w:tcPr>
            <w:tcW w:w="7371" w:type="dxa"/>
            <w:shd w:val="clear" w:color="auto" w:fill="FFFFFF"/>
          </w:tcPr>
          <w:p w:rsidR="00457B38" w:rsidRPr="006F587D" w:rsidRDefault="00604E9C" w:rsidP="00F56D04">
            <w:pPr>
              <w:pStyle w:val="RollCallTable"/>
            </w:pPr>
            <w:r w:rsidRPr="006F587D">
              <w:t>Elena Lizzi</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PPE</w:t>
            </w:r>
          </w:p>
        </w:tc>
        <w:tc>
          <w:tcPr>
            <w:tcW w:w="7371" w:type="dxa"/>
            <w:shd w:val="clear" w:color="auto" w:fill="FFFFFF"/>
          </w:tcPr>
          <w:p w:rsidR="00457B38" w:rsidRPr="006F587D" w:rsidRDefault="00604E9C" w:rsidP="00F56D04">
            <w:pPr>
              <w:pStyle w:val="RollCallTable"/>
            </w:pPr>
            <w:r w:rsidRPr="006F587D">
              <w:t>Alexander Alexandrov Yordanov, Jarosław Duda, Helmut Geuking, Miriam Lexmann, Romana Tomc, Tomáš Zdechovský</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S&amp;D</w:t>
            </w:r>
          </w:p>
        </w:tc>
        <w:tc>
          <w:tcPr>
            <w:tcW w:w="7371" w:type="dxa"/>
            <w:shd w:val="clear" w:color="auto" w:fill="FFFFFF"/>
          </w:tcPr>
          <w:p w:rsidR="00457B38" w:rsidRPr="006F587D" w:rsidRDefault="00604E9C" w:rsidP="00F56D04">
            <w:pPr>
              <w:pStyle w:val="RollCallTable"/>
            </w:pPr>
            <w:r w:rsidRPr="006F587D">
              <w:t>Ilan De Basso</w:t>
            </w:r>
          </w:p>
        </w:tc>
      </w:tr>
      <w:tr w:rsidR="006F587D" w:rsidRPr="006F587D" w:rsidTr="00F56D04">
        <w:trPr>
          <w:cantSplit/>
        </w:trPr>
        <w:tc>
          <w:tcPr>
            <w:tcW w:w="1701" w:type="dxa"/>
            <w:shd w:val="clear" w:color="auto" w:fill="FFFFFF"/>
          </w:tcPr>
          <w:p w:rsidR="00457B38" w:rsidRPr="006F587D" w:rsidRDefault="00604E9C" w:rsidP="00F56D04">
            <w:pPr>
              <w:pStyle w:val="RollCallTable"/>
            </w:pPr>
            <w:r w:rsidRPr="006F587D">
              <w:t>The Left</w:t>
            </w:r>
          </w:p>
        </w:tc>
        <w:tc>
          <w:tcPr>
            <w:tcW w:w="7371" w:type="dxa"/>
            <w:shd w:val="clear" w:color="auto" w:fill="FFFFFF"/>
          </w:tcPr>
          <w:p w:rsidR="00457B38" w:rsidRPr="006F587D" w:rsidRDefault="00604E9C" w:rsidP="00F56D04">
            <w:pPr>
              <w:pStyle w:val="RollCallTable"/>
            </w:pPr>
            <w:r w:rsidRPr="006F587D">
              <w:t>Özlem Demirel</w:t>
            </w:r>
          </w:p>
        </w:tc>
      </w:tr>
    </w:tbl>
    <w:p w:rsidR="00457B38" w:rsidRPr="006F587D" w:rsidRDefault="00457B38" w:rsidP="00457B38">
      <w:pPr>
        <w:pStyle w:val="Normal12a"/>
      </w:pPr>
    </w:p>
    <w:p w:rsidR="00457B38" w:rsidRPr="006F587D" w:rsidRDefault="00604E9C" w:rsidP="00457B38">
      <w:pPr>
        <w:tabs>
          <w:tab w:val="center" w:pos="284"/>
          <w:tab w:val="left" w:pos="426"/>
        </w:tabs>
        <w:rPr>
          <w:snapToGrid w:val="0"/>
        </w:rPr>
      </w:pPr>
      <w:r w:rsidRPr="006F587D">
        <w:rPr>
          <w:snapToGrid w:val="0"/>
        </w:rPr>
        <w:t>Korišteni znakovi:</w:t>
      </w:r>
    </w:p>
    <w:p w:rsidR="00457B38" w:rsidRPr="006F587D" w:rsidRDefault="00604E9C" w:rsidP="00457B38">
      <w:pPr>
        <w:tabs>
          <w:tab w:val="center" w:pos="284"/>
          <w:tab w:val="left" w:pos="426"/>
        </w:tabs>
        <w:rPr>
          <w:snapToGrid w:val="0"/>
        </w:rPr>
      </w:pPr>
      <w:r w:rsidRPr="006F587D">
        <w:rPr>
          <w:snapToGrid w:val="0"/>
        </w:rPr>
        <w:t>+</w:t>
      </w:r>
      <w:r w:rsidRPr="006F587D">
        <w:rPr>
          <w:snapToGrid w:val="0"/>
        </w:rPr>
        <w:tab/>
        <w:t>:</w:t>
      </w:r>
      <w:r w:rsidRPr="006F587D">
        <w:rPr>
          <w:snapToGrid w:val="0"/>
        </w:rPr>
        <w:tab/>
        <w:t>za</w:t>
      </w:r>
    </w:p>
    <w:p w:rsidR="00457B38" w:rsidRPr="006F587D" w:rsidRDefault="00604E9C" w:rsidP="00457B38">
      <w:pPr>
        <w:tabs>
          <w:tab w:val="center" w:pos="284"/>
          <w:tab w:val="left" w:pos="426"/>
        </w:tabs>
        <w:rPr>
          <w:snapToGrid w:val="0"/>
        </w:rPr>
      </w:pPr>
      <w:r w:rsidRPr="006F587D">
        <w:rPr>
          <w:snapToGrid w:val="0"/>
        </w:rPr>
        <w:t>-</w:t>
      </w:r>
      <w:r w:rsidRPr="006F587D">
        <w:rPr>
          <w:snapToGrid w:val="0"/>
        </w:rPr>
        <w:tab/>
        <w:t>:</w:t>
      </w:r>
      <w:r w:rsidRPr="006F587D">
        <w:rPr>
          <w:snapToGrid w:val="0"/>
        </w:rPr>
        <w:tab/>
        <w:t>protiv</w:t>
      </w:r>
    </w:p>
    <w:p w:rsidR="00457B38" w:rsidRPr="006F587D" w:rsidRDefault="00604E9C" w:rsidP="00457B38">
      <w:pPr>
        <w:pStyle w:val="RollCallTabs"/>
      </w:pPr>
      <w:r w:rsidRPr="006F587D">
        <w:t>0</w:t>
      </w:r>
      <w:r w:rsidRPr="006F587D">
        <w:tab/>
        <w:t>:</w:t>
      </w:r>
      <w:r w:rsidRPr="006F587D">
        <w:tab/>
        <w:t>suzdržani</w:t>
      </w:r>
    </w:p>
    <w:p w:rsidR="00457B38" w:rsidRPr="006F587D" w:rsidRDefault="00457B38" w:rsidP="00457B38"/>
    <w:bookmarkEnd w:id="4"/>
    <w:p w:rsidR="00457B38" w:rsidRPr="006F587D" w:rsidRDefault="00457B38" w:rsidP="00457B38"/>
    <w:p w:rsidR="00DB56E4" w:rsidRPr="006F587D" w:rsidRDefault="00DB56E4" w:rsidP="00457B38">
      <w:bookmarkStart w:id="5" w:name="_GoBack"/>
      <w:bookmarkEnd w:id="5"/>
    </w:p>
    <w:sectPr w:rsidR="00DB56E4" w:rsidRPr="006F587D" w:rsidSect="00457B3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27E" w:rsidRDefault="00604E9C">
      <w:r>
        <w:separator/>
      </w:r>
    </w:p>
  </w:endnote>
  <w:endnote w:type="continuationSeparator" w:id="0">
    <w:p w:rsidR="0039327E" w:rsidRDefault="0060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B38" w:rsidRPr="00457B38" w:rsidRDefault="00604E9C" w:rsidP="00457B38">
    <w:pPr>
      <w:pStyle w:val="EPFooter"/>
    </w:pPr>
    <w:r w:rsidRPr="00457B38">
      <w:t>PE</w:t>
    </w:r>
    <w:r w:rsidRPr="006F587D">
      <w:rPr>
        <w:rStyle w:val="HideTWBExt"/>
      </w:rPr>
      <w:t>&lt;NoPE&gt;</w:t>
    </w:r>
    <w:r w:rsidRPr="00457B38">
      <w:t>752.621</w:t>
    </w:r>
    <w:r w:rsidRPr="006F587D">
      <w:rPr>
        <w:rStyle w:val="HideTWBExt"/>
      </w:rPr>
      <w:t>&lt;/NoPE&gt;&lt;Version&gt;</w:t>
    </w:r>
    <w:r w:rsidRPr="00457B38">
      <w:t>v02-00</w:t>
    </w:r>
    <w:r w:rsidRPr="006F587D">
      <w:rPr>
        <w:rStyle w:val="HideTWBExt"/>
      </w:rPr>
      <w:t>&lt;/Version&gt;</w:t>
    </w:r>
    <w:r w:rsidRPr="00457B38">
      <w:tab/>
    </w:r>
    <w:r w:rsidRPr="00457B38">
      <w:fldChar w:fldCharType="begin"/>
    </w:r>
    <w:r w:rsidRPr="00457B38">
      <w:instrText xml:space="preserve"> PAGE  \* MERGEFORMAT </w:instrText>
    </w:r>
    <w:r w:rsidRPr="00457B38">
      <w:fldChar w:fldCharType="separate"/>
    </w:r>
    <w:r w:rsidR="006F587D">
      <w:rPr>
        <w:noProof/>
      </w:rPr>
      <w:t>26</w:t>
    </w:r>
    <w:r w:rsidRPr="00457B38">
      <w:fldChar w:fldCharType="end"/>
    </w:r>
    <w:r w:rsidRPr="00457B38">
      <w:t>/</w:t>
    </w:r>
    <w:r w:rsidR="00D275E0">
      <w:fldChar w:fldCharType="begin"/>
    </w:r>
    <w:r>
      <w:instrText xml:space="preserve"> NUMPAGES  \* MERGEFORMAT </w:instrText>
    </w:r>
    <w:r w:rsidR="00D275E0">
      <w:fldChar w:fldCharType="separate"/>
    </w:r>
    <w:r w:rsidR="006F587D">
      <w:rPr>
        <w:noProof/>
      </w:rPr>
      <w:t>27</w:t>
    </w:r>
    <w:r w:rsidR="00D275E0">
      <w:rPr>
        <w:noProof/>
      </w:rPr>
      <w:fldChar w:fldCharType="end"/>
    </w:r>
    <w:r w:rsidRPr="00457B38">
      <w:tab/>
    </w:r>
    <w:r w:rsidRPr="006F587D">
      <w:rPr>
        <w:rStyle w:val="HideTWBExt"/>
      </w:rPr>
      <w:t>&lt;PathFdR&gt;</w:t>
    </w:r>
    <w:r w:rsidRPr="00457B38">
      <w:t>AD\1288324HR.docx</w:t>
    </w:r>
    <w:r w:rsidRPr="006F587D">
      <w:rPr>
        <w:rStyle w:val="HideTWBExt"/>
      </w:rPr>
      <w:t>&lt;/PathFdR&gt;</w:t>
    </w:r>
  </w:p>
  <w:p w:rsidR="00457B38" w:rsidRPr="00457B38" w:rsidRDefault="00604E9C" w:rsidP="00457B38">
    <w:pPr>
      <w:pStyle w:val="EPFooter2"/>
    </w:pPr>
    <w:r w:rsidRPr="00457B38">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B38" w:rsidRPr="00457B38" w:rsidRDefault="00604E9C" w:rsidP="00457B38">
    <w:pPr>
      <w:pStyle w:val="EPFooter"/>
    </w:pPr>
    <w:r w:rsidRPr="006F587D">
      <w:rPr>
        <w:rStyle w:val="HideTWBExt"/>
      </w:rPr>
      <w:t>&lt;PathFdR&gt;</w:t>
    </w:r>
    <w:r w:rsidRPr="00457B38">
      <w:t>AD\1288324HR.docx</w:t>
    </w:r>
    <w:r w:rsidRPr="006F587D">
      <w:rPr>
        <w:rStyle w:val="HideTWBExt"/>
      </w:rPr>
      <w:t>&lt;/PathFdR&gt;</w:t>
    </w:r>
    <w:r w:rsidRPr="00457B38">
      <w:tab/>
    </w:r>
    <w:r w:rsidRPr="00457B38">
      <w:fldChar w:fldCharType="begin"/>
    </w:r>
    <w:r w:rsidRPr="00457B38">
      <w:instrText xml:space="preserve"> PAGE  \* MERGEFORMAT </w:instrText>
    </w:r>
    <w:r w:rsidRPr="00457B38">
      <w:fldChar w:fldCharType="separate"/>
    </w:r>
    <w:r w:rsidR="006F587D">
      <w:rPr>
        <w:noProof/>
      </w:rPr>
      <w:t>27</w:t>
    </w:r>
    <w:r w:rsidRPr="00457B38">
      <w:fldChar w:fldCharType="end"/>
    </w:r>
    <w:r w:rsidRPr="00457B38">
      <w:t>/</w:t>
    </w:r>
    <w:r w:rsidR="00D275E0">
      <w:fldChar w:fldCharType="begin"/>
    </w:r>
    <w:r>
      <w:instrText xml:space="preserve"> NUMPAGES  \* MERGEFORMAT </w:instrText>
    </w:r>
    <w:r w:rsidR="00D275E0">
      <w:fldChar w:fldCharType="separate"/>
    </w:r>
    <w:r w:rsidR="006F587D">
      <w:rPr>
        <w:noProof/>
      </w:rPr>
      <w:t>27</w:t>
    </w:r>
    <w:r w:rsidR="00D275E0">
      <w:rPr>
        <w:noProof/>
      </w:rPr>
      <w:fldChar w:fldCharType="end"/>
    </w:r>
    <w:r w:rsidRPr="00457B38">
      <w:tab/>
      <w:t>PE</w:t>
    </w:r>
    <w:r w:rsidRPr="006F587D">
      <w:rPr>
        <w:rStyle w:val="HideTWBExt"/>
      </w:rPr>
      <w:t>&lt;NoPE&gt;</w:t>
    </w:r>
    <w:r w:rsidRPr="00457B38">
      <w:t>752.621</w:t>
    </w:r>
    <w:r w:rsidRPr="006F587D">
      <w:rPr>
        <w:rStyle w:val="HideTWBExt"/>
      </w:rPr>
      <w:t>&lt;/NoPE&gt;&lt;Version&gt;</w:t>
    </w:r>
    <w:r w:rsidRPr="00457B38">
      <w:t>v02-00</w:t>
    </w:r>
    <w:r w:rsidRPr="006F587D">
      <w:rPr>
        <w:rStyle w:val="HideTWBExt"/>
      </w:rPr>
      <w:t>&lt;/Version&gt;</w:t>
    </w:r>
  </w:p>
  <w:p w:rsidR="00457B38" w:rsidRPr="00457B38" w:rsidRDefault="00604E9C" w:rsidP="00457B38">
    <w:pPr>
      <w:pStyle w:val="EPFooter2"/>
    </w:pPr>
    <w:r w:rsidRPr="00457B38">
      <w:tab/>
    </w:r>
    <w:r w:rsidRPr="00457B38">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B38" w:rsidRPr="00457B38" w:rsidRDefault="00604E9C" w:rsidP="00457B38">
    <w:pPr>
      <w:pStyle w:val="EPFooter"/>
    </w:pPr>
    <w:r w:rsidRPr="006F587D">
      <w:rPr>
        <w:rStyle w:val="HideTWBExt"/>
      </w:rPr>
      <w:t>&lt;PathFdR&gt;</w:t>
    </w:r>
    <w:r w:rsidRPr="00457B38">
      <w:t>AD\1288324HR.docx</w:t>
    </w:r>
    <w:r w:rsidRPr="006F587D">
      <w:rPr>
        <w:rStyle w:val="HideTWBExt"/>
      </w:rPr>
      <w:t>&lt;/PathFdR&gt;</w:t>
    </w:r>
    <w:r w:rsidRPr="00457B38">
      <w:tab/>
    </w:r>
    <w:r w:rsidRPr="00457B38">
      <w:tab/>
      <w:t>PE</w:t>
    </w:r>
    <w:r w:rsidRPr="006F587D">
      <w:rPr>
        <w:rStyle w:val="HideTWBExt"/>
      </w:rPr>
      <w:t>&lt;NoPE&gt;</w:t>
    </w:r>
    <w:r w:rsidRPr="00457B38">
      <w:t>752.621</w:t>
    </w:r>
    <w:r w:rsidRPr="006F587D">
      <w:rPr>
        <w:rStyle w:val="HideTWBExt"/>
      </w:rPr>
      <w:t>&lt;/NoPE&gt;&lt;Version&gt;</w:t>
    </w:r>
    <w:r w:rsidRPr="00457B38">
      <w:t>v02-00</w:t>
    </w:r>
    <w:r w:rsidRPr="006F587D">
      <w:rPr>
        <w:rStyle w:val="HideTWBExt"/>
      </w:rPr>
      <w:t>&lt;/Version&gt;</w:t>
    </w:r>
  </w:p>
  <w:p w:rsidR="00457B38" w:rsidRPr="00457B38" w:rsidRDefault="00604E9C" w:rsidP="00457B38">
    <w:pPr>
      <w:pStyle w:val="EPFooter2"/>
    </w:pPr>
    <w:r w:rsidRPr="00457B38">
      <w:t>HR</w:t>
    </w:r>
    <w:r w:rsidRPr="00457B38">
      <w:tab/>
    </w:r>
    <w:r w:rsidRPr="00457B38">
      <w:rPr>
        <w:b w:val="0"/>
        <w:i/>
        <w:color w:val="C0C0C0"/>
        <w:sz w:val="22"/>
      </w:rPr>
      <w:t>Ujedinjena u raznolikosti</w:t>
    </w:r>
    <w:r w:rsidRPr="00457B38">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C3E" w:rsidRPr="00457B38" w:rsidRDefault="00604E9C" w:rsidP="007E7C3E">
    <w:pPr>
      <w:pStyle w:val="EPFooter"/>
    </w:pPr>
    <w:r w:rsidRPr="006F587D">
      <w:rPr>
        <w:rStyle w:val="HideTWBExt"/>
      </w:rPr>
      <w:t>&lt;PathFdR&gt;</w:t>
    </w:r>
    <w:r w:rsidRPr="00457B38">
      <w:t>AD\1288324HR.docx</w:t>
    </w:r>
    <w:r w:rsidRPr="006F587D">
      <w:rPr>
        <w:rStyle w:val="HideTWBExt"/>
      </w:rPr>
      <w:t>&lt;/PathFdR&gt;</w:t>
    </w:r>
    <w:r w:rsidRPr="00457B38">
      <w:tab/>
    </w:r>
    <w:r w:rsidRPr="00457B38">
      <w:tab/>
      <w:t>PE</w:t>
    </w:r>
    <w:r w:rsidRPr="006F587D">
      <w:rPr>
        <w:rStyle w:val="HideTWBExt"/>
      </w:rPr>
      <w:t>&lt;NoPE&gt;</w:t>
    </w:r>
    <w:r w:rsidRPr="00457B38">
      <w:t>752.621</w:t>
    </w:r>
    <w:r w:rsidRPr="006F587D">
      <w:rPr>
        <w:rStyle w:val="HideTWBExt"/>
      </w:rPr>
      <w:t>&lt;/NoPE&gt;&lt;Version&gt;</w:t>
    </w:r>
    <w:r w:rsidRPr="00457B38">
      <w:t>v02-00</w:t>
    </w:r>
    <w:r w:rsidRPr="006F587D">
      <w:rPr>
        <w:rStyle w:val="HideTWBExt"/>
      </w:rPr>
      <w:t>&lt;/Version&gt;</w:t>
    </w:r>
  </w:p>
  <w:p w:rsidR="007F187F" w:rsidRPr="00457B38" w:rsidRDefault="00604E9C" w:rsidP="007E7C3E">
    <w:pPr>
      <w:pStyle w:val="EPFooter2"/>
    </w:pPr>
    <w:r w:rsidRPr="00457B38">
      <w:t>HR</w:t>
    </w:r>
    <w:r w:rsidRPr="00457B38">
      <w:tab/>
    </w:r>
    <w:r w:rsidRPr="00457B38">
      <w:rPr>
        <w:b w:val="0"/>
        <w:i/>
        <w:color w:val="C0C0C0"/>
        <w:sz w:val="22"/>
      </w:rPr>
      <w:t>Ujedinjena u raznolikosti</w:t>
    </w:r>
    <w:r w:rsidRPr="00457B38">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27E" w:rsidRDefault="00604E9C">
      <w:r>
        <w:separator/>
      </w:r>
    </w:p>
  </w:footnote>
  <w:footnote w:type="continuationSeparator" w:id="0">
    <w:p w:rsidR="0039327E" w:rsidRDefault="0060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5E0" w:rsidRDefault="00D27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5E0" w:rsidRDefault="00D27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5E0" w:rsidRDefault="00D27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5D8" w:rsidRDefault="001445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5D8" w:rsidRDefault="001445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5D8" w:rsidRDefault="00144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2"/>
    <w:docVar w:name="AUTHORMNU" w:val=" 2"/>
    <w:docVar w:name="CJMNU" w:val="1"/>
    <w:docVar w:name="CODEMNU" w:val=" 1"/>
    <w:docVar w:name="COM2KEY" w:val="ECON"/>
    <w:docVar w:name="COMKEY" w:val="EMPL"/>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84023 HideTWBExt;}{_x000d__x000a_\s18\ql \li0\ri0\sa120\nowidctlpar\wrapdefault\aspalpha\aspnum\faauto\adjustright\rin0\lin0\itap0 \rtlch\fcs1 \af0\afs20\alang1025 \ltrch\fcs0 \fs24\lang1050\langfe2057\cgrid\langnp1050\langfenp2057 \sbasedon0 \snext18 \spriority0 \styrsid11484023 _x000d__x000a_Normal6a;}{\s19\ql \li0\ri0\nowidctlpar\wrapdefault\aspalpha\aspnum\faauto\adjustright\rin0\lin0\itap0 \rtlch\fcs1 \af0\afs20\alang1025 \ltrch\fcs0 \b\fs24\lang1050\langfe2057\cgrid\langnp1050\langfenp2057 \sbasedon0 \snext19 \spriority0 \styrsid11484023 _x000d__x000a_NormalBold;}{\*\cs20 \additive \v\f1\fs20\cf15 \spriority0 \styrsid11484023 HideTWBInt;}{\s21\qc \li0\ri0\sa240\nowidctlpar\wrapdefault\aspalpha\aspnum\faauto\adjustright\rin0\lin0\itap0 \rtlch\fcs1 \af0\afs20\alang1025 \ltrch\fcs0 _x000d__x000a_\i\fs24\lang1050\langfe2057\cgrid\langnp1050\langfenp2057 \sbasedon0 \snext21 \spriority0 \styrsid1148402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2 \spriority0 \styrsid11484023 AmNumberTabs;}{\s23\ql \li0\ri0\sb240\nowidctlpar\wrapdefault\aspalpha\aspnum\faauto\adjustright\rin0\lin0\itap0 \rtlch\fcs1 _x000d__x000a_\af0\afs20\alang1025 \ltrch\fcs0 \b\fs24\lang1050\langfe2057\cgrid\langnp1050\langfenp2057 \sbasedon0 \snext23 \spriority0 \styrsid11484023 NormalBold12b;}}{\*\rsidtbl \rsid24658\rsid223860\rsid735077\rsid1718133\rsid2892074\rsid3565327\rsid4666813_x000d__x000a_\rsid6641733\rsid7823322\rsid9636012\rsid10377208\rsid11215221\rsid11484023\rsid11549030\rsid12154954\rsid14382809\rsid14424199\rsid15204470\rsid15285974\rsid15950462\rsid16324206\rsid16662270\rsid16742837}{\mmathPr\mmathFont34\mbrkBin0\mbrkBinSub0_x000d__x000a_\msmallFrac0\mdispDef1\mlMargin0\mrMargin0\mdefJc1\mwrapIndent1440\mintLim0\mnaryLim1}{\info{\author ZAJEC Morana}{\operator ZAJEC Morana}{\creatim\yr2023\mo11\dy7\hr11\min50}{\revtim\yr2023\mo11\dy7\hr11\min50}{\version1}{\edmins0}{\nofpages1}_x000d__x000a_{\nofwords31}{\nofchars179}{\nofcharsws20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84023\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16742837 \chftnsep _x000d__x000a_\par }}{\*\ftnsepc \ltrpar \pard\plain \ltrpar\ql \li0\ri0\widctlpar\wrapdefault\aspalpha\aspnum\faauto\adjustright\rin0\lin0\itap0 \rtlch\fcs1 \af0\afs20\alang1025 \ltrch\fcs0 \fs24\lang2057\langfe2057\cgrid\langnp2057\langfenp2057 {\rtlch\fcs1 \af0 _x000d__x000a_\ltrch\fcs0 \insrsid16742837 \chftnsepc _x000d__x000a_\par }}{\*\aftnsep \ltrpar \pard\plain \ltrpar\ql \li0\ri0\widctlpar\wrapdefault\aspalpha\aspnum\faauto\adjustright\rin0\lin0\itap0 \rtlch\fcs1 \af0\afs20\alang1025 \ltrch\fcs0 \fs24\lang2057\langfe2057\cgrid\langnp2057\langfenp2057 {\rtlch\fcs1 \af0 _x000d__x000a_\ltrch\fcs0 \insrsid16742837 \chftnsep _x000d__x000a_\par }}{\*\aftnsepc \ltrpar \pard\plain \ltrpar\ql \li0\ri0\widctlpar\wrapdefault\aspalpha\aspnum\faauto\adjustright\rin0\lin0\itap0 \rtlch\fcs1 \af0\afs20\alang1025 \ltrch\fcs0 \fs24\lang2057\langfe2057\cgrid\langnp2057\langfenp2057 {\rtlch\fcs1 \af0 _x000d__x000a_\ltrch\fcs0 \insrsid167428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484023 \rtlch\fcs1 _x000d__x000a_\af0\afs20\alang1025 \ltrch\fcs0 \b\fs24\lang1050\langfe2057\cgrid\langnp1050\langfenp2057 {\rtlch\fcs1 \af0 \ltrch\fcs0 \cs17\b0\v\fs20\cf9\lang1024\langfe1024\loch\af1\hich\af1\dbch\af31501\noproof\insrsid11484023\charrsid15884324 {\*\bkmkstart restartA_x000d__x000a_}\hich\af1\dbch\af31501\loch\f1 &lt;AmendA&gt;}{\rtlch\fcs1 \af0 \ltrch\fcs0 \insrsid11484023\charrsid15884324 Amandman\tab \tab }{\rtlch\fcs1 \af0 \ltrch\fcs0 _x000d__x000a_\cs17\b0\v\fs20\cf9\lang1024\langfe1024\loch\af1\hich\af1\dbch\af31501\noproof\insrsid11484023\charrsid15884324 \hich\af1\dbch\af31501\loch\f1 &lt;NumAmA&gt;}{\rtlch\fcs1 \af0 \ltrch\fcs0 \insrsid11484023\charrsid15884324 #}{\rtlch\fcs1 \af1 \ltrch\fcs0 _x000d__x000a_\cs20\v\f1\fs20\cf15\insrsid11484023\charrsid15884324 NRAMMSG}{\rtlch\fcs1 \af0 \ltrch\fcs0 \insrsid11484023\charrsid15884324 #}{\rtlch\fcs1 \af0 \ltrch\fcs0 _x000d__x000a_\cs17\b0\v\fs20\cf9\lang1024\langfe1024\loch\af1\hich\af1\dbch\af31501\noproof\insrsid11484023\charrsid15884324 \hich\af1\dbch\af31501\loch\f1 &lt;/NumAmA&gt;}{\rtlch\fcs1 \af0 \ltrch\fcs0 \insrsid11484023\charrsid15884324 _x000d__x000a_\par }\pard\plain \ltrpar\s23\ql \li0\ri0\sb240\keepn\nowidctlpar\wrapdefault\aspalpha\aspnum\faauto\adjustright\rin0\lin0\itap0\pararsid11484023 \rtlch\fcs1 \af0\afs20\alang1025 \ltrch\fcs0 \b\fs24\lang1050\langfe2057\cgrid\langnp1050\langfenp2057 {_x000d__x000a_\rtlch\fcs1 \af0 \ltrch\fcs0 \cs17\b0\v\fs20\cf9\lang1024\langfe1024\loch\af1\hich\af1\dbch\af31501\noproof\insrsid11484023\charrsid15884324 \hich\af1\dbch\af31501\loch\f1 &lt;DocAmend&gt;}{\rtlch\fcs1 \af0 \ltrch\fcs0 \insrsid11484023\charrsid15884324 _x000d__x000a_Nacrt zakonodavne rezolucije}{\rtlch\fcs1 \af0 \ltrch\fcs0 \cs17\b0\v\fs20\cf9\lang1024\langfe1024\loch\af1\hich\af1\dbch\af31501\noproof\insrsid11484023\charrsid15884324 \hich\af1\dbch\af31501\loch\f1 &lt;/DocAmend&gt;}{\rtlch\fcs1 \af0 \ltrch\fcs0 _x000d__x000a_\insrsid11484023\charrsid15884324 _x000d__x000a_\par }\pard\plain \ltrpar\s19\ql \li0\ri0\nowidctlpar\wrapdefault\aspalpha\aspnum\faauto\adjustright\rin0\lin0\itap0\pararsid11484023 \rtlch\fcs1 \af0\afs20\alang1025 \ltrch\fcs0 \b\fs24\lang1050\langfe2057\cgrid\langnp1050\langfenp2057 {\rtlch\fcs1 \af0 _x000d__x000a_\ltrch\fcs0 \cs17\b0\v\fs20\cf9\lang1024\langfe1024\loch\af1\hich\af1\dbch\af31501\noproof\insrsid11484023\charrsid15884324 \hich\af1\dbch\af31501\loch\f1 &lt;Article&gt;}{\rtlch\fcs1 \af0 \ltrch\fcs0 \cf10\insrsid11484023\charrsid8979692 \u9668\'3f}{_x000d__x000a_\rtlch\fcs1 \af0 \ltrch\fcs0 \insrsid11484023\charrsid15884324 #}{\rtlch\fcs1 \af1 \ltrch\fcs0 \cs20\v\f1\fs20\cf15\insrsid11484023\charrsid15884324 TVTRESPART@RESPART@}{\rtlch\fcs1 \af0 \ltrch\fcs0 \insrsid11484023\charrsid15884324 #}{\rtlch\fcs1 \af0 _x000d__x000a_\ltrch\fcs0 \cf10\insrsid11484023\charrsid8979692 \u9658\'3f}{\rtlch\fcs1 \af0 \ltrch\fcs0 \cs17\b0\v\fs20\cf9\lang1024\langfe1024\loch\af1\hich\af1\dbch\af31501\noproof\insrsid11484023\charrsid15884324 \hich\af1\dbch\af31501\loch\f1 &lt;/Article&gt;}{_x000d__x000a_\rtlch\fcs1 \af0 \ltrch\fcs0 \insrsid11484023\charrsid158843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50\langfe2057\langnp1050\insrsid11484023\charrsid15884324 \cell }\pard \ltrpar_x000d__x000a_\ql \li0\ri0\widctlpar\intbl\wrapdefault\aspalpha\aspnum\faauto\adjustright\rin0\lin0 {\rtlch\fcs1 \af0 \ltrch\fcs0 \lang1050\langfe2057\langnp1050\insrsid11484023\charrsid158843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50\langfe2057\cgrid\langnp1050\langfenp2057 {\rtlch\fcs1 \af0 \ltrch\fcs0 \insrsid11484023\charrsid15884324 Nacrt zakonodavne rezolucije\cell Izmjena\cell }\pard\plain \ltrpar_x000d__x000a_\ql \li0\ri0\widctlpar\intbl\wrapdefault\aspalpha\aspnum\faauto\adjustright\rin0\lin0 \rtlch\fcs1 \af0\afs20\alang1025 \ltrch\fcs0 \fs24\lang2057\langfe2057\cgrid\langnp2057\langfenp2057 {\rtlch\fcs1 \af0 \ltrch\fcs0 _x000d__x000a_\lang1050\langfe2057\langnp1050\insrsid11484023\charrsid15884324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50\langfe2057\cgrid\langnp1050\langfenp2057 {\rtlch\fcs1 \af0 \ltrch\fcs0 \insrsid11484023\charrsid15884324 #}{\rtlch\fcs1 \af1 \ltrch\fcs0 \cs20\v\f1\fs20\cf15\insrsid11484023\charrsid15884324 TEXTMSG}{\rtlch\fcs1 \af0 \ltrch\fcs0 _x000d__x000a_\insrsid11484023\charrsid15884324 #\cell #}{\rtlch\fcs1 \af1 \ltrch\fcs0 \cs20\v\f1\fs20\cf15\insrsid11484023\charrsid15884324 TEXTMSG}{\rtlch\fcs1 \af0 \ltrch\fcs0 \insrsid11484023\charrsid15884324 #}{\rtlch\fcs1 \af0\afs24 \ltrch\fcs0 _x000d__x000a_\insrsid11484023\charrsid15884324 \cell }\pard\plain \ltrpar\ql \li0\ri0\widctlpar\intbl\wrapdefault\aspalpha\aspnum\faauto\adjustright\rin0\lin0 \rtlch\fcs1 \af0\afs20\alang1025 \ltrch\fcs0 \fs24\lang2057\langfe2057\cgrid\langnp2057\langfenp2057 {_x000d__x000a_\rtlch\fcs1 \af0 \ltrch\fcs0 \lang1050\langfe2057\langnp1050\insrsid11484023\charrsid15884324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484023 {\rtlch\fcs1 \af0 \ltrch\fcs0 \cs17\v\fs20\cf9\lang1024\langfe1024\loch\af1\hich\af1\dbch\af31501\noproof\langnp1050\insrsid11484023\charrsid15884324 _x000d__x000a_\hich\af1\dbch\af31501\loch\f1 &lt;/AmendA&gt;}{\rtlch\fcs1 \af0 \ltrch\fcs0 \insrsid1148402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8_x000d__x000a_3a336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67357 HideTWBExt;}{_x000d__x000a_\s18\ql \li0\ri0\sa120\nowidctlpar\wrapdefault\aspalpha\aspnum\faauto\adjustright\rin0\lin0\itap0 \rtlch\fcs1 \af0\afs20\alang1025 \ltrch\fcs0 \fs24\lang1050\langfe2057\cgrid\langnp1050\langfenp2057 \sbasedon0 \snext18 \spriority0 \styrsid16467357 _x000d__x000a_Normal6a;}{\s19\ql \li0\ri0\nowidctlpar\wrapdefault\aspalpha\aspnum\faauto\adjustright\rin0\lin0\itap0 \rtlch\fcs1 \af0\afs20\alang1025 \ltrch\fcs0 \b\fs24\lang1050\langfe2057\cgrid\langnp1050\langfenp2057 \sbasedon0 \snext19 \spriority0 \styrsid16467357 _x000d__x000a_NormalBold;}{\s20\ql \li0\ri0\sa240\nowidctlpar\wrapdefault\aspalpha\aspnum\faauto\adjustright\rin0\lin0\itap0 \rtlch\fcs1 \af0\afs20\alang1025 \ltrch\fcs0 \i\fs24\lang1050\langfe2057\cgrid\langnp1050\langfenp2057 _x000d__x000a_\sbasedon0 \snext20 \spriority0 \styrsid16467357 AmJustText;}{\s21\qc \li0\ri0\sb240\sa240\nowidctlpar\wrapdefault\aspalpha\aspnum\faauto\adjustright\rin0\lin0\itap0 \rtlch\fcs1 \af0\afs20\alang1025 \ltrch\fcs0 _x000d__x000a_\i\fs24\lang1050\langfe2057\cgrid\langnp1050\langfenp2057 \sbasedon0 \snext21 \spriority0 \styrsid16467357 AmCrossRef;}{\*\cs22 \additive \v\f1\fs20\cf15 \spriority0 \styrsid16467357 HideTWBInt;}{_x000d__x000a_\s23\qc \li0\ri0\sb240\sa240\keepn\nowidctlpar\wrapdefault\aspalpha\aspnum\faauto\adjustright\rin0\lin0\itap0 \rtlch\fcs1 \af0\afs20\alang1025 \ltrch\fcs0 \i\fs24\lang1050\langfe2057\cgrid\langnp1050\langfenp2057 _x000d__x000a_\sbasedon0 \snext20 \spriority0 \styrsid16467357 AmJustTitle;}{\s24\qc \li0\ri0\sa240\nowidctlpar\wrapdefault\aspalpha\aspnum\faauto\adjustright\rin0\lin0\itap0 \rtlch\fcs1 \af0\afs20\alang1025 \ltrch\fcs0 _x000d__x000a_\i\fs24\lang1050\langfe2057\cgrid\langnp1050\langfenp2057 \sbasedon0 \snext24 \spriority0 \styrsid16467357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5 \spriority0 \styrsid16467357 AmNumberTabs;}{\s26\ql \li0\ri0\sb240\nowidctlpar\wrapdefault\aspalpha\aspnum\faauto\adjustright\rin0\lin0\itap0 \rtlch\fcs1 _x000d__x000a_\af0\afs20\alang1025 \ltrch\fcs0 \b\fs24\lang1050\langfe2057\cgrid\langnp1050\langfenp2057 \sbasedon0 \snext26 \spriority0 \styrsid16467357 NormalBold12b;}}{\*\rsidtbl \rsid24658\rsid223860\rsid735077\rsid1718133\rsid1976475\rsid2892074\rsid3565327_x000d__x000a_\rsid4666813\rsid6641733\rsid7823322\rsid9636012\rsid10377208\rsid11215221\rsid11549030\rsid12154954\rsid14382809\rsid14424199\rsid15204470\rsid15285974\rsid15950462\rsid16324206\rsid16467357\rsid16662270}{\mmathPr\mmathFont34\mbrkBin0\mbrkBinSub0_x000d__x000a_\msmallFrac0\mdispDef1\mlMargin0\mrMargin0\mdefJc1\mwrapIndent1440\mintLim0\mnaryLim1}{\info{\author ZAJEC Morana}{\operator ZAJEC Morana}{\creatim\yr2023\mo11\dy7\hr11\min50}{\revtim\yr2023\mo11\dy7\hr11\min50}{\version1}{\edmins0}{\nofpages1}_x000d__x000a_{\nofwords100}{\nofchars570}{\nofcharsws6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7357\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1976475 \chftnsep _x000d__x000a_\par }}{\*\ftnsepc \ltrpar \pard\plain \ltrpar\ql \li0\ri0\widctlpar\wrapdefault\aspalpha\aspnum\faauto\adjustright\rin0\lin0\itap0 \rtlch\fcs1 \af0\afs20\alang1025 \ltrch\fcs0 \fs24\lang2057\langfe2057\cgrid\langnp2057\langfenp2057 {\rtlch\fcs1 \af0 _x000d__x000a_\ltrch\fcs0 \insrsid1976475 \chftnsepc _x000d__x000a_\par }}{\*\aftnsep \ltrpar \pard\plain \ltrpar\ql \li0\ri0\widctlpar\wrapdefault\aspalpha\aspnum\faauto\adjustright\rin0\lin0\itap0 \rtlch\fcs1 \af0\afs20\alang1025 \ltrch\fcs0 \fs24\lang2057\langfe2057\cgrid\langnp2057\langfenp2057 {\rtlch\fcs1 \af0 _x000d__x000a_\ltrch\fcs0 \insrsid1976475 \chftnsep _x000d__x000a_\par }}{\*\aftnsepc \ltrpar \pard\plain \ltrpar\ql \li0\ri0\widctlpar\wrapdefault\aspalpha\aspnum\faauto\adjustright\rin0\lin0\itap0 \rtlch\fcs1 \af0\afs20\alang1025 \ltrch\fcs0 \fs24\lang2057\langfe2057\cgrid\langnp2057\langfenp2057 {\rtlch\fcs1 \af0 _x000d__x000a_\ltrch\fcs0 \insrsid19764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6467357 \rtlch\fcs1 _x000d__x000a_\af0\afs20\alang1025 \ltrch\fcs0 \b\fs24\lang1050\langfe2057\cgrid\langnp1050\langfenp2057 {\rtlch\fcs1 \af0 \ltrch\fcs0 \cs17\b0\v\fs20\cf9\lang1024\langfe1024\loch\af1\hich\af1\dbch\af31501\noproof\insrsid16467357\charrsid15884324 {\*\bkmkstart restartB_x000d__x000a_}\hich\af1\dbch\af31501\loch\f1 &lt;AmendB&gt;}{\rtlch\fcs1 \af0 \ltrch\fcs0 \insrsid16467357\charrsid15884324 Amandman\tab \tab }{\rtlch\fcs1 \af0 \ltrch\fcs0 _x000d__x000a_\cs17\b0\v\fs20\cf9\lang1024\langfe1024\loch\af1\hich\af1\dbch\af31501\noproof\insrsid16467357\charrsid15884324 \hich\af1\dbch\af31501\loch\f1 &lt;NumAmB&gt;}{\rtlch\fcs1 \af0 \ltrch\fcs0 \insrsid16467357\charrsid15884324 #}{\rtlch\fcs1 \af1 \ltrch\fcs0 _x000d__x000a_\cs22\v\f1\fs20\cf15\insrsid16467357\charrsid15884324 NRAMMSG}{\rtlch\fcs1 \af0 \ltrch\fcs0 \insrsid16467357\charrsid15884324 #}{\rtlch\fcs1 \af0 \ltrch\fcs0 _x000d__x000a_\cs17\b0\v\fs20\cf9\lang1024\langfe1024\loch\af1\hich\af1\dbch\af31501\noproof\insrsid16467357\charrsid15884324 \hich\af1\dbch\af31501\loch\f1 &lt;/NumAmB&gt;}{\rtlch\fcs1 \af0 \ltrch\fcs0 \insrsid16467357\charrsid15884324 _x000d__x000a_\par }\pard\plain \ltrpar\s26\ql \li0\ri0\sb240\keepn\nowidctlpar\wrapdefault\aspalpha\aspnum\faauto\adjustright\rin0\lin0\itap0\pararsid16467357 \rtlch\fcs1 \af0\afs20\alang1025 \ltrch\fcs0 \b\fs24\lang1050\langfe2057\cgrid\langnp1050\langfenp2057 {_x000d__x000a_\rtlch\fcs1 \af0 \ltrch\fcs0 \cs17\b0\v\fs20\cf9\lang1024\langfe1024\loch\af1\hich\af1\dbch\af31501\noproof\insrsid16467357\charrsid15884324 \hich\af1\dbch\af31501\loch\f1 &lt;DocAmend&gt;}{\rtlch\fcs1 \af0 \ltrch\fcs0 \insrsid16467357\charrsid15884324 #}{_x000d__x000a_\rtlch\fcs1 \af1 \ltrch\fcs0 \cs22\v\f1\fs20\cf15\insrsid16467357\charrsid15884324 MNU[OPTPROPOSALCOD][OPTPROPOSALCNS][OPTPROPOSALNLE][OPTPROPOSALINL]@CHOICE@CODEMNU}{\rtlch\fcs1 \af0 \ltrch\fcs0 \insrsid16467357\charrsid15884324 ##}{\rtlch\fcs1 \af1 _x000d__x000a_\ltrch\fcs0 \cs22\v\f1\fs20\cf15\insrsid16467357\charrsid15884324 MNU[AMACTYES][NOTAPP2]@CHOICE@AMACTMNU}{\rtlch\fcs1 \af0 \ltrch\fcs0 \insrsid16467357\charrsid15884324 #}{\rtlch\fcs1 \af0 \ltrch\fcs0 _x000d__x000a_\cs17\b0\v\fs20\cf9\lang1024\langfe1024\loch\af1\hich\af1\dbch\af31501\noproof\insrsid16467357\charrsid15884324 \hich\af1\dbch\af31501\loch\f1 &lt;/DocAmend&gt;}{\rtlch\fcs1 \af0 \ltrch\fcs0 \insrsid16467357\charrsid15884324 _x000d__x000a_\par }\pard\plain \ltrpar\s19\ql \li0\ri0\keepn\nowidctlpar\wrapdefault\aspalpha\aspnum\faauto\adjustright\rin0\lin0\itap0\pararsid16467357 \rtlch\fcs1 \af0\afs20\alang1025 \ltrch\fcs0 \b\fs24\lang1050\langfe2057\cgrid\langnp1050\langfenp2057 {\rtlch\fcs1 _x000d__x000a_\af0 \ltrch\fcs0 \cs17\b0\v\fs20\cf9\lang1024\langfe1024\loch\af1\hich\af1\dbch\af31501\noproof\insrsid16467357\charrsid15884324 \hich\af1\dbch\af31501\loch\f1 &lt;Article&gt;}{\rtlch\fcs1 \af0 \ltrch\fcs0 \insrsid16467357\charrsid15884324 #}{\rtlch\fcs1 \af1 _x000d__x000a_\ltrch\fcs0 \cs22\v\f1\fs20\cf15\insrsid16467357\charrsid15884324 MNU[AMACTPARTYES][AMACTPARTNO]@CHOICE@AMACTMNU}{\rtlch\fcs1 \af0 \ltrch\fcs0 \insrsid16467357\charrsid15884324 #}{\rtlch\fcs1 \af0 \ltrch\fcs0 _x000d__x000a_\cs17\b0\v\fs20\cf9\lang1024\langfe1024\loch\af1\hich\af1\dbch\af31501\noproof\insrsid16467357\charrsid15884324 \hich\af1\dbch\af31501\loch\f1 &lt;/Articl\hich\af1\dbch\af31501\loch\f1 e&gt;}{\rtlch\fcs1 \af0 \ltrch\fcs0 \insrsid16467357\charrsid15884324 _x000d__x000a__x000d__x000a_\par }\pard\plain \ltrpar\ql \li0\ri0\keepn\widctlpar\wrapdefault\aspalpha\aspnum\faauto\adjustright\rin0\lin0\itap0\pararsid16467357 \rtlch\fcs1 \af0\afs20\alang1025 \ltrch\fcs0 \fs24\lang2057\langfe2057\cgrid\langnp2057\langfenp2057 {\rtlch\fcs1 \af0 _x000d__x000a_\ltrch\fcs0 \cs17\v\fs20\cf9\lang1024\langfe1024\loch\af1\hich\af1\dbch\af31501\noproof\langnp1050\insrsid16467357\charrsid15884324 \hich\af1\dbch\af31501\loch\f1 &lt;DocAmend2&gt;&lt;OptDel&gt;}{\rtlch\fcs1 \af0 \ltrch\fcs0 _x000d__x000a_\lang1050\langfe2057\langnp1050\insrsid16467357\charrsid15884324 #}{\rtlch\fcs1 \af1 \ltrch\fcs0 \cs22\v\f1\fs20\cf15\lang1050\langfe2057\langnp1050\insrsid16467357\charrsid15884324 MNU[OPTNRACTYES][NOTAPP]@CHOICE@AMACTMNU}{\rtlch\fcs1 \af0 \ltrch\fcs0 _x000d__x000a_\lang1050\langfe2057\langnp1050\insrsid16467357\charrsid15884324 #}{\rtlch\fcs1 \af0 \ltrch\fcs0 \cs17\v\fs20\cf9\lang1024\langfe1024\loch\af1\hich\af1\dbch\af31501\noproof\langnp1050\insrsid16467357\charrsid15884324 \hich\af1\dbch\af31501\loch\f1 _x000d__x000a_&lt;/OptDel&gt;&lt;/DocAmend2&gt;}{\rtlch\fcs1 \af0 \ltrch\fcs0 \lang1050\langfe2057\langnp1050\insrsid16467357\charrsid15884324 _x000d__x000a_\par }\pard \ltrpar\ql \li0\ri0\widctlpar\wrapdefault\aspalpha\aspnum\faauto\adjustright\rin0\lin0\itap0\pararsid16467357 {\rtlch\fcs1 \af0 \ltrch\fcs0 _x000d__x000a_\cs17\v\fs20\cf9\lang1024\langfe1024\loch\af1\hich\af1\dbch\af31501\noproof\langnp1050\insrsid16467357\charrsid15884324 \hich\af1\dbch\af31501\loch\f1 &lt;Article2&gt;&lt;OptDel&gt;}{\rtlch\fcs1 \af0 \ltrch\fcs0 _x000d__x000a_\lang1050\langfe2057\langnp1050\insrsid16467357\charrsid15884324 #}{\rtlch\fcs1 \af1 \ltrch\fcs0 \cs22\v\f1\fs20\cf15\lang1050\langfe2057\langnp1050\insrsid16467357\charrsid15884324 MNU[OPTACTPARTYES][NOTAPP]@CHOICE@AMACTMNU}{\rtlch\fcs1 \af0 \ltrch\fcs0 _x000d__x000a_\lang1050\langfe2057\langnp1050\insrsid16467357\charrsid15884324 #}{\rtlch\fcs1 \af0 \ltrch\fcs0 \cs17\v\fs20\cf9\lang1024\langfe1024\loch\af1\hich\af1\dbch\af31501\noproof\langnp1050\insrsid16467357\charrsid15884324 \hich\af1\dbch\af31501\loch\f1 _x000d__x000a_&lt;/OptDel&gt;&lt;/Article2&gt;}{\rtlch\fcs1 \af0 \ltrch\fcs0 \lang1050\langfe2057\langnp1050\insrsid16467357\charrsid158843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50\langfe2057\langnp1050\insrsid16467357\charrsid15884324 \cell }\pard \ltrpar\ql \li0\ri0\widctlpar\intbl\wrapdefault\aspalpha\aspnum\faauto\adjustright\rin0\lin0 {\rtlch\fcs1 \af0 \ltrch\fcs0 _x000d__x000a_\lang1050\langfe2057\langnp1050\insrsid16467357\charrsid15884324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50\langfe2057\cgrid\langnp1050\langfenp2057 {\rtlch\fcs1 \af0 \ltrch\fcs0 _x000d__x000a_\insrsid16467357\charrsid15884324 #}{\rtlch\fcs1 \af1 \ltrch\fcs0 \cs22\v\f1\fs20\cf15\insrsid16467357\charrsid15884324 MNU[OPTLEFTAMACT][LEFTPROP]@CHOICE@AMACTMNU}{\rtlch\fcs1 \af0 \ltrch\fcs0 \insrsid16467357\charrsid15884324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6467357\charrsid15884324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50\langfe2057\cgrid\langnp1050\langfenp2057 {\rtlch\fcs1 \af0 \ltrch\fcs0 _x000d__x000a_\insrsid16467357\charrsid15884324 #}{\rtlch\fcs1 \af1 \ltrch\fcs0 \cs22\v\f1\fs20\cf15\insrsid16467357\charrsid15884324 TEXTMSG}{\rtlch\fcs1 \af0 \ltrch\fcs0 \insrsid16467357\charrsid15884324 #\cell #}{\rtlch\fcs1 \af1 \ltrch\fcs0 _x000d__x000a_\cs22\v\f1\fs20\cf15\insrsid16467357\charrsid15884324 TEXTMSG}{\rtlch\fcs1 \af0 \ltrch\fcs0 \insrsid16467357\charrsid15884324 #}{\rtlch\fcs1 \af0\afs24 \ltrch\fcs0 \insrsid16467357\charrsid15884324 \cell }\pard\plain \ltrpar_x000d__x000a_\ql \li0\ri0\widctlpar\intbl\wrapdefault\aspalpha\aspnum\faauto\adjustright\rin0\lin0 \rtlch\fcs1 \af0\afs20\alang1025 \ltrch\fcs0 \fs24\lang2057\langfe2057\cgrid\langnp2057\langfenp2057 {\rtlch\fcs1 \af0 \ltrch\fcs0 _x000d__x000a_\lang1050\langfe2057\langnp1050\insrsid16467357\charrsid15884324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467357 \rtlch\fcs1 \af0\afs20\alang1025 \ltrch\fcs0 \i\fs24\lang1050\langfe2057\cgrid\langnp1050\langfenp2057 {\rtlch\fcs1 \af0 \ltrch\fcs0 _x000d__x000a_\cs17\i0\v\fs20\cf9\lang1024\langfe1024\loch\af1\hich\af1\dbch\af31501\noproof\insrsid16467357\charrsid15884324 \hich\af1\dbch\af31501\loch\f1 &lt;OptDel&gt;}{\rtlch\fcs1 \af0 \ltrch\fcs0 \insrsid16467357\charrsid15884324 #}{\rtlch\fcs1 \af1 \ltrch\fcs0 _x000d__x000a_\cs22\v\f1\fs20\cf15\insrsid16467357\charrsid15884324 MNU[CROSSREFNO][CROSSREFYES]@CHOICE@}{\rtlch\fcs1 \af0 \ltrch\fcs0 \insrsid16467357\charrsid15884324 #}{\rtlch\fcs1 \af0 \ltrch\fcs0 _x000d__x000a_\cs17\i0\v\fs20\cf9\lang1024\langfe1024\loch\af1\hich\af1\dbch\af31501\noproof\insrsid16467357\charrsid15884324 \hich\af1\dbch\af31501\loch\f1 &lt;/OptDel&gt;}{\rtlch\fcs1 \af0 \ltrch\fcs0 \insrsid16467357\charrsid15884324 _x000d__x000a_\par }\pard\plain \ltrpar\s23\qc \li0\ri0\sb240\sa240\keepn\nowidctlpar\wrapdefault\aspalpha\aspnum\faauto\adjustright\rin0\lin0\itap0\pararsid16467357 \rtlch\fcs1 \af0\afs20\alang1025 \ltrch\fcs0 \i\fs24\lang1050\langfe2057\cgrid\langnp1050\langfenp2057 {_x000d__x000a_\rtlch\fcs1 \af0 \ltrch\fcs0 \cs17\i0\v\fs20\cf9\lang1024\langfe1024\loch\af1\hich\af1\dbch\af31501\noproof\insrsid16467357\charrsid15884324 \hich\af1\dbch\af31501\loch\f1 &lt;TitreJust&gt;}{\rtlch\fcs1 \af0 \ltrch\fcs0 \insrsid16467357\charrsid15884324 Obrazlo_x000d__x000a_\'9eenje}{\rtlch\fcs1 \af0 \ltrch\fcs0 \cs17\i0\v\fs20\cf9\lang1024\langfe1024\loch\af1\hich\af1\dbch\af31501\noproof\insrsid16467357\charrsid15884324 \hich\af1\dbch\af31501\loch\f1 &lt;/TitreJust&gt;}{\rtlch\fcs1 \af0 \ltrch\fcs0 _x000d__x000a_\insrsid16467357\charrsid15884324 _x000d__x000a_\par }\pard\plain \ltrpar\s20\ql \li0\ri0\sa240\nowidctlpar\wrapdefault\aspalpha\aspnum\faauto\adjustright\rin0\lin0\itap0\pararsid16467357 \rtlch\fcs1 \af0\afs20\alang1025 \ltrch\fcs0 \i\fs24\lang1050\langfe2057\cgrid\langnp1050\langfenp2057 {\rtlch\fcs1 _x000d__x000a_\af0 \ltrch\fcs0 \cs17\i0\v\fs20\cf9\lang1024\langfe1024\loch\af1\hich\af1\dbch\af31501\noproof\insrsid16467357\charrsid15884324 \hich\af1\dbch\af31501\loch\f1 &lt;OptDelPrev&gt;}{\rtlch\fcs1 \af0 \ltrch\fcs0 \insrsid16467357\charrsid15884324 #}{\rtlch\fcs1 _x000d__x000a_\af1 \ltrch\fcs0 \cs22\v\f1\fs20\cf15\insrsid16467357\charrsid15884324 MNU[TEXTJUSTYES][TEXTJUSTNO]@CHOICE@}{\rtlch\fcs1 \af0 \ltrch\fcs0 \insrsid16467357\charrsid15884324 #}{\rtlch\fcs1 \af0 \ltrch\fcs0 _x000d__x000a_\cs17\i0\v\fs20\cf9\lang1024\langfe1024\loch\af1\hich\af1\dbch\af31501\noproof\insrsid16467357\charrsid15884324 \hich\af1\dbch\af31501\loch\f1 &lt;/OptDelPrev&gt;}{\rtlch\fcs1 \af0 \ltrch\fcs0 \insrsid16467357\charrsid15884324 _x000d__x000a_\par }\pard\plain \ltrpar\ql \li0\ri0\widctlpar\wrapdefault\aspalpha\aspnum\faauto\adjustright\rin0\lin0\itap0\pararsid16467357 \rtlch\fcs1 \af0\afs20\alang1025 \ltrch\fcs0 \fs24\lang2057\langfe2057\cgrid\langnp2057\langfenp2057 {\rtlch\fcs1 \af0 \ltrch\fcs0 _x000d__x000a_\cs17\v\fs20\cf9\lang1024\langfe1024\loch\af1\hich\af1\dbch\af31501\noproof\langnp1050\insrsid16467357\charrsid15884324 \hich\af1\dbch\af31501\loch\f1 &lt;/AmendB&gt;}{\rtlch\fcs1 \af0 \ltrch\fcs0 \insrsid1646735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4_x000d__x000a_00356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945798 HideTWBExt;}{_x000d__x000a_\s18\ql \li0\ri0\sa120\nowidctlpar\wrapdefault\aspalpha\aspnum\faauto\adjustright\rin0\lin0\itap0 \rtlch\fcs1 \af0\afs20\alang1025 \ltrch\fcs0 \fs24\lang2057\langfe2057\cgrid\langnp2057\langfenp2057 \sbasedon0 \snext18 \spriority0 \styrsid4945798 _x000d__x000a_Normal6a;}{\s19\ql \li0\ri0\nowidctlpar\wrapdefault\aspalpha\aspnum\faauto\adjustright\rin0\lin0\itap0 \rtlch\fcs1 \af0\afs20\alang1025 \ltrch\fcs0 \b\fs24\lang2057\langfe2057\cgrid\langnp2057\langfenp2057 \sbasedon0 \snext19 \spriority0 \styrsid4945798 _x000d__x000a_NormalBold;}{\s20\qc \li0\ri0\sa240\nowidctlpar\wrapdefault\aspalpha\aspnum\faauto\adjustright\rin0\lin0\itap0 \rtlch\fcs1 \af0\afs20\alang1025 \ltrch\fcs0 \i\fs24\lang2057\langfe2057\cgrid\langnp2057\langfenp2057 _x000d__x000a_\sbasedon0 \snext20 \spriority0 \styrsid494579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945798 AmNumberTabs;}{\s22\ql \li0\ri0\sb240\nowidctlpar\wrapdefault\aspalpha\aspnum\faauto\adjustright\rin0\lin0\itap0 \rtlch\fcs1 _x000d__x000a_\af0\afs20\alang1025 \ltrch\fcs0 \b\fs24\lang2057\langfe2057\cgrid\langnp2057\langfenp2057 \sbasedon0 \snext22 \spriority0 \styrsid4945798 NormalBold12b;}}{\*\rsidtbl \rsid24658\rsid223860\rsid735077\rsid1718133\rsid2892074\rsid3565327\rsid4666813_x000d__x000a_\rsid4945798\rsid6641733\rsid7823322\rsid9636012\rsid10377208\rsid11215221\rsid11549030\rsid11606312\rsid12154954\rsid14382809\rsid14424199\rsid15204470\rsid15285974\rsid15950462\rsid16324206\rsid16662270}{\mmathPr\mmathFont34\mbrkBin0\mbrkBinSub0_x000d__x000a_\msmallFrac0\mdispDef1\mlMargin0\mrMargin0\mdefJc1\mwrapIndent1440\mintLim0\mnaryLim1}{\info{\author ZAJEC Morana}{\operator ZAJEC Morana}{\creatim\yr2023\mo11\dy7\hr11\min50}{\revtim\yr2023\mo11\dy7\hr11\min5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45798\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11606312 \chftnsep _x000d__x000a_\par }}{\*\ftnsepc \ltrpar \pard\plain \ltrpar\ql \li0\ri0\widctlpar\wrapdefault\aspalpha\aspnum\faauto\adjustright\rin0\lin0\itap0 \rtlch\fcs1 \af0\afs20\alang1025 \ltrch\fcs0 \fs24\lang2057\langfe2057\cgrid\langnp2057\langfenp2057 {\rtlch\fcs1 \af0 _x000d__x000a_\ltrch\fcs0 \insrsid11606312 \chftnsepc _x000d__x000a_\par }}{\*\aftnsep \ltrpar \pard\plain \ltrpar\ql \li0\ri0\widctlpar\wrapdefault\aspalpha\aspnum\faauto\adjustright\rin0\lin0\itap0 \rtlch\fcs1 \af0\afs20\alang1025 \ltrch\fcs0 \fs24\lang2057\langfe2057\cgrid\langnp2057\langfenp2057 {\rtlch\fcs1 \af0 _x000d__x000a_\ltrch\fcs0 \insrsid11606312 \chftnsep _x000d__x000a_\par }}{\*\aftnsepc \ltrpar \pard\plain \ltrpar\ql \li0\ri0\widctlpar\wrapdefault\aspalpha\aspnum\faauto\adjustright\rin0\lin0\itap0 \rtlch\fcs1 \af0\afs20\alang1025 \ltrch\fcs0 \fs24\lang2057\langfe2057\cgrid\langnp2057\langfenp2057 {\rtlch\fcs1 \af0 _x000d__x000a_\ltrch\fcs0 \insrsid116063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945798 \rtlch\fcs1 _x000d__x000a_\af0\afs20\alang1025 \ltrch\fcs0 \b\fs24\lang2057\langfe2057\cgrid\langnp2057\langfenp2057 {\rtlch\fcs1 \af0 \ltrch\fcs0 \cs17\b0\v\fs20\cf9\lang1024\langfe1024\loch\af1\hich\af1\dbch\af31501\noproof\insrsid4945798\charrsid15879488 {\*\bkmkstart restartA}_x000d__x000a_\hich\af1\dbch\af31501\loch\f1 &lt;AmendA&gt;}{\rtlch\fcs1 \af0 \ltrch\fcs0 \insrsid4945798\charrsid15879488 [ZAMENDMENT]\tab \tab }{\rtlch\fcs1 \af0 \ltrch\fcs0 _x000d__x000a_\cs17\b0\v\fs20\cf9\lang1024\langfe1024\loch\af1\hich\af1\dbch\af31501\noproof\insrsid4945798\charrsid15879488 \hich\af1\dbch\af31501\loch\f1 &lt;NumAmA&gt;}{\rtlch\fcs1 \af0 \ltrch\fcs0 \insrsid4945798\charrsid15879488 [ZNRAM]}{\rtlch\fcs1 \af0 \ltrch\fcs0 _x000d__x000a_\cs17\b0\v\fs20\cf9\lang1024\langfe1024\loch\af1\hich\af1\dbch\af31501\noproof\insrsid4945798\charrsid15879488 \hich\af1\dbch\af31501\loch\f1 &lt;/NumAmA&gt;}{\rtlch\fcs1 \af0 \ltrch\fcs0 \insrsid4945798\charrsid15879488 _x000d__x000a_\par }\pard\plain \ltrpar\s22\ql \li0\ri0\sb240\keepn\nowidctlpar\wrapdefault\aspalpha\aspnum\faauto\adjustright\rin0\lin0\itap0\pararsid4945798 \rtlch\fcs1 \af0\afs20\alang1025 \ltrch\fcs0 \b\fs24\lang2057\langfe2057\cgrid\langnp2057\langfenp2057 {_x000d__x000a_\rtlch\fcs1 \af0 \ltrch\fcs0 \cs17\b0\v\fs20\cf9\lang1024\langfe1024\loch\af1\hich\af1\dbch\af31501\noproof\langnp1036\insrsid4945798\charrsid11356624 \hich\af1\dbch\af31501\loch\f1 &lt;DocAmend&gt;}{\rtlch\fcs1 \af0 \ltrch\fcs0 _x000d__x000a_\lang1036\langfe2057\langnp1036\insrsid4945798\charrsid11356624 [ZRESOLUTION]}{\rtlch\fcs1 \af0 \ltrch\fcs0 \cs17\b0\v\fs20\cf9\lang1024\langfe1024\loch\af1\hich\af1\dbch\af31501\noproof\langnp1036\insrsid4945798\charrsid11356624 _x000d__x000a_\hich\af1\dbch\af31501\loch\f1 &lt;/DocAmend&gt;}{\rtlch\fcs1 \af0 \ltrch\fcs0 \lang1036\langfe2057\langnp1036\insrsid4945798\charrsid11356624 _x000d__x000a_\par }\pard\plain \ltrpar\s19\ql \li0\ri0\nowidctlpar\wrapdefault\aspalpha\aspnum\faauto\adjustright\rin0\lin0\itap0\pararsid4945798 \rtlch\fcs1 \af0\afs20\alang1025 \ltrch\fcs0 \b\fs24\lang2057\langfe2057\cgrid\langnp2057\langfenp2057 {\rtlch\fcs1 \af0 _x000d__x000a_\ltrch\fcs0 \cs17\b0\v\fs20\cf9\lang1024\langfe1024\loch\af1\hich\af1\dbch\af31501\noproof\langnp1036\insrsid4945798\charrsid11356624 \hich\af1\dbch\af31501\loch\f1 &lt;Article&gt;}{\rtlch\fcs1 \af0 \ltrch\fcs0 _x000d__x000a_\lang1036\langfe2057\langnp1036\insrsid4945798\charrsid11356624 [ZRESPART]}{\rtlch\fcs1 \af0 \ltrch\fcs0 \cs17\b0\v\fs20\cf9\lang1024\langfe1024\loch\af1\hich\af1\dbch\af31501\noproof\langnp1036\insrsid4945798\charrsid11356624 _x000d__x000a_\hich\af1\dbch\af31501\loch\f1 &lt;/Article&gt;}{\rtlch\fcs1 \af0 \ltrch\fcs0 \lang1036\langfe2057\langnp1036\insrsid494579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945798\charrsid11356624 \cell }\pard \ltrpar_x000d__x000a_\ql \li0\ri0\widctlpar\intbl\wrapdefault\aspalpha\aspnum\faauto\adjustright\rin0\lin0 {\rtlch\fcs1 \af0 \ltrch\fcs0 \insrsid494579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945798\charrsid15879488 [ZLEFTA]\cell [ZRIGHT]\cell }\pard\plain \ltrpar\ql \li0\ri0\widctlpar\intbl\wrapdefault\aspalpha\aspnum\faauto\adjustright\rin0\lin0 _x000d__x000a_\rtlch\fcs1 \af0\afs20\alang1025 \ltrch\fcs0 \fs24\lang2057\langfe2057\cgrid\langnp2057\langfenp2057 {\rtlch\fcs1 \af0 \ltrch\fcs0 \insrsid494579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945798\charrsid15879488 [ZTEXTL]\cell [ZTEXTR]}{\rtlch\fcs1 \af0\afs24 \ltrch\fcs0 \insrsid4945798\charrsid15879488 \cell }\pard\plain \ltrpar\ql \li0\ri0\widctlpar\intbl\wrapdefault\aspalpha\aspnum\faauto\adjustright\rin0\lin0 \rtlch\fcs1 _x000d__x000a_\af0\afs20\alang1025 \ltrch\fcs0 \fs24\lang2057\langfe2057\cgrid\langnp2057\langfenp2057 {\rtlch\fcs1 \af0 \ltrch\fcs0 \insrsid494579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945798 {\rtlch\fcs1 \af0 \ltrch\fcs0 \cs17\v\fs20\cf9\lang1024\langfe1024\loch\af1\hich\af1\dbch\af31501\noproof\insrsid4945798\charrsid15879488 _x000d__x000a_\hich\af1\dbch\af31501\loch\f1 &lt;/AmendA&gt;}{\rtlch\fcs1 \af0 \ltrch\fcs0 \insrsid494579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8_x000d__x000a_aa366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6723 HideTWBExt;}{_x000d__x000a_\s18\ql \li0\ri0\sa120\nowidctlpar\wrapdefault\aspalpha\aspnum\faauto\adjustright\rin0\lin0\itap0 \rtlch\fcs1 \af0\afs20\alang1025 \ltrch\fcs0 \fs24\lang2057\langfe2057\cgrid\langnp2057\langfenp2057 \sbasedon0 \snext18 \spriority0 \styrsid3896723 _x000d__x000a_Normal6a;}{\s19\ql \li0\ri0\nowidctlpar\wrapdefault\aspalpha\aspnum\faauto\adjustright\rin0\lin0\itap0 \rtlch\fcs1 \af0\afs20\alang1025 \ltrch\fcs0 \b\fs24\lang2057\langfe2057\cgrid\langnp2057\langfenp2057 \sbasedon0 \snext19 \spriority0 \styrsid3896723 _x000d__x000a_NormalBold;}{\s20\ql \li0\ri0\sa240\nowidctlpar\wrapdefault\aspalpha\aspnum\faauto\adjustright\rin0\lin0\itap0 \rtlch\fcs1 \af0\afs20\alang1025 \ltrch\fcs0 \i\fs24\lang2057\langfe2057\cgrid\langnp2057\langfenp2057 _x000d__x000a_\sbasedon0 \snext20 \spriority0 \styrsid3896723 AmJustText;}{\s21\qc \li0\ri0\sb240\sa240\nowidctlpar\wrapdefault\aspalpha\aspnum\faauto\adjustright\rin0\lin0\itap0 \rtlch\fcs1 \af0\afs20\alang1025 \ltrch\fcs0 _x000d__x000a_\i\fs24\lang2057\langfe2057\cgrid\langnp2057\langfenp2057 \sbasedon0 \snext21 \spriority0 \styrsid3896723 AmCrossRef;}{\s22\qc \li0\ri0\sb240\sa240\keepn\nowidctlpar\wrapdefault\aspalpha\aspnum\faauto\adjustright\rin0\lin0\itap0 \rtlch\fcs1 _x000d__x000a_\af0\afs20\alang1025 \ltrch\fcs0 \i\fs24\lang2057\langfe2057\cgrid\langnp2057\langfenp2057 \sbasedon0 \snext20 \spriority0 \styrsid3896723 AmJustTitle;}{\s23\qc \li0\ri0\sa240\nowidctlpar\wrapdefault\aspalpha\aspnum\faauto\adjustright\rin0\lin0\itap0 _x000d__x000a_\rtlch\fcs1 \af0\afs20\alang1025 \ltrch\fcs0 \i\fs24\lang2057\langfe2057\cgrid\langnp2057\langfenp2057 \sbasedon0 \snext23 \spriority0 \styrsid389672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896723 AmNumberTabs;}{\s25\ql \li0\ri0\sb240\nowidctlpar\wrapdefault\aspalpha\aspnum\faauto\adjustright\rin0\lin0\itap0 \rtlch\fcs1 _x000d__x000a_\af0\afs20\alang1025 \ltrch\fcs0 \b\fs24\lang2057\langfe2057\cgrid\langnp2057\langfenp2057 \sbasedon0 \snext25 \spriority0 \styrsid3896723 NormalBold12b;}}{\*\rsidtbl \rsid24658\rsid223860\rsid735077\rsid1718133\rsid2892074\rsid3565327\rsid3896723_x000d__x000a_\rsid4666813\rsid6641733\rsid7823322\rsid9636012\rsid9914303\rsid10377208\rsid11215221\rsid11549030\rsid12154954\rsid14382809\rsid14424199\rsid15204470\rsid15285974\rsid15950462\rsid16324206\rsid16662270}{\mmathPr\mmathFont34\mbrkBin0\mbrkBinSub0_x000d__x000a_\msmallFrac0\mdispDef1\mlMargin0\mrMargin0\mdefJc1\mwrapIndent1440\mintLim0\mnaryLim1}{\info{\author ZAJEC Morana}{\operator ZAJEC Morana}{\creatim\yr2023\mo11\dy7\hr11\min50}{\revtim\yr2023\mo11\dy7\hr11\min50}{\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96723\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9914303 \chftnsep _x000d__x000a_\par }}{\*\ftnsepc \ltrpar \pard\plain \ltrpar\ql \li0\ri0\widctlpar\wrapdefault\aspalpha\aspnum\faauto\adjustright\rin0\lin0\itap0 \rtlch\fcs1 \af0\afs20\alang1025 \ltrch\fcs0 \fs24\lang2057\langfe2057\cgrid\langnp2057\langfenp2057 {\rtlch\fcs1 \af0 _x000d__x000a_\ltrch\fcs0 \insrsid9914303 \chftnsepc _x000d__x000a_\par }}{\*\aftnsep \ltrpar \pard\plain \ltrpar\ql \li0\ri0\widctlpar\wrapdefault\aspalpha\aspnum\faauto\adjustright\rin0\lin0\itap0 \rtlch\fcs1 \af0\afs20\alang1025 \ltrch\fcs0 \fs24\lang2057\langfe2057\cgrid\langnp2057\langfenp2057 {\rtlch\fcs1 \af0 _x000d__x000a_\ltrch\fcs0 \insrsid9914303 \chftnsep _x000d__x000a_\par }}{\*\aftnsepc \ltrpar \pard\plain \ltrpar\ql \li0\ri0\widctlpar\wrapdefault\aspalpha\aspnum\faauto\adjustright\rin0\lin0\itap0 \rtlch\fcs1 \af0\afs20\alang1025 \ltrch\fcs0 \fs24\lang2057\langfe2057\cgrid\langnp2057\langfenp2057 {\rtlch\fcs1 \af0 _x000d__x000a_\ltrch\fcs0 \insrsid99143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896723 \rtlch\fcs1 _x000d__x000a_\af0\afs20\alang1025 \ltrch\fcs0 \b\fs24\lang2057\langfe2057\cgrid\langnp2057\langfenp2057 {\rtlch\fcs1 \af0 \ltrch\fcs0 \cs17\b0\v\fs20\cf9\lang1024\langfe1024\loch\af1\hich\af1\dbch\af31501\noproof\insrsid3896723\charrsid15879488 {\*\bkmkstart restartB}_x000d__x000a_\hich\af1\dbch\af31501\loch\f1 &lt;AmendB&gt;}{\rtlch\fcs1 \af0 \ltrch\fcs0 \insrsid3896723\charrsid15879488 [ZAMENDMENT]\tab \tab }{\rtlch\fcs1 \af0 \ltrch\fcs0 _x000d__x000a_\cs17\b0\v\fs20\cf9\lang1024\langfe1024\loch\af1\hich\af1\dbch\af31501\noproof\insrsid3896723\charrsid15879488 \hich\af1\dbch\af31501\loch\f1 &lt;NumAmB&gt;}{\rtlch\fcs1 \af0 \ltrch\fcs0 \insrsid3896723\charrsid15879488 [ZNRAM]}{\rtlch\fcs1 \af0 \ltrch\fcs0 _x000d__x000a_\cs17\b0\v\fs20\cf9\lang1024\langfe1024\loch\af1\hich\af1\dbch\af31501\noproof\insrsid3896723\charrsid15879488 \hich\af1\dbch\af31501\loch\f1 &lt;/NumAmB&gt;}{\rtlch\fcs1 \af0 \ltrch\fcs0 \insrsid3896723\charrsid15879488 _x000d__x000a_\par }\pard\plain \ltrpar\s25\ql \li0\ri0\sb240\keepn\nowidctlpar\wrapdefault\aspalpha\aspnum\faauto\adjustright\rin0\lin0\itap0\pararsid3896723 \rtlch\fcs1 \af0\afs20\alang1025 \ltrch\fcs0 \b\fs24\lang2057\langfe2057\cgrid\langnp2057\langfenp2057 {_x000d__x000a_\rtlch\fcs1 \af0 \ltrch\fcs0 \cs17\b0\v\fs20\cf9\lang1024\langfe1024\loch\af1\hich\af1\dbch\af31501\noproof\insrsid3896723\charrsid15879488 \hich\af1\dbch\af31501\loch\f1 &lt;DocAmend&gt;}{\rtlch\fcs1 \af0 \ltrch\fcs0 \insrsid3896723\charrsid15879488 _x000d__x000a_[ZPROPOSAL][ZAMACT]}{\rtlch\fcs1 \af0 \ltrch\fcs0 \cs17\b0\v\fs20\cf9\lang1024\langfe1024\loch\af1\hich\af1\dbch\af31501\noproof\insrsid3896723\charrsid15879488 \hich\af1\dbch\af31501\loch\f1 &lt;/DocAmend&gt;}{\rtlch\fcs1 \af0 \ltrch\fcs0 _x000d__x000a_\insrsid3896723\charrsid15879488 _x000d__x000a_\par }\pard\plain \ltrpar\s19\ql \li0\ri0\keepn\nowidctlpar\wrapdefault\aspalpha\aspnum\faauto\adjustright\rin0\lin0\itap0\pararsid3896723 \rtlch\fcs1 \af0\afs20\alang1025 \ltrch\fcs0 \b\fs24\lang2057\langfe2057\cgrid\langnp2057\langfenp2057 {\rtlch\fcs1 \af0 _x000d__x000a_\ltrch\fcs0 \cs17\b0\v\fs20\cf9\lang1024\langfe1024\loch\af1\hich\af1\dbch\af31501\noproof\insrsid3896723\charrsid15879488 \hich\af1\dbch\af31501\loch\f1 &lt;Article&gt;}{\rtlch\fcs1 \af0 \ltrch\fcs0 \insrsid3896723\charrsid15879488 [ZAMPART]}{\rtlch\fcs1 \af0 _x000d__x000a_\ltrch\fcs0 \cs17\b0\v\fs20\cf9\lang1024\langfe1024\loch\af1\hich\af1\dbch\af31501\noproof\insrsid3896723\charrsid15879488 \hich\af1\dbch\af31501\loch\f1 &lt;/Article&gt;}{\rtlch\fcs1 \af0 \ltrch\fcs0 \insrsid3896723\charrsid15879488 _x000d__x000a_\par }\pard\plain \ltrpar\ql \li0\ri0\keepn\widctlpar\wrapdefault\aspalpha\aspnum\faauto\adjustright\rin0\lin0\itap0\pararsid3896723 \rtlch\fcs1 \af0\afs20\alang1025 \ltrch\fcs0 \fs24\lang2057\langfe2057\cgrid\langnp2057\langfenp2057 {\rtlch\fcs1 \af0 _x000d__x000a_\ltrch\fcs0 \cs17\v\fs20\cf9\lang1024\langfe1024\loch\af1\hich\af1\dbch\af31501\noproof\insrsid3896723\charrsid15879488 \hich\af1\dbch\af31501\loch\f1 &lt;DocAmend2&gt;&lt;OptDel&gt;}{\rtlch\fcs1 \af0 \ltrch\fcs0 \insrsid3896723\charrsid15879488 [ZNRACT]}{_x000d__x000a_\rtlch\fcs1 \af0 \ltrch\fcs0 \cs17\v\fs20\cf9\lang1024\langfe1024\loch\af1\hich\af1\dbch\af31501\noproof\insrsid3896723\charrsid15879488 \hich\af1\dbch\af31501\loch\f1 &lt;/OptDel&gt;&lt;/DocAmend2&gt;}{\rtlch\fcs1 \af0 \ltrch\fcs0 \insrsid3896723\charrsid15879488 _x000d__x000a__x000d__x000a_\par }\pard \ltrpar\ql \li0\ri0\widctlpar\wrapdefault\aspalpha\aspnum\faauto\adjustright\rin0\lin0\itap0\pararsid3896723 {\rtlch\fcs1 \af0 \ltrch\fcs0 _x000d__x000a_\cs17\v\fs20\cf9\lang1024\langfe1024\loch\af1\hich\af1\dbch\af31501\noproof\langnp1036\insrsid3896723\charrsid11356624 \hich\af1\dbch\af31501\loch\f1 &lt;Article2&gt;&lt;OptDel&gt;}{\rtlch\fcs1 \af0 \ltrch\fcs0 _x000d__x000a_\lang1036\langfe2057\langnp1036\insrsid3896723\charrsid11356624 [ZACTPART]}{\rtlch\fcs1 \af0 \ltrch\fcs0 \cs17\v\fs20\cf9\lang1024\langfe1024\loch\af1\hich\af1\dbch\af31501\noproof\langnp1036\insrsid3896723\charrsid11356624 \hich\af1\dbch\af31501\loch\f1 _x000d__x000a_&lt;/OptDel&gt;&lt;/Article2&gt;}{\rtlch\fcs1 \af0 \ltrch\fcs0 \lang1036\langfe2057\langnp1036\insrsid389672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896723\charrsid11356624 \cell }\pard \ltrpar\ql \li0\ri0\widctlpar\intbl\wrapdefault\aspalpha\aspnum\faauto\adjustright\rin0\lin0 {\rtlch\fcs1 \af0 \ltrch\fcs0 \insrsid389672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896723\charrsid15879488 [ZLEFTB]\cell [ZRIGHT]\cell }\pard\plain \ltrpar\ql \li0\ri0\widctlpar\intbl\wrapdefault\aspalpha\aspnum\faauto\adjustright\rin0\lin0 \rtlch\fcs1 \af0\afs20\alang1025 \ltrch\fcs0 _x000d__x000a_\fs24\lang2057\langfe2057\cgrid\langnp2057\langfenp2057 {\rtlch\fcs1 \af0 \ltrch\fcs0 \insrsid389672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896723\charrsid15879488 [ZTEXTL]\cell [ZTEXTR]}{\rtlch\fcs1 \af0\afs24 \ltrch\fcs0 \insrsid3896723\charrsid15879488 \cell }\pard\plain \ltrpar\ql \li0\ri0\widctlpar\intbl\wrapdefault\aspalpha\aspnum\faauto\adjustright\rin0\lin0 \rtlch\fcs1 _x000d__x000a_\af0\afs20\alang1025 \ltrch\fcs0 \fs24\lang2057\langfe2057\cgrid\langnp2057\langfenp2057 {\rtlch\fcs1 \af0 \ltrch\fcs0 \insrsid389672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896723 \rtlch\fcs1 \af0\afs20\alang1025 \ltrch\fcs0 \i\fs24\lang2057\langfe2057\cgrid\langnp2057\langfenp2057 {\rtlch\fcs1 \af0 \ltrch\fcs0 _x000d__x000a_\cs17\i0\v\fs20\cf9\lang1024\langfe1024\loch\af1\hich\af1\dbch\af31501\noproof\insrsid3896723\charrsid15879488 \hich\af1\dbch\af31501\loch\f1 &lt;OptDel&gt;}{\rtlch\fcs1 \af0 \ltrch\fcs0 \insrsid3896723\charrsid15879488 [ZCROSSREF]}{\rtlch\fcs1 \af0 _x000d__x000a_\ltrch\fcs0 \cs17\i0\v\fs20\cf9\lang1024\langfe1024\loch\af1\hich\af1\dbch\af31501\noproof\insrsid3896723\charrsid15879488 \hich\af1\dbch\af31501\loch\f1 &lt;/OptDel&gt;}{\rtlch\fcs1 \af0 \ltrch\fcs0 \insrsid3896723\charrsid15879488 _x000d__x000a_\par }\pard\plain \ltrpar\s22\qc \li0\ri0\sb240\sa240\keepn\nowidctlpar\wrapdefault\aspalpha\aspnum\faauto\adjustright\rin0\lin0\itap0\pararsid3896723 \rtlch\fcs1 \af0\afs20\alang1025 \ltrch\fcs0 \i\fs24\lang2057\langfe2057\cgrid\langnp2057\langfenp2057 {_x000d__x000a_\rtlch\fcs1 \af0 \ltrch\fcs0 \cs17\i0\v\fs20\cf9\lang1024\langfe1024\loch\af1\hich\af1\dbch\af31501\noproof\insrsid3896723\charrsid15879488 \hich\af1\dbch\af31501\loch\f1 &lt;TitreJust&gt;}{\rtlch\fcs1 \af0 \ltrch\fcs0 \insrsid3896723\charrsid15879488 _x000d__x000a_[ZJUSTIFICATION]}{\rtlch\fcs1 \af0 \ltrch\fcs0 \cs17\i0\v\fs20\cf9\lang1024\langfe1024\loch\af1\hich\af1\dbch\af31501\noproof\insrsid3896723\charrsid15879488 \hich\af1\dbch\af31501\loch\f1 &lt;/TitreJust&gt;}{\rtlch\fcs1 \af0 \ltrch\fcs0 _x000d__x000a_\insrsid3896723\charrsid15879488 _x000d__x000a_\par }\pard\plain \ltrpar\s20\ql \li0\ri0\sa240\nowidctlpar\wrapdefault\aspalpha\aspnum\faauto\adjustright\rin0\lin0\itap0\pararsid3896723 \rtlch\fcs1 \af0\afs20\alang1025 \ltrch\fcs0 \i\fs24\lang2057\langfe2057\cgrid\langnp2057\langfenp2057 {\rtlch\fcs1 \af0 _x000d__x000a_\ltrch\fcs0 \cs17\i0\v\fs20\cf9\lang1024\langfe1024\loch\af1\hich\af1\dbch\af31501\noproof\insrsid3896723\charrsid15879488 \hich\af1\dbch\af31501\loch\f1 &lt;OptDelPrev&gt;}{\rtlch\fcs1 \af0 \ltrch\fcs0 \insrsid3896723\charrsid15879488 [ZTEXTJUST]}{\rtlch\fcs1 _x000d__x000a_\af0 \ltrch\fcs0 \cs17\i0\v\fs20\cf9\lang1024\langfe1024\loch\af1\hich\af1\dbch\af31501\noproof\insrsid3896723\charrsid15879488 \hich\af1\dbch\af31501\loch\f1 &lt;/OptDelPrev&gt;}{\rtlch\fcs1 \af0 \ltrch\fcs0 \insrsid3896723\charrsid15879488 _x000d__x000a_\par }\pard\plain \ltrpar\ql \li0\ri0\widctlpar\wrapdefault\aspalpha\aspnum\faauto\adjustright\rin0\lin0\itap0\pararsid3896723 \rtlch\fcs1 \af0\afs20\alang1025 \ltrch\fcs0 \fs24\lang2057\langfe2057\cgrid\langnp2057\langfenp2057 {\rtlch\fcs1 \af0 \ltrch\fcs0 _x000d__x000a_\cs17\v\fs20\cf9\lang1024\langfe1024\loch\af1\hich\af1\dbch\af31501\noproof\insrsid3896723\charrsid15879488 \hich\af1\dbch\af31501\loch\f1 &lt;/AmendB&gt;}{\rtlch\fcs1 \af0 \ltrch\fcs0 \insrsid389672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e_x000d__x000a_74386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8"/>
    <w:docVar w:name="TITLECODMNU" w:val=" 1"/>
    <w:docVar w:name="TXTLANGUE" w:val="HR"/>
    <w:docVar w:name="TXTLANGUEMIN" w:val="hr"/>
    <w:docVar w:name="TXTNRPE" w:val="752.621"/>
    <w:docVar w:name="TXTNRPROC" w:val="2023/0138"/>
    <w:docVar w:name="TXTPEorAP" w:val="PE"/>
    <w:docVar w:name="TXTROUTE" w:val="AD\1288324HR.docx"/>
    <w:docVar w:name="TXTVERSION" w:val="02-00"/>
  </w:docVars>
  <w:rsids>
    <w:rsidRoot w:val="00600904"/>
    <w:rsid w:val="00026559"/>
    <w:rsid w:val="00027FA8"/>
    <w:rsid w:val="0004474F"/>
    <w:rsid w:val="00082EC4"/>
    <w:rsid w:val="000D44A6"/>
    <w:rsid w:val="00122C05"/>
    <w:rsid w:val="00134974"/>
    <w:rsid w:val="00141CD7"/>
    <w:rsid w:val="001445D8"/>
    <w:rsid w:val="001616BD"/>
    <w:rsid w:val="001820A9"/>
    <w:rsid w:val="001A0556"/>
    <w:rsid w:val="001B0A1E"/>
    <w:rsid w:val="001C0886"/>
    <w:rsid w:val="001D5154"/>
    <w:rsid w:val="001E3AC4"/>
    <w:rsid w:val="0020077A"/>
    <w:rsid w:val="0023131B"/>
    <w:rsid w:val="002A67EE"/>
    <w:rsid w:val="00304EA8"/>
    <w:rsid w:val="00341A99"/>
    <w:rsid w:val="00360FAA"/>
    <w:rsid w:val="0038294E"/>
    <w:rsid w:val="0039327E"/>
    <w:rsid w:val="003A2F84"/>
    <w:rsid w:val="003C7390"/>
    <w:rsid w:val="003E1280"/>
    <w:rsid w:val="003F128E"/>
    <w:rsid w:val="0040055C"/>
    <w:rsid w:val="00453CE3"/>
    <w:rsid w:val="00457B38"/>
    <w:rsid w:val="0048267A"/>
    <w:rsid w:val="00487596"/>
    <w:rsid w:val="004B3A53"/>
    <w:rsid w:val="004C2A0D"/>
    <w:rsid w:val="004F1D2F"/>
    <w:rsid w:val="00502B76"/>
    <w:rsid w:val="00513F6F"/>
    <w:rsid w:val="00522B51"/>
    <w:rsid w:val="00524707"/>
    <w:rsid w:val="005539B7"/>
    <w:rsid w:val="00571233"/>
    <w:rsid w:val="00600904"/>
    <w:rsid w:val="00604E9C"/>
    <w:rsid w:val="00613134"/>
    <w:rsid w:val="00626D52"/>
    <w:rsid w:val="00643DA8"/>
    <w:rsid w:val="00657D5C"/>
    <w:rsid w:val="00660B15"/>
    <w:rsid w:val="00683DD1"/>
    <w:rsid w:val="00691B1C"/>
    <w:rsid w:val="006A0F0A"/>
    <w:rsid w:val="006A48AA"/>
    <w:rsid w:val="006B1267"/>
    <w:rsid w:val="006B3465"/>
    <w:rsid w:val="006D292E"/>
    <w:rsid w:val="006F587D"/>
    <w:rsid w:val="00712462"/>
    <w:rsid w:val="00716BAA"/>
    <w:rsid w:val="0078548A"/>
    <w:rsid w:val="007B7CE3"/>
    <w:rsid w:val="007E7C3E"/>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85BCE"/>
    <w:rsid w:val="009E7319"/>
    <w:rsid w:val="00A71228"/>
    <w:rsid w:val="00A74E25"/>
    <w:rsid w:val="00AC2A60"/>
    <w:rsid w:val="00AD233A"/>
    <w:rsid w:val="00AD49D0"/>
    <w:rsid w:val="00AF03B9"/>
    <w:rsid w:val="00B00EE6"/>
    <w:rsid w:val="00B476DC"/>
    <w:rsid w:val="00B556CD"/>
    <w:rsid w:val="00B62D4B"/>
    <w:rsid w:val="00B904FA"/>
    <w:rsid w:val="00BA3E40"/>
    <w:rsid w:val="00BA7875"/>
    <w:rsid w:val="00BD1F76"/>
    <w:rsid w:val="00BE20CF"/>
    <w:rsid w:val="00C22327"/>
    <w:rsid w:val="00C335C6"/>
    <w:rsid w:val="00C4219C"/>
    <w:rsid w:val="00C52A28"/>
    <w:rsid w:val="00C709B7"/>
    <w:rsid w:val="00C75E98"/>
    <w:rsid w:val="00C81C5B"/>
    <w:rsid w:val="00C83B35"/>
    <w:rsid w:val="00C85D0F"/>
    <w:rsid w:val="00D25CF2"/>
    <w:rsid w:val="00D275E0"/>
    <w:rsid w:val="00D56CE0"/>
    <w:rsid w:val="00D6254D"/>
    <w:rsid w:val="00D67D0A"/>
    <w:rsid w:val="00D74FD1"/>
    <w:rsid w:val="00D7660C"/>
    <w:rsid w:val="00D943A5"/>
    <w:rsid w:val="00D9581F"/>
    <w:rsid w:val="00DB56E4"/>
    <w:rsid w:val="00E27F01"/>
    <w:rsid w:val="00E77FF5"/>
    <w:rsid w:val="00E94D64"/>
    <w:rsid w:val="00EA3802"/>
    <w:rsid w:val="00EF1432"/>
    <w:rsid w:val="00EF33D5"/>
    <w:rsid w:val="00F15744"/>
    <w:rsid w:val="00F24D40"/>
    <w:rsid w:val="00F56D0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7E927"/>
  <w15:chartTrackingRefBased/>
  <w15:docId w15:val="{08775811-C939-4A90-A9E7-C3E51889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link w:val="NormalBold"/>
    <w:locked/>
    <w:rsid w:val="00453CE3"/>
    <w:rPr>
      <w:b/>
      <w:sz w:val="24"/>
      <w:lang w:val="hr-HR"/>
    </w:rPr>
  </w:style>
  <w:style w:type="character" w:customStyle="1" w:styleId="FooterChar">
    <w:name w:val="Footer Char"/>
    <w:basedOn w:val="DefaultParagraphFont"/>
    <w:link w:val="Footer"/>
    <w:rsid w:val="00453CE3"/>
    <w:rPr>
      <w:sz w:val="22"/>
    </w:rPr>
  </w:style>
  <w:style w:type="paragraph" w:styleId="Footer">
    <w:name w:val="footer"/>
    <w:link w:val="FooterChar"/>
    <w:unhideWhenUsed/>
    <w:rsid w:val="00453CE3"/>
    <w:pPr>
      <w:tabs>
        <w:tab w:val="center" w:pos="4536"/>
        <w:tab w:val="right" w:pos="9072"/>
      </w:tabs>
      <w:spacing w:before="240" w:after="240" w:line="220" w:lineRule="auto"/>
    </w:pPr>
    <w:rPr>
      <w:sz w:val="22"/>
    </w:rPr>
  </w:style>
  <w:style w:type="character" w:customStyle="1" w:styleId="FooterChar1">
    <w:name w:val="Footer Char1"/>
    <w:basedOn w:val="DefaultParagraphFont"/>
    <w:rsid w:val="00453CE3"/>
    <w:rPr>
      <w:sz w:val="24"/>
      <w:szCs w:val="24"/>
      <w:lang w:val="hr-HR"/>
    </w:rPr>
  </w:style>
  <w:style w:type="character" w:customStyle="1" w:styleId="Normal12Char">
    <w:name w:val="Normal12 Char"/>
    <w:link w:val="Normal12"/>
    <w:locked/>
    <w:rsid w:val="00453CE3"/>
    <w:rPr>
      <w:noProof/>
      <w:sz w:val="24"/>
    </w:rPr>
  </w:style>
  <w:style w:type="paragraph" w:customStyle="1" w:styleId="Normal12">
    <w:name w:val="Normal12"/>
    <w:basedOn w:val="Normal"/>
    <w:link w:val="Normal12Char"/>
    <w:rsid w:val="00453CE3"/>
    <w:pPr>
      <w:spacing w:after="240"/>
    </w:pPr>
    <w:rPr>
      <w:noProof/>
      <w:szCs w:val="20"/>
    </w:rPr>
  </w:style>
  <w:style w:type="character" w:customStyle="1" w:styleId="Normal6Char">
    <w:name w:val="Normal6 Char"/>
    <w:link w:val="Normal6"/>
    <w:locked/>
    <w:rsid w:val="00453CE3"/>
    <w:rPr>
      <w:sz w:val="24"/>
      <w:lang w:val="hr-HR"/>
    </w:rPr>
  </w:style>
  <w:style w:type="paragraph" w:customStyle="1" w:styleId="Normal6">
    <w:name w:val="Normal6"/>
    <w:basedOn w:val="Normal"/>
    <w:link w:val="Normal6Char"/>
    <w:rsid w:val="00453CE3"/>
    <w:pPr>
      <w:spacing w:after="120"/>
    </w:pPr>
    <w:rPr>
      <w:szCs w:val="20"/>
    </w:rPr>
  </w:style>
  <w:style w:type="paragraph" w:customStyle="1" w:styleId="Normal12Italic">
    <w:name w:val="Normal12Italic"/>
    <w:basedOn w:val="Normal12"/>
    <w:rsid w:val="00453CE3"/>
    <w:rPr>
      <w:i/>
    </w:rPr>
  </w:style>
  <w:style w:type="paragraph" w:customStyle="1" w:styleId="Footer2">
    <w:name w:val="Footer2"/>
    <w:basedOn w:val="Normal12"/>
    <w:rsid w:val="00453CE3"/>
    <w:pPr>
      <w:tabs>
        <w:tab w:val="center" w:pos="4535"/>
        <w:tab w:val="right" w:pos="9923"/>
      </w:tabs>
      <w:spacing w:line="480" w:lineRule="auto"/>
      <w:ind w:left="-851"/>
    </w:pPr>
    <w:rPr>
      <w:rFonts w:ascii="Arial" w:cs="Arial"/>
      <w:b/>
      <w:sz w:val="48"/>
    </w:rPr>
  </w:style>
  <w:style w:type="paragraph" w:customStyle="1" w:styleId="EntPE">
    <w:name w:val="EntPE"/>
    <w:basedOn w:val="Normal12"/>
    <w:rsid w:val="00453CE3"/>
    <w:pPr>
      <w:jc w:val="center"/>
    </w:pPr>
    <w:rPr>
      <w:noProof w:val="0"/>
      <w:sz w:val="56"/>
    </w:rPr>
  </w:style>
  <w:style w:type="paragraph" w:customStyle="1" w:styleId="AMNumberTabs0">
    <w:name w:val="AMNumberTabs"/>
    <w:basedOn w:val="Normal"/>
    <w:rsid w:val="00453C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453CE3"/>
    <w:pPr>
      <w:spacing w:after="240"/>
      <w:jc w:val="center"/>
    </w:pPr>
    <w:rPr>
      <w:i/>
      <w:szCs w:val="20"/>
    </w:rPr>
  </w:style>
  <w:style w:type="paragraph" w:customStyle="1" w:styleId="Olang">
    <w:name w:val="Olang"/>
    <w:basedOn w:val="Normal"/>
    <w:rsid w:val="00453CE3"/>
    <w:pPr>
      <w:spacing w:before="240" w:after="240"/>
      <w:jc w:val="right"/>
    </w:pPr>
    <w:rPr>
      <w:noProof/>
    </w:rPr>
  </w:style>
  <w:style w:type="paragraph" w:styleId="BalloonText">
    <w:name w:val="Balloon Text"/>
    <w:basedOn w:val="Normal"/>
    <w:link w:val="BalloonTextChar"/>
    <w:semiHidden/>
    <w:unhideWhenUsed/>
    <w:rsid w:val="00457B38"/>
    <w:rPr>
      <w:rFonts w:ascii="Segoe UI" w:hAnsi="Segoe UI" w:cs="Segoe UI"/>
      <w:sz w:val="18"/>
      <w:szCs w:val="18"/>
    </w:rPr>
  </w:style>
  <w:style w:type="character" w:customStyle="1" w:styleId="BalloonTextChar">
    <w:name w:val="Balloon Text Char"/>
    <w:basedOn w:val="DefaultParagraphFont"/>
    <w:link w:val="BalloonText"/>
    <w:semiHidden/>
    <w:rsid w:val="00457B38"/>
    <w:rPr>
      <w:rFonts w:ascii="Segoe UI" w:hAnsi="Segoe UI" w:cs="Segoe UI"/>
      <w:sz w:val="18"/>
      <w:szCs w:val="18"/>
      <w:lang w:val="hr-HR"/>
    </w:rPr>
  </w:style>
  <w:style w:type="paragraph" w:customStyle="1" w:styleId="RollCallSymbols14pt">
    <w:name w:val="RollCallSymbols14pt"/>
    <w:basedOn w:val="Normal"/>
    <w:rsid w:val="00457B3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57B38"/>
    <w:pPr>
      <w:tabs>
        <w:tab w:val="center" w:pos="284"/>
        <w:tab w:val="left" w:pos="426"/>
      </w:tabs>
    </w:pPr>
    <w:rPr>
      <w:snapToGrid w:val="0"/>
      <w:szCs w:val="20"/>
      <w:lang w:eastAsia="en-US"/>
    </w:rPr>
  </w:style>
  <w:style w:type="paragraph" w:customStyle="1" w:styleId="RollCallVotes">
    <w:name w:val="RollCallVotes"/>
    <w:basedOn w:val="Normal"/>
    <w:rsid w:val="00457B38"/>
    <w:pPr>
      <w:spacing w:before="120" w:after="120"/>
      <w:jc w:val="center"/>
    </w:pPr>
    <w:rPr>
      <w:b/>
      <w:bCs/>
      <w:snapToGrid w:val="0"/>
      <w:sz w:val="16"/>
      <w:szCs w:val="20"/>
      <w:lang w:eastAsia="en-US"/>
    </w:rPr>
  </w:style>
  <w:style w:type="paragraph" w:customStyle="1" w:styleId="RollCallTable">
    <w:name w:val="RollCallTable"/>
    <w:basedOn w:val="Normal"/>
    <w:rsid w:val="00457B38"/>
    <w:pPr>
      <w:spacing w:before="120" w:after="120"/>
    </w:pPr>
    <w:rPr>
      <w:snapToGrid w:val="0"/>
      <w:sz w:val="16"/>
      <w:szCs w:val="20"/>
      <w:lang w:eastAsia="en-US"/>
    </w:rPr>
  </w:style>
  <w:style w:type="character" w:styleId="CommentReference">
    <w:name w:val="annotation reference"/>
    <w:basedOn w:val="DefaultParagraphFont"/>
    <w:rsid w:val="00457B38"/>
    <w:rPr>
      <w:sz w:val="16"/>
      <w:szCs w:val="16"/>
    </w:rPr>
  </w:style>
  <w:style w:type="paragraph" w:styleId="CommentText">
    <w:name w:val="annotation text"/>
    <w:basedOn w:val="Normal"/>
    <w:link w:val="CommentTextChar"/>
    <w:rsid w:val="00457B38"/>
    <w:rPr>
      <w:sz w:val="20"/>
      <w:szCs w:val="20"/>
    </w:rPr>
  </w:style>
  <w:style w:type="character" w:customStyle="1" w:styleId="CommentTextChar">
    <w:name w:val="Comment Text Char"/>
    <w:basedOn w:val="DefaultParagraphFont"/>
    <w:link w:val="CommentText"/>
    <w:rsid w:val="00457B38"/>
    <w:rPr>
      <w:lang w:val="hr-HR"/>
    </w:rPr>
  </w:style>
  <w:style w:type="paragraph" w:styleId="CommentSubject">
    <w:name w:val="annotation subject"/>
    <w:basedOn w:val="CommentText"/>
    <w:next w:val="CommentText"/>
    <w:link w:val="CommentSubjectChar"/>
    <w:semiHidden/>
    <w:unhideWhenUsed/>
    <w:rsid w:val="00457B38"/>
    <w:rPr>
      <w:b/>
      <w:bCs/>
    </w:rPr>
  </w:style>
  <w:style w:type="character" w:customStyle="1" w:styleId="CommentSubjectChar">
    <w:name w:val="Comment Subject Char"/>
    <w:basedOn w:val="CommentTextChar"/>
    <w:link w:val="CommentSubject"/>
    <w:semiHidden/>
    <w:rsid w:val="00457B38"/>
    <w:rPr>
      <w:b/>
      <w:bCs/>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aonic\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19BE7-B750-4BD1-941A-46023B7C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27</Pages>
  <Words>6554</Words>
  <Characters>41272</Characters>
  <Application>Microsoft Office Word</Application>
  <DocSecurity>0</DocSecurity>
  <Lines>1567</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2023-11-13T14:29:00Z</dcterms:created>
  <dcterms:modified xsi:type="dcterms:W3CDTF">2023-11-13T14:29:00Z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\\eiciLUXpr1\pdocep$\DocEP\TRANSFIL\HR\PA_Legam.HR(27/03/2023 12:10:01)</vt:lpwstr>
  </property>
  <property fmtid="{D5CDD505-2E9C-101B-9397-08002B2CF9AE}" pid="7" name="&lt;Type&gt;">
    <vt:lpwstr>AD</vt:lpwstr>
  </property>
  <property fmtid="{D5CDD505-2E9C-101B-9397-08002B2CF9AE}" pid="8" name="Bookout">
    <vt:lpwstr>OK - 2023/11/13 15:29</vt:lpwstr>
  </property>
  <property fmtid="{D5CDD505-2E9C-101B-9397-08002B2CF9AE}" pid="9" name="Created with">
    <vt:lpwstr>9.14.1 Build [20230315]</vt:lpwstr>
  </property>
  <property fmtid="{D5CDD505-2E9C-101B-9397-08002B2CF9AE}" pid="10" name="FooterPath">
    <vt:lpwstr>AD\1288324HR.docx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ies>
</file>