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0447" w:rsidRPr="00825730" w:rsidTr="00C85D0F">
        <w:trPr>
          <w:trHeight w:hRule="exact" w:val="1418"/>
        </w:trPr>
        <w:tc>
          <w:tcPr>
            <w:tcW w:w="6804" w:type="dxa"/>
            <w:shd w:val="clear" w:color="auto" w:fill="auto"/>
            <w:vAlign w:val="center"/>
          </w:tcPr>
          <w:p w:rsidR="00BA3E40" w:rsidRPr="00825730" w:rsidRDefault="00825730" w:rsidP="00C85D0F">
            <w:pPr>
              <w:pStyle w:val="EPName"/>
            </w:pPr>
            <w:r w:rsidRPr="00825730">
              <w:t>Parlamento europeo</w:t>
            </w:r>
          </w:p>
          <w:p w:rsidR="00BA3E40" w:rsidRPr="00825730" w:rsidRDefault="00825730" w:rsidP="00180265">
            <w:pPr>
              <w:pStyle w:val="EPTerm"/>
            </w:pPr>
            <w:r w:rsidRPr="00825730">
              <w:t>2019-2024</w:t>
            </w:r>
          </w:p>
        </w:tc>
        <w:tc>
          <w:tcPr>
            <w:tcW w:w="2268" w:type="dxa"/>
            <w:shd w:val="clear" w:color="auto" w:fill="auto"/>
          </w:tcPr>
          <w:p w:rsidR="00BA3E40" w:rsidRPr="00825730" w:rsidRDefault="00825730" w:rsidP="00C85D0F">
            <w:pPr>
              <w:pStyle w:val="EPLogo"/>
            </w:pPr>
            <w:r w:rsidRPr="008257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25730" w:rsidRDefault="00F24D40" w:rsidP="00F24D40">
      <w:pPr>
        <w:pStyle w:val="LineTop"/>
      </w:pPr>
    </w:p>
    <w:p w:rsidR="00F24D40" w:rsidRPr="00825730" w:rsidRDefault="00825730" w:rsidP="00F24D40">
      <w:pPr>
        <w:pStyle w:val="EPBody"/>
      </w:pPr>
      <w:r w:rsidRPr="00825730">
        <w:rPr>
          <w:rStyle w:val="HideTWBExt"/>
          <w:i w:val="0"/>
          <w:color w:val="auto"/>
        </w:rPr>
        <w:t>&lt;Commission&gt;</w:t>
      </w:r>
      <w:r w:rsidRPr="00825730">
        <w:rPr>
          <w:rStyle w:val="HideTWBInt"/>
          <w:i w:val="0"/>
          <w:color w:val="auto"/>
        </w:rPr>
        <w:t>{EMPL}</w:t>
      </w:r>
      <w:r w:rsidRPr="00825730">
        <w:t>Commissione per l'occupazione e gli affari sociali</w:t>
      </w:r>
      <w:r w:rsidRPr="00825730">
        <w:rPr>
          <w:rStyle w:val="HideTWBExt"/>
          <w:i w:val="0"/>
          <w:color w:val="auto"/>
        </w:rPr>
        <w:t>&lt;/Commission&gt;</w:t>
      </w:r>
    </w:p>
    <w:p w:rsidR="00F24D40" w:rsidRPr="00825730" w:rsidRDefault="00F24D40" w:rsidP="00F24D40">
      <w:pPr>
        <w:pStyle w:val="LineBottom"/>
      </w:pPr>
    </w:p>
    <w:p w:rsidR="00DB56E4" w:rsidRPr="00825730" w:rsidRDefault="00825730" w:rsidP="00DB56E4">
      <w:pPr>
        <w:pStyle w:val="CoverReference"/>
      </w:pPr>
      <w:r w:rsidRPr="00825730">
        <w:rPr>
          <w:rStyle w:val="HideTWBExt"/>
          <w:b w:val="0"/>
          <w:color w:val="auto"/>
        </w:rPr>
        <w:t>&lt;RefProc&gt;</w:t>
      </w:r>
      <w:r w:rsidRPr="00825730">
        <w:t>2023/0138</w:t>
      </w:r>
      <w:r w:rsidRPr="00825730">
        <w:rPr>
          <w:rStyle w:val="HideTWBExt"/>
          <w:b w:val="0"/>
          <w:color w:val="auto"/>
        </w:rPr>
        <w:t>&lt;/RefProc&gt;&lt;RefTypeProc&gt;</w:t>
      </w:r>
      <w:r w:rsidRPr="00825730">
        <w:t>(COD)</w:t>
      </w:r>
      <w:r w:rsidRPr="00825730">
        <w:rPr>
          <w:rStyle w:val="HideTWBExt"/>
          <w:b w:val="0"/>
          <w:color w:val="auto"/>
        </w:rPr>
        <w:t>&lt;/RefTypeProc&gt;</w:t>
      </w:r>
    </w:p>
    <w:p w:rsidR="00DB56E4" w:rsidRPr="00825730" w:rsidRDefault="00825730" w:rsidP="00DB56E4">
      <w:pPr>
        <w:pStyle w:val="CoverDate"/>
      </w:pPr>
      <w:r w:rsidRPr="00825730">
        <w:rPr>
          <w:rStyle w:val="HideTWBExt"/>
          <w:color w:val="auto"/>
        </w:rPr>
        <w:t>&lt;Date&gt;</w:t>
      </w:r>
      <w:r w:rsidRPr="00825730">
        <w:rPr>
          <w:rStyle w:val="HideTWBInt"/>
          <w:color w:val="auto"/>
        </w:rPr>
        <w:t>{30/10/2023}</w:t>
      </w:r>
      <w:r w:rsidRPr="00825730">
        <w:t>30.10.2023</w:t>
      </w:r>
      <w:r w:rsidRPr="00825730">
        <w:rPr>
          <w:rStyle w:val="HideTWBExt"/>
          <w:color w:val="auto"/>
        </w:rPr>
        <w:t>&lt;/Date&gt;</w:t>
      </w:r>
    </w:p>
    <w:p w:rsidR="00DB56E4" w:rsidRPr="00825730" w:rsidRDefault="00825730" w:rsidP="00DB56E4">
      <w:pPr>
        <w:pStyle w:val="CoverDocType24a"/>
      </w:pPr>
      <w:r w:rsidRPr="00825730">
        <w:rPr>
          <w:rStyle w:val="HideTWBExt"/>
          <w:b w:val="0"/>
          <w:color w:val="auto"/>
        </w:rPr>
        <w:t>&lt;TitreType&gt;</w:t>
      </w:r>
      <w:r w:rsidRPr="00825730">
        <w:t>PARERE</w:t>
      </w:r>
      <w:r w:rsidRPr="00825730">
        <w:rPr>
          <w:rStyle w:val="HideTWBExt"/>
          <w:b w:val="0"/>
          <w:color w:val="auto"/>
        </w:rPr>
        <w:t>&lt;/TitreType&gt;</w:t>
      </w:r>
    </w:p>
    <w:p w:rsidR="00DB56E4" w:rsidRPr="00825730" w:rsidRDefault="00825730" w:rsidP="00DB56E4">
      <w:pPr>
        <w:pStyle w:val="CoverNormal24a"/>
      </w:pPr>
      <w:r w:rsidRPr="00825730">
        <w:rPr>
          <w:rStyle w:val="HideTWBExt"/>
          <w:color w:val="auto"/>
        </w:rPr>
        <w:t>&lt;CommissionResp&gt;</w:t>
      </w:r>
      <w:r w:rsidRPr="00825730">
        <w:t>della commissione per l'occupazione e gli affari sociali</w:t>
      </w:r>
      <w:r w:rsidRPr="00825730">
        <w:rPr>
          <w:rStyle w:val="HideTWBExt"/>
          <w:color w:val="auto"/>
        </w:rPr>
        <w:t>&lt;/CommissionResp&gt;</w:t>
      </w:r>
    </w:p>
    <w:p w:rsidR="00DB56E4" w:rsidRPr="00825730" w:rsidRDefault="00825730" w:rsidP="00DB56E4">
      <w:pPr>
        <w:pStyle w:val="CoverNormal24a"/>
      </w:pPr>
      <w:r w:rsidRPr="00825730">
        <w:rPr>
          <w:rStyle w:val="HideTWBExt"/>
          <w:color w:val="auto"/>
        </w:rPr>
        <w:t>&lt;CommissionInt&gt;</w:t>
      </w:r>
      <w:r w:rsidRPr="00825730">
        <w:t>destinato alla commissione per i problemi economici e monetari</w:t>
      </w:r>
      <w:r w:rsidRPr="00825730">
        <w:rPr>
          <w:rStyle w:val="HideTWBExt"/>
          <w:color w:val="auto"/>
        </w:rPr>
        <w:t>&lt;/CommissionInt&gt;</w:t>
      </w:r>
    </w:p>
    <w:p w:rsidR="00DB56E4" w:rsidRPr="00825730" w:rsidRDefault="00825730" w:rsidP="00DB56E4">
      <w:pPr>
        <w:pStyle w:val="CoverNormal"/>
      </w:pPr>
      <w:r w:rsidRPr="00825730">
        <w:rPr>
          <w:rStyle w:val="HideTWBExt"/>
          <w:color w:val="auto"/>
        </w:rPr>
        <w:t>&lt;Titre&gt;</w:t>
      </w:r>
      <w:r w:rsidRPr="00825730">
        <w:t>sulla proposta di regolamento del Parlamento europeo e del Consig</w:t>
      </w:r>
      <w:r w:rsidRPr="00825730">
        <w:t>lio relativo al coordinamento efficace delle politiche economiche e alla sorveglianza di bilancio multilaterale e che abroga il regolamento (CE) n. 1466/97 del Consiglio</w:t>
      </w:r>
      <w:r w:rsidRPr="00825730">
        <w:rPr>
          <w:rStyle w:val="HideTWBExt"/>
          <w:color w:val="auto"/>
        </w:rPr>
        <w:t>&lt;/Titre&gt;</w:t>
      </w:r>
    </w:p>
    <w:p w:rsidR="00DB56E4" w:rsidRPr="00825730" w:rsidRDefault="00825730" w:rsidP="00DB56E4">
      <w:pPr>
        <w:pStyle w:val="CoverNormal24a"/>
      </w:pPr>
      <w:r w:rsidRPr="00825730">
        <w:rPr>
          <w:rStyle w:val="HideTWBExt"/>
          <w:color w:val="auto"/>
        </w:rPr>
        <w:t>&lt;DocRef&gt;</w:t>
      </w:r>
      <w:r w:rsidRPr="00825730">
        <w:t>(COM(2023)0240 – C9</w:t>
      </w:r>
      <w:r w:rsidRPr="00825730">
        <w:noBreakHyphen/>
        <w:t>0150/2023 – 2023/0138(COD))</w:t>
      </w:r>
      <w:r w:rsidRPr="00825730">
        <w:rPr>
          <w:rStyle w:val="HideTWBExt"/>
          <w:color w:val="auto"/>
        </w:rPr>
        <w:t>&lt;/DocRef&gt;</w:t>
      </w:r>
    </w:p>
    <w:p w:rsidR="00180265" w:rsidRPr="00825730" w:rsidRDefault="00825730" w:rsidP="00180265">
      <w:pPr>
        <w:pStyle w:val="CoverNormal24a"/>
      </w:pPr>
      <w:r w:rsidRPr="00825730">
        <w:t>Relatrice per parere</w:t>
      </w:r>
      <w:r w:rsidRPr="00825730">
        <w:rPr>
          <w:snapToGrid w:val="0"/>
        </w:rPr>
        <w:t>(*)</w:t>
      </w:r>
      <w:r w:rsidRPr="00825730">
        <w:t xml:space="preserve">: </w:t>
      </w:r>
      <w:r w:rsidRPr="00825730">
        <w:rPr>
          <w:rStyle w:val="HideTWBExt"/>
          <w:color w:val="auto"/>
        </w:rPr>
        <w:t>&lt;Depute&gt;</w:t>
      </w:r>
      <w:r w:rsidRPr="00825730">
        <w:t>Gabriele Bischoff</w:t>
      </w:r>
      <w:r w:rsidRPr="00825730">
        <w:rPr>
          <w:rStyle w:val="HideTWBExt"/>
          <w:color w:val="auto"/>
        </w:rPr>
        <w:t>&lt;/Depute&gt;</w:t>
      </w:r>
    </w:p>
    <w:p w:rsidR="00DB56E4" w:rsidRPr="00825730" w:rsidRDefault="00825730" w:rsidP="00180265">
      <w:pPr>
        <w:pStyle w:val="CoverNormal24a"/>
      </w:pPr>
      <w:r w:rsidRPr="00825730">
        <w:rPr>
          <w:snapToGrid w:val="0"/>
        </w:rPr>
        <w:t>(*) Procedura con le commissioni associate – articolo 57 del regolamento</w:t>
      </w:r>
    </w:p>
    <w:p w:rsidR="00487596" w:rsidRPr="00825730" w:rsidRDefault="00487596" w:rsidP="00487596">
      <w:pPr>
        <w:pStyle w:val="CoverNormal"/>
      </w:pPr>
    </w:p>
    <w:p w:rsidR="00DB56E4" w:rsidRPr="00825730" w:rsidRDefault="00825730" w:rsidP="0004474F">
      <w:pPr>
        <w:tabs>
          <w:tab w:val="center" w:pos="4677"/>
        </w:tabs>
      </w:pPr>
      <w:r w:rsidRPr="00825730">
        <w:br w:type="page"/>
      </w:r>
      <w:r w:rsidRPr="00825730">
        <w:lastRenderedPageBreak/>
        <w:t>PA_Legam</w:t>
      </w:r>
    </w:p>
    <w:p w:rsidR="00DB56E4" w:rsidRPr="00825730" w:rsidRDefault="00825730" w:rsidP="00180265">
      <w:pPr>
        <w:pStyle w:val="AmHeadingPA"/>
      </w:pPr>
      <w:r w:rsidRPr="00825730">
        <w:br w:type="page"/>
      </w:r>
      <w:r w:rsidRPr="00825730">
        <w:lastRenderedPageBreak/>
        <w:t>EMENDAMENTI</w:t>
      </w:r>
    </w:p>
    <w:p w:rsidR="00180265" w:rsidRPr="00825730" w:rsidRDefault="00825730" w:rsidP="00180265">
      <w:pPr>
        <w:pStyle w:val="Normal12a"/>
      </w:pPr>
      <w:bookmarkStart w:id="0" w:name="IntroA"/>
      <w:r w:rsidRPr="00825730">
        <w:t>La commissione per l'occupazione e gli affari sociali invita la commissione per i problemi economic</w:t>
      </w:r>
      <w:r w:rsidRPr="00825730">
        <w:t>i e monetari, competente per il merito, a prendere in considerazione quanto segue:</w:t>
      </w:r>
      <w:bookmarkEnd w:id="0"/>
    </w:p>
    <w:p w:rsidR="00E6655E" w:rsidRPr="00825730" w:rsidRDefault="00825730" w:rsidP="00E6655E">
      <w:r w:rsidRPr="00825730">
        <w:rPr>
          <w:rStyle w:val="HideTWBExt"/>
          <w:color w:val="auto"/>
        </w:rPr>
        <w:t>&lt;RepeatBlock-Amend&gt;&lt;Amend&gt;</w:t>
      </w:r>
      <w:r w:rsidRPr="00825730">
        <w:t>Emendamento</w:t>
      </w:r>
      <w:r w:rsidRPr="00825730">
        <w:tab/>
      </w:r>
      <w:r w:rsidRPr="00825730">
        <w:rPr>
          <w:rStyle w:val="HideTWBExt"/>
          <w:color w:val="auto"/>
        </w:rPr>
        <w:t>&lt;NumAm&gt;</w:t>
      </w:r>
      <w:r w:rsidRPr="00825730">
        <w:t>1</w:t>
      </w:r>
      <w:r w:rsidRPr="00825730">
        <w:rPr>
          <w:rStyle w:val="HideTWBExt"/>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2</w:t>
      </w:r>
      <w:r w:rsidRPr="00825730">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00442C">
        <w:trPr>
          <w:jc w:val="center"/>
        </w:trPr>
        <w:tc>
          <w:tcPr>
            <w:tcW w:w="9752" w:type="dxa"/>
            <w:gridSpan w:val="2"/>
          </w:tcPr>
          <w:p w:rsidR="00E6655E" w:rsidRPr="00825730" w:rsidRDefault="00E6655E" w:rsidP="003B2D98">
            <w:pPr>
              <w:keepNext/>
            </w:pPr>
          </w:p>
        </w:tc>
      </w:tr>
      <w:tr w:rsidR="00825730" w:rsidRPr="00825730" w:rsidTr="0000442C">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00442C">
        <w:trPr>
          <w:jc w:val="center"/>
        </w:trPr>
        <w:tc>
          <w:tcPr>
            <w:tcW w:w="4876" w:type="dxa"/>
            <w:hideMark/>
          </w:tcPr>
          <w:p w:rsidR="00E6655E" w:rsidRPr="00825730" w:rsidRDefault="00825730" w:rsidP="003B2D98">
            <w:pPr>
              <w:pStyle w:val="Normal6"/>
            </w:pPr>
            <w:r w:rsidRPr="00825730">
              <w:t>(2)</w:t>
            </w:r>
            <w:r w:rsidRPr="00825730">
              <w:tab/>
              <w:t>Il patto di stabilità e crescita (PSC) che, nella sua versione iniziale, era composto dal regolamento (CE) n. 1466/97 del Consiglio</w:t>
            </w:r>
            <w:r w:rsidRPr="00825730">
              <w:rPr>
                <w:vertAlign w:val="superscript"/>
              </w:rPr>
              <w:t>19</w:t>
            </w:r>
            <w:r w:rsidRPr="00825730">
              <w:t>, dal regolamento (CE) n. 1467/97 del Consiglio, del 7 luglio 1997</w:t>
            </w:r>
            <w:r w:rsidRPr="00825730">
              <w:rPr>
                <w:vertAlign w:val="superscript"/>
              </w:rPr>
              <w:t>20</w:t>
            </w:r>
            <w:r w:rsidRPr="00825730">
              <w:t>, e dalla risoluzione del Consiglio europeo, del 1</w:t>
            </w:r>
            <w:r w:rsidRPr="00825730">
              <w:t>7 giugno 1997, relativa al patto di stabilità e crescita</w:t>
            </w:r>
            <w:r w:rsidRPr="00825730">
              <w:rPr>
                <w:vertAlign w:val="superscript"/>
              </w:rPr>
              <w:t>21</w:t>
            </w:r>
            <w:r w:rsidRPr="00825730">
              <w:t>, si fonda sull'obiettivo di finanze pubbliche sane e sostenibili come mezzo volto a rafforzare le condizioni per la stabilità dei prezzi e per una crescita forte e sostenibile sostenuta dalla stabi</w:t>
            </w:r>
            <w:r w:rsidRPr="00825730">
              <w:t xml:space="preserve">lità finanziaria, contribuendo in tal modo al conseguimento degli obiettivi dell'Unione in termini di crescita sostenibile e inclusiva </w:t>
            </w:r>
            <w:r w:rsidRPr="00825730">
              <w:rPr>
                <w:b/>
                <w:bCs/>
                <w:i/>
                <w:iCs/>
              </w:rPr>
              <w:t>e di</w:t>
            </w:r>
            <w:r w:rsidRPr="00825730">
              <w:t xml:space="preserve"> occupazione.</w:t>
            </w:r>
          </w:p>
        </w:tc>
        <w:tc>
          <w:tcPr>
            <w:tcW w:w="4876" w:type="dxa"/>
            <w:hideMark/>
          </w:tcPr>
          <w:p w:rsidR="00E6655E" w:rsidRPr="00825730" w:rsidRDefault="00825730" w:rsidP="003B2D98">
            <w:pPr>
              <w:pStyle w:val="Normal6"/>
              <w:rPr>
                <w:szCs w:val="24"/>
              </w:rPr>
            </w:pPr>
            <w:r w:rsidRPr="00825730">
              <w:t>(2)</w:t>
            </w:r>
            <w:r w:rsidRPr="00825730">
              <w:tab/>
              <w:t>Il patto di stabilità e crescita (PSC) che, nella sua versione iniziale, era composto dal regolamen</w:t>
            </w:r>
            <w:r w:rsidRPr="00825730">
              <w:t>to (CE) n. 1466/97 del Consiglio</w:t>
            </w:r>
            <w:r w:rsidRPr="00825730">
              <w:rPr>
                <w:vertAlign w:val="superscript"/>
              </w:rPr>
              <w:t>19</w:t>
            </w:r>
            <w:r w:rsidRPr="00825730">
              <w:t>, dal regolamento (CE) n. 1467/97 del Consiglio, del 7 luglio 1997</w:t>
            </w:r>
            <w:r w:rsidRPr="00825730">
              <w:rPr>
                <w:vertAlign w:val="superscript"/>
              </w:rPr>
              <w:t>20</w:t>
            </w:r>
            <w:r w:rsidRPr="00825730">
              <w:t>, e dalla risoluzione del Consiglio europeo, del 17 giugno 1997, relativa al patto di stabilità e crescita</w:t>
            </w:r>
            <w:r w:rsidRPr="00825730">
              <w:rPr>
                <w:vertAlign w:val="superscript"/>
              </w:rPr>
              <w:t>21</w:t>
            </w:r>
            <w:r w:rsidRPr="00825730">
              <w:t>, si fonda sull'obiettivo di finanze pubbliche</w:t>
            </w:r>
            <w:r w:rsidRPr="00825730">
              <w:t xml:space="preserve"> sane e sostenibili come mezzo volto a rafforzare le condizioni per la stabilità dei prezzi e per una crescita forte e sostenibile </w:t>
            </w:r>
            <w:r w:rsidRPr="00825730">
              <w:rPr>
                <w:b/>
                <w:bCs/>
                <w:i/>
                <w:iCs/>
              </w:rPr>
              <w:t>favorevole alla creazione di posti di lavoro</w:t>
            </w:r>
            <w:r w:rsidRPr="00825730">
              <w:t xml:space="preserve"> sostenuta dalla stabilità finanziaria, contribuendo in tal modo al conseguimento</w:t>
            </w:r>
            <w:r w:rsidRPr="00825730">
              <w:t xml:space="preserve"> degli obiettivi dell'Unione in termini di crescita sostenibile e inclusiva </w:t>
            </w:r>
            <w:r w:rsidRPr="00825730">
              <w:rPr>
                <w:b/>
                <w:bCs/>
                <w:i/>
                <w:iCs/>
              </w:rPr>
              <w:t>che miri alla piena</w:t>
            </w:r>
            <w:r w:rsidRPr="00825730">
              <w:t xml:space="preserve"> occupazione </w:t>
            </w:r>
            <w:r w:rsidRPr="00825730">
              <w:rPr>
                <w:b/>
                <w:bCs/>
                <w:i/>
                <w:iCs/>
              </w:rPr>
              <w:t>e al progresso sociale</w:t>
            </w:r>
            <w:r w:rsidRPr="00825730">
              <w:t>.</w:t>
            </w:r>
          </w:p>
        </w:tc>
      </w:tr>
      <w:tr w:rsidR="00825730" w:rsidRPr="00825730" w:rsidTr="0000442C">
        <w:trPr>
          <w:jc w:val="center"/>
        </w:trPr>
        <w:tc>
          <w:tcPr>
            <w:tcW w:w="4876" w:type="dxa"/>
            <w:hideMark/>
          </w:tcPr>
          <w:p w:rsidR="00E6655E" w:rsidRPr="00825730" w:rsidRDefault="00825730" w:rsidP="003B2D98">
            <w:pPr>
              <w:pStyle w:val="Normal6"/>
            </w:pPr>
            <w:r w:rsidRPr="00825730">
              <w:t>__________________</w:t>
            </w:r>
          </w:p>
        </w:tc>
        <w:tc>
          <w:tcPr>
            <w:tcW w:w="4876" w:type="dxa"/>
            <w:hideMark/>
          </w:tcPr>
          <w:p w:rsidR="00E6655E" w:rsidRPr="00825730" w:rsidRDefault="00825730" w:rsidP="003B2D98">
            <w:pPr>
              <w:pStyle w:val="Normal6"/>
              <w:rPr>
                <w:szCs w:val="24"/>
              </w:rPr>
            </w:pPr>
            <w:r w:rsidRPr="00825730">
              <w:t>__________________</w:t>
            </w:r>
          </w:p>
        </w:tc>
      </w:tr>
      <w:tr w:rsidR="00825730" w:rsidRPr="00825730" w:rsidTr="0000442C">
        <w:trPr>
          <w:jc w:val="center"/>
        </w:trPr>
        <w:tc>
          <w:tcPr>
            <w:tcW w:w="4876" w:type="dxa"/>
            <w:hideMark/>
          </w:tcPr>
          <w:p w:rsidR="00E6655E" w:rsidRPr="00825730" w:rsidRDefault="00825730" w:rsidP="003B2D98">
            <w:pPr>
              <w:pStyle w:val="Normal6"/>
            </w:pPr>
            <w:r w:rsidRPr="00825730">
              <w:rPr>
                <w:vertAlign w:val="superscript"/>
              </w:rPr>
              <w:t>19</w:t>
            </w:r>
            <w:r w:rsidRPr="00825730">
              <w:t xml:space="preserve"> Regolamento (CE) n. 1466/97 del Consiglio, del 7 luglio 1997, per il rafforzament</w:t>
            </w:r>
            <w:r w:rsidRPr="00825730">
              <w:t>o della sorveglianza delle posizioni di bilancio nonché della sorveglianza e del coordinamento delle politiche economiche (GU L 209 del 2.8.1997, pag. 1).</w:t>
            </w:r>
          </w:p>
        </w:tc>
        <w:tc>
          <w:tcPr>
            <w:tcW w:w="4876" w:type="dxa"/>
            <w:hideMark/>
          </w:tcPr>
          <w:p w:rsidR="00E6655E" w:rsidRPr="00825730" w:rsidRDefault="00825730" w:rsidP="003B2D98">
            <w:pPr>
              <w:pStyle w:val="Normal6"/>
              <w:rPr>
                <w:szCs w:val="24"/>
              </w:rPr>
            </w:pPr>
            <w:r w:rsidRPr="00825730">
              <w:rPr>
                <w:vertAlign w:val="superscript"/>
              </w:rPr>
              <w:t>19</w:t>
            </w:r>
            <w:r w:rsidRPr="00825730">
              <w:t xml:space="preserve"> Regolamento (CE) n. 1466/97 del Consiglio, del 7 luglio 1997, per il rafforzamento della sorveglia</w:t>
            </w:r>
            <w:r w:rsidRPr="00825730">
              <w:t>nza delle posizioni di bilancio nonché della sorveglianza e del coordinamento delle politiche economiche (GU L 209 del 2.8.1997, pag. 1).</w:t>
            </w:r>
          </w:p>
        </w:tc>
      </w:tr>
      <w:tr w:rsidR="00825730" w:rsidRPr="00825730" w:rsidTr="0000442C">
        <w:trPr>
          <w:jc w:val="center"/>
        </w:trPr>
        <w:tc>
          <w:tcPr>
            <w:tcW w:w="4876" w:type="dxa"/>
            <w:hideMark/>
          </w:tcPr>
          <w:p w:rsidR="00E6655E" w:rsidRPr="00825730" w:rsidRDefault="00825730" w:rsidP="003B2D98">
            <w:pPr>
              <w:pStyle w:val="Normal6"/>
            </w:pPr>
            <w:r w:rsidRPr="00825730">
              <w:rPr>
                <w:vertAlign w:val="superscript"/>
              </w:rPr>
              <w:t>20</w:t>
            </w:r>
            <w:r w:rsidRPr="00825730">
              <w:t xml:space="preserve"> Regolamento (CE) n. 1467/97 del Consiglio, del 7 luglio 1997, per l'accelerazione e il chiarimento delle modalità </w:t>
            </w:r>
            <w:r w:rsidRPr="00825730">
              <w:t>di attuazione della procedura per i disavanzi eccessivi (GU L 209 del 2.8.1997, pag. 6).</w:t>
            </w:r>
          </w:p>
        </w:tc>
        <w:tc>
          <w:tcPr>
            <w:tcW w:w="4876" w:type="dxa"/>
            <w:hideMark/>
          </w:tcPr>
          <w:p w:rsidR="00E6655E" w:rsidRPr="00825730" w:rsidRDefault="00825730" w:rsidP="003B2D98">
            <w:pPr>
              <w:pStyle w:val="Normal6"/>
              <w:rPr>
                <w:szCs w:val="24"/>
              </w:rPr>
            </w:pPr>
            <w:r w:rsidRPr="00825730">
              <w:rPr>
                <w:vertAlign w:val="superscript"/>
              </w:rPr>
              <w:t>20</w:t>
            </w:r>
            <w:r w:rsidRPr="00825730">
              <w:t xml:space="preserve"> Regolamento (CE) n. 1467/97 del Consiglio, del 7 luglio 1997, per l'accelerazione e il chiarimento delle modalità di attuazione della procedura per i disavanzi ecce</w:t>
            </w:r>
            <w:r w:rsidRPr="00825730">
              <w:t>ssivi (GU L 209 del 2.8.1997, pag. 6).</w:t>
            </w:r>
          </w:p>
        </w:tc>
      </w:tr>
      <w:tr w:rsidR="00825730" w:rsidRPr="00825730" w:rsidTr="0000442C">
        <w:trPr>
          <w:jc w:val="center"/>
        </w:trPr>
        <w:tc>
          <w:tcPr>
            <w:tcW w:w="4876" w:type="dxa"/>
            <w:hideMark/>
          </w:tcPr>
          <w:p w:rsidR="00E6655E" w:rsidRPr="00825730" w:rsidRDefault="00825730" w:rsidP="003B2D98">
            <w:pPr>
              <w:pStyle w:val="Normal6"/>
            </w:pPr>
            <w:r w:rsidRPr="00825730">
              <w:rPr>
                <w:vertAlign w:val="superscript"/>
              </w:rPr>
              <w:t>21</w:t>
            </w:r>
            <w:r w:rsidRPr="00825730">
              <w:t xml:space="preserve"> Risoluzione del Consiglio europeo </w:t>
            </w:r>
            <w:r w:rsidRPr="00825730">
              <w:lastRenderedPageBreak/>
              <w:t>relativa al patto di stabilità, Amsterdam, il 17 giugno 1997 (GU C 236 del 2.8.1997, pag. 1).</w:t>
            </w:r>
          </w:p>
        </w:tc>
        <w:tc>
          <w:tcPr>
            <w:tcW w:w="4876" w:type="dxa"/>
            <w:hideMark/>
          </w:tcPr>
          <w:p w:rsidR="00E6655E" w:rsidRPr="00825730" w:rsidRDefault="00825730" w:rsidP="003B2D98">
            <w:pPr>
              <w:pStyle w:val="Normal6"/>
              <w:rPr>
                <w:szCs w:val="24"/>
              </w:rPr>
            </w:pPr>
            <w:r w:rsidRPr="00825730">
              <w:rPr>
                <w:vertAlign w:val="superscript"/>
              </w:rPr>
              <w:lastRenderedPageBreak/>
              <w:t>21</w:t>
            </w:r>
            <w:r w:rsidRPr="00825730">
              <w:t xml:space="preserve"> Risoluzione del Consiglio europeo </w:t>
            </w:r>
            <w:r w:rsidRPr="00825730">
              <w:lastRenderedPageBreak/>
              <w:t>relativa al patto di stabilità, Amsterdam, il 17</w:t>
            </w:r>
            <w:r w:rsidRPr="00825730">
              <w:t xml:space="preserve"> giugno 1997 (GU C 236 del 2.8.1997, pag. 1).</w:t>
            </w:r>
          </w:p>
        </w:tc>
      </w:tr>
    </w:tbl>
    <w:p w:rsidR="0000442C" w:rsidRPr="00825730" w:rsidRDefault="00825730" w:rsidP="0000442C">
      <w:pPr>
        <w:rPr>
          <w:rStyle w:val="HideTWBExt"/>
          <w:color w:val="auto"/>
        </w:rPr>
      </w:pPr>
      <w:r w:rsidRPr="00825730">
        <w:rPr>
          <w:rStyle w:val="HideTWBExt"/>
          <w:color w:val="auto"/>
        </w:rPr>
        <w:lastRenderedPageBreak/>
        <w:t>&lt;/Amend&gt;</w:t>
      </w:r>
    </w:p>
    <w:p w:rsidR="0000442C" w:rsidRPr="00825730" w:rsidRDefault="00825730" w:rsidP="0000442C">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5</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(5)</w:t>
            </w:r>
            <w:r w:rsidRPr="00825730">
              <w:tab/>
            </w:r>
            <w:r w:rsidRPr="00825730">
              <w:t>È opportuno adattare il quadro di governance economica dell'Unione, al fine di tenere maggiormente conto della crescente eterogeneità delle posizioni di bilancio, dei problemi di debito pubblico e di altre vulnerabilità dei vari Stati membri. La forte risp</w:t>
            </w:r>
            <w:r w:rsidRPr="00825730">
              <w:t>osta politica alla pandemia di COVID-19 si è dimostrata molto efficace nell'attenuare i danni economici e sociali della crisi, che ha però determinato un aumento significativo del rapporto tra debito pubblico e privato e PIL, il che sottolinea l'importanza</w:t>
            </w:r>
            <w:r w:rsidRPr="00825730">
              <w:t xml:space="preserve"> di far scendere tali indici a livelli prudenti in modo graduale, duraturo </w:t>
            </w:r>
            <w:r w:rsidRPr="00825730">
              <w:rPr>
                <w:b/>
                <w:bCs/>
                <w:i/>
                <w:iCs/>
              </w:rPr>
              <w:t>e</w:t>
            </w:r>
            <w:r w:rsidRPr="00825730">
              <w:t xml:space="preserve"> favorevole alla crescita e di sanare gli squilibri macroeconomici, prestando la dovuta attenzione agli obiettivi </w:t>
            </w:r>
            <w:r w:rsidRPr="00825730">
              <w:rPr>
                <w:b/>
                <w:bCs/>
                <w:i/>
                <w:iCs/>
              </w:rPr>
              <w:t>occupazionali e</w:t>
            </w:r>
            <w:r w:rsidRPr="00825730">
              <w:t xml:space="preserve"> sociali. Al contempo è opportuno adattare il quadr</w:t>
            </w:r>
            <w:r w:rsidRPr="00825730">
              <w:t>o di governance economica dell'Unione, affinché quest'ultima possa meglio affrontare le sfide a medio e lungo termine che le si presentano, tra cui la realizzazione di una transizione equa, verde e digitale, inclusa la normativa sul clima</w:t>
            </w:r>
            <w:r w:rsidRPr="00825730">
              <w:rPr>
                <w:vertAlign w:val="superscript"/>
              </w:rPr>
              <w:t>22</w:t>
            </w:r>
            <w:r w:rsidRPr="00825730">
              <w:t>, la garanzia de</w:t>
            </w:r>
            <w:r w:rsidRPr="00825730">
              <w:t>lla sicurezza energetica, l'autonomia strategica aperta, il cambiamento demografico, il rafforzamento della resilienza sociale ed economica e l'attuazione della bussola strategica per la sicurezza e la difesa, tutte sfide che richiedono riforme e livelli d</w:t>
            </w:r>
            <w:r w:rsidRPr="00825730">
              <w:t>i investimento costantemente elevati nei prossimi anni.</w:t>
            </w:r>
          </w:p>
        </w:tc>
        <w:tc>
          <w:tcPr>
            <w:tcW w:w="4876" w:type="dxa"/>
            <w:hideMark/>
          </w:tcPr>
          <w:p w:rsidR="00E6655E" w:rsidRPr="00825730" w:rsidRDefault="00825730" w:rsidP="003B2D98">
            <w:pPr>
              <w:pStyle w:val="Normal6"/>
              <w:rPr>
                <w:szCs w:val="24"/>
              </w:rPr>
            </w:pPr>
            <w:r w:rsidRPr="00825730">
              <w:t>(5)</w:t>
            </w:r>
            <w:r w:rsidRPr="00825730">
              <w:tab/>
              <w:t>È opportuno adattare il quadro di governance economica dell'Unione, al fine di tenere maggiormente conto della crescente eterogeneità delle posizioni di bilancio, dei problemi di debito pubblico e</w:t>
            </w:r>
            <w:r w:rsidRPr="00825730">
              <w:t xml:space="preserve"> di altre vulnerabilità dei vari Stati membri. La forte risposta politica alla pandemia di COVID-19 si è dimostrata molto efficace nell'attenuare i danni economici e sociali della crisi, che ha però determinato un aumento significativo del rapporto tra deb</w:t>
            </w:r>
            <w:r w:rsidRPr="00825730">
              <w:t>ito pubblico e privato e PIL, il che sottolinea l'importanza di far scendere tali indici a livelli prudenti in modo graduale, duraturo</w:t>
            </w:r>
            <w:r w:rsidRPr="00825730">
              <w:rPr>
                <w:b/>
                <w:bCs/>
                <w:i/>
                <w:iCs/>
              </w:rPr>
              <w:t>,</w:t>
            </w:r>
            <w:r w:rsidRPr="00825730">
              <w:t xml:space="preserve"> favorevole alla crescita </w:t>
            </w:r>
            <w:r w:rsidRPr="00825730">
              <w:rPr>
                <w:b/>
                <w:bCs/>
                <w:i/>
                <w:iCs/>
              </w:rPr>
              <w:t>e inclusivo</w:t>
            </w:r>
            <w:r w:rsidRPr="00825730">
              <w:t xml:space="preserve"> e di sanare gli squilibri macroeconomici </w:t>
            </w:r>
            <w:r w:rsidRPr="00825730">
              <w:rPr>
                <w:b/>
                <w:bCs/>
                <w:i/>
                <w:iCs/>
              </w:rPr>
              <w:t>nonché di sostenere la convergenza sociale</w:t>
            </w:r>
            <w:r w:rsidRPr="00825730">
              <w:rPr>
                <w:b/>
                <w:bCs/>
                <w:i/>
                <w:iCs/>
              </w:rPr>
              <w:t xml:space="preserve"> verso l'alto</w:t>
            </w:r>
            <w:r w:rsidRPr="00825730">
              <w:t xml:space="preserve">, prestando la dovuta attenzione agli obiettivi sociali </w:t>
            </w:r>
            <w:r w:rsidRPr="00825730">
              <w:rPr>
                <w:b/>
                <w:bCs/>
                <w:i/>
                <w:iCs/>
              </w:rPr>
              <w:t>e relativi a un'occupazione di qualità</w:t>
            </w:r>
            <w:r w:rsidRPr="00825730">
              <w:t>. Al contempo è opportuno adattare il quadro di governance economica dell'Unione, affinché quest'ultima possa meglio affrontare le sfide a medio e lu</w:t>
            </w:r>
            <w:r w:rsidRPr="00825730">
              <w:t>ngo termine che le si presentano, tra cui la realizzazione di una transizione equa, verde e digitale, inclusa la normativa sul clima</w:t>
            </w:r>
            <w:r w:rsidRPr="00825730">
              <w:rPr>
                <w:vertAlign w:val="superscript"/>
              </w:rPr>
              <w:t>22</w:t>
            </w:r>
            <w:r w:rsidRPr="00825730">
              <w:t xml:space="preserve"> </w:t>
            </w:r>
            <w:r w:rsidRPr="00825730">
              <w:rPr>
                <w:b/>
                <w:bCs/>
                <w:i/>
                <w:iCs/>
              </w:rPr>
              <w:t>e l'attuazione del pilastro europeo dei diritti sociali</w:t>
            </w:r>
            <w:r w:rsidRPr="00825730">
              <w:t>, la garanzia della sicurezza energetica, l'autonomia strategica a</w:t>
            </w:r>
            <w:r w:rsidRPr="00825730">
              <w:t>perta, il cambiamento demografico, il rafforzamento della resilienza sociale ed economica</w:t>
            </w:r>
            <w:r w:rsidRPr="00825730">
              <w:rPr>
                <w:b/>
                <w:bCs/>
                <w:i/>
                <w:iCs/>
              </w:rPr>
              <w:t>, compreso il rafforzamento degli investimenti sociali,</w:t>
            </w:r>
            <w:r w:rsidRPr="00825730">
              <w:t xml:space="preserve"> e l'attuazione della bussola strategica per la sicurezza e la difesa, tutte sfide che richiedono riforme e </w:t>
            </w:r>
            <w:r w:rsidRPr="00825730">
              <w:lastRenderedPageBreak/>
              <w:t>live</w:t>
            </w:r>
            <w:r w:rsidRPr="00825730">
              <w:t>lli di investimento costantemente elevati nei prossimi anni.</w:t>
            </w:r>
          </w:p>
        </w:tc>
      </w:tr>
      <w:tr w:rsidR="00825730" w:rsidRPr="00825730" w:rsidTr="003B2D98">
        <w:trPr>
          <w:jc w:val="center"/>
        </w:trPr>
        <w:tc>
          <w:tcPr>
            <w:tcW w:w="4876" w:type="dxa"/>
            <w:hideMark/>
          </w:tcPr>
          <w:p w:rsidR="00E6655E" w:rsidRPr="00825730" w:rsidRDefault="00825730" w:rsidP="003B2D98">
            <w:pPr>
              <w:pStyle w:val="Normal6"/>
            </w:pPr>
            <w:r w:rsidRPr="00825730">
              <w:lastRenderedPageBreak/>
              <w:t>__________________</w:t>
            </w:r>
          </w:p>
        </w:tc>
        <w:tc>
          <w:tcPr>
            <w:tcW w:w="4876" w:type="dxa"/>
            <w:hideMark/>
          </w:tcPr>
          <w:p w:rsidR="00E6655E" w:rsidRPr="00825730" w:rsidRDefault="00825730" w:rsidP="003B2D98">
            <w:pPr>
              <w:pStyle w:val="Normal6"/>
              <w:rPr>
                <w:szCs w:val="24"/>
              </w:rPr>
            </w:pPr>
            <w:r w:rsidRPr="00825730">
              <w:t>__________________</w:t>
            </w:r>
          </w:p>
        </w:tc>
      </w:tr>
      <w:tr w:rsidR="00825730" w:rsidRPr="00825730" w:rsidTr="003B2D98">
        <w:trPr>
          <w:jc w:val="center"/>
        </w:trPr>
        <w:tc>
          <w:tcPr>
            <w:tcW w:w="4876" w:type="dxa"/>
            <w:hideMark/>
          </w:tcPr>
          <w:p w:rsidR="00E6655E" w:rsidRPr="00825730" w:rsidRDefault="00825730" w:rsidP="003B2D98">
            <w:pPr>
              <w:pStyle w:val="Normal6"/>
            </w:pPr>
            <w:r w:rsidRPr="00825730">
              <w:rPr>
                <w:vertAlign w:val="superscript"/>
              </w:rPr>
              <w:t>22</w:t>
            </w:r>
            <w:r w:rsidRPr="00825730">
              <w:t xml:space="preserve"> La normativa europea sul clima fissa un obiettivo di neutralità climatica a livello dell'UE entro il 2050 e impone alle istituzioni dell'Unione e agli S</w:t>
            </w:r>
            <w:r w:rsidRPr="00825730">
              <w:t>tati membri di rafforzare ulteriormente la capacità di adattamento, il che esige investimenti pubblici significativi volti a ridurre gli impatti socio-economici negativi dei cambiamenti climatici sull'UE e i suoi Stati membri, compresi gli impatti negativi</w:t>
            </w:r>
            <w:r w:rsidRPr="00825730">
              <w:t xml:space="preserve"> sulla crescita e la sostenibilità di bilancio.</w:t>
            </w:r>
          </w:p>
        </w:tc>
        <w:tc>
          <w:tcPr>
            <w:tcW w:w="4876" w:type="dxa"/>
            <w:hideMark/>
          </w:tcPr>
          <w:p w:rsidR="00E6655E" w:rsidRPr="00825730" w:rsidRDefault="00825730" w:rsidP="003B2D98">
            <w:pPr>
              <w:pStyle w:val="Normal6"/>
              <w:rPr>
                <w:szCs w:val="24"/>
              </w:rPr>
            </w:pPr>
            <w:r w:rsidRPr="00825730">
              <w:rPr>
                <w:vertAlign w:val="superscript"/>
              </w:rPr>
              <w:t>22</w:t>
            </w:r>
            <w:r w:rsidRPr="00825730">
              <w:t xml:space="preserve"> La normativa europea sul clima fissa un obiettivo di neutralità climatica a livello dell'UE entro il 2050 e impone alle istituzioni dell'Unione e agli Stati membri di rafforzare ulteriormente la capacità d</w:t>
            </w:r>
            <w:r w:rsidRPr="00825730">
              <w:t>i adattamento, il che esige investimenti pubblici significativi volti a ridurre gli impatti socio-economici negativi dei cambiamenti climatici sull'UE e i suoi Stati membri, compresi gli impatti negativi sulla crescita e la sostenibilità di bilancio.</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7</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(7)</w:t>
            </w:r>
            <w:r w:rsidRPr="00825730">
              <w:tab/>
              <w:t>La procedura di sorveglianza multilaterale di cui all'articolo 121, paragrafi 2, 3 e 4,</w:t>
            </w:r>
            <w:r w:rsidRPr="00825730">
              <w:t xml:space="preserve"> e all'articolo 148, paragrafo 4, TFUE dovrebbe, sulla base di norme più dettagliate, sorvegliare tutti gli aspetti dell'evoluzione economica e occupazionale in ciascuno degli Stati membri e nell'Unione. Ciò comprende l'individuazione degli squilibri macro</w:t>
            </w:r>
            <w:r w:rsidRPr="00825730">
              <w:t>economici nonché la prevenzione e la correzione degli squilibri eccessivi, conformemente ai regolamenti (UE) n. 1174/2011</w:t>
            </w:r>
            <w:r w:rsidRPr="00825730">
              <w:rPr>
                <w:vertAlign w:val="superscript"/>
              </w:rPr>
              <w:t>23</w:t>
            </w:r>
            <w:r w:rsidRPr="00825730">
              <w:t xml:space="preserve"> e (UE) n. 1176/2011</w:t>
            </w:r>
            <w:r w:rsidRPr="00825730">
              <w:rPr>
                <w:vertAlign w:val="superscript"/>
              </w:rPr>
              <w:t>24</w:t>
            </w:r>
            <w:r w:rsidRPr="00825730">
              <w:t xml:space="preserve"> del Parlamento europeo e del Consiglio. Ai fini del monitoraggio dell'andamento dell'economia </w:t>
            </w:r>
            <w:r w:rsidRPr="00825730">
              <w:rPr>
                <w:b/>
                <w:bCs/>
                <w:i/>
                <w:iCs/>
              </w:rPr>
              <w:t>e</w:t>
            </w:r>
            <w:r w:rsidRPr="00825730">
              <w:t xml:space="preserve"> dell'occupazio</w:t>
            </w:r>
            <w:r w:rsidRPr="00825730">
              <w:t>ne, è opportuno che gli Stati membri presentino le informazioni sotto forma di piani strutturali di bilancio a medio termine.</w:t>
            </w:r>
          </w:p>
        </w:tc>
        <w:tc>
          <w:tcPr>
            <w:tcW w:w="4876" w:type="dxa"/>
            <w:hideMark/>
          </w:tcPr>
          <w:p w:rsidR="00E6655E" w:rsidRPr="00825730" w:rsidRDefault="00825730" w:rsidP="003B2D98">
            <w:pPr>
              <w:pStyle w:val="Normal6"/>
              <w:rPr>
                <w:szCs w:val="24"/>
              </w:rPr>
            </w:pPr>
            <w:r w:rsidRPr="00825730">
              <w:t>(7)</w:t>
            </w:r>
            <w:r w:rsidRPr="00825730">
              <w:tab/>
            </w:r>
            <w:r w:rsidRPr="00825730">
              <w:t xml:space="preserve">La procedura di sorveglianza multilaterale di cui all'articolo 121, paragrafi 2, 3 e 4, e all'articolo 148, paragrafo 4, TFUE dovrebbe, sulla base di norme più dettagliate, sorvegliare tutti gli aspetti dell'evoluzione economica e occupazionale </w:t>
            </w:r>
            <w:r w:rsidRPr="00825730">
              <w:rPr>
                <w:b/>
                <w:bCs/>
                <w:i/>
                <w:iCs/>
              </w:rPr>
              <w:t>e dei perti</w:t>
            </w:r>
            <w:r w:rsidRPr="00825730">
              <w:rPr>
                <w:b/>
                <w:bCs/>
                <w:i/>
                <w:iCs/>
              </w:rPr>
              <w:t>nenti sviluppi sociali</w:t>
            </w:r>
            <w:r w:rsidRPr="00825730">
              <w:t xml:space="preserve"> in ciascuno degli Stati membri e nell'Unione</w:t>
            </w:r>
            <w:r w:rsidRPr="00825730">
              <w:rPr>
                <w:b/>
                <w:bCs/>
                <w:i/>
                <w:iCs/>
              </w:rPr>
              <w:t>, collegati agli obiettivi principali, compresi i progressi verso il conseguimento degli obiettivi nazionali, e ai loro indicatori principali e secondari del pilastro europeo dei diritti so</w:t>
            </w:r>
            <w:r w:rsidRPr="00825730">
              <w:rPr>
                <w:b/>
                <w:bCs/>
                <w:i/>
                <w:iCs/>
              </w:rPr>
              <w:t>ciali</w:t>
            </w:r>
            <w:r w:rsidRPr="00825730">
              <w:t>. Ciò comprende l'individuazione degli squilibri macroeconomici nonché la prevenzione e la correzione degli squilibri eccessivi, conformemente ai regolamenti (UE) n. 1174/2011</w:t>
            </w:r>
            <w:r w:rsidRPr="00825730">
              <w:rPr>
                <w:vertAlign w:val="superscript"/>
              </w:rPr>
              <w:t>23</w:t>
            </w:r>
            <w:r w:rsidRPr="00825730">
              <w:t xml:space="preserve"> e (UE) n. 1176/2011</w:t>
            </w:r>
            <w:r w:rsidRPr="00825730">
              <w:rPr>
                <w:vertAlign w:val="superscript"/>
              </w:rPr>
              <w:t>24</w:t>
            </w:r>
            <w:r w:rsidRPr="00825730">
              <w:t xml:space="preserve"> del Parlamento europeo e del Consiglio. Ai fini del</w:t>
            </w:r>
            <w:r w:rsidRPr="00825730">
              <w:t xml:space="preserve"> monitoraggio dell'andamento dell'economia</w:t>
            </w:r>
            <w:r w:rsidRPr="00825730">
              <w:rPr>
                <w:b/>
                <w:bCs/>
                <w:i/>
                <w:iCs/>
              </w:rPr>
              <w:t>,</w:t>
            </w:r>
            <w:r w:rsidRPr="00825730">
              <w:t xml:space="preserve"> dell'occupazione </w:t>
            </w:r>
            <w:r w:rsidRPr="00825730">
              <w:rPr>
                <w:b/>
                <w:bCs/>
                <w:i/>
                <w:iCs/>
              </w:rPr>
              <w:t>e della convergenza sociale</w:t>
            </w:r>
            <w:r w:rsidRPr="00825730">
              <w:t xml:space="preserve">, è opportuno che gli Stati membri presentino le informazioni sotto forma di piani strutturali di bilancio a </w:t>
            </w:r>
            <w:r w:rsidRPr="00825730">
              <w:lastRenderedPageBreak/>
              <w:t>medio termine.</w:t>
            </w:r>
          </w:p>
        </w:tc>
      </w:tr>
      <w:tr w:rsidR="00825730" w:rsidRPr="00825730" w:rsidTr="003B2D98">
        <w:trPr>
          <w:jc w:val="center"/>
        </w:trPr>
        <w:tc>
          <w:tcPr>
            <w:tcW w:w="4876" w:type="dxa"/>
            <w:hideMark/>
          </w:tcPr>
          <w:p w:rsidR="00E6655E" w:rsidRPr="00825730" w:rsidRDefault="00825730" w:rsidP="003B2D98">
            <w:pPr>
              <w:pStyle w:val="Normal6"/>
            </w:pPr>
            <w:r w:rsidRPr="00825730">
              <w:lastRenderedPageBreak/>
              <w:t>__________________</w:t>
            </w:r>
          </w:p>
        </w:tc>
        <w:tc>
          <w:tcPr>
            <w:tcW w:w="4876" w:type="dxa"/>
            <w:hideMark/>
          </w:tcPr>
          <w:p w:rsidR="00E6655E" w:rsidRPr="00825730" w:rsidRDefault="00825730" w:rsidP="003B2D98">
            <w:pPr>
              <w:pStyle w:val="Normal6"/>
              <w:rPr>
                <w:szCs w:val="24"/>
              </w:rPr>
            </w:pPr>
            <w:r w:rsidRPr="00825730">
              <w:t>__________________</w:t>
            </w:r>
          </w:p>
        </w:tc>
      </w:tr>
      <w:tr w:rsidR="00825730" w:rsidRPr="00825730" w:rsidTr="003B2D98">
        <w:trPr>
          <w:jc w:val="center"/>
        </w:trPr>
        <w:tc>
          <w:tcPr>
            <w:tcW w:w="4876" w:type="dxa"/>
            <w:hideMark/>
          </w:tcPr>
          <w:p w:rsidR="00E6655E" w:rsidRPr="00825730" w:rsidRDefault="00825730" w:rsidP="003B2D98">
            <w:pPr>
              <w:pStyle w:val="Normal6"/>
            </w:pPr>
            <w:r w:rsidRPr="00825730">
              <w:rPr>
                <w:vertAlign w:val="superscript"/>
              </w:rPr>
              <w:t>23</w:t>
            </w:r>
            <w:r w:rsidRPr="00825730">
              <w:t xml:space="preserve"> R</w:t>
            </w:r>
            <w:r w:rsidRPr="00825730">
              <w:t>egolamento (UE) n. 1174/2011 del Parlamento europeo e del Consiglio, del 16 novembre 2011, sulle misure esecutive per la correzione degli squilibri macroeconomici eccessivi nella zona euro (GU L 306 del 23.11.2011, pag. 8).</w:t>
            </w:r>
          </w:p>
        </w:tc>
        <w:tc>
          <w:tcPr>
            <w:tcW w:w="4876" w:type="dxa"/>
            <w:hideMark/>
          </w:tcPr>
          <w:p w:rsidR="00E6655E" w:rsidRPr="00825730" w:rsidRDefault="00825730" w:rsidP="003B2D98">
            <w:pPr>
              <w:pStyle w:val="Normal6"/>
              <w:rPr>
                <w:szCs w:val="24"/>
              </w:rPr>
            </w:pPr>
            <w:r w:rsidRPr="00825730">
              <w:rPr>
                <w:vertAlign w:val="superscript"/>
              </w:rPr>
              <w:t>23</w:t>
            </w:r>
            <w:r w:rsidRPr="00825730">
              <w:t xml:space="preserve"> Regolamento (UE) n. 1174/2011</w:t>
            </w:r>
            <w:r w:rsidRPr="00825730">
              <w:t xml:space="preserve"> del Parlamento europeo e del Consiglio, del 16 novembre 2011, sulle misure esecutive per la correzione degli squilibri macroeconomici eccessivi nella zona euro (GU L 306 del 23.11.2011, pag. 8).</w:t>
            </w:r>
          </w:p>
        </w:tc>
      </w:tr>
      <w:tr w:rsidR="00825730" w:rsidRPr="00825730" w:rsidTr="003B2D98">
        <w:trPr>
          <w:jc w:val="center"/>
        </w:trPr>
        <w:tc>
          <w:tcPr>
            <w:tcW w:w="4876" w:type="dxa"/>
            <w:hideMark/>
          </w:tcPr>
          <w:p w:rsidR="00E6655E" w:rsidRPr="00825730" w:rsidRDefault="00825730" w:rsidP="003B2D98">
            <w:pPr>
              <w:pStyle w:val="Normal6"/>
            </w:pPr>
            <w:r w:rsidRPr="00825730">
              <w:rPr>
                <w:vertAlign w:val="superscript"/>
              </w:rPr>
              <w:t>24</w:t>
            </w:r>
            <w:r w:rsidRPr="00825730">
              <w:t xml:space="preserve"> Regolamento (UE) n. 1176/2011 del Parlamento europeo e d</w:t>
            </w:r>
            <w:r w:rsidRPr="00825730">
              <w:t>el Consiglio, del 16 novembre 2011, sulla prevenzione e la correzione degli squilibri macroeconomici (GU L 306 del 23.11.2011, pag. 25).</w:t>
            </w:r>
          </w:p>
        </w:tc>
        <w:tc>
          <w:tcPr>
            <w:tcW w:w="4876" w:type="dxa"/>
            <w:hideMark/>
          </w:tcPr>
          <w:p w:rsidR="00E6655E" w:rsidRPr="00825730" w:rsidRDefault="00825730" w:rsidP="003B2D98">
            <w:pPr>
              <w:pStyle w:val="Normal6"/>
              <w:rPr>
                <w:szCs w:val="24"/>
              </w:rPr>
            </w:pPr>
            <w:r w:rsidRPr="00825730">
              <w:rPr>
                <w:vertAlign w:val="superscript"/>
              </w:rPr>
              <w:t>24</w:t>
            </w:r>
            <w:r w:rsidRPr="00825730">
              <w:t xml:space="preserve"> Regolamento (UE) n. 1176/2011 del Parlamento europeo e del Consiglio, del 16 novembre 2011, sulla prevenzione e la c</w:t>
            </w:r>
            <w:r w:rsidRPr="00825730">
              <w:t>orrezione degli squilibri macroeconomici (GU L 306 del 23.11.2011, pag. 25).</w:t>
            </w:r>
          </w:p>
        </w:tc>
      </w:tr>
    </w:tbl>
    <w:p w:rsidR="00E6655E" w:rsidRPr="00825730" w:rsidRDefault="00825730" w:rsidP="00E6655E">
      <w:pPr>
        <w:rPr>
          <w:rStyle w:val="HideTWBExt"/>
          <w:rFonts w:eastAsiaTheme="majorEastAsia"/>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7 bis (nuovo)</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(7 bis)</w:t>
            </w:r>
            <w:r w:rsidRPr="00825730">
              <w:rPr>
                <w:b/>
                <w:i/>
              </w:rPr>
              <w:tab/>
              <w:t>Al fine di promuovere la convergenza sociale verso l'alto, la procedura di sorveglianza multilaterale di cui all'articolo 148, paragrafo 4, TFUE è integrata da una procedura di allarme preventivo nell'ambito del semestre europeo (quadro di converge</w:t>
            </w:r>
            <w:r w:rsidRPr="00825730">
              <w:rPr>
                <w:b/>
                <w:i/>
              </w:rPr>
              <w:t>nza sociale). Nell'ambito del quadro di convergenza sociale, la Commissione, a norma dell'articolo 148 TFUE, rileva in primo luogo i rischi per la convergenza verso l'alto degli Stati membri nella relazione comune sull'occupazione, sulla base degli indicat</w:t>
            </w:r>
            <w:r w:rsidRPr="00825730">
              <w:rPr>
                <w:b/>
                <w:i/>
              </w:rPr>
              <w:t>ori principali del quadro di valutazione della situazione sociale. Nella seconda fase, la Commissione individua gli Stati membri che richiedono un ulteriore esame e pubblica le "relazioni sulla convergenza sociale" per gli Stati membri che risultano sogget</w:t>
            </w:r>
            <w:r w:rsidRPr="00825730">
              <w:rPr>
                <w:b/>
                <w:i/>
              </w:rPr>
              <w:t xml:space="preserve">ti a rischi per la convergenza sociale verso l'alto. Le conclusioni specifiche per paese delle attività di sorveglianza multilaterale nell'ambito del nuovo quadro dovrebbero </w:t>
            </w:r>
            <w:r w:rsidRPr="00825730">
              <w:rPr>
                <w:b/>
                <w:i/>
              </w:rPr>
              <w:lastRenderedPageBreak/>
              <w:t>fornire un contributo alla riflessione della Commissione sulle proposte di raccoma</w:t>
            </w:r>
            <w:r w:rsidRPr="00825730">
              <w:rPr>
                <w:b/>
                <w:i/>
              </w:rPr>
              <w:t>ndazioni specifiche per paese.</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5</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8</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(8)</w:t>
            </w:r>
            <w:r w:rsidRPr="00825730">
              <w:tab/>
            </w:r>
            <w:r w:rsidRPr="00825730">
              <w:t>È pertanto opportuno stabilire disposizioni dettagliate riguardanti il contenuto, la presentazione, la valutazione e il monitoraggio dei piani strutturali nazionali di bilancio a medio termine, al fine di promuovere la sostenibilità del debito</w:t>
            </w:r>
            <w:r w:rsidRPr="00825730">
              <w:rPr>
                <w:b/>
                <w:bCs/>
                <w:i/>
                <w:iCs/>
              </w:rPr>
              <w:t xml:space="preserve"> e</w:t>
            </w:r>
            <w:r w:rsidRPr="00825730">
              <w:t xml:space="preserve"> una cresci</w:t>
            </w:r>
            <w:r w:rsidRPr="00825730">
              <w:t>ta sostenibile e inclusiva negli Stati membri e di prevenire il determinarsi di disavanzi pubblici eccessivi mediante una programmazione a medio termine.</w:t>
            </w:r>
          </w:p>
        </w:tc>
        <w:tc>
          <w:tcPr>
            <w:tcW w:w="4876" w:type="dxa"/>
            <w:hideMark/>
          </w:tcPr>
          <w:p w:rsidR="00E6655E" w:rsidRPr="00825730" w:rsidRDefault="00825730" w:rsidP="003B2D98">
            <w:pPr>
              <w:pStyle w:val="Normal6"/>
              <w:rPr>
                <w:szCs w:val="24"/>
              </w:rPr>
            </w:pPr>
            <w:r w:rsidRPr="00825730">
              <w:t>(8)</w:t>
            </w:r>
            <w:r w:rsidRPr="00825730">
              <w:tab/>
              <w:t>È pertanto opportuno stabilire disposizioni dettagliate riguardanti il contenuto, la presentazione</w:t>
            </w:r>
            <w:r w:rsidRPr="00825730">
              <w:t>, la valutazione e il monitoraggio dei piani strutturali nazionali di bilancio a medio termine, al fine di promuovere la sostenibilità del debito</w:t>
            </w:r>
            <w:r w:rsidRPr="00825730">
              <w:rPr>
                <w:b/>
                <w:bCs/>
                <w:i/>
                <w:iCs/>
              </w:rPr>
              <w:t>,</w:t>
            </w:r>
            <w:r w:rsidRPr="00825730">
              <w:t xml:space="preserve"> una crescita sostenibile e inclusiva </w:t>
            </w:r>
            <w:r w:rsidRPr="00825730">
              <w:rPr>
                <w:b/>
                <w:bCs/>
                <w:i/>
                <w:iCs/>
              </w:rPr>
              <w:t>e la convergenza sociale verso l'alto</w:t>
            </w:r>
            <w:r w:rsidRPr="00825730">
              <w:t xml:space="preserve"> negli Stati membri e di prevenire il determinarsi di disavanzi pubblici eccessivi mediante una programmazione a medio termine.</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6</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9</w:t>
      </w:r>
      <w:r w:rsidRPr="00825730">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(9)</w:t>
            </w:r>
            <w:r w:rsidRPr="00825730">
              <w:tab/>
              <w:t>I piani strutturali nazionali di bilancio a medio termine dovrebbero raggruppare gli impegni di ciascuno Stato membro in materia di riforme e investimenti strutturali di bilancio e costituire la pietra angolare del</w:t>
            </w:r>
            <w:r w:rsidRPr="00825730">
              <w:t xml:space="preserve"> quadro di governance economica dell'Unione. Ciascuno Stato membro dovrebbe presentare un piano a medio termine che definisca la sua traiettoria di bilancio e gli impegni prioritari in materia di investimenti pubblici e di riforme che, nell'insieme, garant</w:t>
            </w:r>
            <w:r w:rsidRPr="00825730">
              <w:t xml:space="preserve">iscano una riduzione duratura e graduale del debito e una crescita sostenibile e inclusiva, evitando una politica di bilancio prociclica, nonché </w:t>
            </w:r>
            <w:r w:rsidRPr="00825730">
              <w:lastRenderedPageBreak/>
              <w:t>impegni più ampi di riforma e investimento, anche relativi alle transizioni verde e digitale, alla resilienza s</w:t>
            </w:r>
            <w:r w:rsidRPr="00825730">
              <w:t>ociale ed economica e all'attuazione del pilastro europeo dei diritti sociali. Per tutta la durata del dispositivo per la ripresa e la resilienza</w:t>
            </w:r>
            <w:r w:rsidRPr="00825730">
              <w:rPr>
                <w:vertAlign w:val="superscript"/>
              </w:rPr>
              <w:t>25</w:t>
            </w:r>
            <w:r w:rsidRPr="00825730">
              <w:t xml:space="preserve"> si dovrebbe tenere debitamente conto degli impegni assunti nei piani nazionali per la ripresa e la resilienz</w:t>
            </w:r>
            <w:r w:rsidRPr="00825730">
              <w:t>a.</w:t>
            </w:r>
          </w:p>
        </w:tc>
        <w:tc>
          <w:tcPr>
            <w:tcW w:w="4876" w:type="dxa"/>
            <w:hideMark/>
          </w:tcPr>
          <w:p w:rsidR="00E6655E" w:rsidRPr="00825730" w:rsidRDefault="00825730" w:rsidP="003B2D98">
            <w:pPr>
              <w:pStyle w:val="Normal6"/>
              <w:rPr>
                <w:szCs w:val="24"/>
              </w:rPr>
            </w:pPr>
            <w:r w:rsidRPr="00825730">
              <w:lastRenderedPageBreak/>
              <w:t>(9)</w:t>
            </w:r>
            <w:r w:rsidRPr="00825730">
              <w:tab/>
              <w:t xml:space="preserve">I piani strutturali nazionali di bilancio a medio termine dovrebbero raggruppare gli impegni di ciascuno Stato membro in materia di riforme e investimenti strutturali di bilancio e costituire la pietra angolare del quadro di governance economica </w:t>
            </w:r>
            <w:r w:rsidRPr="00825730">
              <w:rPr>
                <w:b/>
                <w:bCs/>
                <w:i/>
                <w:iCs/>
              </w:rPr>
              <w:t>e s</w:t>
            </w:r>
            <w:r w:rsidRPr="00825730">
              <w:rPr>
                <w:b/>
                <w:bCs/>
                <w:i/>
                <w:iCs/>
              </w:rPr>
              <w:t>ociale</w:t>
            </w:r>
            <w:r w:rsidRPr="00825730">
              <w:t xml:space="preserve"> dell'Unione. Ciascuno Stato membro dovrebbe presentare un piano a medio termine che definisca la sua traiettoria di bilancio e gli impegni prioritari in materia di investimenti pubblici e di riforme che, nell'insieme, garantiscano una riduzione dura</w:t>
            </w:r>
            <w:r w:rsidRPr="00825730">
              <w:t xml:space="preserve">tura e graduale del debito e una crescita sostenibile e inclusiva, evitando una politica di bilancio prociclica, nonché </w:t>
            </w:r>
            <w:r w:rsidRPr="00825730">
              <w:lastRenderedPageBreak/>
              <w:t>impegni più ampi di riforma e investimento, anche relativi alle transizioni verde e digitale, alla resilienza sociale ed economica e all</w:t>
            </w:r>
            <w:r w:rsidRPr="00825730">
              <w:t>'attuazione del pilastro europeo dei diritti sociali</w:t>
            </w:r>
            <w:r w:rsidRPr="00825730">
              <w:rPr>
                <w:b/>
                <w:bCs/>
                <w:i/>
                <w:iCs/>
              </w:rPr>
              <w:t>, compresi i relativi obiettivi in materia di occupazione, competenze e riduzione della povertà entro il 2030</w:t>
            </w:r>
            <w:r w:rsidRPr="00825730">
              <w:rPr>
                <w:b/>
                <w:bCs/>
                <w:i/>
                <w:iCs/>
                <w:vertAlign w:val="superscript"/>
              </w:rPr>
              <w:t>25 bis</w:t>
            </w:r>
            <w:r w:rsidRPr="00825730">
              <w:t>. Per tutta la durata del dispositivo per la ripresa e la resilienza</w:t>
            </w:r>
            <w:r w:rsidRPr="00825730">
              <w:rPr>
                <w:vertAlign w:val="superscript"/>
              </w:rPr>
              <w:t>25</w:t>
            </w:r>
            <w:r w:rsidRPr="00825730">
              <w:t xml:space="preserve"> si dovrebbe tenere</w:t>
            </w:r>
            <w:r w:rsidRPr="00825730">
              <w:t xml:space="preserve"> debitamente conto degli impegni assunti nei piani nazionali per la ripresa e la resilienza.</w:t>
            </w:r>
          </w:p>
        </w:tc>
      </w:tr>
      <w:tr w:rsidR="00825730" w:rsidRPr="00825730" w:rsidTr="003B2D98">
        <w:trPr>
          <w:jc w:val="center"/>
        </w:trPr>
        <w:tc>
          <w:tcPr>
            <w:tcW w:w="4876" w:type="dxa"/>
            <w:hideMark/>
          </w:tcPr>
          <w:p w:rsidR="00E6655E" w:rsidRPr="00825730" w:rsidRDefault="00825730" w:rsidP="003B2D98">
            <w:pPr>
              <w:pStyle w:val="Normal6"/>
            </w:pPr>
            <w:r w:rsidRPr="00825730">
              <w:lastRenderedPageBreak/>
              <w:t>__________________</w:t>
            </w:r>
          </w:p>
        </w:tc>
        <w:tc>
          <w:tcPr>
            <w:tcW w:w="4876" w:type="dxa"/>
            <w:hideMark/>
          </w:tcPr>
          <w:p w:rsidR="00E6655E" w:rsidRPr="00825730" w:rsidRDefault="00825730" w:rsidP="003B2D98">
            <w:pPr>
              <w:pStyle w:val="Normal6"/>
              <w:rPr>
                <w:szCs w:val="24"/>
              </w:rPr>
            </w:pPr>
            <w:r w:rsidRPr="00825730">
              <w:t>__________________</w:t>
            </w:r>
          </w:p>
        </w:tc>
      </w:tr>
      <w:tr w:rsidR="00825730" w:rsidRPr="00825730" w:rsidTr="003B2D98">
        <w:trPr>
          <w:jc w:val="center"/>
        </w:trPr>
        <w:tc>
          <w:tcPr>
            <w:tcW w:w="4876" w:type="dxa"/>
          </w:tcPr>
          <w:p w:rsidR="00E6655E" w:rsidRPr="00825730" w:rsidRDefault="00E6655E" w:rsidP="003B2D98">
            <w:pPr>
              <w:pStyle w:val="Normal6"/>
              <w:rPr>
                <w:vertAlign w:val="superscript"/>
                <w:lang w:val="en-GB"/>
              </w:rPr>
            </w:pPr>
          </w:p>
        </w:tc>
        <w:tc>
          <w:tcPr>
            <w:tcW w:w="4876" w:type="dxa"/>
          </w:tcPr>
          <w:p w:rsidR="00E6655E" w:rsidRPr="00825730" w:rsidRDefault="00825730" w:rsidP="003B2D98">
            <w:pPr>
              <w:pStyle w:val="Normal6"/>
              <w:rPr>
                <w:vertAlign w:val="superscript"/>
              </w:rPr>
            </w:pPr>
            <w:r w:rsidRPr="00825730">
              <w:rPr>
                <w:b/>
                <w:bCs/>
                <w:i/>
                <w:iCs/>
                <w:vertAlign w:val="superscript"/>
              </w:rPr>
              <w:t>25 bis</w:t>
            </w:r>
            <w:r w:rsidRPr="00825730">
              <w:rPr>
                <w:b/>
                <w:bCs/>
                <w:i/>
                <w:iCs/>
              </w:rPr>
              <w:t xml:space="preserve"> Comunicazione della Commissione al Parlamento europeo, al Consiglio, al Comitato economico e sociale europeo e al Comitato delle regioni, del 4 marzo 2021, dal titolo "Piano d'azione sul pilastro europeo dei diritti sociali" (COM(2021)0102).</w:t>
            </w:r>
          </w:p>
        </w:tc>
      </w:tr>
      <w:tr w:rsidR="00825730" w:rsidRPr="00825730" w:rsidTr="003B2D98">
        <w:trPr>
          <w:jc w:val="center"/>
        </w:trPr>
        <w:tc>
          <w:tcPr>
            <w:tcW w:w="4876" w:type="dxa"/>
            <w:hideMark/>
          </w:tcPr>
          <w:p w:rsidR="00E6655E" w:rsidRPr="00825730" w:rsidRDefault="00825730" w:rsidP="003B2D98">
            <w:pPr>
              <w:pStyle w:val="Normal6"/>
            </w:pPr>
            <w:r w:rsidRPr="00825730">
              <w:rPr>
                <w:vertAlign w:val="superscript"/>
              </w:rPr>
              <w:t>25</w:t>
            </w:r>
            <w:r w:rsidRPr="00825730">
              <w:t xml:space="preserve"> Regolamen</w:t>
            </w:r>
            <w:r w:rsidRPr="00825730">
              <w:t>to (UE) 2021/241 del Parlamento europeo e del Consiglio, del 12 febbraio 2021, che istituisce il dispositivo per la ripresa e la resilienza (GU L 57 del 18.2.2021, pag. 17).</w:t>
            </w:r>
          </w:p>
        </w:tc>
        <w:tc>
          <w:tcPr>
            <w:tcW w:w="4876" w:type="dxa"/>
            <w:hideMark/>
          </w:tcPr>
          <w:p w:rsidR="00E6655E" w:rsidRPr="00825730" w:rsidRDefault="00825730" w:rsidP="003B2D98">
            <w:pPr>
              <w:pStyle w:val="Normal6"/>
              <w:rPr>
                <w:szCs w:val="24"/>
              </w:rPr>
            </w:pPr>
            <w:r w:rsidRPr="00825730">
              <w:rPr>
                <w:vertAlign w:val="superscript"/>
              </w:rPr>
              <w:t>25</w:t>
            </w:r>
            <w:r w:rsidRPr="00825730">
              <w:t xml:space="preserve"> Regolamento (UE) 2021/241 del Parlamento europeo e del Consiglio, del 12 febbraio 2021, che istituisce il dispositivo per la ripresa e la resilienza (GU L 57 del 18.2.2021, pag. 17).</w:t>
            </w:r>
          </w:p>
        </w:tc>
      </w:tr>
    </w:tbl>
    <w:p w:rsidR="00E6655E" w:rsidRPr="00825730" w:rsidRDefault="00825730" w:rsidP="00E6655E">
      <w:pPr>
        <w:rPr>
          <w:rFonts w:eastAsiaTheme="majorEastAsia"/>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7</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w:t>
      </w:r>
      <w:r w:rsidRPr="00825730">
        <w:t>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10</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(10)</w:t>
            </w:r>
            <w:r w:rsidRPr="00825730">
              <w:tab/>
              <w:t xml:space="preserve">I fondi per la politica di coesione sono sincronizzati anche con il processo del semestre europeo. </w:t>
            </w:r>
            <w:r w:rsidRPr="00825730">
              <w:t>È opportuno che, in sede di elaborazione dei piani strutturali nazionali di bilancio a medio termine, si tenga debitamente conto anche degli investimenti e delle riforme a titolo della politica di coesione, poiché questa costituisce la strategia di investi</w:t>
            </w:r>
            <w:r w:rsidRPr="00825730">
              <w:t xml:space="preserve">mento a lungo termine del bilancio dell'UE. Ciascuno Stato membro dovrebbe anche spiegare in che modo il proprio piano </w:t>
            </w:r>
            <w:r w:rsidRPr="00825730">
              <w:lastRenderedPageBreak/>
              <w:t>strutturale nazionale di bilancio a medio termine garantirà la coerenza con la spesa relativa ai programmi dell'UE interamente finanziata</w:t>
            </w:r>
            <w:r w:rsidRPr="00825730">
              <w:t xml:space="preserve"> dai fondi dell'UE e dai cofinanziamenti nazionali pertinenti.</w:t>
            </w:r>
          </w:p>
        </w:tc>
        <w:tc>
          <w:tcPr>
            <w:tcW w:w="4876" w:type="dxa"/>
            <w:hideMark/>
          </w:tcPr>
          <w:p w:rsidR="00E6655E" w:rsidRPr="00825730" w:rsidRDefault="00825730" w:rsidP="003B2D98">
            <w:pPr>
              <w:pStyle w:val="Normal6"/>
              <w:rPr>
                <w:szCs w:val="24"/>
              </w:rPr>
            </w:pPr>
            <w:r w:rsidRPr="00825730">
              <w:lastRenderedPageBreak/>
              <w:t>(10)</w:t>
            </w:r>
            <w:r w:rsidRPr="00825730">
              <w:tab/>
              <w:t>I fondi per la politica di coesione sono sincronizzati anche con il processo del semestre europeo. È opportuno che, in sede di elaborazione dei piani strutturali nazionali di bilancio a me</w:t>
            </w:r>
            <w:r w:rsidRPr="00825730">
              <w:t xml:space="preserve">dio termine, si tenga debitamente conto anche degli investimenti e delle riforme a titolo della politica di coesione, poiché questa costituisce la strategia di investimento a lungo termine del bilancio dell'UE </w:t>
            </w:r>
            <w:r w:rsidRPr="00825730">
              <w:rPr>
                <w:b/>
                <w:bCs/>
                <w:i/>
                <w:iCs/>
              </w:rPr>
              <w:t xml:space="preserve">che rafforza la coesione economica, sociale e </w:t>
            </w:r>
            <w:r w:rsidRPr="00825730">
              <w:rPr>
                <w:b/>
                <w:bCs/>
                <w:i/>
                <w:iCs/>
              </w:rPr>
              <w:t>territoriale</w:t>
            </w:r>
            <w:r w:rsidRPr="00825730">
              <w:t xml:space="preserve">. Ciascuno Stato membro </w:t>
            </w:r>
            <w:r w:rsidRPr="00825730">
              <w:lastRenderedPageBreak/>
              <w:t>dovrebbe anche spiegare in che modo il proprio piano strutturale nazionale di bilancio a medio termine garantirà la coerenza con la spesa relativa ai programmi dell'UE interamente finanziata dai fondi dell'UE e dai cofin</w:t>
            </w:r>
            <w:r w:rsidRPr="00825730">
              <w:t>anziamenti nazionali pertinenti.</w:t>
            </w:r>
          </w:p>
        </w:tc>
      </w:tr>
    </w:tbl>
    <w:p w:rsidR="00E6655E" w:rsidRPr="00825730" w:rsidRDefault="00825730" w:rsidP="00E6655E">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8</w:t>
      </w:r>
      <w:r w:rsidRPr="00825730">
        <w:rPr>
          <w:rStyle w:val="HideTWBExt"/>
          <w:b w:val="0"/>
          <w:color w:val="auto"/>
        </w:rPr>
        <w:t>&lt;/NumAm&gt;</w:t>
      </w:r>
    </w:p>
    <w:p w:rsidR="00E6655E" w:rsidRPr="00825730" w:rsidRDefault="00E6655E" w:rsidP="00E6655E">
      <w:pPr>
        <w:rPr>
          <w:b/>
        </w:rPr>
      </w:pPr>
    </w:p>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13</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(13)</w:t>
            </w:r>
            <w:r w:rsidRPr="00825730">
              <w:tab/>
            </w:r>
            <w:r w:rsidRPr="00825730">
              <w:t>Al fine di assistere gli Stati membri nella stesura dei rispettivi piani strutturali di bilancio a medio termine, la Commissione dovrebbe presentare una traiettoria tecnica basata sull'aggiustamento di bilancio minimo che riconduca la traiettoria del debit</w:t>
            </w:r>
            <w:r w:rsidRPr="00825730">
              <w:t>o dello Stato membro su un percorso di riduzione plausibile o che mantenga il debito a livelli prudenti. La Commissione dovrebbe inoltre garantire che il rapporto debito pubblico/PIL al termine dell'orizzonte di programmazione scenda sotto il livello regis</w:t>
            </w:r>
            <w:r w:rsidRPr="00825730">
              <w:t xml:space="preserve">trato nell'anno precedente l'inizio della traiettoria tecnica. </w:t>
            </w:r>
            <w:r w:rsidRPr="00825730">
              <w:rPr>
                <w:b/>
                <w:i/>
              </w:rPr>
              <w:t>La sostenibilità della riduzione del debito dovrebbe essere il risultato di politiche di bilancio appropriate.</w:t>
            </w:r>
          </w:p>
        </w:tc>
        <w:tc>
          <w:tcPr>
            <w:tcW w:w="4876" w:type="dxa"/>
            <w:hideMark/>
          </w:tcPr>
          <w:p w:rsidR="00E6655E" w:rsidRPr="00825730" w:rsidRDefault="00825730" w:rsidP="003B2D98">
            <w:pPr>
              <w:pStyle w:val="Normal6"/>
              <w:rPr>
                <w:szCs w:val="24"/>
              </w:rPr>
            </w:pPr>
            <w:r w:rsidRPr="00825730">
              <w:t>(13)</w:t>
            </w:r>
            <w:r w:rsidRPr="00825730">
              <w:tab/>
              <w:t>Al fine di assistere gli Stati membri nella stesura dei rispettivi piani stru</w:t>
            </w:r>
            <w:r w:rsidRPr="00825730">
              <w:t>tturali di bilancio a medio termine, la Commissione dovrebbe presentare una traiettoria tecnica basata sull'aggiustamento di bilancio minimo che riconduca la traiettoria del debito dello Stato membro su un percorso di riduzione plausibile o che mantenga il</w:t>
            </w:r>
            <w:r w:rsidRPr="00825730">
              <w:t xml:space="preserve"> debito a livelli prudenti</w:t>
            </w:r>
            <w:r w:rsidRPr="00825730">
              <w:rPr>
                <w:b/>
                <w:bCs/>
                <w:i/>
                <w:iCs/>
              </w:rPr>
              <w:t>, tenendo conto nel contempo degli investimenti mirati necessari per realizzare le priorità comuni dell'Unione</w:t>
            </w:r>
            <w:r w:rsidRPr="00825730">
              <w:t xml:space="preserve">. </w:t>
            </w:r>
            <w:r w:rsidRPr="00825730">
              <w:t>La Commissione dovrebbe inoltre garantire che il rapporto debito pubblico/PIL al termine dell'orizzonte di programmazione scenda sotto il livello registrato nell'anno precedente l'inizio della traiettoria tecnica.</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9</w:t>
      </w:r>
      <w:r w:rsidRPr="00825730">
        <w:rPr>
          <w:rStyle w:val="HideTWBExt"/>
          <w:b w:val="0"/>
          <w:color w:val="auto"/>
        </w:rPr>
        <w:t>&lt;/Nu</w:t>
      </w:r>
      <w:r w:rsidRPr="00825730">
        <w:rPr>
          <w:rStyle w:val="HideTWBExt"/>
          <w:b w:val="0"/>
          <w:color w:val="auto"/>
        </w:rPr>
        <w:t>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Considerando 22</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(22)</w:t>
            </w:r>
            <w:r w:rsidRPr="00825730">
              <w:tab/>
            </w:r>
            <w:r w:rsidRPr="00825730">
              <w:t xml:space="preserve">Al fine di garantire una riduzione più graduale del debito, è possibile prorogare il periodo di aggiustamento per una durata massima di tre anni, a condizione che il piano strutturale di bilancio a medio termine dello Stato </w:t>
            </w:r>
            <w:r w:rsidRPr="00825730">
              <w:lastRenderedPageBreak/>
              <w:t>membro sia supportato da una ser</w:t>
            </w:r>
            <w:r w:rsidRPr="00825730">
              <w:t xml:space="preserve">ie di riforme e di investimenti verificabili e temporalmente definiti che, nel loro insieme: </w:t>
            </w:r>
            <w:r w:rsidRPr="00825730">
              <w:rPr>
                <w:b/>
                <w:bCs/>
                <w:i/>
                <w:iCs/>
              </w:rPr>
              <w:t>siano di stimolo</w:t>
            </w:r>
            <w:r w:rsidRPr="00825730">
              <w:t xml:space="preserve"> </w:t>
            </w:r>
            <w:r w:rsidRPr="00825730">
              <w:rPr>
                <w:b/>
                <w:bCs/>
                <w:i/>
                <w:iCs/>
              </w:rPr>
              <w:t>alla</w:t>
            </w:r>
            <w:r w:rsidRPr="00825730">
              <w:t xml:space="preserve"> crescita e favoriscano la sostenibilità di bilancio, riguardino le priorità comuni dell'Unione, diano seguito alle raccomandazioni specifiche</w:t>
            </w:r>
            <w:r w:rsidRPr="00825730">
              <w:t xml:space="preserve"> per paese rivolte allo Stato membro nel quadro del semestre europeo, coprano le priorità di investimento specifiche per paese senza comportare tagli in altri investimenti pubblici finanziati a livello nazionale nell'arco del periodo di aggiustamento al fi</w:t>
            </w:r>
            <w:r w:rsidRPr="00825730">
              <w:t>ne di garantire un impatto macroeconomico degli investimenti e di evitare l'esclusione di altre priorità di investimento.</w:t>
            </w:r>
          </w:p>
        </w:tc>
        <w:tc>
          <w:tcPr>
            <w:tcW w:w="4876" w:type="dxa"/>
            <w:hideMark/>
          </w:tcPr>
          <w:p w:rsidR="00E6655E" w:rsidRPr="00825730" w:rsidRDefault="00825730" w:rsidP="003B2D98">
            <w:pPr>
              <w:pStyle w:val="Normal6"/>
              <w:rPr>
                <w:szCs w:val="24"/>
              </w:rPr>
            </w:pPr>
            <w:r w:rsidRPr="00825730">
              <w:lastRenderedPageBreak/>
              <w:t>(22)</w:t>
            </w:r>
            <w:r w:rsidRPr="00825730">
              <w:tab/>
              <w:t>Al fine di garantire una riduzione più graduale del debito, è possibile prorogare il periodo di aggiustamento per una durata mass</w:t>
            </w:r>
            <w:r w:rsidRPr="00825730">
              <w:t xml:space="preserve">ima di tre anni, a condizione che il piano strutturale di bilancio a medio termine dello Stato </w:t>
            </w:r>
            <w:r w:rsidRPr="00825730">
              <w:lastRenderedPageBreak/>
              <w:t xml:space="preserve">membro sia supportato da una serie di riforme e di investimenti verificabili e temporalmente definiti che, nel loro insieme: </w:t>
            </w:r>
            <w:r w:rsidRPr="00825730">
              <w:rPr>
                <w:b/>
                <w:bCs/>
                <w:i/>
                <w:iCs/>
              </w:rPr>
              <w:t xml:space="preserve">stimolino una </w:t>
            </w:r>
            <w:r w:rsidRPr="00825730">
              <w:t xml:space="preserve">crescita </w:t>
            </w:r>
            <w:r w:rsidRPr="00825730">
              <w:rPr>
                <w:b/>
                <w:bCs/>
                <w:i/>
                <w:iCs/>
              </w:rPr>
              <w:t>sostenibile e</w:t>
            </w:r>
            <w:r w:rsidRPr="00825730">
              <w:rPr>
                <w:b/>
                <w:bCs/>
                <w:i/>
                <w:iCs/>
              </w:rPr>
              <w:t xml:space="preserve"> inclusiva, promuovano la convergenza sociale verso l'alto</w:t>
            </w:r>
            <w:r w:rsidRPr="00825730">
              <w:t xml:space="preserve"> e favoriscano la sostenibilità di bilancio, riguardino le priorità comuni dell'Unione, diano seguito alle raccomandazioni specifiche per paese rivolte allo Stato membro nel quadro del semestre euro</w:t>
            </w:r>
            <w:r w:rsidRPr="00825730">
              <w:t>peo, coprano le priorità di investimento specifiche per paese senza comportare tagli in altri investimenti pubblici finanziati a livello nazionale</w:t>
            </w:r>
            <w:r w:rsidRPr="00825730">
              <w:rPr>
                <w:b/>
                <w:bCs/>
                <w:i/>
                <w:iCs/>
              </w:rPr>
              <w:t>, compresi gli investimenti sociali,</w:t>
            </w:r>
            <w:r w:rsidRPr="00825730">
              <w:t xml:space="preserve"> nell'arco del periodo di aggiustamento al fine di garantire un impatto ma</w:t>
            </w:r>
            <w:r w:rsidRPr="00825730">
              <w:t>croeconomico degli investimenti e di evitare l'esclusione di altre priorità di investimento.</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rPr>
          <w:rStyle w:val="HideTWBExt"/>
          <w:b w:val="0"/>
          <w:color w:val="auto"/>
        </w:rPr>
        <w:t>&lt;NumAm&gt;</w:t>
      </w:r>
      <w:r w:rsidRPr="00825730">
        <w:t>10</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 – comma 1</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 xml:space="preserve">Il presente regolamento stabilisce norme volte a garantire un coordinamento efficace delle politiche economiche degli Stati membri, sostenendo in tal modo il conseguimento degli obiettivi dell'Unione in materia di crescita e </w:t>
            </w:r>
            <w:r w:rsidRPr="00825730">
              <w:rPr>
                <w:b/>
                <w:bCs/>
                <w:i/>
                <w:iCs/>
              </w:rPr>
              <w:t>di</w:t>
            </w:r>
            <w:r w:rsidRPr="00825730">
              <w:t xml:space="preserve"> occupazione.</w:t>
            </w:r>
          </w:p>
        </w:tc>
        <w:tc>
          <w:tcPr>
            <w:tcW w:w="4876" w:type="dxa"/>
            <w:hideMark/>
          </w:tcPr>
          <w:p w:rsidR="00E6655E" w:rsidRPr="00825730" w:rsidRDefault="00825730" w:rsidP="003B2D98">
            <w:pPr>
              <w:pStyle w:val="Normal6"/>
              <w:rPr>
                <w:szCs w:val="24"/>
              </w:rPr>
            </w:pPr>
            <w:r w:rsidRPr="00825730">
              <w:t>Il</w:t>
            </w:r>
            <w:r w:rsidRPr="00825730">
              <w:t xml:space="preserve"> presente regolamento stabilisce norme volte a garantire un coordinamento efficace delle politiche economiche degli Stati membri, sostenendo in tal modo il conseguimento degli obiettivi dell'Unione in materia di crescita </w:t>
            </w:r>
            <w:r w:rsidRPr="00825730">
              <w:rPr>
                <w:b/>
                <w:bCs/>
                <w:i/>
                <w:iCs/>
              </w:rPr>
              <w:t>sostenibile e inclusiva</w:t>
            </w:r>
            <w:r w:rsidRPr="00825730">
              <w:t xml:space="preserve"> e occupazione </w:t>
            </w:r>
            <w:r w:rsidRPr="00825730">
              <w:rPr>
                <w:b/>
                <w:bCs/>
                <w:i/>
                <w:iCs/>
              </w:rPr>
              <w:t>di qualità</w:t>
            </w:r>
            <w:r w:rsidRPr="00825730">
              <w:t>.</w:t>
            </w:r>
          </w:p>
        </w:tc>
      </w:tr>
    </w:tbl>
    <w:p w:rsidR="00E6655E" w:rsidRPr="00825730" w:rsidRDefault="00825730" w:rsidP="00E6655E">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11</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 – comma 2</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 xml:space="preserve">Esso stabilisce disposizioni dettagliate relative al contenuto, alla presentazione, alla valutazione e al monitoraggio dei piani strutturali nazionali di bilancio a medio </w:t>
            </w:r>
            <w:r w:rsidRPr="00825730">
              <w:lastRenderedPageBreak/>
              <w:t>termine nel quadro della sorveglianza di bilancio multilaterale da parte del Consigli</w:t>
            </w:r>
            <w:r w:rsidRPr="00825730">
              <w:t xml:space="preserve">o e della Commissione, al fine di promuovere la sostenibilità del debito </w:t>
            </w:r>
            <w:r w:rsidRPr="00825730">
              <w:rPr>
                <w:b/>
                <w:bCs/>
                <w:i/>
                <w:iCs/>
              </w:rPr>
              <w:t>e</w:t>
            </w:r>
            <w:r w:rsidRPr="00825730">
              <w:t xml:space="preserve"> una crescita sostenibile e inclusiva negli Stati membri e di prevenire il determinarsi di disavanzi pubblici eccessivi mediante una programmazione a medio termine.</w:t>
            </w:r>
          </w:p>
        </w:tc>
        <w:tc>
          <w:tcPr>
            <w:tcW w:w="4876" w:type="dxa"/>
            <w:hideMark/>
          </w:tcPr>
          <w:p w:rsidR="00E6655E" w:rsidRPr="00825730" w:rsidRDefault="00825730" w:rsidP="003B2D98">
            <w:pPr>
              <w:pStyle w:val="Normal6"/>
              <w:rPr>
                <w:szCs w:val="24"/>
              </w:rPr>
            </w:pPr>
            <w:r w:rsidRPr="00825730">
              <w:lastRenderedPageBreak/>
              <w:t>Esso stabilisce d</w:t>
            </w:r>
            <w:r w:rsidRPr="00825730">
              <w:t xml:space="preserve">isposizioni dettagliate relative al contenuto, alla presentazione, alla valutazione e al monitoraggio dei piani strutturali nazionali di bilancio a medio </w:t>
            </w:r>
            <w:r w:rsidRPr="00825730">
              <w:lastRenderedPageBreak/>
              <w:t>termine nel quadro della sorveglianza di bilancio multilaterale da parte del Consiglio e della Commiss</w:t>
            </w:r>
            <w:r w:rsidRPr="00825730">
              <w:t>ione, al fine di promuovere la sostenibilità del debito</w:t>
            </w:r>
            <w:r w:rsidRPr="00825730">
              <w:rPr>
                <w:b/>
                <w:bCs/>
                <w:i/>
                <w:iCs/>
              </w:rPr>
              <w:t>,</w:t>
            </w:r>
            <w:r w:rsidRPr="00825730">
              <w:t xml:space="preserve"> una crescita sostenibile e inclusiva </w:t>
            </w:r>
            <w:r w:rsidRPr="00825730">
              <w:rPr>
                <w:b/>
                <w:bCs/>
                <w:i/>
                <w:iCs/>
              </w:rPr>
              <w:t>e la convergenza sociale verso l'alto</w:t>
            </w:r>
            <w:r w:rsidRPr="00825730">
              <w:t xml:space="preserve"> negli Stati membri e di prevenire il determinarsi di disavanzi pubblici eccessivi mediante una programmazione a medio termin</w:t>
            </w:r>
            <w:r w:rsidRPr="00825730">
              <w:t>e</w:t>
            </w:r>
            <w:r w:rsidRPr="00825730">
              <w:rPr>
                <w:b/>
                <w:bCs/>
                <w:i/>
                <w:iCs/>
              </w:rPr>
              <w:t>, garantendo nel contempo investimenti economici e sociali mirati in linea con le priorità comuni dell'Unione</w:t>
            </w:r>
            <w:r w:rsidRPr="00825730">
              <w:t>.</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12</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3 – comma 1</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 xml:space="preserve">Al fine di garantire un più stretto coordinamento delle politiche economiche e una convergenza </w:t>
            </w:r>
            <w:r w:rsidRPr="00825730">
              <w:rPr>
                <w:b/>
                <w:bCs/>
                <w:i/>
                <w:iCs/>
              </w:rPr>
              <w:t>duratura</w:t>
            </w:r>
            <w:r w:rsidRPr="00825730">
              <w:t xml:space="preserve"> delle prestazioni economiche e sociali degli Stati membri, il Consiglio e la Commissione esercitano la sorveglianza</w:t>
            </w:r>
            <w:r w:rsidRPr="00825730">
              <w:t xml:space="preserve"> multilaterale nell'ambito del semestre europeo in osservanza degli obiettivi e degli obblighi sanciti dal TFUE. La sorveglianza multilaterale si fonda su statistiche di elevata qualità e indipendenti, prodotte conformemente ai principi di cui al regolamen</w:t>
            </w:r>
            <w:r w:rsidRPr="00825730">
              <w:t>to (CE) n. 223/2009 del Parlamento europeo e del Consiglio.</w:t>
            </w:r>
          </w:p>
        </w:tc>
        <w:tc>
          <w:tcPr>
            <w:tcW w:w="4876" w:type="dxa"/>
            <w:hideMark/>
          </w:tcPr>
          <w:p w:rsidR="00E6655E" w:rsidRPr="00825730" w:rsidRDefault="00825730" w:rsidP="003B2D98">
            <w:pPr>
              <w:pStyle w:val="Normal6"/>
              <w:rPr>
                <w:szCs w:val="24"/>
              </w:rPr>
            </w:pPr>
            <w:r w:rsidRPr="00825730">
              <w:t xml:space="preserve">Al fine di garantire un più stretto coordinamento delle politiche economiche </w:t>
            </w:r>
            <w:r w:rsidRPr="00825730">
              <w:rPr>
                <w:b/>
                <w:bCs/>
                <w:i/>
                <w:iCs/>
              </w:rPr>
              <w:t>e occupazionali</w:t>
            </w:r>
            <w:r w:rsidRPr="00825730">
              <w:t xml:space="preserve"> e una convergenza </w:t>
            </w:r>
            <w:r w:rsidRPr="00825730">
              <w:rPr>
                <w:b/>
                <w:bCs/>
                <w:i/>
                <w:iCs/>
              </w:rPr>
              <w:t>verso l'alto</w:t>
            </w:r>
            <w:r w:rsidRPr="00825730">
              <w:t xml:space="preserve"> delle prestazioni economiche e sociali degli Stati membri</w:t>
            </w:r>
            <w:r w:rsidRPr="00825730">
              <w:rPr>
                <w:b/>
                <w:bCs/>
                <w:i/>
                <w:iCs/>
              </w:rPr>
              <w:t xml:space="preserve"> in linea con le priorità comuni dell'Unione</w:t>
            </w:r>
            <w:r w:rsidRPr="00825730">
              <w:t>, il Consiglio e la Commissione esercitano la sorveglianza multilaterale nell'ambito del semestre europeo in osservanza degli obiettivi e degli obblighi sanciti dal TFUE. La sorveglianza multilaterale si fonda su</w:t>
            </w:r>
            <w:r w:rsidRPr="00825730">
              <w:t xml:space="preserve"> statistiche di elevata qualità e indipendenti, prodotte conformemente ai principi di cui al regolamento (CE) n. 223/2009 del Parlamento europeo e del Consiglio.</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13</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3 – comma 2 – lettera b</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(b)</w:t>
            </w:r>
            <w:r w:rsidRPr="00825730">
              <w:tab/>
              <w:t xml:space="preserve">l'elaborazione e la sorveglianza sull'attuazione degli orientamenti in materia di occupazione di cui gli Stati </w:t>
            </w:r>
            <w:r w:rsidRPr="00825730">
              <w:lastRenderedPageBreak/>
              <w:t>membri devono tenere conto in conformità dell'arti</w:t>
            </w:r>
            <w:r w:rsidRPr="00825730">
              <w:t xml:space="preserve">colo 148, paragrafo 2, TFUE, </w:t>
            </w:r>
            <w:r w:rsidRPr="00825730">
              <w:rPr>
                <w:b/>
                <w:bCs/>
                <w:i/>
                <w:iCs/>
              </w:rPr>
              <w:t>compreso il</w:t>
            </w:r>
            <w:r w:rsidRPr="00825730">
              <w:t xml:space="preserve"> pilastro europeo dei diritti sociali, </w:t>
            </w:r>
            <w:r w:rsidRPr="00825730">
              <w:rPr>
                <w:b/>
                <w:bCs/>
                <w:i/>
                <w:iCs/>
              </w:rPr>
              <w:t>e</w:t>
            </w:r>
            <w:r w:rsidRPr="00825730">
              <w:t xml:space="preserve"> delle pertinenti raccomandazioni specifiche per paese;</w:t>
            </w:r>
          </w:p>
        </w:tc>
        <w:tc>
          <w:tcPr>
            <w:tcW w:w="4876" w:type="dxa"/>
            <w:hideMark/>
          </w:tcPr>
          <w:p w:rsidR="00E6655E" w:rsidRPr="00825730" w:rsidRDefault="00825730" w:rsidP="003B2D98">
            <w:pPr>
              <w:pStyle w:val="Normal6"/>
              <w:rPr>
                <w:szCs w:val="24"/>
              </w:rPr>
            </w:pPr>
            <w:r w:rsidRPr="00825730">
              <w:lastRenderedPageBreak/>
              <w:t>(b)</w:t>
            </w:r>
            <w:r w:rsidRPr="00825730">
              <w:tab/>
              <w:t xml:space="preserve">l'elaborazione e la sorveglianza sull'attuazione degli orientamenti in materia di occupazione di cui gli Stati </w:t>
            </w:r>
            <w:r w:rsidRPr="00825730">
              <w:lastRenderedPageBreak/>
              <w:t>membr</w:t>
            </w:r>
            <w:r w:rsidRPr="00825730">
              <w:t xml:space="preserve">i devono tenere conto in conformità dell'articolo 148, paragrafo 2, TFUE, </w:t>
            </w:r>
            <w:r w:rsidRPr="00825730">
              <w:rPr>
                <w:b/>
                <w:bCs/>
                <w:i/>
                <w:iCs/>
              </w:rPr>
              <w:t>del</w:t>
            </w:r>
            <w:r w:rsidRPr="00825730">
              <w:t xml:space="preserve"> pilastro europeo dei diritti sociali </w:t>
            </w:r>
            <w:r w:rsidRPr="00825730">
              <w:rPr>
                <w:b/>
                <w:bCs/>
                <w:i/>
                <w:iCs/>
              </w:rPr>
              <w:t>e dei suoi obiettivi principali</w:t>
            </w:r>
            <w:r w:rsidRPr="00825730">
              <w:t>, delle pertinenti raccomandazioni specifiche per paese</w:t>
            </w:r>
            <w:r w:rsidRPr="00825730">
              <w:rPr>
                <w:b/>
                <w:bCs/>
                <w:i/>
                <w:iCs/>
              </w:rPr>
              <w:t>, come anche del quadro di valutazione della situazione</w:t>
            </w:r>
            <w:r w:rsidRPr="00825730">
              <w:rPr>
                <w:b/>
                <w:bCs/>
                <w:i/>
                <w:iCs/>
              </w:rPr>
              <w:t xml:space="preserve"> sociale e dei suoi indicatori principali e secondari e del quadro di convergenza sociale per prevenire e individuare i rischi in materia di convergenza sociale</w:t>
            </w:r>
            <w:r w:rsidRPr="00825730">
              <w:t>;</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14</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4 – paragrafo 1</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1.</w:t>
            </w:r>
            <w:r w:rsidRPr="00825730">
              <w:tab/>
              <w:t>Se necessario, previa valutazione, a norma del presente regolamento, dei piani strutturali di bilancio a medio termine, delle relazioni annuali sui progressi compiuti e d</w:t>
            </w:r>
            <w:r w:rsidRPr="00825730">
              <w:t>ella situazione socioeconomica degli Stati membri interessati, il Consiglio, sulla base delle raccomandazioni della Commissione, rivolge raccomandazioni a tali Stati membri utilizzando appieno gli strumenti giuridici disciplinati dagli articoli 121 e 148 T</w:t>
            </w:r>
            <w:r w:rsidRPr="00825730">
              <w:t>FUE nonché dal diritto derivato pertinente.</w:t>
            </w:r>
          </w:p>
        </w:tc>
        <w:tc>
          <w:tcPr>
            <w:tcW w:w="4876" w:type="dxa"/>
            <w:hideMark/>
          </w:tcPr>
          <w:p w:rsidR="00E6655E" w:rsidRPr="00825730" w:rsidRDefault="00825730" w:rsidP="003B2D98">
            <w:pPr>
              <w:pStyle w:val="Normal6"/>
              <w:rPr>
                <w:szCs w:val="24"/>
              </w:rPr>
            </w:pPr>
            <w:r w:rsidRPr="00825730">
              <w:t>1.</w:t>
            </w:r>
            <w:r w:rsidRPr="00825730">
              <w:tab/>
            </w:r>
            <w:r w:rsidRPr="00825730">
              <w:t>Se necessario, previa valutazione, a norma del presente regolamento, dei piani strutturali di bilancio a medio termine, delle relazioni annuali sui progressi compiuti e della situazione socioeconomica degli Stati membri interessati, il Consiglio, sulla bas</w:t>
            </w:r>
            <w:r w:rsidRPr="00825730">
              <w:t xml:space="preserve">e delle raccomandazioni della Commissione, rivolge raccomandazioni a tali Stati membri utilizzando appieno </w:t>
            </w:r>
            <w:r w:rsidRPr="00825730">
              <w:rPr>
                <w:b/>
                <w:bCs/>
                <w:i/>
                <w:iCs/>
              </w:rPr>
              <w:t>il pilastro europeo dei diritti sociali e</w:t>
            </w:r>
            <w:r w:rsidRPr="00825730">
              <w:t xml:space="preserve"> gli strumenti giuridici disciplinati dagli articoli 121 e 148 TFUE nonché dal diritto derivato pertinente.</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15</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4 – paragrafo 3 – lettera b bis (nuova)</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(b bis)</w:t>
            </w:r>
            <w:r w:rsidRPr="00825730">
              <w:rPr>
                <w:b/>
                <w:i/>
              </w:rPr>
              <w:tab/>
            </w:r>
            <w:r w:rsidRPr="00825730">
              <w:rPr>
                <w:b/>
                <w:i/>
              </w:rPr>
              <w:t xml:space="preserve">una raccomandazione del Consiglio basata su una proposta della Commissione a norma dell'articolo 148, paragrafo 4, TFUE o che rispecchi i risultati del quadro di convergenza </w:t>
            </w:r>
            <w:r w:rsidRPr="00825730">
              <w:rPr>
                <w:b/>
                <w:i/>
              </w:rPr>
              <w:lastRenderedPageBreak/>
              <w:t>sociale;</w:t>
            </w:r>
          </w:p>
        </w:tc>
      </w:tr>
    </w:tbl>
    <w:p w:rsidR="00E6655E" w:rsidRPr="00825730" w:rsidRDefault="00825730" w:rsidP="00E6655E">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rPr>
          <w:rStyle w:val="HideTWBExt"/>
          <w:b w:val="0"/>
          <w:color w:val="auto"/>
        </w:rPr>
        <w:t>&lt;NumAm&gt;</w:t>
      </w:r>
      <w:r w:rsidRPr="00825730">
        <w:t>16</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w:t>
      </w:r>
      <w:r w:rsidRPr="00825730">
        <w:t>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7 – paragrafo 1 – lettera b</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(b)</w:t>
            </w:r>
            <w:r w:rsidRPr="00825730">
              <w:tab/>
              <w:t>le sue previsioni e ipotesi macroeconomiche;</w:t>
            </w:r>
          </w:p>
        </w:tc>
        <w:tc>
          <w:tcPr>
            <w:tcW w:w="4876" w:type="dxa"/>
            <w:hideMark/>
          </w:tcPr>
          <w:p w:rsidR="00E6655E" w:rsidRPr="00825730" w:rsidRDefault="00825730" w:rsidP="003B2D98">
            <w:pPr>
              <w:pStyle w:val="Normal6"/>
              <w:rPr>
                <w:szCs w:val="24"/>
              </w:rPr>
            </w:pPr>
            <w:r w:rsidRPr="00825730">
              <w:t>(b)</w:t>
            </w:r>
            <w:r w:rsidRPr="00825730">
              <w:tab/>
              <w:t xml:space="preserve">le sue previsioni e ipotesi macroeconomiche; </w:t>
            </w:r>
            <w:r w:rsidRPr="00825730">
              <w:rPr>
                <w:b/>
                <w:i/>
              </w:rPr>
              <w:t>le sue previsioni e ipotesi sui rischi sociali;</w:t>
            </w:r>
          </w:p>
        </w:tc>
      </w:tr>
    </w:tbl>
    <w:p w:rsidR="00E6655E" w:rsidRPr="00825730" w:rsidRDefault="00825730" w:rsidP="00E6655E">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17</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11 – paragrafo 1 – comma 2</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Il piano strutturale nazionale di bilancio a medio termine descrive inoltre gli interventi dello Stato membro interessato volti a dare seguito alle raccomandazioni specifiche per paese, comprese quelle pertinenti per la procedura per gli squilibri macroeco</w:t>
            </w:r>
            <w:r w:rsidRPr="00825730">
              <w:t>nomici, nonché agli avvertimenti formulati dalla Commissione, se del caso, o alle raccomandazioni presentate dal Consiglio, ove applicabili, a norma dell'articolo 121, paragrafo 4, TFUE.</w:t>
            </w:r>
          </w:p>
        </w:tc>
        <w:tc>
          <w:tcPr>
            <w:tcW w:w="4876" w:type="dxa"/>
            <w:hideMark/>
          </w:tcPr>
          <w:p w:rsidR="00E6655E" w:rsidRPr="00825730" w:rsidRDefault="00825730" w:rsidP="003B2D98">
            <w:pPr>
              <w:pStyle w:val="Normal6"/>
              <w:rPr>
                <w:szCs w:val="24"/>
              </w:rPr>
            </w:pPr>
            <w:r w:rsidRPr="00825730">
              <w:t>Il piano strutturale nazionale di bilancio a medio termine descrive i</w:t>
            </w:r>
            <w:r w:rsidRPr="00825730">
              <w:t xml:space="preserve">noltre gli interventi dello Stato membro interessato volti a dare seguito alle raccomandazioni specifiche per paese, comprese quelle pertinenti per la procedura per gli squilibri macroeconomici, </w:t>
            </w:r>
            <w:r w:rsidRPr="00825730">
              <w:rPr>
                <w:b/>
                <w:bCs/>
                <w:i/>
                <w:iCs/>
              </w:rPr>
              <w:t>come anche alle sfide individuate nelle relazioni sulla conve</w:t>
            </w:r>
            <w:r w:rsidRPr="00825730">
              <w:rPr>
                <w:b/>
                <w:bCs/>
                <w:i/>
                <w:iCs/>
              </w:rPr>
              <w:t>rgenza sociale nell'ambito del quadro di convergenza sociale,</w:t>
            </w:r>
            <w:r w:rsidRPr="00825730">
              <w:t xml:space="preserve"> nonché agli avvertimenti formulati dalla Commissione, se del caso, o alle raccomandazioni presentate dal Consiglio, ove applicabili, a norma dell'articolo 121, paragrafo 4, TFUE</w:t>
            </w:r>
            <w:r w:rsidRPr="00825730">
              <w:rPr>
                <w:b/>
                <w:bCs/>
                <w:i/>
                <w:iCs/>
              </w:rPr>
              <w:t xml:space="preserve"> e dell'articolo </w:t>
            </w:r>
            <w:r w:rsidRPr="00825730">
              <w:rPr>
                <w:b/>
                <w:bCs/>
                <w:i/>
                <w:iCs/>
              </w:rPr>
              <w:t>148, paragrafo 4, TFUE</w:t>
            </w:r>
            <w:r w:rsidRPr="00825730">
              <w:t>.</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18</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12 – lettera b</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(b)</w:t>
            </w:r>
            <w:r w:rsidRPr="00825730">
              <w:tab/>
            </w:r>
            <w:r w:rsidRPr="00825730">
              <w:t xml:space="preserve">spiega in che modo sarà garantita la </w:t>
            </w:r>
            <w:r w:rsidRPr="00825730">
              <w:lastRenderedPageBreak/>
              <w:t>realizzazione degli investimenti e delle riforme in risposta alle principali sfide individuate, nel quadro del semestre europeo, nelle raccomandazioni specifiche per paese, correggerà gli squilibri macroeconomici indivi</w:t>
            </w:r>
            <w:r w:rsidRPr="00825730">
              <w:t xml:space="preserve">duati nell'ambito della procedura per gli squilibri macroeconomici, se applicabile, e affronterà le priorità comuni dell'Unione indicate nell'allegato VI del presente regolamento, tra cui il Green Deal europeo, il pilastro europeo dei diritti sociali e il </w:t>
            </w:r>
            <w:r w:rsidRPr="00825730">
              <w:t>decennio digitale, restando coerente con i piani aggiornati nazionali per l'energia e il clima nonché con le tabelle di marcia nazionali per il decennio digitale;</w:t>
            </w:r>
          </w:p>
        </w:tc>
        <w:tc>
          <w:tcPr>
            <w:tcW w:w="4876" w:type="dxa"/>
            <w:hideMark/>
          </w:tcPr>
          <w:p w:rsidR="00E6655E" w:rsidRPr="00825730" w:rsidRDefault="00825730" w:rsidP="003B2D98">
            <w:pPr>
              <w:pStyle w:val="Normal6"/>
              <w:rPr>
                <w:szCs w:val="24"/>
              </w:rPr>
            </w:pPr>
            <w:r w:rsidRPr="00825730">
              <w:lastRenderedPageBreak/>
              <w:t>(b)</w:t>
            </w:r>
            <w:r w:rsidRPr="00825730">
              <w:tab/>
            </w:r>
            <w:r w:rsidRPr="00825730">
              <w:rPr>
                <w:b/>
                <w:i/>
              </w:rPr>
              <w:t xml:space="preserve">valuta le carenze di investimenti </w:t>
            </w:r>
            <w:r w:rsidRPr="00825730">
              <w:rPr>
                <w:b/>
                <w:i/>
              </w:rPr>
              <w:lastRenderedPageBreak/>
              <w:t>nazionali pubblici per conseguire le priorità comuni; s</w:t>
            </w:r>
            <w:r w:rsidRPr="00825730">
              <w:rPr>
                <w:b/>
                <w:i/>
              </w:rPr>
              <w:t xml:space="preserve">u tale base si assicura che l'aggiustamento di bilancio previsto consenta gli investimenti sociali necessari per attuare i principi del pilastro europeo dei diritti sociali. </w:t>
            </w:r>
            <w:r w:rsidRPr="00825730">
              <w:rPr>
                <w:b/>
                <w:bCs/>
                <w:i/>
                <w:iCs/>
              </w:rPr>
              <w:t>In aggiunta,</w:t>
            </w:r>
            <w:r w:rsidRPr="00825730">
              <w:t xml:space="preserve"> spiega in che modo sarà garantita la realizzazione degli investimenti</w:t>
            </w:r>
            <w:r w:rsidRPr="00825730">
              <w:t xml:space="preserve"> e delle riforme in risposta alle principali sfide individuate, nel quadro del semestre europeo, nelle raccomandazioni specifiche per paese, correggerà gli squilibri macroeconomici individuati nell'ambito della procedura per gli squilibri macroeconomici, s</w:t>
            </w:r>
            <w:r w:rsidRPr="00825730">
              <w:t xml:space="preserve">e applicabile, </w:t>
            </w:r>
            <w:r w:rsidRPr="00825730">
              <w:rPr>
                <w:b/>
                <w:bCs/>
                <w:i/>
                <w:iCs/>
              </w:rPr>
              <w:t>correggerà i rischi in materia di convergenza sociale individuati nell'ambito del quadro di convergenza sociale, se del caso,</w:t>
            </w:r>
            <w:r w:rsidRPr="00825730">
              <w:t xml:space="preserve"> e affronterà le priorità comuni dell'Unione indicate nell'allegato VI del presente regolamento, tra cui il Green De</w:t>
            </w:r>
            <w:r w:rsidRPr="00825730">
              <w:t>al europeo, il pilastro europeo dei diritti sociali</w:t>
            </w:r>
            <w:r w:rsidRPr="00825730">
              <w:rPr>
                <w:b/>
                <w:bCs/>
                <w:i/>
                <w:iCs/>
              </w:rPr>
              <w:t>, compresi i relativi obiettivi in materia di occupazione, formazione e riduzione della povertà entro il 2030,</w:t>
            </w:r>
            <w:r w:rsidRPr="00825730">
              <w:t xml:space="preserve"> e il decennio digitale, restando coerente con i piani aggiornati nazionali per l'energia e il </w:t>
            </w:r>
            <w:r w:rsidRPr="00825730">
              <w:t>clima nonché con le tabelle di marcia nazionali per il decennio digitale</w:t>
            </w:r>
            <w:r w:rsidRPr="00825730">
              <w:rPr>
                <w:b/>
                <w:bCs/>
                <w:i/>
                <w:iCs/>
              </w:rPr>
              <w:t>.</w:t>
            </w:r>
            <w:r w:rsidRPr="00825730">
              <w:rPr>
                <w:b/>
                <w:i/>
              </w:rPr>
              <w:t xml:space="preserve"> </w:t>
            </w:r>
            <w:r w:rsidRPr="00825730">
              <w:rPr>
                <w:b/>
                <w:bCs/>
                <w:i/>
                <w:iCs/>
              </w:rPr>
              <w:t>Spiega inoltre in che modo contribuisce all'attuazione degli indirizzi di massima per le politiche economiche degli Stati membri e agli orientamenti in materia di occupazione conform</w:t>
            </w:r>
            <w:r w:rsidRPr="00825730">
              <w:rPr>
                <w:b/>
                <w:bCs/>
                <w:i/>
                <w:iCs/>
              </w:rPr>
              <w:t>emente all'articolo 121, paragrafo 2, e all'articolo 148, paragrafo 2, TFUE</w:t>
            </w:r>
            <w:r w:rsidRPr="00825730">
              <w:t>;</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19</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12 – lettera d bis (nuova)</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(d bis)</w:t>
            </w:r>
            <w:r w:rsidRPr="00825730">
              <w:rPr>
                <w:b/>
                <w:i/>
              </w:rPr>
              <w:tab/>
              <w:t xml:space="preserve">spiega il processo di consultazione, condotto conformemente al quadro giuridico nazionale, delle autorità locali e regionali, delle parti sociali, delle </w:t>
            </w:r>
            <w:r w:rsidRPr="00825730">
              <w:rPr>
                <w:b/>
                <w:i/>
              </w:rPr>
              <w:lastRenderedPageBreak/>
              <w:t xml:space="preserve">organizzazioni della società civile e di altri portatori di interessi pertinenti </w:t>
            </w:r>
            <w:r w:rsidRPr="00825730">
              <w:rPr>
                <w:b/>
                <w:i/>
              </w:rPr>
              <w:t>e il modo in cui il piano e il processo di attuazione tengono conto del contributo dei portatori di interessi; e</w:t>
            </w:r>
          </w:p>
        </w:tc>
      </w:tr>
    </w:tbl>
    <w:p w:rsidR="00E6655E" w:rsidRPr="00825730" w:rsidRDefault="00825730" w:rsidP="00E6655E">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20</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13 – paragrafo 2 – comma 2 – punto iv</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iv)</w:t>
            </w:r>
            <w:r w:rsidRPr="00825730">
              <w:tab/>
              <w:t>dare seguito alle raccomandazioni specifiche per paese pertinenti rivolte allo Stato membro interessato, comprese, se del caso, le raccomandazioni formulate</w:t>
            </w:r>
            <w:r w:rsidRPr="00825730">
              <w:t xml:space="preserve"> nell'ambito della procedura per gli squilibri macroeconomici;</w:t>
            </w:r>
          </w:p>
        </w:tc>
        <w:tc>
          <w:tcPr>
            <w:tcW w:w="4876" w:type="dxa"/>
            <w:hideMark/>
          </w:tcPr>
          <w:p w:rsidR="00E6655E" w:rsidRPr="00825730" w:rsidRDefault="00825730" w:rsidP="003B2D98">
            <w:pPr>
              <w:pStyle w:val="Normal6"/>
              <w:rPr>
                <w:szCs w:val="24"/>
              </w:rPr>
            </w:pPr>
            <w:r w:rsidRPr="00825730">
              <w:t>iv)</w:t>
            </w:r>
            <w:r w:rsidRPr="00825730">
              <w:tab/>
              <w:t xml:space="preserve">dare seguito alle raccomandazioni specifiche per paese pertinenti rivolte allo Stato membro interessato </w:t>
            </w:r>
            <w:r w:rsidRPr="00825730">
              <w:rPr>
                <w:b/>
                <w:bCs/>
                <w:i/>
                <w:iCs/>
              </w:rPr>
              <w:t>a norma dell'articolo 121, paragrafo 4, e dell'articolo 148, paragrafo 4, TFUE</w:t>
            </w:r>
            <w:r w:rsidRPr="00825730">
              <w:t>, compr</w:t>
            </w:r>
            <w:r w:rsidRPr="00825730">
              <w:t xml:space="preserve">ese, se del caso, le raccomandazioni formulate nell'ambito della procedura per gli squilibri macroeconomici </w:t>
            </w:r>
            <w:r w:rsidRPr="00825730">
              <w:rPr>
                <w:b/>
                <w:bCs/>
                <w:i/>
                <w:iCs/>
              </w:rPr>
              <w:t>come anche nell'ambito del quadro di convergenza sociale</w:t>
            </w:r>
            <w:r w:rsidRPr="00825730">
              <w:t>;</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21</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16 – comma 1</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 xml:space="preserve">Sulla base di una raccomandazione della Commissione, e di norma </w:t>
            </w:r>
            <w:r w:rsidRPr="00825730">
              <w:rPr>
                <w:b/>
                <w:bCs/>
                <w:i/>
                <w:iCs/>
              </w:rPr>
              <w:t>entro quattro</w:t>
            </w:r>
            <w:r w:rsidRPr="00825730">
              <w:t xml:space="preserve"> settimane da essa, il Consiglio adotta una raccomandazione che definisce il percorso d</w:t>
            </w:r>
            <w:r w:rsidRPr="00825730">
              <w:t>ella spesa netta dello Stato membro interessato e, se del caso, approva la serie di impegni di riforma e di investimento che giustifica una proroga del periodo di aggiustamento inclusi nel piano strutturale nazionale di bilancio a medio termine.</w:t>
            </w:r>
          </w:p>
        </w:tc>
        <w:tc>
          <w:tcPr>
            <w:tcW w:w="4876" w:type="dxa"/>
            <w:hideMark/>
          </w:tcPr>
          <w:p w:rsidR="00E6655E" w:rsidRPr="00825730" w:rsidRDefault="00825730" w:rsidP="003B2D98">
            <w:pPr>
              <w:pStyle w:val="Normal6"/>
              <w:rPr>
                <w:szCs w:val="24"/>
              </w:rPr>
            </w:pPr>
            <w:r w:rsidRPr="00825730">
              <w:t>Sulla base</w:t>
            </w:r>
            <w:r w:rsidRPr="00825730">
              <w:t xml:space="preserve"> di una raccomandazione della Commissione, e di norma </w:t>
            </w:r>
            <w:r w:rsidRPr="00825730">
              <w:rPr>
                <w:b/>
                <w:bCs/>
                <w:i/>
                <w:iCs/>
              </w:rPr>
              <w:t>tra le sei e le dieci</w:t>
            </w:r>
            <w:r w:rsidRPr="00825730">
              <w:t xml:space="preserve"> settimane da essa, il Consiglio</w:t>
            </w:r>
            <w:r w:rsidRPr="00825730">
              <w:rPr>
                <w:b/>
                <w:bCs/>
                <w:i/>
                <w:iCs/>
              </w:rPr>
              <w:t>, previa consultazione dei pertinenti comitati consultivi individuati conformemente all'articolo 26,</w:t>
            </w:r>
            <w:r w:rsidRPr="00825730">
              <w:t xml:space="preserve"> adotta una raccomandazione che definisce il perc</w:t>
            </w:r>
            <w:r w:rsidRPr="00825730">
              <w:t>orso della spesa netta dello Stato membro interessato e, se del caso, approva la serie di impegni di riforma e di investimento che giustifica una proroga del periodo di aggiustamento inclusi nel piano strutturale nazionale di bilancio a medio termine.</w:t>
            </w:r>
          </w:p>
        </w:tc>
      </w:tr>
    </w:tbl>
    <w:p w:rsidR="00E6655E" w:rsidRPr="00825730" w:rsidRDefault="00825730" w:rsidP="00E6655E">
      <w:pPr>
        <w:rPr>
          <w:rStyle w:val="HideTWBExt"/>
          <w:color w:val="auto"/>
        </w:rPr>
      </w:pPr>
      <w:r w:rsidRPr="00825730">
        <w:rPr>
          <w:rStyle w:val="HideTWBExt"/>
          <w:color w:val="auto"/>
        </w:rPr>
        <w:t>&lt;/A</w:t>
      </w:r>
      <w:r w:rsidRPr="00825730">
        <w:rPr>
          <w:rStyle w:val="HideTWBExt"/>
          <w:color w:val="auto"/>
        </w:rPr>
        <w:t>mend&gt;</w:t>
      </w:r>
    </w:p>
    <w:p w:rsidR="00E6655E" w:rsidRPr="00825730" w:rsidRDefault="00825730" w:rsidP="00E6655E">
      <w:pPr>
        <w:pStyle w:val="AmNumberTabs"/>
      </w:pPr>
      <w:r w:rsidRPr="00825730">
        <w:rPr>
          <w:rStyle w:val="HideTWBExt"/>
          <w:b w:val="0"/>
          <w:color w:val="auto"/>
        </w:rPr>
        <w:lastRenderedPageBreak/>
        <w:t>&lt;Amend&gt;</w:t>
      </w:r>
      <w:r w:rsidRPr="00825730">
        <w:t>Emendamento</w:t>
      </w:r>
      <w:r w:rsidRPr="00825730">
        <w:tab/>
      </w:r>
      <w:r w:rsidRPr="00825730">
        <w:tab/>
      </w:r>
      <w:r w:rsidRPr="00825730">
        <w:rPr>
          <w:rStyle w:val="HideTWBExt"/>
          <w:b w:val="0"/>
          <w:color w:val="auto"/>
        </w:rPr>
        <w:t>&lt;NumAm&gt;</w:t>
      </w:r>
      <w:r w:rsidRPr="00825730">
        <w:t>22</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17</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 xml:space="preserve">Qualora ritenga che il piano non soddisfi i requisiti di cui all'articolo 15, paragrafo 2, e paragrafo 3, </w:t>
            </w:r>
            <w:r w:rsidRPr="00825730">
              <w:rPr>
                <w:b/>
                <w:bCs/>
                <w:i/>
                <w:iCs/>
              </w:rPr>
              <w:t>lettera</w:t>
            </w:r>
            <w:r w:rsidRPr="00825730">
              <w:t xml:space="preserve"> a), sulla base di una raccomandazione della Commissione, il Consiglio raccomanda allo Stato membro interessato di presentare un piano struttur</w:t>
            </w:r>
            <w:r w:rsidRPr="00825730">
              <w:t>ale nazionale di bilancio a medio termine riveduto.</w:t>
            </w:r>
          </w:p>
        </w:tc>
        <w:tc>
          <w:tcPr>
            <w:tcW w:w="4876" w:type="dxa"/>
            <w:hideMark/>
          </w:tcPr>
          <w:p w:rsidR="00E6655E" w:rsidRPr="00825730" w:rsidRDefault="00825730" w:rsidP="003B2D98">
            <w:pPr>
              <w:pStyle w:val="Normal6"/>
              <w:rPr>
                <w:szCs w:val="24"/>
              </w:rPr>
            </w:pPr>
            <w:r w:rsidRPr="00825730">
              <w:t xml:space="preserve">Qualora ritenga che il piano non soddisfi i requisiti di cui all'articolo 15, paragrafo 2, e paragrafo 3, </w:t>
            </w:r>
            <w:r w:rsidRPr="00825730">
              <w:rPr>
                <w:b/>
                <w:bCs/>
                <w:i/>
                <w:iCs/>
              </w:rPr>
              <w:t>lettere</w:t>
            </w:r>
            <w:r w:rsidRPr="00825730">
              <w:t xml:space="preserve"> a) </w:t>
            </w:r>
            <w:r w:rsidRPr="00825730">
              <w:rPr>
                <w:b/>
                <w:bCs/>
                <w:i/>
                <w:iCs/>
              </w:rPr>
              <w:t>e b)</w:t>
            </w:r>
            <w:r w:rsidRPr="00825730">
              <w:t xml:space="preserve">, sulla base di una raccomandazione della Commissione </w:t>
            </w:r>
            <w:r w:rsidRPr="00825730">
              <w:rPr>
                <w:b/>
                <w:bCs/>
                <w:i/>
                <w:iCs/>
              </w:rPr>
              <w:t>e previa consultazione dei pe</w:t>
            </w:r>
            <w:r w:rsidRPr="00825730">
              <w:rPr>
                <w:b/>
                <w:bCs/>
                <w:i/>
                <w:iCs/>
              </w:rPr>
              <w:t>rtinenti comitati consultivi individuati conformemente all'articolo 26</w:t>
            </w:r>
            <w:r w:rsidRPr="00825730">
              <w:t>, il Consiglio raccomanda allo Stato membro interessato di presentare un piano strutturale nazionale di bilancio a medio termine riveduto.</w:t>
            </w:r>
          </w:p>
        </w:tc>
      </w:tr>
    </w:tbl>
    <w:p w:rsidR="00E6655E" w:rsidRPr="00825730" w:rsidRDefault="00825730" w:rsidP="00E6655E">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23</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20 – paragrafo 2</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2.</w:t>
            </w:r>
            <w:r w:rsidRPr="00825730">
              <w:tab/>
              <w:t>La relazione annuale sui progressi compiuti di cui al paragrafo 1 contiene segnatamente informazioni riguardanti i progres</w:t>
            </w:r>
            <w:r w:rsidRPr="00825730">
              <w:t xml:space="preserve">si compiuti nell'attuazione del percorso della spesa netta, degli impegni di riforma e di investimento più ampi nel contesto del semestre europeo e, se del caso, della serie di impegni di riforma e di investimento che giustifica una proroga del periodo di </w:t>
            </w:r>
            <w:r w:rsidRPr="00825730">
              <w:t>aggiustamento.</w:t>
            </w:r>
          </w:p>
        </w:tc>
        <w:tc>
          <w:tcPr>
            <w:tcW w:w="4876" w:type="dxa"/>
            <w:hideMark/>
          </w:tcPr>
          <w:p w:rsidR="00E6655E" w:rsidRPr="00825730" w:rsidRDefault="00825730" w:rsidP="003B2D98">
            <w:pPr>
              <w:pStyle w:val="Normal6"/>
              <w:rPr>
                <w:szCs w:val="24"/>
              </w:rPr>
            </w:pPr>
            <w:r w:rsidRPr="00825730">
              <w:t>2.</w:t>
            </w:r>
            <w:r w:rsidRPr="00825730">
              <w:tab/>
              <w:t xml:space="preserve">La relazione annuale sui progressi compiuti di cui al paragrafo 1 contiene segnatamente informazioni riguardanti i progressi compiuti nell'attuazione del percorso della spesa netta, degli impegni di riforma e di investimento più ampi nel </w:t>
            </w:r>
            <w:r w:rsidRPr="00825730">
              <w:t>contesto del semestre europeo</w:t>
            </w:r>
            <w:r w:rsidRPr="00825730">
              <w:rPr>
                <w:b/>
                <w:bCs/>
                <w:i/>
                <w:iCs/>
              </w:rPr>
              <w:t>, compresi i progressi compiuti nel conseguimento degli obiettivi nazionali e dell'Unione in materia di occupazione, formazione e riduzione della povertà entro il 2030, come anche delle priorità comuni dell'Unione indicate nell</w:t>
            </w:r>
            <w:r w:rsidRPr="00825730">
              <w:rPr>
                <w:b/>
                <w:bCs/>
                <w:i/>
                <w:iCs/>
              </w:rPr>
              <w:t>'allegato VI,</w:t>
            </w:r>
            <w:r w:rsidRPr="00825730">
              <w:t xml:space="preserve"> e, se del caso, della serie di impegni di riforma e di investimento che giustifica una proroga del periodo di aggiustamento.</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24</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lastRenderedPageBreak/>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22</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Ciascun ente di bilancio indipendente nazionale di cui all'articolo 8 della direttiva […] del Consiglio</w:t>
            </w:r>
            <w:r w:rsidRPr="00825730">
              <w:rPr>
                <w:vertAlign w:val="superscript"/>
              </w:rPr>
              <w:t>32</w:t>
            </w:r>
            <w:r w:rsidRPr="00825730">
              <w:t xml:space="preserve"> [relativa ai quadri di bilancio nazionali] fornisce una valutazione della conformità dei dati sui ri</w:t>
            </w:r>
            <w:r w:rsidRPr="00825730">
              <w:t>sultati di bilancio riportati nella relazione sui progressi compiuti di cui all'articolo 20 rispetto al percorso della spesa netta</w:t>
            </w:r>
            <w:r w:rsidRPr="00825730">
              <w:rPr>
                <w:b/>
                <w:bCs/>
                <w:i/>
                <w:iCs/>
              </w:rPr>
              <w:t>.</w:t>
            </w:r>
            <w:r w:rsidRPr="00825730">
              <w:t xml:space="preserve"> Ove applicabile, </w:t>
            </w:r>
            <w:r w:rsidRPr="00825730">
              <w:rPr>
                <w:b/>
                <w:bCs/>
                <w:i/>
                <w:iCs/>
              </w:rPr>
              <w:t>ciascun ente di bilancio indipendente nazionale</w:t>
            </w:r>
            <w:r w:rsidRPr="00825730">
              <w:t xml:space="preserve"> analizza anche i fattori alla base di una deviazione dal pe</w:t>
            </w:r>
            <w:r w:rsidRPr="00825730">
              <w:t>rcorso della spesa netta.</w:t>
            </w:r>
          </w:p>
        </w:tc>
        <w:tc>
          <w:tcPr>
            <w:tcW w:w="4876" w:type="dxa"/>
            <w:hideMark/>
          </w:tcPr>
          <w:p w:rsidR="00E6655E" w:rsidRPr="00825730" w:rsidRDefault="00825730" w:rsidP="003B2D98">
            <w:pPr>
              <w:pStyle w:val="Normal6"/>
              <w:rPr>
                <w:szCs w:val="24"/>
              </w:rPr>
            </w:pPr>
            <w:r w:rsidRPr="00825730">
              <w:t>Ciascun ente di bilancio indipendente nazionale di cui all'articolo 8 della direttiva […] del Consiglio</w:t>
            </w:r>
            <w:r w:rsidRPr="00825730">
              <w:rPr>
                <w:vertAlign w:val="superscript"/>
              </w:rPr>
              <w:t>32</w:t>
            </w:r>
            <w:r w:rsidRPr="00825730">
              <w:t xml:space="preserve"> [relativa ai quadri di bilancio nazionali]</w:t>
            </w:r>
            <w:r w:rsidRPr="00825730">
              <w:rPr>
                <w:b/>
                <w:bCs/>
                <w:i/>
                <w:iCs/>
              </w:rPr>
              <w:t>:</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a)</w:t>
            </w:r>
            <w:r w:rsidRPr="00825730">
              <w:t xml:space="preserve"> </w:t>
            </w:r>
            <w:r w:rsidRPr="00825730">
              <w:tab/>
            </w:r>
            <w:r w:rsidRPr="00825730">
              <w:t>fornisce una valutazione della conformità dei dati sui risultati di bilancio riportati nella relazione sui progressi compiuti di cui all'articolo 20 rispetto al percorso della spesa netta</w:t>
            </w:r>
            <w:r w:rsidRPr="00825730">
              <w:rPr>
                <w:b/>
                <w:bCs/>
                <w:i/>
                <w:iCs/>
              </w:rPr>
              <w:t>;</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b)</w:t>
            </w:r>
            <w:r w:rsidRPr="00825730">
              <w:t xml:space="preserve"> </w:t>
            </w:r>
            <w:r w:rsidRPr="00825730">
              <w:tab/>
              <w:t>ove applicabile, analizza anche i fattori alla base di una de</w:t>
            </w:r>
            <w:r w:rsidRPr="00825730">
              <w:t>viazione dal percorso della spesa netta</w:t>
            </w:r>
            <w:r w:rsidRPr="00825730">
              <w:rPr>
                <w:b/>
                <w:bCs/>
                <w:i/>
                <w:iCs/>
              </w:rPr>
              <w:t>;</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 xml:space="preserve">c) </w:t>
            </w:r>
            <w:r w:rsidRPr="00825730">
              <w:tab/>
            </w:r>
            <w:r w:rsidRPr="00825730">
              <w:rPr>
                <w:b/>
                <w:bCs/>
                <w:i/>
                <w:iCs/>
              </w:rPr>
              <w:t>fornisce una valutazione dell'impatto sociale delle scelte di politica di aggiustamento di bilancio</w:t>
            </w:r>
            <w:r w:rsidRPr="00825730">
              <w:t>.</w:t>
            </w:r>
          </w:p>
        </w:tc>
      </w:tr>
      <w:tr w:rsidR="00825730" w:rsidRPr="00825730" w:rsidTr="003B2D98">
        <w:trPr>
          <w:jc w:val="center"/>
        </w:trPr>
        <w:tc>
          <w:tcPr>
            <w:tcW w:w="4876" w:type="dxa"/>
            <w:hideMark/>
          </w:tcPr>
          <w:p w:rsidR="00E6655E" w:rsidRPr="00825730" w:rsidRDefault="00825730" w:rsidP="003B2D98">
            <w:pPr>
              <w:pStyle w:val="Normal6"/>
            </w:pPr>
            <w:r w:rsidRPr="00825730">
              <w:t>__________________</w:t>
            </w:r>
          </w:p>
        </w:tc>
        <w:tc>
          <w:tcPr>
            <w:tcW w:w="4876" w:type="dxa"/>
            <w:hideMark/>
          </w:tcPr>
          <w:p w:rsidR="00E6655E" w:rsidRPr="00825730" w:rsidRDefault="00825730" w:rsidP="003B2D98">
            <w:pPr>
              <w:pStyle w:val="Normal6"/>
              <w:rPr>
                <w:szCs w:val="24"/>
              </w:rPr>
            </w:pPr>
            <w:r w:rsidRPr="00825730">
              <w:t>__________________</w:t>
            </w:r>
          </w:p>
        </w:tc>
      </w:tr>
      <w:tr w:rsidR="00825730" w:rsidRPr="00825730" w:rsidTr="003B2D98">
        <w:trPr>
          <w:jc w:val="center"/>
        </w:trPr>
        <w:tc>
          <w:tcPr>
            <w:tcW w:w="4876" w:type="dxa"/>
            <w:hideMark/>
          </w:tcPr>
          <w:p w:rsidR="00E6655E" w:rsidRPr="00825730" w:rsidRDefault="00825730" w:rsidP="003B2D98">
            <w:pPr>
              <w:pStyle w:val="Normal6"/>
            </w:pPr>
            <w:r w:rsidRPr="00825730">
              <w:rPr>
                <w:vertAlign w:val="superscript"/>
              </w:rPr>
              <w:t>32</w:t>
            </w:r>
            <w:r w:rsidRPr="00825730">
              <w:t xml:space="preserve"> Direttiva [...] del Consiglio, del [...], [recante modifica della</w:t>
            </w:r>
            <w:r w:rsidRPr="00825730">
              <w:t xml:space="preserve"> direttiva 2011/85/UE del Consiglio, relativa ai requisiti per i quadri di bilancio degli Stati membri] (GU ... del ..., pag ...).</w:t>
            </w:r>
          </w:p>
        </w:tc>
        <w:tc>
          <w:tcPr>
            <w:tcW w:w="4876" w:type="dxa"/>
            <w:hideMark/>
          </w:tcPr>
          <w:p w:rsidR="00E6655E" w:rsidRPr="00825730" w:rsidRDefault="00825730" w:rsidP="003B2D98">
            <w:pPr>
              <w:pStyle w:val="Normal6"/>
              <w:rPr>
                <w:szCs w:val="24"/>
              </w:rPr>
            </w:pPr>
            <w:r w:rsidRPr="00825730">
              <w:rPr>
                <w:vertAlign w:val="superscript"/>
              </w:rPr>
              <w:t>32</w:t>
            </w:r>
            <w:r w:rsidRPr="00825730">
              <w:t xml:space="preserve"> Direttiva [...] del Consiglio, del [...], [recante modifica della direttiva 2011/85/UE del Consiglio, relativa ai requisit</w:t>
            </w:r>
            <w:r w:rsidRPr="00825730">
              <w:t>i per i quadri di bilancio degli Stati membri] (GU ... del ..., pag ...).</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25</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26 – comma 1</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 xml:space="preserve">Il Parlamento europeo è debitamente coinvolto nel semestre europeo per accrescere la trasparenza, la titolarità e la </w:t>
            </w:r>
            <w:r w:rsidRPr="00825730">
              <w:lastRenderedPageBreak/>
              <w:t>responsabilità per le decisioni adottate, in particolare mediante un dialogo economico. Il comitato economico e finanziario, il Comitato di</w:t>
            </w:r>
            <w:r w:rsidRPr="00825730">
              <w:t xml:space="preserve"> politica economica, il Comitato per l'occupazione e il Comitato per la protezione sociale sono consultati nel quadro del semestre europeo laddove opportuno. I portatori di interessi, in particolare le parti sociali, sono opportunamente coinvolti nel semes</w:t>
            </w:r>
            <w:r w:rsidRPr="00825730">
              <w:t>tre europeo sui principali temi programmatici, secondo le disposizioni del TFUE e degli ordinamenti giuridici e politici nazionali.</w:t>
            </w:r>
          </w:p>
        </w:tc>
        <w:tc>
          <w:tcPr>
            <w:tcW w:w="4876" w:type="dxa"/>
            <w:hideMark/>
          </w:tcPr>
          <w:p w:rsidR="00E6655E" w:rsidRPr="00825730" w:rsidRDefault="00825730" w:rsidP="003B2D98">
            <w:pPr>
              <w:pStyle w:val="Normal6"/>
              <w:rPr>
                <w:szCs w:val="24"/>
              </w:rPr>
            </w:pPr>
            <w:r w:rsidRPr="00825730">
              <w:lastRenderedPageBreak/>
              <w:t xml:space="preserve">Il Parlamento europeo è debitamente coinvolto nel semestre europeo per accrescere la trasparenza, la titolarità e la </w:t>
            </w:r>
            <w:r w:rsidRPr="00825730">
              <w:lastRenderedPageBreak/>
              <w:t>respons</w:t>
            </w:r>
            <w:r w:rsidRPr="00825730">
              <w:t xml:space="preserve">abilità per le decisioni adottate, in particolare mediante un dialogo economico </w:t>
            </w:r>
            <w:r w:rsidRPr="00825730">
              <w:rPr>
                <w:b/>
                <w:bCs/>
                <w:i/>
                <w:iCs/>
              </w:rPr>
              <w:t>e sull'occupazione, come anche per definire le priorità di politica macroeconomica e sociale</w:t>
            </w:r>
            <w:r w:rsidRPr="00825730">
              <w:t>. Il comitato economico e finanziario, il Comitato di politica economica, il Comitat</w:t>
            </w:r>
            <w:r w:rsidRPr="00825730">
              <w:t xml:space="preserve">o per l'occupazione e il Comitato per la protezione sociale sono consultati nel quadro del semestre europeo laddove opportuno. </w:t>
            </w:r>
            <w:r w:rsidRPr="00825730">
              <w:rPr>
                <w:b/>
                <w:bCs/>
                <w:i/>
                <w:iCs/>
              </w:rPr>
              <w:t>Anche il Comitato economico e sociale europeo e il Comitato delle regioni sono consultati nell'ambito del semestre europeo laddov</w:t>
            </w:r>
            <w:r w:rsidRPr="00825730">
              <w:rPr>
                <w:b/>
                <w:bCs/>
                <w:i/>
                <w:iCs/>
              </w:rPr>
              <w:t>e opportuno.</w:t>
            </w:r>
            <w:r w:rsidRPr="00825730">
              <w:t xml:space="preserve"> I portatori di interessi, in particolare le parti sociali </w:t>
            </w:r>
            <w:r w:rsidRPr="00825730">
              <w:rPr>
                <w:b/>
                <w:bCs/>
                <w:i/>
                <w:iCs/>
              </w:rPr>
              <w:t>e le organizzazioni della società civile</w:t>
            </w:r>
            <w:r w:rsidRPr="00825730">
              <w:t>, sono opportunamente coinvolti nel semestre europeo sui principali temi programmatici, secondo le disposizioni del TFUE e degli ordinamenti giuridici e politici nazionali.</w:t>
            </w:r>
          </w:p>
        </w:tc>
      </w:tr>
    </w:tbl>
    <w:p w:rsidR="00E6655E" w:rsidRPr="00825730" w:rsidRDefault="00825730" w:rsidP="00E6655E">
      <w:pPr>
        <w:rPr>
          <w:rFonts w:eastAsiaTheme="majorEastAsia"/>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26</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26 – comma 2</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Al fine di intensificare il dialogo tra le istituzioni dell'Unione, in particolare tra il Parlamento europeo, il Consiglio e la Commissione, e garantire nel contemp</w:t>
            </w:r>
            <w:r w:rsidRPr="00825730">
              <w:t>o trasparenza e responsabilità, il Parlamento europeo può invitare il presidente del Consiglio, la Commissione nonché, ove opportuno, il presidente del Consiglio europeo o il presidente dell'Eurogruppo, a discutere dinanzi al Parlamento europeo gli orienta</w:t>
            </w:r>
            <w:r w:rsidRPr="00825730">
              <w:t>menti in materia di politiche indirizzati dalla Commissione agli Stati membri, le conclusioni tratte dal Consiglio europeo e i risultati della sorveglianza multilaterale condotta a norma del presente regolamento.</w:t>
            </w:r>
          </w:p>
        </w:tc>
        <w:tc>
          <w:tcPr>
            <w:tcW w:w="4876" w:type="dxa"/>
            <w:hideMark/>
          </w:tcPr>
          <w:p w:rsidR="00E6655E" w:rsidRPr="00825730" w:rsidRDefault="00825730" w:rsidP="003B2D98">
            <w:pPr>
              <w:pStyle w:val="Normal6"/>
              <w:rPr>
                <w:szCs w:val="24"/>
              </w:rPr>
            </w:pPr>
            <w:r w:rsidRPr="00825730">
              <w:t>Al fine di intensificare il dialogo tra le istituzioni dell'Unione, in particolare tra il Parlamento europeo, il Consiglio e la Commissione, e garantire nel contempo trasparenza e responsabilità, il Parlamento europeo può invitare il presidente del Consigl</w:t>
            </w:r>
            <w:r w:rsidRPr="00825730">
              <w:t>io, la Commissione nonché, ove opportuno, il presidente del Consiglio europeo o il presidente dell'Eurogruppo, a discutere dinanzi al Parlamento europeo gli orientamenti in materia di politiche indirizzati dalla Commissione agli Stati membri, le conclusion</w:t>
            </w:r>
            <w:r w:rsidRPr="00825730">
              <w:t>i tratte dal Consiglio europeo e i risultati della sorveglianza multilaterale condotta a norma del presente regolamento</w:t>
            </w:r>
            <w:r w:rsidRPr="00825730">
              <w:rPr>
                <w:b/>
                <w:bCs/>
                <w:i/>
                <w:iCs/>
              </w:rPr>
              <w:t xml:space="preserve">, incluse le procedure di allarme preventivo istituite a norma dell'articolo 121, paragrafo 4, e </w:t>
            </w:r>
            <w:r w:rsidRPr="00825730">
              <w:rPr>
                <w:b/>
                <w:bCs/>
                <w:i/>
                <w:iCs/>
              </w:rPr>
              <w:lastRenderedPageBreak/>
              <w:t>dell'articolo 148 TFUE</w:t>
            </w:r>
            <w:r w:rsidRPr="00825730">
              <w:t>.</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w:t>
      </w:r>
      <w:r w:rsidRPr="00825730">
        <w:rPr>
          <w:rStyle w:val="HideTWBExt"/>
          <w:b w:val="0"/>
          <w:color w:val="auto"/>
        </w:rPr>
        <w:t>&gt;</w:t>
      </w:r>
      <w:r w:rsidRPr="00825730">
        <w:t>Emendamento</w:t>
      </w:r>
      <w:r w:rsidRPr="00825730">
        <w:tab/>
      </w:r>
      <w:r w:rsidRPr="00825730">
        <w:tab/>
      </w:r>
      <w:r w:rsidRPr="00825730">
        <w:rPr>
          <w:rStyle w:val="HideTWBExt"/>
          <w:b w:val="0"/>
          <w:color w:val="auto"/>
        </w:rPr>
        <w:t>&lt;NumAm&gt;</w:t>
      </w:r>
      <w:r w:rsidRPr="00825730">
        <w:t>27</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Articolo 26 – comma 3 bis (nuovo)</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Le commissioni competenti del Parlamento europeo possono invitare la Commissione a discutere le seguenti questioni:</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a)</w:t>
            </w:r>
            <w:r w:rsidRPr="00825730">
              <w:rPr>
                <w:b/>
                <w:i/>
              </w:rPr>
              <w:tab/>
            </w:r>
            <w:r w:rsidRPr="00825730">
              <w:rPr>
                <w:b/>
                <w:i/>
              </w:rPr>
              <w:t>la valutazione, da parte della Commissione, delle proiezioni del debito pubblico a medio termine nei piani strutturali nazionali di bilancio a medio termine, come pure l'analisi della sostenibilità del debito;</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b)</w:t>
            </w:r>
            <w:r w:rsidRPr="00825730">
              <w:rPr>
                <w:b/>
                <w:i/>
              </w:rPr>
              <w:tab/>
              <w:t xml:space="preserve"> la valutazione delle informazioni fornit</w:t>
            </w:r>
            <w:r w:rsidRPr="00825730">
              <w:rPr>
                <w:b/>
                <w:i/>
              </w:rPr>
              <w:t>e dagli Stati membri nelle relazioni annuali sui progressi compiuti;</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c)</w:t>
            </w:r>
            <w:r w:rsidRPr="00825730">
              <w:rPr>
                <w:b/>
                <w:i/>
              </w:rPr>
              <w:tab/>
              <w:t>la valutazione della serie di impegni di riforma e di investimento che giustifica una proroga del periodo di aggiustamento;</w:t>
            </w:r>
          </w:p>
        </w:tc>
      </w:tr>
      <w:tr w:rsidR="00825730" w:rsidRPr="00825730" w:rsidTr="003B2D98">
        <w:trPr>
          <w:jc w:val="center"/>
        </w:trPr>
        <w:tc>
          <w:tcPr>
            <w:tcW w:w="4876" w:type="dxa"/>
          </w:tcPr>
          <w:p w:rsidR="00E6655E" w:rsidRPr="00825730" w:rsidRDefault="00E6655E" w:rsidP="003B2D98">
            <w:pPr>
              <w:pStyle w:val="Normal6"/>
            </w:pPr>
          </w:p>
        </w:tc>
        <w:tc>
          <w:tcPr>
            <w:tcW w:w="4876" w:type="dxa"/>
            <w:hideMark/>
          </w:tcPr>
          <w:p w:rsidR="00E6655E" w:rsidRPr="00825730" w:rsidRDefault="00825730" w:rsidP="003B2D98">
            <w:pPr>
              <w:pStyle w:val="Normal6"/>
              <w:rPr>
                <w:szCs w:val="24"/>
              </w:rPr>
            </w:pPr>
            <w:r w:rsidRPr="00825730">
              <w:rPr>
                <w:b/>
                <w:i/>
              </w:rPr>
              <w:t>d) la valutazione delle raccomandazioni specifiche per p</w:t>
            </w:r>
            <w:r w:rsidRPr="00825730">
              <w:rPr>
                <w:b/>
                <w:i/>
              </w:rPr>
              <w:t>aese e dei rischi in materia di convergenza sociale, nonché i progressi compiuti verso l'attuazione dei principi del pilastro europeo dei diritti sociali.</w:t>
            </w:r>
          </w:p>
        </w:tc>
      </w:tr>
    </w:tbl>
    <w:p w:rsidR="00E6655E" w:rsidRPr="00825730" w:rsidRDefault="00825730" w:rsidP="00E6655E">
      <w:pPr>
        <w:rPr>
          <w:rStyle w:val="HideTWBExt"/>
          <w:rFonts w:eastAsiaTheme="majorEastAsia"/>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28</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w:t>
      </w:r>
      <w:r w:rsidRPr="00825730">
        <w:rPr>
          <w:rStyle w:val="HideTWBExt"/>
          <w:b w:val="0"/>
          <w:color w:val="auto"/>
        </w:rPr>
        <w:t>e&gt;</w:t>
      </w:r>
      <w:r w:rsidRPr="00825730">
        <w:t>Allegato II – lettera d</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(d)</w:t>
            </w:r>
            <w:r w:rsidRPr="00825730">
              <w:tab/>
              <w:t xml:space="preserve">informazioni sulle passività implicite </w:t>
            </w:r>
            <w:r w:rsidRPr="00825730">
              <w:rPr>
                <w:b/>
                <w:bCs/>
                <w:i/>
                <w:iCs/>
              </w:rPr>
              <w:t>legate all'invecchiamento</w:t>
            </w:r>
            <w:r w:rsidRPr="00825730">
              <w:t xml:space="preserve"> e </w:t>
            </w:r>
            <w:r w:rsidRPr="00825730">
              <w:rPr>
                <w:b/>
                <w:bCs/>
                <w:i/>
                <w:iCs/>
              </w:rPr>
              <w:t>sulle passività</w:t>
            </w:r>
            <w:r w:rsidRPr="00825730">
              <w:t xml:space="preserve"> potenziali, il cui impatto può avere vaste ripercussioni sui conti pubblici, come le garanzie statali, i crediti deteriorati </w:t>
            </w:r>
            <w:r w:rsidRPr="00825730">
              <w:lastRenderedPageBreak/>
              <w:t>e le passività derivanti dalla gestione delle imprese pubbliche, inclusa la loro entità, le spese e gli obblighi potenziali deriva</w:t>
            </w:r>
            <w:r w:rsidRPr="00825730">
              <w:t>nti da azioni giudiziarie e, nei limiti del possibile, informazioni sulle passività potenziali legate alle calamità e al clima;</w:t>
            </w:r>
          </w:p>
        </w:tc>
        <w:tc>
          <w:tcPr>
            <w:tcW w:w="4876" w:type="dxa"/>
            <w:hideMark/>
          </w:tcPr>
          <w:p w:rsidR="00E6655E" w:rsidRPr="00825730" w:rsidRDefault="00825730" w:rsidP="003B2D98">
            <w:pPr>
              <w:pStyle w:val="Normal6"/>
              <w:rPr>
                <w:szCs w:val="24"/>
              </w:rPr>
            </w:pPr>
            <w:r w:rsidRPr="00825730">
              <w:lastRenderedPageBreak/>
              <w:t>(d)</w:t>
            </w:r>
            <w:r w:rsidRPr="00825730">
              <w:tab/>
              <w:t>informazioni sulle passività implicite e potenziali, il cui impatto può avere vaste ripercussioni sui conti pubblici, come l</w:t>
            </w:r>
            <w:r w:rsidRPr="00825730">
              <w:t xml:space="preserve">e garanzie statali, i crediti deteriorati e le passività derivanti dalla gestione delle </w:t>
            </w:r>
            <w:r w:rsidRPr="00825730">
              <w:lastRenderedPageBreak/>
              <w:t xml:space="preserve">imprese pubbliche, inclusa la loro entità, le spese e gli obblighi potenziali derivanti da azioni giudiziarie e, nei limiti del possibile, informazioni sulle passività </w:t>
            </w:r>
            <w:r w:rsidRPr="00825730">
              <w:t>potenziali legate alle calamità e al clima;</w:t>
            </w:r>
          </w:p>
        </w:tc>
      </w:tr>
    </w:tbl>
    <w:p w:rsidR="00E6655E" w:rsidRPr="00825730" w:rsidRDefault="00825730" w:rsidP="00E6655E">
      <w:pPr>
        <w:pStyle w:val="AMNumberTabs0"/>
        <w:keepNext/>
      </w:pPr>
      <w:r w:rsidRPr="00825730">
        <w:rPr>
          <w:rStyle w:val="HideTWBExt"/>
          <w:b w:val="0"/>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29</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f</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(f)</w:t>
            </w:r>
            <w:r w:rsidRPr="00825730">
              <w:tab/>
            </w:r>
            <w:r w:rsidRPr="00825730">
              <w:t>qualora lo Stato membro utilizzi ipotesi di cui alla lettera e) che differiscono da quelle della Commissione nel periodo di aggiustamento del piano strutturale nazionale di bilancio a medio termine e nel successivo periodo decennale in assenza di ulteriori</w:t>
            </w:r>
            <w:r w:rsidRPr="00825730">
              <w:t xml:space="preserve"> misure di bilancio, le debite spiegazioni e motivazioni di tali differenze, basate su solide argomentazioni economiche;</w:t>
            </w:r>
          </w:p>
        </w:tc>
        <w:tc>
          <w:tcPr>
            <w:tcW w:w="4876" w:type="dxa"/>
            <w:hideMark/>
          </w:tcPr>
          <w:p w:rsidR="00E6655E" w:rsidRPr="00825730" w:rsidRDefault="00825730" w:rsidP="003B2D98">
            <w:pPr>
              <w:pStyle w:val="Normal6"/>
              <w:rPr>
                <w:szCs w:val="24"/>
              </w:rPr>
            </w:pPr>
            <w:r w:rsidRPr="00825730">
              <w:t>(f)</w:t>
            </w:r>
            <w:r w:rsidRPr="00825730">
              <w:tab/>
              <w:t>qualora lo Stato membro utilizzi ipotesi di cui alla lettera e) che differiscono da quelle della Commissione nel periodo di aggiust</w:t>
            </w:r>
            <w:r w:rsidRPr="00825730">
              <w:t xml:space="preserve">amento del piano strutturale nazionale di bilancio a medio termine e nel successivo periodo decennale in assenza di ulteriori misure di bilancio, le debite spiegazioni e motivazioni di tali differenze, basate su solide argomentazioni economiche </w:t>
            </w:r>
            <w:r w:rsidRPr="00825730">
              <w:rPr>
                <w:b/>
                <w:bCs/>
                <w:i/>
                <w:iCs/>
              </w:rPr>
              <w:t>e sociali</w:t>
            </w:r>
            <w:r w:rsidRPr="00825730">
              <w:t>;</w:t>
            </w:r>
          </w:p>
        </w:tc>
      </w:tr>
    </w:tbl>
    <w:p w:rsidR="00E6655E" w:rsidRPr="00825730" w:rsidRDefault="00825730" w:rsidP="00E6655E">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30</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g</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(g)</w:t>
            </w:r>
            <w:r w:rsidRPr="00825730">
              <w:tab/>
            </w:r>
            <w:r w:rsidRPr="00825730">
              <w:t>un'analisi delle ripercussioni di eventuali modifiche delle principali ipotesi economiche sulla posizione di bilancio e sul debito dello Stato membro;</w:t>
            </w:r>
          </w:p>
        </w:tc>
        <w:tc>
          <w:tcPr>
            <w:tcW w:w="4876" w:type="dxa"/>
            <w:hideMark/>
          </w:tcPr>
          <w:p w:rsidR="00E6655E" w:rsidRPr="00825730" w:rsidRDefault="00825730" w:rsidP="003B2D98">
            <w:pPr>
              <w:pStyle w:val="Normal6"/>
              <w:rPr>
                <w:szCs w:val="24"/>
              </w:rPr>
            </w:pPr>
            <w:r w:rsidRPr="00825730">
              <w:t>(g)</w:t>
            </w:r>
            <w:r w:rsidRPr="00825730">
              <w:tab/>
              <w:t xml:space="preserve">un'analisi delle ripercussioni di eventuali modifiche delle principali ipotesi economiche </w:t>
            </w:r>
            <w:r w:rsidRPr="00825730">
              <w:rPr>
                <w:b/>
                <w:bCs/>
                <w:i/>
                <w:iCs/>
              </w:rPr>
              <w:t>e sociali</w:t>
            </w:r>
            <w:r w:rsidRPr="00825730">
              <w:t xml:space="preserve"> s</w:t>
            </w:r>
            <w:r w:rsidRPr="00825730">
              <w:t>ulla posizione di bilancio e sul debito dello Stato membro</w:t>
            </w:r>
            <w:r w:rsidRPr="00825730">
              <w:rPr>
                <w:b/>
                <w:bCs/>
                <w:i/>
                <w:iCs/>
              </w:rPr>
              <w:t>, come pure sul conseguimento degli obiettivi nazionali, collegati agli obiettivi principali del pilastro europeo dei diritti sociali e ai loro indicatori principali e secondari, nonché alle priorit</w:t>
            </w:r>
            <w:r w:rsidRPr="00825730">
              <w:rPr>
                <w:b/>
                <w:bCs/>
                <w:i/>
                <w:iCs/>
              </w:rPr>
              <w:t>à comuni dell'Unione</w:t>
            </w:r>
            <w:r w:rsidRPr="00825730">
              <w:t>;</w:t>
            </w:r>
          </w:p>
        </w:tc>
      </w:tr>
    </w:tbl>
    <w:p w:rsidR="00E6655E" w:rsidRPr="00825730" w:rsidRDefault="00825730" w:rsidP="00E6655E">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31</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h</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(h)</w:t>
            </w:r>
            <w:r w:rsidRPr="00825730">
              <w:tab/>
            </w:r>
            <w:r w:rsidRPr="00825730">
              <w:t>se del caso, le ragioni debitamente motivate (accompagnate da argomentazioni economiche pertinenti solide e verificabili) della deviazione dalla traiettoria tecnica proposta dalla Commissione;</w:t>
            </w:r>
          </w:p>
        </w:tc>
        <w:tc>
          <w:tcPr>
            <w:tcW w:w="4876" w:type="dxa"/>
            <w:hideMark/>
          </w:tcPr>
          <w:p w:rsidR="00E6655E" w:rsidRPr="00825730" w:rsidRDefault="00825730" w:rsidP="003B2D98">
            <w:pPr>
              <w:pStyle w:val="Normal6"/>
              <w:rPr>
                <w:szCs w:val="24"/>
              </w:rPr>
            </w:pPr>
            <w:r w:rsidRPr="00825730">
              <w:t>(h)</w:t>
            </w:r>
            <w:r w:rsidRPr="00825730">
              <w:tab/>
              <w:t xml:space="preserve">se del caso, le ragioni debitamente motivate (accompagnate </w:t>
            </w:r>
            <w:r w:rsidRPr="00825730">
              <w:t xml:space="preserve">da argomentazioni economiche </w:t>
            </w:r>
            <w:r w:rsidRPr="00825730">
              <w:rPr>
                <w:b/>
                <w:bCs/>
                <w:i/>
                <w:iCs/>
              </w:rPr>
              <w:t>e sociali</w:t>
            </w:r>
            <w:r w:rsidRPr="00825730">
              <w:t xml:space="preserve"> pertinenti solide e verificabili) della deviazione dalla traiettoria tecnica proposta dalla Commissione;</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32</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j</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(j)</w:t>
            </w:r>
            <w:r w:rsidRPr="00825730">
              <w:tab/>
              <w:t xml:space="preserve">la spesa complessiva per investimenti pubblici, come pure la spesa per le riforme e gli investimenti pubblici che riguardano </w:t>
            </w:r>
            <w:r w:rsidRPr="00825730">
              <w:rPr>
                <w:b/>
                <w:bCs/>
                <w:i/>
                <w:iCs/>
              </w:rPr>
              <w:t>le</w:t>
            </w:r>
            <w:r w:rsidRPr="00825730">
              <w:t xml:space="preserve"> priorità comuni dell'Unione di cui all'allegato VI;</w:t>
            </w:r>
          </w:p>
        </w:tc>
        <w:tc>
          <w:tcPr>
            <w:tcW w:w="4876" w:type="dxa"/>
            <w:hideMark/>
          </w:tcPr>
          <w:p w:rsidR="00E6655E" w:rsidRPr="00825730" w:rsidRDefault="00825730" w:rsidP="003B2D98">
            <w:pPr>
              <w:pStyle w:val="Normal6"/>
              <w:rPr>
                <w:szCs w:val="24"/>
              </w:rPr>
            </w:pPr>
            <w:r w:rsidRPr="00825730">
              <w:t>(j)</w:t>
            </w:r>
            <w:r w:rsidRPr="00825730">
              <w:tab/>
              <w:t xml:space="preserve">la spesa complessiva per investimenti pubblici, come pure la spesa per le riforme e gli investimenti pubblici che riguardano </w:t>
            </w:r>
            <w:r w:rsidRPr="00825730">
              <w:rPr>
                <w:b/>
                <w:bCs/>
                <w:i/>
                <w:iCs/>
              </w:rPr>
              <w:t>ciascuna delle</w:t>
            </w:r>
            <w:r w:rsidRPr="00825730">
              <w:t xml:space="preserve"> priorità comuni dell'Unione di cui all'allegato VI;</w:t>
            </w:r>
          </w:p>
        </w:tc>
      </w:tr>
    </w:tbl>
    <w:p w:rsidR="00E6655E" w:rsidRPr="00825730" w:rsidRDefault="00825730" w:rsidP="00E6655E">
      <w:pPr>
        <w:rPr>
          <w:rFonts w:eastAsiaTheme="majorEastAsia"/>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33</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k</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(k)</w:t>
            </w:r>
            <w:r w:rsidRPr="00825730">
              <w:tab/>
            </w:r>
            <w:r w:rsidRPr="00825730">
              <w:t xml:space="preserve">se del caso, informazioni su una serie specifica, temporalmente definita e verificabile di impegni di riforma e di investimento che giustificano una proroga del periodo di aggiustamento a norma dell'articolo 13, un calendario per la sua attuazione, nonché </w:t>
            </w:r>
            <w:r w:rsidRPr="00825730">
              <w:t>solide argomentazioni economiche a dimostrazione del fatto che tale serie di impegni di riforma e investimento soddisfa i criteri di cui all'articolo 13, tenendo conto dei criteri di valutazione di cui all'allegato VII;</w:t>
            </w:r>
          </w:p>
        </w:tc>
        <w:tc>
          <w:tcPr>
            <w:tcW w:w="4876" w:type="dxa"/>
            <w:hideMark/>
          </w:tcPr>
          <w:p w:rsidR="00E6655E" w:rsidRPr="00825730" w:rsidRDefault="00825730" w:rsidP="003B2D98">
            <w:pPr>
              <w:pStyle w:val="Normal6"/>
              <w:rPr>
                <w:szCs w:val="24"/>
              </w:rPr>
            </w:pPr>
            <w:r w:rsidRPr="00825730">
              <w:t>(k)</w:t>
            </w:r>
            <w:r w:rsidRPr="00825730">
              <w:tab/>
              <w:t>se del caso, informazioni su una</w:t>
            </w:r>
            <w:r w:rsidRPr="00825730">
              <w:t xml:space="preserve"> serie specifica, temporalmente definita e verificabile di impegni di riforma e di investimento che giustificano una proroga del periodo di aggiustamento a norma dell'articolo 13, un calendario per la sua attuazione, nonché solide argomentazioni economiche</w:t>
            </w:r>
            <w:r w:rsidRPr="00825730">
              <w:t xml:space="preserve"> </w:t>
            </w:r>
            <w:r w:rsidRPr="00825730">
              <w:rPr>
                <w:b/>
                <w:bCs/>
                <w:i/>
                <w:iCs/>
              </w:rPr>
              <w:t>e sociali</w:t>
            </w:r>
            <w:r w:rsidRPr="00825730">
              <w:t xml:space="preserve"> a dimostrazione del fatto che tale serie di impegni di riforma e investimento soddisfa i criteri di cui all'articolo 13, tenendo conto dei criteri di valutazione di cui all'allegato VII;</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lastRenderedPageBreak/>
        <w:t>&lt;Amend&gt;</w:t>
      </w:r>
      <w:r w:rsidRPr="00825730">
        <w:t>Emendamento</w:t>
      </w:r>
      <w:r w:rsidRPr="00825730">
        <w:tab/>
      </w:r>
      <w:r w:rsidRPr="00825730">
        <w:tab/>
      </w:r>
      <w:r w:rsidRPr="00825730">
        <w:rPr>
          <w:rStyle w:val="HideTWBExt"/>
          <w:b w:val="0"/>
          <w:color w:val="auto"/>
        </w:rPr>
        <w:t>&lt;NumAm&gt;</w:t>
      </w:r>
      <w:r w:rsidRPr="00825730">
        <w:t>34</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l</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(l)</w:t>
            </w:r>
            <w:r w:rsidRPr="00825730">
              <w:tab/>
              <w:t>una quantificazione, nei limiti del possibile, degli impatti attesi delle riforme e degli investimenti di cui alla lettera k)</w:t>
            </w:r>
            <w:r w:rsidRPr="00825730">
              <w:t xml:space="preserve"> su sostenibilità di bilancio, crescita e occupazione, se del caso, in linea con metodologie concordate;</w:t>
            </w:r>
          </w:p>
        </w:tc>
        <w:tc>
          <w:tcPr>
            <w:tcW w:w="4876" w:type="dxa"/>
            <w:hideMark/>
          </w:tcPr>
          <w:p w:rsidR="00E6655E" w:rsidRPr="00825730" w:rsidRDefault="00825730" w:rsidP="003B2D98">
            <w:pPr>
              <w:pStyle w:val="Normal6"/>
              <w:rPr>
                <w:szCs w:val="24"/>
              </w:rPr>
            </w:pPr>
            <w:r w:rsidRPr="00825730">
              <w:t>(l)</w:t>
            </w:r>
            <w:r w:rsidRPr="00825730">
              <w:tab/>
            </w:r>
            <w:r w:rsidRPr="00825730">
              <w:t xml:space="preserve">una quantificazione, nei limiti del possibile, degli impatti attesi delle riforme e degli investimenti di cui alla lettera k) su sostenibilità di bilancio, crescita e </w:t>
            </w:r>
            <w:r w:rsidRPr="00825730">
              <w:rPr>
                <w:b/>
                <w:bCs/>
                <w:i/>
                <w:iCs/>
              </w:rPr>
              <w:t>competitività sostenibili e inclusive,</w:t>
            </w:r>
            <w:r w:rsidRPr="00825730">
              <w:t xml:space="preserve"> occupazione </w:t>
            </w:r>
            <w:r w:rsidRPr="00825730">
              <w:rPr>
                <w:b/>
                <w:bCs/>
                <w:i/>
                <w:iCs/>
              </w:rPr>
              <w:t xml:space="preserve">di qualità nonché convergenza sociale </w:t>
            </w:r>
            <w:r w:rsidRPr="00825730">
              <w:rPr>
                <w:b/>
                <w:bCs/>
                <w:i/>
                <w:iCs/>
              </w:rPr>
              <w:t>verso l'alto</w:t>
            </w:r>
            <w:r w:rsidRPr="00825730">
              <w:t>, se del caso, in linea con metodologie concordate;</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35</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n bis (nuova)</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(n bis)</w:t>
            </w:r>
            <w:r w:rsidRPr="00825730">
              <w:rPr>
                <w:b/>
                <w:i/>
              </w:rPr>
              <w:tab/>
              <w:t>se del caso, riforme e investimenti volti a correggere i rischi in materia di convergenza sociale individuati nell'ambito del quadro di convergenza sociale.</w:t>
            </w:r>
          </w:p>
        </w:tc>
      </w:tr>
    </w:tbl>
    <w:p w:rsidR="00E6655E" w:rsidRPr="00825730" w:rsidRDefault="00825730" w:rsidP="00E6655E">
      <w:pPr>
        <w:rPr>
          <w:rFonts w:eastAsiaTheme="majorEastAsia"/>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36</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w:t>
      </w:r>
      <w:r w:rsidRPr="00825730">
        <w:rPr>
          <w:rStyle w:val="HideTWBExt"/>
          <w:b w:val="0"/>
          <w:color w:val="auto"/>
        </w:rPr>
        <w:t>d&gt;</w:t>
      </w:r>
    </w:p>
    <w:p w:rsidR="00E6655E" w:rsidRPr="00825730" w:rsidRDefault="00825730" w:rsidP="00E6655E">
      <w:pPr>
        <w:pStyle w:val="NormalBold"/>
      </w:pPr>
      <w:r w:rsidRPr="00825730">
        <w:rPr>
          <w:rStyle w:val="HideTWBExt"/>
          <w:b w:val="0"/>
          <w:color w:val="auto"/>
        </w:rPr>
        <w:t>&lt;Article&gt;</w:t>
      </w:r>
      <w:r w:rsidRPr="00825730">
        <w:t>Allegato II – lettera p</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(p)</w:t>
            </w:r>
            <w:r w:rsidRPr="00825730">
              <w:tab/>
              <w:t xml:space="preserve">per gli Stati membri con problemi di debito pubblico limitati ma passività implicite elevate </w:t>
            </w:r>
            <w:r w:rsidRPr="00825730">
              <w:rPr>
                <w:b/>
                <w:bCs/>
                <w:i/>
                <w:iCs/>
              </w:rPr>
              <w:t>dovute all'invecchiamento demografico</w:t>
            </w:r>
            <w:r w:rsidRPr="00825730">
              <w:t xml:space="preserve">, la traiettoria della spesa netta nazionale e le riforme previste nei piani strutturali nazionali di bilancio a medio termine dovrebbero tenere debitamente conto delle sfide in materia di sostenibilità a lungo </w:t>
            </w:r>
            <w:r w:rsidRPr="00825730">
              <w:lastRenderedPageBreak/>
              <w:t>termine delle finanze pubbliche;</w:t>
            </w:r>
          </w:p>
        </w:tc>
        <w:tc>
          <w:tcPr>
            <w:tcW w:w="4876" w:type="dxa"/>
            <w:hideMark/>
          </w:tcPr>
          <w:p w:rsidR="00E6655E" w:rsidRPr="00825730" w:rsidRDefault="00825730" w:rsidP="003B2D98">
            <w:pPr>
              <w:pStyle w:val="Normal6"/>
              <w:rPr>
                <w:szCs w:val="24"/>
              </w:rPr>
            </w:pPr>
            <w:r w:rsidRPr="00825730">
              <w:lastRenderedPageBreak/>
              <w:t>(p)</w:t>
            </w:r>
            <w:r w:rsidRPr="00825730">
              <w:tab/>
              <w:t xml:space="preserve">per gli </w:t>
            </w:r>
            <w:r w:rsidRPr="00825730">
              <w:t>Stati membri con problemi di debito pubblico limitati ma passività implicite elevate, la traiettoria della spesa netta nazionale e le riforme previste nei piani strutturali nazionali di bilancio a medio termine dovrebbero tenere debitamente conto delle sfi</w:t>
            </w:r>
            <w:r w:rsidRPr="00825730">
              <w:t>de in materia di sostenibilità a lungo termine delle finanze pubbliche</w:t>
            </w:r>
            <w:r w:rsidRPr="00825730">
              <w:rPr>
                <w:b/>
                <w:bCs/>
                <w:i/>
                <w:iCs/>
              </w:rPr>
              <w:t xml:space="preserve">, come pure dei rischi in materia di convergenza sociale rilevati nel </w:t>
            </w:r>
            <w:r w:rsidRPr="00825730">
              <w:rPr>
                <w:b/>
                <w:bCs/>
                <w:i/>
                <w:iCs/>
              </w:rPr>
              <w:lastRenderedPageBreak/>
              <w:t>monitoraggio più recente</w:t>
            </w:r>
            <w:r w:rsidRPr="00825730">
              <w:t>;</w:t>
            </w:r>
          </w:p>
        </w:tc>
      </w:tr>
    </w:tbl>
    <w:p w:rsidR="00E6655E" w:rsidRPr="00825730" w:rsidRDefault="00825730" w:rsidP="00E6655E">
      <w:pPr>
        <w:rPr>
          <w:rStyle w:val="HideTWBExt"/>
          <w:color w:val="auto"/>
        </w:rPr>
      </w:pPr>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37</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 – lettera q</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(q)</w:t>
            </w:r>
            <w:r w:rsidRPr="00825730">
              <w:tab/>
            </w:r>
            <w:r w:rsidRPr="00825730">
              <w:t>informazioni riguardanti le consultazioni delle parti sociali, delle organizzazioni della società civile e degli altri portatori di interessi pertinenti ai fini dell'elaborazione del piano.</w:t>
            </w:r>
          </w:p>
        </w:tc>
        <w:tc>
          <w:tcPr>
            <w:tcW w:w="4876" w:type="dxa"/>
            <w:hideMark/>
          </w:tcPr>
          <w:p w:rsidR="00E6655E" w:rsidRPr="00825730" w:rsidRDefault="00825730" w:rsidP="003B2D98">
            <w:pPr>
              <w:pStyle w:val="Normal6"/>
              <w:rPr>
                <w:szCs w:val="24"/>
              </w:rPr>
            </w:pPr>
            <w:r w:rsidRPr="00825730">
              <w:t>(q)</w:t>
            </w:r>
            <w:r w:rsidRPr="00825730">
              <w:tab/>
              <w:t xml:space="preserve">informazioni riguardanti le </w:t>
            </w:r>
            <w:r w:rsidRPr="00825730">
              <w:rPr>
                <w:b/>
                <w:bCs/>
                <w:i/>
                <w:iCs/>
              </w:rPr>
              <w:t>effettive</w:t>
            </w:r>
            <w:r w:rsidRPr="00825730">
              <w:t xml:space="preserve"> consultazioni delle part</w:t>
            </w:r>
            <w:r w:rsidRPr="00825730">
              <w:t>i sociali, delle organizzazioni della società civile e degli altri portatori di interessi pertinenti ai fini dell'elaborazione del piano.</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38</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 xml:space="preserve">Allegato III – </w:t>
      </w:r>
      <w:r w:rsidRPr="00825730">
        <w:t>lettera b</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(b)</w:t>
            </w:r>
            <w:r w:rsidRPr="00825730">
              <w:tab/>
            </w:r>
            <w:r w:rsidRPr="00825730">
              <w:t xml:space="preserve">un confronto, a partire dall'inizio del piano strutturale nazionale di bilancio a medio termine, tra le proiezioni relative alle principali variabili economiche presentate nel piano e i dati sui risultati riguardanti tali variabili, nonché le implicazioni </w:t>
            </w:r>
            <w:r w:rsidRPr="00825730">
              <w:t>per la conformità rispetto al percorso della spesa netta stabilito dal Consiglio e le implicazioni sul percorso previsto del rapporto debito pubblico/PIL indicato in tale piano;</w:t>
            </w:r>
          </w:p>
        </w:tc>
        <w:tc>
          <w:tcPr>
            <w:tcW w:w="4876" w:type="dxa"/>
            <w:hideMark/>
          </w:tcPr>
          <w:p w:rsidR="00E6655E" w:rsidRPr="00825730" w:rsidRDefault="00825730" w:rsidP="003B2D98">
            <w:pPr>
              <w:pStyle w:val="Normal6"/>
              <w:rPr>
                <w:szCs w:val="24"/>
              </w:rPr>
            </w:pPr>
            <w:r w:rsidRPr="00825730">
              <w:t>(b)</w:t>
            </w:r>
            <w:r w:rsidRPr="00825730">
              <w:tab/>
              <w:t>un confronto, a partire dall'inizio del piano strutturale nazionale di bil</w:t>
            </w:r>
            <w:r w:rsidRPr="00825730">
              <w:t xml:space="preserve">ancio a medio termine, tra le proiezioni relative alle principali variabili economiche </w:t>
            </w:r>
            <w:r w:rsidRPr="00825730">
              <w:rPr>
                <w:b/>
                <w:bCs/>
                <w:i/>
                <w:iCs/>
              </w:rPr>
              <w:t>e sociali</w:t>
            </w:r>
            <w:r w:rsidRPr="00825730">
              <w:t xml:space="preserve"> presentate nel piano e i dati sui risultati riguardanti tali variabili, nonché le implicazioni per la conformità rispetto al percorso della spesa netta stabili</w:t>
            </w:r>
            <w:r w:rsidRPr="00825730">
              <w:t>to dal Consiglio e le implicazioni sul percorso previsto del rapporto debito pubblico/PIL indicato in tale piano</w:t>
            </w:r>
            <w:r w:rsidRPr="00825730">
              <w:rPr>
                <w:b/>
                <w:bCs/>
                <w:i/>
                <w:iCs/>
              </w:rPr>
              <w:t>, come pure per la conformità rispetto al conseguimento degli obiettivi nazionali collegati agli obiettivi principali del pilastro europeo dei d</w:t>
            </w:r>
            <w:r w:rsidRPr="00825730">
              <w:rPr>
                <w:b/>
                <w:bCs/>
                <w:i/>
                <w:iCs/>
              </w:rPr>
              <w:t>iritti sociali</w:t>
            </w:r>
            <w:r w:rsidRPr="00825730">
              <w:t>;</w:t>
            </w:r>
          </w:p>
        </w:tc>
      </w:tr>
    </w:tbl>
    <w:p w:rsidR="00E6655E" w:rsidRPr="00825730" w:rsidRDefault="00825730" w:rsidP="00E6655E">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39</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III – lettera h</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(h)</w:t>
            </w:r>
            <w:r w:rsidRPr="00825730">
              <w:tab/>
            </w:r>
            <w:r w:rsidRPr="00825730">
              <w:t>le principali ipotesi sul previsto andamento dell'economia e sulle principali variabili economiche per gli anni successivi del periodo di aggiustamento, compreso il rapporto debito pubblico/PIL;</w:t>
            </w:r>
          </w:p>
        </w:tc>
        <w:tc>
          <w:tcPr>
            <w:tcW w:w="4876" w:type="dxa"/>
            <w:hideMark/>
          </w:tcPr>
          <w:p w:rsidR="00E6655E" w:rsidRPr="00825730" w:rsidRDefault="00825730" w:rsidP="003B2D98">
            <w:pPr>
              <w:pStyle w:val="Normal6"/>
              <w:rPr>
                <w:szCs w:val="24"/>
              </w:rPr>
            </w:pPr>
            <w:r w:rsidRPr="00825730">
              <w:t>(h)</w:t>
            </w:r>
            <w:r w:rsidRPr="00825730">
              <w:tab/>
              <w:t>le principali ipotesi sul previsto andamento dell'economi</w:t>
            </w:r>
            <w:r w:rsidRPr="00825730">
              <w:t xml:space="preserve">a </w:t>
            </w:r>
            <w:r w:rsidRPr="00825730">
              <w:rPr>
                <w:b/>
                <w:bCs/>
                <w:i/>
                <w:iCs/>
              </w:rPr>
              <w:t>e della società</w:t>
            </w:r>
            <w:r w:rsidRPr="00825730">
              <w:t xml:space="preserve"> e sulle principali variabili economiche </w:t>
            </w:r>
            <w:r w:rsidRPr="00825730">
              <w:rPr>
                <w:b/>
                <w:bCs/>
                <w:i/>
                <w:iCs/>
              </w:rPr>
              <w:t>e sociali</w:t>
            </w:r>
            <w:r w:rsidRPr="00825730">
              <w:t xml:space="preserve"> per gli anni successivi del periodo di aggiustamento, compreso il rapporto debito pubblico/PIL;</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40</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w:t>
      </w:r>
      <w:r w:rsidRPr="00825730">
        <w:rPr>
          <w:rStyle w:val="HideTWBExt"/>
          <w:b w:val="0"/>
          <w:color w:val="auto"/>
        </w:rPr>
        <w:t>&gt;</w:t>
      </w:r>
    </w:p>
    <w:p w:rsidR="00E6655E" w:rsidRPr="00825730" w:rsidRDefault="00825730" w:rsidP="00E6655E">
      <w:pPr>
        <w:pStyle w:val="NormalBold"/>
      </w:pPr>
      <w:r w:rsidRPr="00825730">
        <w:rPr>
          <w:rStyle w:val="HideTWBExt"/>
          <w:b w:val="0"/>
          <w:color w:val="auto"/>
        </w:rPr>
        <w:t>&lt;Article&gt;</w:t>
      </w:r>
      <w:r w:rsidRPr="00825730">
        <w:t>Allegato III – lettera l</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(l)</w:t>
            </w:r>
            <w:r w:rsidRPr="00825730">
              <w:tab/>
            </w:r>
            <w:r w:rsidRPr="00825730">
              <w:t>un'analisi dell'evoluzione degli squilibri macroeconomici individuati nell'ambito della procedura per gli squilibri macroeconomici e dell'incidenza su tali squilibri dell'attuazione delle riforme e degli investimenti pertinenti indicati nel piano struttura</w:t>
            </w:r>
            <w:r w:rsidRPr="00825730">
              <w:t xml:space="preserve">le nazionale di bilancio a medio termine in conformità dell'allegato II, </w:t>
            </w:r>
            <w:r w:rsidRPr="00825730">
              <w:rPr>
                <w:b/>
                <w:bCs/>
                <w:i/>
                <w:iCs/>
              </w:rPr>
              <w:t>lettera</w:t>
            </w:r>
            <w:r w:rsidRPr="00825730">
              <w:t xml:space="preserve"> n), se del caso;</w:t>
            </w:r>
          </w:p>
        </w:tc>
        <w:tc>
          <w:tcPr>
            <w:tcW w:w="4876" w:type="dxa"/>
            <w:hideMark/>
          </w:tcPr>
          <w:p w:rsidR="00E6655E" w:rsidRPr="00825730" w:rsidRDefault="00825730" w:rsidP="003B2D98">
            <w:pPr>
              <w:pStyle w:val="Normal6"/>
              <w:rPr>
                <w:szCs w:val="24"/>
              </w:rPr>
            </w:pPr>
            <w:r w:rsidRPr="00825730">
              <w:t>(l)</w:t>
            </w:r>
            <w:r w:rsidRPr="00825730">
              <w:tab/>
              <w:t>un'analisi dell'evoluzione degli squilibri macroeconomici individuati nell'ambito della procedura per gli squilibri macroeconomici</w:t>
            </w:r>
            <w:r w:rsidRPr="00825730">
              <w:rPr>
                <w:b/>
                <w:bCs/>
                <w:i/>
                <w:iCs/>
              </w:rPr>
              <w:t>, come pure dei rischi i</w:t>
            </w:r>
            <w:r w:rsidRPr="00825730">
              <w:rPr>
                <w:b/>
                <w:bCs/>
                <w:i/>
                <w:iCs/>
              </w:rPr>
              <w:t>n materia di convergenza sociale individuati nell'ambito del quadro di convergenza sociale,</w:t>
            </w:r>
            <w:r w:rsidRPr="00825730">
              <w:t xml:space="preserve"> e dell'incidenza su tali squilibri dell'attuazione delle riforme e degli investimenti pertinenti indicati nel piano strutturale nazionale di bilancio a medio termin</w:t>
            </w:r>
            <w:r w:rsidRPr="00825730">
              <w:t xml:space="preserve">e in conformità dell'allegato II, </w:t>
            </w:r>
            <w:r w:rsidRPr="00825730">
              <w:rPr>
                <w:b/>
                <w:bCs/>
                <w:i/>
                <w:iCs/>
              </w:rPr>
              <w:t>lettere</w:t>
            </w:r>
            <w:r w:rsidRPr="00825730">
              <w:t xml:space="preserve"> n) </w:t>
            </w:r>
            <w:r w:rsidRPr="00825730">
              <w:rPr>
                <w:b/>
                <w:bCs/>
                <w:i/>
                <w:iCs/>
              </w:rPr>
              <w:t>e o)</w:t>
            </w:r>
            <w:r w:rsidRPr="00825730">
              <w:t>, se del caso;</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41</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III – lettera n</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(n)</w:t>
            </w:r>
            <w:r w:rsidRPr="00825730">
              <w:tab/>
            </w:r>
            <w:r w:rsidRPr="00825730">
              <w:t xml:space="preserve">informazioni riguardanti l'evoluzione del mercato del lavoro, delle competenze e delle politiche sociali e l'attuazione di misure prese per promuovere una convergenza sociale tra gli Stati membri tesa al miglioramento delle condizioni di lavoro e di vita, </w:t>
            </w:r>
            <w:r w:rsidRPr="00825730">
              <w:t xml:space="preserve">in linea con i principi del pilastro europeo dei diritti sociali e con gli orientamenti in materia di </w:t>
            </w:r>
            <w:r w:rsidRPr="00825730">
              <w:lastRenderedPageBreak/>
              <w:t>occupazione a norma dell'articolo 148 TFUE. È compreso l'impatto atteso delle misure per quanto riguarda i progressi compiuti nel conseguimento degli obie</w:t>
            </w:r>
            <w:r w:rsidRPr="00825730">
              <w:t>ttivi nazionali in materia di lavoro, di competenze e di riduzione della povertà entro il 2030;</w:t>
            </w:r>
          </w:p>
        </w:tc>
        <w:tc>
          <w:tcPr>
            <w:tcW w:w="4876" w:type="dxa"/>
            <w:hideMark/>
          </w:tcPr>
          <w:p w:rsidR="00E6655E" w:rsidRPr="00825730" w:rsidRDefault="00825730" w:rsidP="003B2D98">
            <w:pPr>
              <w:pStyle w:val="Normal6"/>
              <w:rPr>
                <w:szCs w:val="24"/>
              </w:rPr>
            </w:pPr>
            <w:r w:rsidRPr="00825730">
              <w:lastRenderedPageBreak/>
              <w:t>(n)</w:t>
            </w:r>
            <w:r w:rsidRPr="00825730">
              <w:tab/>
              <w:t>informazioni riguardanti l'evoluzione del mercato del lavoro, delle competenze e delle politiche sociali e l'attuazione di misure prese per promuovere una c</w:t>
            </w:r>
            <w:r w:rsidRPr="00825730">
              <w:t xml:space="preserve">onvergenza sociale tra gli Stati membri tesa al miglioramento delle condizioni di lavoro e di vita, in linea con i principi del pilastro europeo dei diritti sociali e con gli orientamenti in materia di </w:t>
            </w:r>
            <w:r w:rsidRPr="00825730">
              <w:lastRenderedPageBreak/>
              <w:t xml:space="preserve">occupazione a norma dell'articolo 148 TFUE </w:t>
            </w:r>
            <w:r w:rsidRPr="00825730">
              <w:rPr>
                <w:b/>
                <w:bCs/>
                <w:i/>
                <w:iCs/>
              </w:rPr>
              <w:t>e con il qu</w:t>
            </w:r>
            <w:r w:rsidRPr="00825730">
              <w:rPr>
                <w:b/>
                <w:bCs/>
                <w:i/>
                <w:iCs/>
              </w:rPr>
              <w:t>adro di convergenza sociale</w:t>
            </w:r>
            <w:r w:rsidRPr="00825730">
              <w:t xml:space="preserve">. È compreso l'impatto atteso delle misure per quanto riguarda i progressi compiuti nel conseguimento degli obiettivi nazionali in materia di lavoro, di competenze e di riduzione della povertà entro il 2030 </w:t>
            </w:r>
            <w:r w:rsidRPr="00825730">
              <w:rPr>
                <w:b/>
                <w:bCs/>
                <w:i/>
                <w:iCs/>
              </w:rPr>
              <w:t>e, se del caso, l'impa</w:t>
            </w:r>
            <w:r w:rsidRPr="00825730">
              <w:rPr>
                <w:b/>
                <w:bCs/>
                <w:i/>
                <w:iCs/>
              </w:rPr>
              <w:t>tto atteso delle misure per correggere i rischi in materia di convergenza sociale individuati nell'ambito del quadro di convergenza sociale</w:t>
            </w:r>
            <w:r w:rsidRPr="00825730">
              <w:t>;</w:t>
            </w:r>
          </w:p>
        </w:tc>
      </w:tr>
    </w:tbl>
    <w:p w:rsidR="00E6655E" w:rsidRPr="00825730" w:rsidRDefault="00825730" w:rsidP="00E6655E">
      <w:r w:rsidRPr="00825730">
        <w:rPr>
          <w:rStyle w:val="HideTWBExt"/>
          <w:color w:val="auto"/>
        </w:rPr>
        <w:lastRenderedPageBreak/>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42</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III – lettera o bis (nuova)</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(o bis)</w:t>
            </w:r>
            <w:r w:rsidRPr="00825730">
              <w:tab/>
            </w:r>
            <w:r w:rsidRPr="00825730">
              <w:rPr>
                <w:b/>
                <w:bCs/>
                <w:i/>
                <w:iCs/>
              </w:rPr>
              <w:t>informazioni riguardanti le consultazioni delle parti sociali, delle organizzazioni della società civile e di altri portatori di interessi pertinenti ai fini del</w:t>
            </w:r>
            <w:r w:rsidRPr="00825730">
              <w:rPr>
                <w:b/>
                <w:bCs/>
                <w:i/>
                <w:iCs/>
              </w:rPr>
              <w:t>l'elaborazione della relazione.</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43</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VII – paragrafo 2 –punto 2.1 – parte introduttiva</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2.1</w:t>
            </w:r>
            <w:r w:rsidRPr="00825730">
              <w:tab/>
            </w:r>
            <w:r w:rsidRPr="00825730">
              <w:t>La serie di impegni di riforma e di investimento è di stimolo alla crescita</w:t>
            </w:r>
          </w:p>
        </w:tc>
        <w:tc>
          <w:tcPr>
            <w:tcW w:w="4876" w:type="dxa"/>
            <w:hideMark/>
          </w:tcPr>
          <w:p w:rsidR="00E6655E" w:rsidRPr="00825730" w:rsidRDefault="00825730" w:rsidP="003B2D98">
            <w:pPr>
              <w:pStyle w:val="Normal6"/>
              <w:rPr>
                <w:szCs w:val="24"/>
              </w:rPr>
            </w:pPr>
            <w:r w:rsidRPr="00825730">
              <w:t>2.1</w:t>
            </w:r>
            <w:r w:rsidRPr="00825730">
              <w:tab/>
              <w:t xml:space="preserve">La serie di impegni di riforma e di investimento è di stimolo alla crescita </w:t>
            </w:r>
            <w:r w:rsidRPr="00825730">
              <w:rPr>
                <w:b/>
                <w:bCs/>
                <w:i/>
                <w:iCs/>
              </w:rPr>
              <w:t>sostenibile</w:t>
            </w:r>
            <w:r w:rsidRPr="00825730">
              <w:rPr>
                <w:b/>
                <w:bCs/>
              </w:rPr>
              <w:t>.</w:t>
            </w:r>
            <w:r w:rsidRPr="00825730">
              <w:t xml:space="preserve"> </w:t>
            </w:r>
            <w:r w:rsidRPr="00825730">
              <w:rPr>
                <w:b/>
                <w:i/>
              </w:rPr>
              <w:t xml:space="preserve">Si prevede che la serie di impegni di riforma e di investimento comporterà sufficienti </w:t>
            </w:r>
            <w:r w:rsidRPr="00825730">
              <w:rPr>
                <w:b/>
                <w:i/>
              </w:rPr>
              <w:t>progressi verso il conseguimento degli obiettivi nazionali, collegati agli obiettivi principali del pilastro europeo dei diritti sociali e ai loro indicatori principali e secondari</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44</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lastRenderedPageBreak/>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VII – paragrafo 2 – punto 2.2 bis (nuovo)</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tcPr>
          <w:p w:rsidR="00E6655E" w:rsidRPr="00825730" w:rsidRDefault="00E6655E" w:rsidP="003B2D98">
            <w:pPr>
              <w:pStyle w:val="Normal6"/>
              <w:rPr>
                <w:lang w:val="en-GB"/>
              </w:rPr>
            </w:pPr>
          </w:p>
        </w:tc>
        <w:tc>
          <w:tcPr>
            <w:tcW w:w="4876" w:type="dxa"/>
            <w:hideMark/>
          </w:tcPr>
          <w:p w:rsidR="00E6655E" w:rsidRPr="00825730" w:rsidRDefault="00825730" w:rsidP="003B2D98">
            <w:pPr>
              <w:pStyle w:val="Normal6"/>
              <w:rPr>
                <w:szCs w:val="24"/>
              </w:rPr>
            </w:pPr>
            <w:r w:rsidRPr="00825730">
              <w:rPr>
                <w:b/>
                <w:i/>
              </w:rPr>
              <w:t>2.2 bis</w:t>
            </w:r>
            <w:r w:rsidRPr="00825730">
              <w:rPr>
                <w:b/>
                <w:i/>
              </w:rPr>
              <w:tab/>
              <w:t>La serie di impegni di riforma e di investimento favorisce la convergenza sociale verso l'alto</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45</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VII – paragrafo 2 –punto 2.4 – parte introduttiva</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2.4</w:t>
            </w:r>
            <w:r w:rsidRPr="00825730">
              <w:tab/>
            </w:r>
            <w:r w:rsidRPr="00825730">
              <w:t>La serie di impegni di riforma e di investimento, nell'insieme, dà seguito alle raccomandazioni specifiche per paese pertinenti, comprese, se del caso, le raccomandazioni formulate nell'ambito della procedura per gli squilibri macroeconomici</w:t>
            </w:r>
          </w:p>
        </w:tc>
        <w:tc>
          <w:tcPr>
            <w:tcW w:w="4876" w:type="dxa"/>
            <w:hideMark/>
          </w:tcPr>
          <w:p w:rsidR="00E6655E" w:rsidRPr="00825730" w:rsidRDefault="00825730" w:rsidP="003B2D98">
            <w:pPr>
              <w:pStyle w:val="Normal6"/>
              <w:rPr>
                <w:szCs w:val="24"/>
              </w:rPr>
            </w:pPr>
            <w:r w:rsidRPr="00825730">
              <w:t>2.4</w:t>
            </w:r>
            <w:r w:rsidRPr="00825730">
              <w:tab/>
              <w:t>La serie d</w:t>
            </w:r>
            <w:r w:rsidRPr="00825730">
              <w:t xml:space="preserve">i impegni di riforma e di investimento, nell'insieme, dà seguito alle raccomandazioni specifiche per paese pertinenti </w:t>
            </w:r>
            <w:r w:rsidRPr="00825730">
              <w:rPr>
                <w:b/>
                <w:bCs/>
                <w:i/>
                <w:iCs/>
              </w:rPr>
              <w:t>di cui all'articolo 121, paragrafo 4, e all'articolo 148, paragrafo 4, TFUE</w:t>
            </w:r>
            <w:r w:rsidRPr="00825730">
              <w:t>, comprese, se del caso, le raccomandazioni formulate nell'ambi</w:t>
            </w:r>
            <w:r w:rsidRPr="00825730">
              <w:t>to della procedura per gli squilibri macroeconomici</w:t>
            </w:r>
          </w:p>
        </w:tc>
      </w:tr>
    </w:tbl>
    <w:p w:rsidR="00E6655E" w:rsidRPr="00825730" w:rsidRDefault="00825730" w:rsidP="00E6655E">
      <w:pPr>
        <w:rPr>
          <w:rStyle w:val="HideTWBExt"/>
          <w:color w:val="auto"/>
        </w:rPr>
      </w:pPr>
      <w:r w:rsidRPr="00825730">
        <w:rPr>
          <w:rStyle w:val="HideTWBExt"/>
          <w:color w:val="auto"/>
        </w:rPr>
        <w:t>&lt;/Amend&gt;</w:t>
      </w:r>
    </w:p>
    <w:p w:rsidR="00E6655E" w:rsidRPr="00825730" w:rsidRDefault="00E6655E" w:rsidP="00E6655E">
      <w:pPr>
        <w:rPr>
          <w:rStyle w:val="HideTWBExt"/>
          <w:color w:val="auto"/>
        </w:rPr>
      </w:pPr>
    </w:p>
    <w:p w:rsidR="00E6655E" w:rsidRPr="00825730" w:rsidRDefault="00825730" w:rsidP="00E6655E">
      <w:pPr>
        <w:pStyle w:val="AmNumberTabs"/>
      </w:pPr>
      <w:r w:rsidRPr="00825730">
        <w:rPr>
          <w:rStyle w:val="HideTWBExt"/>
          <w:b w:val="0"/>
          <w:color w:val="auto"/>
        </w:rPr>
        <w:t>&lt;Amend&gt;</w:t>
      </w:r>
      <w:r w:rsidRPr="00825730">
        <w:t>Emendamento</w:t>
      </w:r>
      <w:r w:rsidRPr="00825730">
        <w:tab/>
      </w:r>
      <w:r w:rsidRPr="00825730">
        <w:tab/>
      </w:r>
      <w:r w:rsidRPr="00825730">
        <w:rPr>
          <w:rStyle w:val="HideTWBExt"/>
          <w:b w:val="0"/>
          <w:color w:val="auto"/>
        </w:rPr>
        <w:t>&lt;NumAm&gt;</w:t>
      </w:r>
      <w:r w:rsidRPr="00825730">
        <w:t>46</w:t>
      </w:r>
      <w:r w:rsidRPr="00825730">
        <w:rPr>
          <w:rStyle w:val="HideTWBExt"/>
          <w:b w:val="0"/>
          <w:color w:val="auto"/>
        </w:rPr>
        <w:t>&lt;/NumAm&gt;</w:t>
      </w:r>
    </w:p>
    <w:p w:rsidR="00E6655E" w:rsidRPr="00825730" w:rsidRDefault="00E6655E" w:rsidP="00E6655E"/>
    <w:p w:rsidR="00E6655E" w:rsidRPr="00825730" w:rsidRDefault="00825730" w:rsidP="00E6655E">
      <w:pPr>
        <w:pStyle w:val="NormalBold"/>
        <w:keepNext/>
      </w:pPr>
      <w:r w:rsidRPr="00825730">
        <w:rPr>
          <w:rStyle w:val="HideTWBExt"/>
          <w:b w:val="0"/>
          <w:color w:val="auto"/>
        </w:rPr>
        <w:t>&lt;DocAmend&gt;</w:t>
      </w:r>
      <w:r w:rsidRPr="00825730">
        <w:t>Proposta di regolamento</w:t>
      </w:r>
      <w:r w:rsidRPr="00825730">
        <w:rPr>
          <w:rStyle w:val="HideTWBExt"/>
          <w:b w:val="0"/>
          <w:color w:val="auto"/>
        </w:rPr>
        <w:t>&lt;/DocAmend&gt;</w:t>
      </w:r>
    </w:p>
    <w:p w:rsidR="00E6655E" w:rsidRPr="00825730" w:rsidRDefault="00825730" w:rsidP="00E6655E">
      <w:pPr>
        <w:pStyle w:val="NormalBold"/>
      </w:pPr>
      <w:r w:rsidRPr="00825730">
        <w:rPr>
          <w:rStyle w:val="HideTWBExt"/>
          <w:b w:val="0"/>
          <w:color w:val="auto"/>
        </w:rPr>
        <w:t>&lt;Article&gt;</w:t>
      </w:r>
      <w:r w:rsidRPr="00825730">
        <w:t>Allegato VII – paragrafo 2 –punto 2.4 – trattino 1</w:t>
      </w:r>
      <w:r w:rsidRPr="008257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5730" w:rsidRPr="00825730" w:rsidTr="003B2D98">
        <w:trPr>
          <w:jc w:val="center"/>
        </w:trPr>
        <w:tc>
          <w:tcPr>
            <w:tcW w:w="9752" w:type="dxa"/>
            <w:gridSpan w:val="2"/>
          </w:tcPr>
          <w:p w:rsidR="00E6655E" w:rsidRPr="00825730" w:rsidRDefault="00E6655E" w:rsidP="003B2D98">
            <w:pPr>
              <w:keepNext/>
            </w:pPr>
          </w:p>
        </w:tc>
      </w:tr>
      <w:tr w:rsidR="00825730" w:rsidRPr="00825730" w:rsidTr="003B2D98">
        <w:trPr>
          <w:jc w:val="center"/>
        </w:trPr>
        <w:tc>
          <w:tcPr>
            <w:tcW w:w="4876" w:type="dxa"/>
            <w:hideMark/>
          </w:tcPr>
          <w:p w:rsidR="00E6655E" w:rsidRPr="00825730" w:rsidRDefault="00825730" w:rsidP="003B2D98">
            <w:pPr>
              <w:pStyle w:val="ColumnHeading"/>
              <w:keepNext/>
            </w:pPr>
            <w:r w:rsidRPr="00825730">
              <w:t>Testo della Commissione</w:t>
            </w:r>
          </w:p>
        </w:tc>
        <w:tc>
          <w:tcPr>
            <w:tcW w:w="4876" w:type="dxa"/>
            <w:hideMark/>
          </w:tcPr>
          <w:p w:rsidR="00E6655E" w:rsidRPr="00825730" w:rsidRDefault="00825730" w:rsidP="003B2D98">
            <w:pPr>
              <w:pStyle w:val="ColumnHeading"/>
              <w:keepNext/>
            </w:pPr>
            <w:r w:rsidRPr="00825730">
              <w:t>Emendamento</w:t>
            </w:r>
          </w:p>
        </w:tc>
      </w:tr>
      <w:tr w:rsidR="00825730" w:rsidRPr="00825730" w:rsidTr="003B2D98">
        <w:trPr>
          <w:jc w:val="center"/>
        </w:trPr>
        <w:tc>
          <w:tcPr>
            <w:tcW w:w="4876" w:type="dxa"/>
            <w:hideMark/>
          </w:tcPr>
          <w:p w:rsidR="00E6655E" w:rsidRPr="00825730" w:rsidRDefault="00825730" w:rsidP="003B2D98">
            <w:pPr>
              <w:pStyle w:val="Normal6"/>
            </w:pPr>
            <w:r w:rsidRPr="00825730">
              <w:t>–</w:t>
            </w:r>
            <w:r w:rsidRPr="00825730">
              <w:tab/>
              <w:t>Si prevede che la serie di impegni di riforma e di investimento pertinenti che giustifica la proroga del periodo di aggiustamento affronti nell'insieme i problemi individuati nelle raccomandazioni specifiche per paese pertinenti, comprese ove opportuno l</w:t>
            </w:r>
            <w:r w:rsidRPr="00825730">
              <w:t xml:space="preserve">e raccomandazioni formulate nell'ambito della procedura per gli squilibri macroeconomici, tenendo conto delle dimensioni e della portata dei problemi specifici per paese e degli impegni nel quadro dei piani per la ripresa </w:t>
            </w:r>
            <w:r w:rsidRPr="00825730">
              <w:lastRenderedPageBreak/>
              <w:t>e la resilienza, se del caso.</w:t>
            </w:r>
          </w:p>
        </w:tc>
        <w:tc>
          <w:tcPr>
            <w:tcW w:w="4876" w:type="dxa"/>
            <w:hideMark/>
          </w:tcPr>
          <w:p w:rsidR="00E6655E" w:rsidRPr="00825730" w:rsidRDefault="00825730" w:rsidP="003B2D98">
            <w:pPr>
              <w:pStyle w:val="Normal6"/>
              <w:rPr>
                <w:szCs w:val="24"/>
              </w:rPr>
            </w:pPr>
            <w:r w:rsidRPr="00825730">
              <w:lastRenderedPageBreak/>
              <w:t>–</w:t>
            </w:r>
            <w:r w:rsidRPr="00825730">
              <w:tab/>
              <w:t>Si</w:t>
            </w:r>
            <w:r w:rsidRPr="00825730">
              <w:t xml:space="preserve"> prevede che la serie di impegni di riforma e di investimento pertinenti che giustifica la proroga del periodo di aggiustamento affronti nell'insieme i problemi individuati nelle raccomandazioni specifiche per paese pertinenti, comprese ove opportuno le ra</w:t>
            </w:r>
            <w:r w:rsidRPr="00825730">
              <w:t xml:space="preserve">ccomandazioni formulate nell'ambito della procedura per gli squilibri macroeconomici </w:t>
            </w:r>
            <w:r w:rsidRPr="00825730">
              <w:rPr>
                <w:b/>
                <w:bCs/>
                <w:i/>
                <w:iCs/>
              </w:rPr>
              <w:t>nonché le raccomandazioni formulate conformemente all'articolo 148, paragrafo 4, TFUE</w:t>
            </w:r>
            <w:r w:rsidRPr="00825730">
              <w:t xml:space="preserve">, tenendo conto delle </w:t>
            </w:r>
            <w:r w:rsidRPr="00825730">
              <w:lastRenderedPageBreak/>
              <w:t>dimensioni e della portata dei problemi specifici per paese e de</w:t>
            </w:r>
            <w:r w:rsidRPr="00825730">
              <w:t>gli impegni nel quadro dei piani per la ripresa e la resilienza, se del caso.</w:t>
            </w:r>
          </w:p>
        </w:tc>
      </w:tr>
    </w:tbl>
    <w:p w:rsidR="00E6655E" w:rsidRPr="00825730" w:rsidRDefault="00825730" w:rsidP="00E6655E">
      <w:pPr>
        <w:rPr>
          <w:rStyle w:val="HideTWBExt"/>
          <w:color w:val="auto"/>
        </w:rPr>
      </w:pPr>
      <w:r w:rsidRPr="00825730">
        <w:rPr>
          <w:rStyle w:val="HideTWBExt"/>
          <w:color w:val="auto"/>
        </w:rPr>
        <w:lastRenderedPageBreak/>
        <w:t>&lt;/Amend&gt;</w:t>
      </w:r>
    </w:p>
    <w:p w:rsidR="00654F07" w:rsidRPr="00825730" w:rsidRDefault="00825730" w:rsidP="00E6655E">
      <w:r w:rsidRPr="00825730">
        <w:rPr>
          <w:rStyle w:val="HideTWBExt"/>
          <w:color w:val="auto"/>
        </w:rPr>
        <w:t>&lt;/RepeatBlock-Amend&gt;</w:t>
      </w:r>
    </w:p>
    <w:p w:rsidR="00654F07" w:rsidRPr="00825730" w:rsidRDefault="00654F07" w:rsidP="00654F07">
      <w:pPr>
        <w:pStyle w:val="Normal12a"/>
      </w:pPr>
    </w:p>
    <w:p w:rsidR="006B423D" w:rsidRPr="00825730" w:rsidRDefault="00825730" w:rsidP="006B423D">
      <w:r w:rsidRPr="00825730">
        <w:br w:type="page"/>
      </w:r>
    </w:p>
    <w:p w:rsidR="006B423D" w:rsidRPr="00825730" w:rsidRDefault="00825730" w:rsidP="006B423D">
      <w:pPr>
        <w:pStyle w:val="PageHeadingNotTOC"/>
      </w:pPr>
      <w:bookmarkStart w:id="1" w:name="ProcPageAD"/>
      <w:r w:rsidRPr="00825730">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Efficace coordinamento delle politiche economiche e sorveglianza multilaterale di bilancio e abrogazione del regolamento (CE) n. 1466/97 del Consiglio</w:t>
            </w:r>
          </w:p>
        </w:tc>
      </w:tr>
      <w:tr w:rsidR="00825730" w:rsidRPr="0082573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COM(2023)0240 – C9-0150/2023 – 2023/0138(COD)</w:t>
            </w:r>
          </w:p>
        </w:tc>
      </w:tr>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Commissione competente per il merito</w:t>
            </w:r>
          </w:p>
          <w:p w:rsidR="006B423D" w:rsidRPr="00825730" w:rsidRDefault="00825730">
            <w:pPr>
              <w:autoSpaceDE w:val="0"/>
              <w:autoSpaceDN w:val="0"/>
              <w:adjustRightInd w:val="0"/>
              <w:rPr>
                <w:sz w:val="20"/>
                <w:szCs w:val="20"/>
              </w:rPr>
            </w:pPr>
            <w:r w:rsidRPr="00825730">
              <w:rPr>
                <w:sz w:val="20"/>
              </w:rPr>
              <w:t>       </w:t>
            </w:r>
            <w:r w:rsidRPr="00825730">
              <w:rPr>
                <w:sz w:val="20"/>
              </w:rPr>
              <w:t>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ECON</w:t>
            </w:r>
          </w:p>
          <w:p w:rsidR="006B423D" w:rsidRPr="00825730" w:rsidRDefault="00825730">
            <w:pPr>
              <w:autoSpaceDE w:val="0"/>
              <w:autoSpaceDN w:val="0"/>
              <w:adjustRightInd w:val="0"/>
              <w:rPr>
                <w:sz w:val="20"/>
                <w:szCs w:val="20"/>
              </w:rPr>
            </w:pPr>
            <w:r w:rsidRPr="00825730">
              <w:rPr>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r>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Parere espresso da</w:t>
            </w:r>
          </w:p>
          <w:p w:rsidR="006B423D" w:rsidRPr="00825730" w:rsidRDefault="00825730">
            <w:pPr>
              <w:autoSpaceDE w:val="0"/>
              <w:autoSpaceDN w:val="0"/>
              <w:adjustRightInd w:val="0"/>
              <w:rPr>
                <w:sz w:val="20"/>
                <w:szCs w:val="20"/>
              </w:rPr>
            </w:pPr>
            <w:r w:rsidRPr="00825730">
              <w:rPr>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EMPL</w:t>
            </w:r>
          </w:p>
          <w:p w:rsidR="006B423D" w:rsidRPr="00825730" w:rsidRDefault="00825730">
            <w:pPr>
              <w:autoSpaceDE w:val="0"/>
              <w:autoSpaceDN w:val="0"/>
              <w:adjustRightInd w:val="0"/>
              <w:rPr>
                <w:sz w:val="20"/>
                <w:szCs w:val="20"/>
              </w:rPr>
            </w:pPr>
            <w:r w:rsidRPr="00825730">
              <w:rPr>
                <w:sz w:val="20"/>
              </w:rPr>
              <w:t>12.6.2023</w:t>
            </w:r>
          </w:p>
        </w:tc>
      </w:tr>
      <w:tr w:rsidR="00825730" w:rsidRPr="0082573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14.9.2023</w:t>
            </w:r>
          </w:p>
        </w:tc>
      </w:tr>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Relatore(trice</w:t>
            </w:r>
            <w:bookmarkStart w:id="2" w:name="_GoBack"/>
            <w:bookmarkEnd w:id="2"/>
            <w:r w:rsidRPr="00825730">
              <w:rPr>
                <w:b/>
                <w:sz w:val="20"/>
              </w:rPr>
              <w:t>) per parere</w:t>
            </w:r>
          </w:p>
          <w:p w:rsidR="006B423D" w:rsidRPr="00825730" w:rsidRDefault="00825730">
            <w:pPr>
              <w:autoSpaceDE w:val="0"/>
              <w:autoSpaceDN w:val="0"/>
              <w:adjustRightInd w:val="0"/>
              <w:rPr>
                <w:sz w:val="20"/>
                <w:szCs w:val="20"/>
              </w:rPr>
            </w:pPr>
            <w:r w:rsidRPr="00825730">
              <w:rPr>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Gabriele Bischoff</w:t>
            </w:r>
          </w:p>
          <w:p w:rsidR="006B423D" w:rsidRPr="00825730" w:rsidRDefault="00825730">
            <w:pPr>
              <w:autoSpaceDE w:val="0"/>
              <w:autoSpaceDN w:val="0"/>
              <w:adjustRightInd w:val="0"/>
              <w:rPr>
                <w:sz w:val="20"/>
                <w:szCs w:val="20"/>
              </w:rPr>
            </w:pPr>
            <w:r w:rsidRPr="00825730">
              <w:rPr>
                <w:sz w:val="20"/>
              </w:rPr>
              <w:t>29.6.2023</w:t>
            </w:r>
          </w:p>
        </w:tc>
      </w:tr>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r>
      <w:tr w:rsidR="00825730" w:rsidRPr="0082573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B423D" w:rsidRPr="00825730" w:rsidRDefault="006B423D">
            <w:pPr>
              <w:autoSpaceDE w:val="0"/>
              <w:autoSpaceDN w:val="0"/>
              <w:adjustRightInd w:val="0"/>
              <w:rPr>
                <w:rFonts w:ascii="sans-serif" w:hAnsi="sans-serif" w:cs="sans-serif"/>
              </w:rPr>
            </w:pPr>
          </w:p>
        </w:tc>
      </w:tr>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w:t>
            </w:r>
          </w:p>
          <w:p w:rsidR="006B423D" w:rsidRPr="00825730" w:rsidRDefault="00825730">
            <w:pPr>
              <w:autoSpaceDE w:val="0"/>
              <w:autoSpaceDN w:val="0"/>
              <w:adjustRightInd w:val="0"/>
              <w:rPr>
                <w:sz w:val="20"/>
                <w:szCs w:val="20"/>
              </w:rPr>
            </w:pPr>
            <w:r w:rsidRPr="00825730">
              <w:rPr>
                <w:sz w:val="20"/>
              </w:rPr>
              <w:t>–:</w:t>
            </w:r>
          </w:p>
          <w:p w:rsidR="006B423D" w:rsidRPr="00825730" w:rsidRDefault="00825730">
            <w:pPr>
              <w:autoSpaceDE w:val="0"/>
              <w:autoSpaceDN w:val="0"/>
              <w:adjustRightInd w:val="0"/>
              <w:rPr>
                <w:sz w:val="20"/>
                <w:szCs w:val="20"/>
              </w:rPr>
            </w:pPr>
            <w:r w:rsidRPr="00825730">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29</w:t>
            </w:r>
          </w:p>
          <w:p w:rsidR="006B423D" w:rsidRPr="00825730" w:rsidRDefault="00825730">
            <w:pPr>
              <w:autoSpaceDE w:val="0"/>
              <w:autoSpaceDN w:val="0"/>
              <w:adjustRightInd w:val="0"/>
              <w:rPr>
                <w:sz w:val="20"/>
                <w:szCs w:val="20"/>
              </w:rPr>
            </w:pPr>
            <w:r w:rsidRPr="00825730">
              <w:rPr>
                <w:sz w:val="20"/>
              </w:rPr>
              <w:t>4</w:t>
            </w:r>
          </w:p>
          <w:p w:rsidR="006B423D" w:rsidRPr="00825730" w:rsidRDefault="00825730">
            <w:pPr>
              <w:autoSpaceDE w:val="0"/>
              <w:autoSpaceDN w:val="0"/>
              <w:adjustRightInd w:val="0"/>
              <w:rPr>
                <w:sz w:val="20"/>
                <w:szCs w:val="20"/>
              </w:rPr>
            </w:pPr>
            <w:r w:rsidRPr="00825730">
              <w:rPr>
                <w:sz w:val="20"/>
              </w:rPr>
              <w:t>10</w:t>
            </w:r>
          </w:p>
        </w:tc>
      </w:tr>
      <w:tr w:rsidR="00825730" w:rsidRPr="0082573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João Albuquerque, Marc Angel, Dominique Bilde, Gabriele Bischoff, Milan Brglez, Jordi Cañas, David Casa, Ilan De Basso, Margarita de la Pisa Carrión, Özlem Demirel, Klára Dobrev, Jarosław Duda, Estrella Durá Ferrandis, Lucia Ďuriš Nicholsonová, Loucas Four</w:t>
            </w:r>
            <w:r w:rsidRPr="00825730">
              <w:rPr>
                <w:sz w:val="20"/>
              </w:rPr>
              <w:t>las, Cindy Franssen, Chiara Gemma, Helmut Geuking, Elisabetta Gualmini, Alicia Homs Ginel, Agnes Jongerius, Stelios Kympouropoulos, Katrin Langensiepen, Miriam Lexmann, Elena Lizzi, Sara Matthieu, Max Orville, Kira Marie Peter-Hansen, Dragoş Pîslaru, Elżbi</w:t>
            </w:r>
            <w:r w:rsidRPr="00825730">
              <w:rPr>
                <w:sz w:val="20"/>
              </w:rPr>
              <w:t>eta Rafalska, Daniela Rondinelli, Pirkko Ruohonen-Lerner, Monica Semedo, Romana Tomc, Nikolaj Villumsen, Marianne Vind, Maria Walsh, Tomáš Zdechovský</w:t>
            </w:r>
          </w:p>
        </w:tc>
      </w:tr>
      <w:tr w:rsidR="00825730" w:rsidRPr="0082573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Alexander Alexandrov Yordanov, Aurore Lalucq, Eugenia Rodríguez Palop</w:t>
            </w:r>
          </w:p>
        </w:tc>
      </w:tr>
      <w:tr w:rsidR="00825730" w:rsidRPr="0082573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b/>
                <w:bCs/>
                <w:sz w:val="20"/>
                <w:szCs w:val="20"/>
              </w:rPr>
            </w:pPr>
            <w:r w:rsidRPr="00825730">
              <w:rPr>
                <w:b/>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B423D" w:rsidRPr="00825730" w:rsidRDefault="00825730">
            <w:pPr>
              <w:autoSpaceDE w:val="0"/>
              <w:autoSpaceDN w:val="0"/>
              <w:adjustRightInd w:val="0"/>
              <w:rPr>
                <w:sz w:val="20"/>
                <w:szCs w:val="20"/>
              </w:rPr>
            </w:pPr>
            <w:r w:rsidRPr="00825730">
              <w:rPr>
                <w:sz w:val="20"/>
              </w:rPr>
              <w:t>Sirpa Pietikäinen, Caroline Roose</w:t>
            </w:r>
          </w:p>
        </w:tc>
      </w:tr>
    </w:tbl>
    <w:p w:rsidR="006B423D" w:rsidRPr="00825730" w:rsidRDefault="006B423D" w:rsidP="00E6655E"/>
    <w:bookmarkEnd w:id="1"/>
    <w:p w:rsidR="00E6655E" w:rsidRPr="00825730" w:rsidRDefault="00E6655E" w:rsidP="00E6655E">
      <w:pPr>
        <w:sectPr w:rsidR="00E6655E" w:rsidRPr="00825730" w:rsidSect="00E6655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6655E" w:rsidRPr="00825730" w:rsidRDefault="00825730" w:rsidP="00C36610">
      <w:pPr>
        <w:pStyle w:val="PageHeadingNotTOC"/>
      </w:pPr>
      <w:bookmarkStart w:id="3" w:name="RollCallPageAD"/>
      <w:r w:rsidRPr="00825730">
        <w:lastRenderedPageBreak/>
        <w:t>VOTAZIONE FINALE PER APPELLO NOMINALE</w:t>
      </w:r>
      <w:r w:rsidRPr="00825730">
        <w:br/>
      </w:r>
      <w:r w:rsidRPr="00825730">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25730" w:rsidRPr="00825730" w:rsidTr="003B2D98">
        <w:trPr>
          <w:cantSplit/>
        </w:trPr>
        <w:tc>
          <w:tcPr>
            <w:tcW w:w="1701" w:type="dxa"/>
            <w:shd w:val="pct10" w:color="000000" w:fill="FFFFFF"/>
            <w:vAlign w:val="center"/>
          </w:tcPr>
          <w:p w:rsidR="00E6655E" w:rsidRPr="00825730" w:rsidRDefault="00825730" w:rsidP="003B2D98">
            <w:pPr>
              <w:pStyle w:val="RollCallVotes"/>
            </w:pPr>
            <w:r w:rsidRPr="00825730">
              <w:t>29</w:t>
            </w:r>
          </w:p>
        </w:tc>
        <w:tc>
          <w:tcPr>
            <w:tcW w:w="7371" w:type="dxa"/>
            <w:shd w:val="pct10" w:color="000000" w:fill="FFFFFF"/>
          </w:tcPr>
          <w:p w:rsidR="00E6655E" w:rsidRPr="00825730" w:rsidRDefault="00825730" w:rsidP="003B2D98">
            <w:pPr>
              <w:pStyle w:val="RollCallSymbols14pt"/>
            </w:pPr>
            <w:r w:rsidRPr="00825730">
              <w:t>+</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PPE</w:t>
            </w:r>
          </w:p>
        </w:tc>
        <w:tc>
          <w:tcPr>
            <w:tcW w:w="7371" w:type="dxa"/>
            <w:shd w:val="clear" w:color="auto" w:fill="FFFFFF"/>
          </w:tcPr>
          <w:p w:rsidR="00E6655E" w:rsidRPr="00825730" w:rsidRDefault="00825730" w:rsidP="003B2D98">
            <w:pPr>
              <w:pStyle w:val="RollCallTable"/>
            </w:pPr>
            <w:r w:rsidRPr="00825730">
              <w:t>David Casa, Loucas Fourlas, Cindy Franssen, Stelios Kympouropoulos, Sirpa Pietikäinen, Maria Walsh</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Renew</w:t>
            </w:r>
          </w:p>
        </w:tc>
        <w:tc>
          <w:tcPr>
            <w:tcW w:w="7371" w:type="dxa"/>
            <w:shd w:val="clear" w:color="auto" w:fill="FFFFFF"/>
          </w:tcPr>
          <w:p w:rsidR="00E6655E" w:rsidRPr="00825730" w:rsidRDefault="00825730" w:rsidP="003B2D98">
            <w:pPr>
              <w:pStyle w:val="RollCallTable"/>
            </w:pPr>
            <w:r w:rsidRPr="00825730">
              <w:t>Jordi Cañas, Lucia Ďuriš Nicholsonová, Max Orville, Dragoş Pîslaru, Monica Semedo</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S&amp;D</w:t>
            </w:r>
          </w:p>
        </w:tc>
        <w:tc>
          <w:tcPr>
            <w:tcW w:w="7371" w:type="dxa"/>
            <w:shd w:val="clear" w:color="auto" w:fill="FFFFFF"/>
          </w:tcPr>
          <w:p w:rsidR="00E6655E" w:rsidRPr="00825730" w:rsidRDefault="00825730" w:rsidP="003B2D98">
            <w:pPr>
              <w:pStyle w:val="RollCallTable"/>
            </w:pPr>
            <w:r w:rsidRPr="00825730">
              <w:t>João Albuquerque, Marc Angel, Gabriele Bischoff, Milan Brglez, Klára Dobrev, Estrella Durá Ferrandis, Elisabetta Gualmini, Alicia Homs Ginel, Agnes Jongerius, Aurore Lalucq, Daniela Rondinelli, Marianne Vind</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The Left</w:t>
            </w:r>
          </w:p>
        </w:tc>
        <w:tc>
          <w:tcPr>
            <w:tcW w:w="7371" w:type="dxa"/>
            <w:shd w:val="clear" w:color="auto" w:fill="FFFFFF"/>
          </w:tcPr>
          <w:p w:rsidR="00E6655E" w:rsidRPr="00825730" w:rsidRDefault="00825730" w:rsidP="003B2D98">
            <w:pPr>
              <w:pStyle w:val="RollCallTable"/>
            </w:pPr>
            <w:r w:rsidRPr="00825730">
              <w:t>Eugenia Rodríguez Palop, Nikolaj Villu</w:t>
            </w:r>
            <w:r w:rsidRPr="00825730">
              <w:t>msen</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Verts/ALE</w:t>
            </w:r>
          </w:p>
        </w:tc>
        <w:tc>
          <w:tcPr>
            <w:tcW w:w="7371" w:type="dxa"/>
            <w:shd w:val="clear" w:color="auto" w:fill="FFFFFF"/>
          </w:tcPr>
          <w:p w:rsidR="00E6655E" w:rsidRPr="00825730" w:rsidRDefault="00825730" w:rsidP="003B2D98">
            <w:pPr>
              <w:pStyle w:val="RollCallTable"/>
            </w:pPr>
            <w:r w:rsidRPr="00825730">
              <w:t>Katrin Langensiepen, Sara Matthieu, Kira Marie Peter-Hansen, Caroline Roose</w:t>
            </w:r>
          </w:p>
        </w:tc>
      </w:tr>
    </w:tbl>
    <w:p w:rsidR="00E6655E" w:rsidRPr="00825730" w:rsidRDefault="00E6655E" w:rsidP="00E665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25730" w:rsidRPr="00825730" w:rsidTr="003B2D98">
        <w:trPr>
          <w:cantSplit/>
        </w:trPr>
        <w:tc>
          <w:tcPr>
            <w:tcW w:w="1701" w:type="dxa"/>
            <w:shd w:val="pct10" w:color="000000" w:fill="FFFFFF"/>
            <w:vAlign w:val="center"/>
          </w:tcPr>
          <w:p w:rsidR="00E6655E" w:rsidRPr="00825730" w:rsidRDefault="00825730" w:rsidP="003B2D98">
            <w:pPr>
              <w:pStyle w:val="RollCallVotes"/>
            </w:pPr>
            <w:r w:rsidRPr="00825730">
              <w:t>4</w:t>
            </w:r>
          </w:p>
        </w:tc>
        <w:tc>
          <w:tcPr>
            <w:tcW w:w="7371" w:type="dxa"/>
            <w:shd w:val="pct10" w:color="000000" w:fill="FFFFFF"/>
          </w:tcPr>
          <w:p w:rsidR="00E6655E" w:rsidRPr="00825730" w:rsidRDefault="00825730" w:rsidP="003B2D98">
            <w:pPr>
              <w:pStyle w:val="RollCallSymbols14pt"/>
            </w:pPr>
            <w:r w:rsidRPr="00825730">
              <w:t>-</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ECR</w:t>
            </w:r>
          </w:p>
        </w:tc>
        <w:tc>
          <w:tcPr>
            <w:tcW w:w="7371" w:type="dxa"/>
            <w:shd w:val="clear" w:color="auto" w:fill="FFFFFF"/>
          </w:tcPr>
          <w:p w:rsidR="00E6655E" w:rsidRPr="00825730" w:rsidRDefault="00825730" w:rsidP="003B2D98">
            <w:pPr>
              <w:pStyle w:val="RollCallTable"/>
            </w:pPr>
            <w:r w:rsidRPr="00825730">
              <w:t>Margarita de la Pisa Carrión, Elżbieta Rafalska, Pirkko Ruohonen-Lerner</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ID</w:t>
            </w:r>
          </w:p>
        </w:tc>
        <w:tc>
          <w:tcPr>
            <w:tcW w:w="7371" w:type="dxa"/>
            <w:shd w:val="clear" w:color="auto" w:fill="FFFFFF"/>
          </w:tcPr>
          <w:p w:rsidR="00E6655E" w:rsidRPr="00825730" w:rsidRDefault="00825730" w:rsidP="003B2D98">
            <w:pPr>
              <w:pStyle w:val="RollCallTable"/>
            </w:pPr>
            <w:r w:rsidRPr="00825730">
              <w:t>Dominique Bilde</w:t>
            </w:r>
          </w:p>
        </w:tc>
      </w:tr>
    </w:tbl>
    <w:p w:rsidR="00E6655E" w:rsidRPr="00825730" w:rsidRDefault="00E6655E" w:rsidP="00E665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25730" w:rsidRPr="00825730" w:rsidTr="003B2D98">
        <w:trPr>
          <w:cantSplit/>
        </w:trPr>
        <w:tc>
          <w:tcPr>
            <w:tcW w:w="1701" w:type="dxa"/>
            <w:shd w:val="pct10" w:color="000000" w:fill="FFFFFF"/>
            <w:vAlign w:val="center"/>
          </w:tcPr>
          <w:p w:rsidR="00E6655E" w:rsidRPr="00825730" w:rsidRDefault="00825730" w:rsidP="003B2D98">
            <w:pPr>
              <w:pStyle w:val="RollCallVotes"/>
            </w:pPr>
            <w:r w:rsidRPr="00825730">
              <w:t>10</w:t>
            </w:r>
          </w:p>
        </w:tc>
        <w:tc>
          <w:tcPr>
            <w:tcW w:w="7371" w:type="dxa"/>
            <w:shd w:val="pct10" w:color="000000" w:fill="FFFFFF"/>
          </w:tcPr>
          <w:p w:rsidR="00E6655E" w:rsidRPr="00825730" w:rsidRDefault="00825730" w:rsidP="003B2D98">
            <w:pPr>
              <w:pStyle w:val="RollCallSymbols14pt"/>
            </w:pPr>
            <w:r w:rsidRPr="00825730">
              <w:t>0</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ECR</w:t>
            </w:r>
          </w:p>
        </w:tc>
        <w:tc>
          <w:tcPr>
            <w:tcW w:w="7371" w:type="dxa"/>
            <w:shd w:val="clear" w:color="auto" w:fill="FFFFFF"/>
          </w:tcPr>
          <w:p w:rsidR="00E6655E" w:rsidRPr="00825730" w:rsidRDefault="00825730" w:rsidP="003B2D98">
            <w:pPr>
              <w:pStyle w:val="RollCallTable"/>
            </w:pPr>
            <w:r w:rsidRPr="00825730">
              <w:t>Chiara Gemma</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ID</w:t>
            </w:r>
          </w:p>
        </w:tc>
        <w:tc>
          <w:tcPr>
            <w:tcW w:w="7371" w:type="dxa"/>
            <w:shd w:val="clear" w:color="auto" w:fill="FFFFFF"/>
          </w:tcPr>
          <w:p w:rsidR="00E6655E" w:rsidRPr="00825730" w:rsidRDefault="00825730" w:rsidP="003B2D98">
            <w:pPr>
              <w:pStyle w:val="RollCallTable"/>
            </w:pPr>
            <w:r w:rsidRPr="00825730">
              <w:t>Elena Lizzi</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PPE</w:t>
            </w:r>
          </w:p>
        </w:tc>
        <w:tc>
          <w:tcPr>
            <w:tcW w:w="7371" w:type="dxa"/>
            <w:shd w:val="clear" w:color="auto" w:fill="FFFFFF"/>
          </w:tcPr>
          <w:p w:rsidR="00E6655E" w:rsidRPr="00825730" w:rsidRDefault="00825730" w:rsidP="003B2D98">
            <w:pPr>
              <w:pStyle w:val="RollCallTable"/>
            </w:pPr>
            <w:r w:rsidRPr="00825730">
              <w:t>Alexander Alexandrov Yordanov, Jarosław Duda, Helmut Geuking, Miriam Lexmann, Romana Tomc, Tomáš Zdechovský</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S&amp;D</w:t>
            </w:r>
          </w:p>
        </w:tc>
        <w:tc>
          <w:tcPr>
            <w:tcW w:w="7371" w:type="dxa"/>
            <w:shd w:val="clear" w:color="auto" w:fill="FFFFFF"/>
          </w:tcPr>
          <w:p w:rsidR="00E6655E" w:rsidRPr="00825730" w:rsidRDefault="00825730" w:rsidP="003B2D98">
            <w:pPr>
              <w:pStyle w:val="RollCallTable"/>
            </w:pPr>
            <w:r w:rsidRPr="00825730">
              <w:t>Ilan De Basso</w:t>
            </w:r>
          </w:p>
        </w:tc>
      </w:tr>
      <w:tr w:rsidR="00825730" w:rsidRPr="00825730" w:rsidTr="003B2D98">
        <w:trPr>
          <w:cantSplit/>
        </w:trPr>
        <w:tc>
          <w:tcPr>
            <w:tcW w:w="1701" w:type="dxa"/>
            <w:shd w:val="clear" w:color="auto" w:fill="FFFFFF"/>
          </w:tcPr>
          <w:p w:rsidR="00E6655E" w:rsidRPr="00825730" w:rsidRDefault="00825730" w:rsidP="003B2D98">
            <w:pPr>
              <w:pStyle w:val="RollCallTable"/>
            </w:pPr>
            <w:r w:rsidRPr="00825730">
              <w:t>The Left</w:t>
            </w:r>
          </w:p>
        </w:tc>
        <w:tc>
          <w:tcPr>
            <w:tcW w:w="7371" w:type="dxa"/>
            <w:shd w:val="clear" w:color="auto" w:fill="FFFFFF"/>
          </w:tcPr>
          <w:p w:rsidR="00E6655E" w:rsidRPr="00825730" w:rsidRDefault="00825730" w:rsidP="003B2D98">
            <w:pPr>
              <w:pStyle w:val="RollCallTable"/>
            </w:pPr>
            <w:r w:rsidRPr="00825730">
              <w:t>Özlem Demirel</w:t>
            </w:r>
          </w:p>
        </w:tc>
      </w:tr>
    </w:tbl>
    <w:p w:rsidR="00E6655E" w:rsidRPr="00825730" w:rsidRDefault="00E6655E" w:rsidP="00147FBF">
      <w:pPr>
        <w:pStyle w:val="Normal12a"/>
      </w:pPr>
    </w:p>
    <w:p w:rsidR="00E6655E" w:rsidRPr="00825730" w:rsidRDefault="00825730" w:rsidP="00B735E3">
      <w:r w:rsidRPr="00825730">
        <w:t>Significato dei simboli utilizzati:</w:t>
      </w:r>
    </w:p>
    <w:p w:rsidR="00E6655E" w:rsidRPr="00825730" w:rsidRDefault="00825730" w:rsidP="003858C5">
      <w:pPr>
        <w:pStyle w:val="RollCallTabs"/>
      </w:pPr>
      <w:r w:rsidRPr="00825730">
        <w:t>+</w:t>
      </w:r>
      <w:r w:rsidRPr="00825730">
        <w:tab/>
        <w:t>:</w:t>
      </w:r>
      <w:r w:rsidRPr="00825730">
        <w:tab/>
        <w:t>favorevoli</w:t>
      </w:r>
    </w:p>
    <w:p w:rsidR="00E6655E" w:rsidRPr="00825730" w:rsidRDefault="00825730" w:rsidP="003858C5">
      <w:pPr>
        <w:pStyle w:val="RollCallTabs"/>
      </w:pPr>
      <w:r w:rsidRPr="00825730">
        <w:t>-</w:t>
      </w:r>
      <w:r w:rsidRPr="00825730">
        <w:tab/>
        <w:t>:</w:t>
      </w:r>
      <w:r w:rsidRPr="00825730">
        <w:tab/>
        <w:t>contrari</w:t>
      </w:r>
    </w:p>
    <w:p w:rsidR="00E6655E" w:rsidRPr="00825730" w:rsidRDefault="00825730" w:rsidP="003858C5">
      <w:pPr>
        <w:pStyle w:val="RollCallTabs"/>
      </w:pPr>
      <w:r w:rsidRPr="00825730">
        <w:t>0</w:t>
      </w:r>
      <w:r w:rsidRPr="00825730">
        <w:tab/>
        <w:t>:</w:t>
      </w:r>
      <w:r w:rsidRPr="00825730">
        <w:tab/>
        <w:t>astenuti</w:t>
      </w:r>
    </w:p>
    <w:p w:rsidR="00E6655E" w:rsidRPr="00825730" w:rsidRDefault="00E6655E" w:rsidP="00207509"/>
    <w:bookmarkEnd w:id="3"/>
    <w:p w:rsidR="00654F07" w:rsidRPr="00825730" w:rsidRDefault="00654F07" w:rsidP="00E6655E"/>
    <w:sectPr w:rsidR="00654F07" w:rsidRPr="00825730" w:rsidSect="00E665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25730">
      <w:r>
        <w:separator/>
      </w:r>
    </w:p>
  </w:endnote>
  <w:endnote w:type="continuationSeparator" w:id="0">
    <w:p w:rsidR="00000000" w:rsidRDefault="00825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23D" w:rsidRDefault="00825730" w:rsidP="006B423D">
    <w:pPr>
      <w:pStyle w:val="EPFooter"/>
    </w:pPr>
    <w:r>
      <w:t>PE</w:t>
    </w:r>
    <w:r w:rsidRPr="000626BE">
      <w:rPr>
        <w:rStyle w:val="HideTWBExt"/>
      </w:rPr>
      <w:t>&lt;</w:t>
    </w:r>
    <w:r w:rsidRPr="000626BE">
      <w:rPr>
        <w:rStyle w:val="HideTWBExt"/>
      </w:rPr>
      <w:t>NoPE&gt;</w:t>
    </w:r>
    <w:r>
      <w:t>752.621</w:t>
    </w:r>
    <w:r w:rsidRPr="000626BE">
      <w:rPr>
        <w:rStyle w:val="HideTWBExt"/>
      </w:rPr>
      <w:t>&lt;/NoPE&gt;&lt;Version&gt;</w:t>
    </w:r>
    <w:r>
      <w:t>v02-00</w:t>
    </w:r>
    <w:r w:rsidRPr="000626BE">
      <w:rPr>
        <w:rStyle w:val="HideTWBExt"/>
      </w:rPr>
      <w:t>&lt;/Version&gt;</w:t>
    </w:r>
    <w:r>
      <w:tab/>
    </w:r>
    <w:r>
      <w:fldChar w:fldCharType="begin"/>
    </w:r>
    <w:r>
      <w:instrText xml:space="preserve"> PAGE  \* MERGEFORMAT </w:instrText>
    </w:r>
    <w:r>
      <w:fldChar w:fldCharType="separate"/>
    </w:r>
    <w:r>
      <w:rPr>
        <w:noProof/>
      </w:rPr>
      <w:t>16</w:t>
    </w:r>
    <w:r>
      <w:fldChar w:fldCharType="end"/>
    </w:r>
    <w:r>
      <w:t>/</w:t>
    </w:r>
    <w:r w:rsidR="000626BE">
      <w:fldChar w:fldCharType="begin"/>
    </w:r>
    <w:r>
      <w:instrText xml:space="preserve"> NUMPAGES  \* MERGEFORMAT </w:instrText>
    </w:r>
    <w:r w:rsidR="000626BE">
      <w:fldChar w:fldCharType="separate"/>
    </w:r>
    <w:r>
      <w:rPr>
        <w:noProof/>
      </w:rPr>
      <w:t>28</w:t>
    </w:r>
    <w:r w:rsidR="000626BE">
      <w:rPr>
        <w:noProof/>
      </w:rPr>
      <w:fldChar w:fldCharType="end"/>
    </w:r>
    <w:r>
      <w:tab/>
    </w:r>
    <w:r w:rsidRPr="000626BE">
      <w:rPr>
        <w:rStyle w:val="HideTWBExt"/>
      </w:rPr>
      <w:t>&lt;PathFdR&gt;</w:t>
    </w:r>
    <w:r>
      <w:t>AD\1288324IT.docx</w:t>
    </w:r>
    <w:r w:rsidRPr="000626BE">
      <w:rPr>
        <w:rStyle w:val="HideTWBExt"/>
      </w:rPr>
      <w:t>&lt;/PathFdR&gt;</w:t>
    </w:r>
  </w:p>
  <w:p w:rsidR="007F187F" w:rsidRPr="00A71F47" w:rsidRDefault="00825730" w:rsidP="006B423D">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23D" w:rsidRDefault="00825730" w:rsidP="006B423D">
    <w:pPr>
      <w:pStyle w:val="EPFooter"/>
    </w:pPr>
    <w:r w:rsidRPr="000626BE">
      <w:rPr>
        <w:rStyle w:val="HideTWBExt"/>
      </w:rPr>
      <w:t>&lt;PathFdR&gt;</w:t>
    </w:r>
    <w:r>
      <w:t>AD\1288324IT.docx</w:t>
    </w:r>
    <w:r w:rsidRPr="000626BE">
      <w:rPr>
        <w:rStyle w:val="HideTWBExt"/>
      </w:rPr>
      <w:t>&lt;/PathFdR&gt;</w:t>
    </w:r>
    <w:r>
      <w:tab/>
    </w:r>
    <w:r>
      <w:fldChar w:fldCharType="begin"/>
    </w:r>
    <w:r>
      <w:instrText xml:space="preserve"> PAGE  \* MERGEFORMAT </w:instrText>
    </w:r>
    <w:r>
      <w:fldChar w:fldCharType="separate"/>
    </w:r>
    <w:r>
      <w:rPr>
        <w:noProof/>
      </w:rPr>
      <w:t>15</w:t>
    </w:r>
    <w:r>
      <w:fldChar w:fldCharType="end"/>
    </w:r>
    <w:r>
      <w:t>/</w:t>
    </w:r>
    <w:r w:rsidR="000626BE">
      <w:fldChar w:fldCharType="begin"/>
    </w:r>
    <w:r>
      <w:instrText xml:space="preserve"> NUMPAGES  \* MERGEFORMAT </w:instrText>
    </w:r>
    <w:r w:rsidR="000626BE">
      <w:fldChar w:fldCharType="separate"/>
    </w:r>
    <w:r>
      <w:rPr>
        <w:noProof/>
      </w:rPr>
      <w:t>28</w:t>
    </w:r>
    <w:r w:rsidR="000626BE">
      <w:rPr>
        <w:noProof/>
      </w:rPr>
      <w:fldChar w:fldCharType="end"/>
    </w:r>
    <w:r>
      <w:tab/>
      <w:t>PE</w:t>
    </w:r>
    <w:r w:rsidRPr="000626BE">
      <w:rPr>
        <w:rStyle w:val="HideTWBExt"/>
      </w:rPr>
      <w:t>&lt;NoPE&gt;</w:t>
    </w:r>
    <w:r>
      <w:t>752.621</w:t>
    </w:r>
    <w:r w:rsidRPr="000626BE">
      <w:rPr>
        <w:rStyle w:val="HideTWBExt"/>
      </w:rPr>
      <w:t>&lt;/NoPE&gt;&lt;Version&gt;</w:t>
    </w:r>
    <w:r>
      <w:t>v02-00</w:t>
    </w:r>
    <w:r w:rsidRPr="000626BE">
      <w:rPr>
        <w:rStyle w:val="HideTWBExt"/>
      </w:rPr>
      <w:t>&lt;/Version&gt;</w:t>
    </w:r>
  </w:p>
  <w:p w:rsidR="007F187F" w:rsidRPr="00A71F47" w:rsidRDefault="00825730" w:rsidP="006B423D">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23D" w:rsidRDefault="00825730" w:rsidP="006B423D">
    <w:pPr>
      <w:pStyle w:val="EPFooter"/>
    </w:pPr>
    <w:r w:rsidRPr="000626BE">
      <w:rPr>
        <w:rStyle w:val="HideTWBExt"/>
      </w:rPr>
      <w:t>&lt;PathFdR&gt;</w:t>
    </w:r>
    <w:r>
      <w:t>AD\1288324IT.docx</w:t>
    </w:r>
    <w:r w:rsidRPr="000626BE">
      <w:rPr>
        <w:rStyle w:val="HideTWBExt"/>
      </w:rPr>
      <w:t>&lt;/PathFdR&gt;</w:t>
    </w:r>
    <w:r>
      <w:tab/>
    </w:r>
    <w:r>
      <w:tab/>
      <w:t>PE</w:t>
    </w:r>
    <w:r w:rsidRPr="000626BE">
      <w:rPr>
        <w:rStyle w:val="HideTWBExt"/>
      </w:rPr>
      <w:t>&lt;NoPE&gt;</w:t>
    </w:r>
    <w:r>
      <w:t>752.621</w:t>
    </w:r>
    <w:r w:rsidRPr="000626BE">
      <w:rPr>
        <w:rStyle w:val="HideTWBExt"/>
      </w:rPr>
      <w:t>&lt;/NoPE&gt;&lt;Version&gt;</w:t>
    </w:r>
    <w:r>
      <w:t>v02-00</w:t>
    </w:r>
    <w:r w:rsidRPr="000626BE">
      <w:rPr>
        <w:rStyle w:val="HideTWBExt"/>
      </w:rPr>
      <w:t>&lt;/Version&gt;</w:t>
    </w:r>
  </w:p>
  <w:p w:rsidR="007F187F" w:rsidRPr="00A71F47" w:rsidRDefault="00825730" w:rsidP="006B423D">
    <w:pPr>
      <w:pStyle w:val="EPFooter2"/>
    </w:pPr>
    <w:r>
      <w:t>IT</w:t>
    </w:r>
    <w:r>
      <w:tab/>
    </w:r>
    <w:r w:rsidRPr="006B423D">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25730">
      <w:r>
        <w:separator/>
      </w:r>
    </w:p>
  </w:footnote>
  <w:footnote w:type="continuationSeparator" w:id="0">
    <w:p w:rsidR="00000000" w:rsidRDefault="00825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E" w:rsidRDefault="00E665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E" w:rsidRDefault="00E665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55E" w:rsidRDefault="00E665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1"/>
    <w:docVar w:name="CJMNU" w:val="1"/>
    <w:docVar w:name="CODEMNU" w:val=" 1"/>
    <w:docVar w:name="COM2KEY" w:val="ECON"/>
    <w:docVar w:name="COMKEY" w:val="EMPL"/>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3810 HideTWBExt;}{_x000d__x000a_\s18\ql \li0\ri0\sa120\nowidctlpar\wrapdefault\aspalpha\aspnum\faauto\adjustright\rin0\lin0\itap0 \rtlch\fcs1 \af0\afs20\alang1025 \ltrch\fcs0 \fs24\lang1040\langfe2057\cgrid\langnp1040\langfenp2057 \sbasedon0 \snext18 \spriority0 \styrsid12673810 _x000d__x000a_Normal6a;}{\s19\ql \li0\ri0\nowidctlpar\wrapdefault\aspalpha\aspnum\faauto\adjustright\rin0\lin0\itap0 \rtlch\fcs1 \af0\afs20\alang1025 \ltrch\fcs0 \b\fs24\lang1040\langfe2057\cgrid\langnp1040\langfenp2057 \sbasedon0 \snext19 \spriority0 \styrsid12673810 _x000d__x000a_NormalBold;}{\*\cs20 \additive \v\f1\fs20\cf15 \spriority0 \styrsid12673810 HideTWBInt;}{\s21\qc \li0\ri0\sa240\nowidctlpar\wrapdefault\aspalpha\aspnum\faauto\adjustright\rin0\lin0\itap0 \rtlch\fcs1 \af0\afs20\alang1025 \ltrch\fcs0 _x000d__x000a_\i\fs24\lang1040\langfe2057\cgrid\langnp1040\langfenp2057 \sbasedon0 \snext21 \spriority0 \styrsid1267381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12673810 AmNumberTabs;}{\s23\ql \li0\ri0\sb240\nowidctlpar\wrapdefault\aspalpha\aspnum\faauto\adjustright\rin0\lin0\itap0 \rtlch\fcs1 _x000d__x000a_\af0\afs20\alang1025 \ltrch\fcs0 \b\fs24\lang1040\langfe2057\cgrid\langnp1040\langfenp2057 \sbasedon0 \snext23 \spriority0 \styrsid12673810 NormalBold12b;}}{\*\rsidtbl \rsid24658\rsid223860\rsid735077\rsid1718133\rsid2892074\rsid3565327\rsid4666813_x000d__x000a_\rsid6641733\rsid7823322\rsid9636012\rsid10377208\rsid11215221\rsid11549030\rsid12154954\rsid12673810\rsid14382809\rsid14424199\rsid15022798\rsid15204470\rsid15285974\rsid15950462\rsid16324206\rsid16662270}{\mmathPr\mmathFont34\mbrkBin0\mbrkBinSub0_x000d__x000a_\msmallFrac0\mdispDef1\mlMargin0\mrMargin0\mdefJc1\mwrapIndent1440\mintLim0\mnaryLim1}{\info{\author MUSIO Cristina}{\operator MUSIO Cristina}{\creatim\yr2023\mo11\dy3\hr12\min12}{\revtim\yr2023\mo11\dy3\hr12\min12}{\version1}{\edmins0}{\nofpages1}_x000d__x000a_{\nofwords34}{\nofchars200}{\nofcharsws23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3810\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15022798 \chftnsep _x000d__x000a_\par }}{\*\ftnsepc \ltrpar \pard\plain \ltrpar\ql \li0\ri0\widctlpar\wrapdefault\aspalpha\aspnum\faauto\adjustright\rin0\lin0\itap0 \rtlch\fcs1 \af0\afs20\alang1025 \ltrch\fcs0 \fs24\lang2057\langfe2057\cgrid\langnp2057\langfenp2057 {\rtlch\fcs1 \af0 _x000d__x000a_\ltrch\fcs0 \insrsid15022798 \chftnsepc _x000d__x000a_\par }}{\*\aftnsep \ltrpar \pard\plain \ltrpar\ql \li0\ri0\widctlpar\wrapdefault\aspalpha\aspnum\faauto\adjustright\rin0\lin0\itap0 \rtlch\fcs1 \af0\afs20\alang1025 \ltrch\fcs0 \fs24\lang2057\langfe2057\cgrid\langnp2057\langfenp2057 {\rtlch\fcs1 \af0 _x000d__x000a_\ltrch\fcs0 \insrsid15022798 \chftnsep _x000d__x000a_\par }}{\*\aftnsepc \ltrpar \pard\plain \ltrpar\ql \li0\ri0\widctlpar\wrapdefault\aspalpha\aspnum\faauto\adjustright\rin0\lin0\itap0 \rtlch\fcs1 \af0\afs20\alang1025 \ltrch\fcs0 \fs24\lang2057\langfe2057\cgrid\langnp2057\langfenp2057 {\rtlch\fcs1 \af0 _x000d__x000a_\ltrch\fcs0 \insrsid15022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2673810 \rtlch\fcs1 _x000d__x000a_\af0\afs20\alang1025 \ltrch\fcs0 \b\fs24\lang1040\langfe2057\cgrid\langnp1040\langfenp2057 {\rtlch\fcs1 \af0 \ltrch\fcs0 \cs17\b0\v\fs20\cf9\lang1024\langfe1024\loch\af1\hich\af1\dbch\af31501\noproof\insrsid12673810\charrsid14691961 {\*\bkmkstart restartA_x000d__x000a_}\hich\af1\dbch\af31501\loch\f1 &lt;AmendA&gt;}{\rtlch\fcs1 \af0 \ltrch\fcs0 \insrsid12673810\charrsid14691961 Emendamento\tab \tab }{\rtlch\fcs1 \af0 \ltrch\fcs0 _x000d__x000a_\cs17\b0\v\fs20\cf9\lang1024\langfe1024\loch\af1\hich\af1\dbch\af31501\noproof\insrsid12673810\charrsid14691961 \hich\af1\dbch\af31501\loch\f1 &lt;NumAmA&gt;}{\rtlch\fcs1 \af0 \ltrch\fcs0 \insrsid12673810\charrsid14691961 #}{\rtlch\fcs1 \af1 \ltrch\fcs0 _x000d__x000a_\cs20\v\f1\fs20\cf15\insrsid12673810\charrsid14691961 ENMIENDA@NRAM@}{\rtlch\fcs1 \af0 \ltrch\fcs0 \insrsid12673810\charrsid14691961 #}{\rtlch\fcs1 \af0 \ltrch\fcs0 _x000d__x000a_\cs17\b0\v\fs20\cf9\lang1024\langfe1024\loch\af1\hich\af1\dbch\af31501\noproof\insrsid12673810\charrsid14691961 \hich\af1\dbch\af31501\loch\f1 &lt;/NumAmA&gt;}{\rtlch\fcs1 \af0 \ltrch\fcs0 \insrsid12673810\charrsid14691961 _x000d__x000a_\par }\pard\plain \ltrpar\s23\ql \li0\ri0\sb240\keepn\nowidctlpar\wrapdefault\aspalpha\aspnum\faauto\adjustright\rin0\lin0\itap0\pararsid12673810 \rtlch\fcs1 \af0\afs20\alang1025 \ltrch\fcs0 \b\fs24\lang1040\langfe2057\cgrid\langnp1040\langfenp2057 {_x000d__x000a_\rtlch\fcs1 \af0 \ltrch\fcs0 \cs17\b0\v\fs20\cf9\lang1024\langfe1024\loch\af1\hich\af1\dbch\af31501\noproof\insrsid12673810\charrsid14691961 \hich\af1\dbch\af31501\loch\f1 &lt;DocAmend&gt;}{\rtlch\fcs1 \af0 \ltrch\fcs0 \insrsid12673810\charrsid14691961 _x000d__x000a_Progetto di risoluzione legislativa}{\rtlch\fcs1 \af0 \ltrch\fcs0 \cs17\b0\v\fs20\cf9\lang1024\langfe1024\loch\af1\hich\af1\dbch\af31501\noproof\insrsid12673810\charrsid14691961 \hich\af1\dbch\af31501\loch\f1 &lt;/DocAmend&gt;}{\rtlch\fcs1 \af0 \ltrch\fcs0 _x000d__x000a_\insrsid12673810\charrsid14691961 _x000d__x000a_\par }\pard\plain \ltrpar\s19\ql \li0\ri0\nowidctlpar\wrapdefault\aspalpha\aspnum\faauto\adjustright\rin0\lin0\itap0\pararsid12673810 \rtlch\fcs1 \af0\afs20\alang1025 \ltrch\fcs0 \b\fs24\lang1040\langfe2057\cgrid\langnp1040\langfenp2057 {\rtlch\fcs1 \af0 _x000d__x000a_\ltrch\fcs0 \cs17\b0\v\fs20\cf9\lang1024\langfe1024\loch\af1\hich\af1\dbch\af31501\noproof\insrsid12673810\charrsid14691961 \hich\af1\dbch\af31501\loch\f1 &lt;Article&gt;}{\rtlch\fcs1 \af0 \ltrch\fcs0 \cf10\insrsid12673810\charrsid7358564 \u9668\'3f}{_x000d__x000a_\rtlch\fcs1 \af0 \ltrch\fcs0 \insrsid12673810\charrsid14691961 #}{\rtlch\fcs1 \af1 \ltrch\fcs0 \cs20\v\f1\fs20\cf15\insrsid12673810\charrsid14691961 TVTRESPART@RESPART@}{\rtlch\fcs1 \af0 \ltrch\fcs0 \insrsid12673810\charrsid14691961 #}{\rtlch\fcs1 \af0 _x000d__x000a_\ltrch\fcs0 \cf10\insrsid12673810\charrsid7358564 \u9658\'3f}{\rtlch\fcs1 \af0 \ltrch\fcs0 \cs17\b0\v\fs20\cf9\lang1024\langfe1024\loch\af1\hich\af1\dbch\af31501\noproof\insrsid12673810\charrsid14691961 \hich\af1\dbch\af31501\loch\f1 &lt;/Article&gt;}{_x000d__x000a_\rtlch\fcs1 \af0 \ltrch\fcs0 \insrsid12673810\charrsid14691961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12673810\charrsid14691961 \cell }\pard \ltrpar_x000d__x000a_\ql \li0\ri0\widctlpar\intbl\wrapdefault\aspalpha\aspnum\faauto\adjustright\rin0\lin0 {\rtlch\fcs1 \af0 \ltrch\fcs0 \lang1040\langfe2057\langnp1040\insrsid12673810\charrsid14691961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12673810\charrsid14691961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12673810\charrsid14691961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12673810\charrsid14691961 #}{\rtlch\fcs1 \af1 \ltrch\fcs0 \cs20\v\f1\fs20\cf15\insrsid12673810\charrsid14691961 TESTO}{\rtlch\fcs1 \af0 \ltrch\fcs0 _x000d__x000a_\insrsid12673810\charrsid14691961 #\cell #}{\rtlch\fcs1 \af1 \ltrch\fcs0 \cs20\v\f1\fs20\cf15\insrsid12673810\charrsid14691961 TESTO}{\rtlch\fcs1 \af0 \ltrch\fcs0 \insrsid12673810\charrsid14691961 #}{\rtlch\fcs1 \af0\afs24 \ltrch\fcs0 _x000d__x000a_\insrsid12673810\charrsid14691961 \cell }\pard\plain \ltrpar\ql \li0\ri0\widctlpar\intbl\wrapdefault\aspalpha\aspnum\faauto\adjustright\rin0\lin0 \rtlch\fcs1 \af0\afs20\alang1025 \ltrch\fcs0 \fs24\lang2057\langfe2057\cgrid\langnp2057\langfenp2057 {_x000d__x000a_\rtlch\fcs1 \af0 \ltrch\fcs0 \lang1040\langfe2057\langnp1040\insrsid12673810\charrsid14691961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673810 {\rtlch\fcs1 \af0 \ltrch\fcs0 \cs17\v\fs20\cf9\lang1024\langfe1024\loch\af1\hich\af1\dbch\af31501\noproof\langnp1040\insrsid12673810\charrsid14691961 _x000d__x000a_\hich\af1\dbch\af31501\loch\f1 &lt;/AmendA&gt;}{\rtlch\fcs1 \af0 \ltrch\fcs0 \insrsid1267381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5_x000d__x000a_e0ac46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660678 HideTWBExt;}{_x000d__x000a_\s18\ql \li0\ri0\sa120\nowidctlpar\wrapdefault\aspalpha\aspnum\faauto\adjustright\rin0\lin0\itap0 \rtlch\fcs1 \af0\afs20\alang1025 \ltrch\fcs0 \fs24\lang1040\langfe2057\cgrid\langnp1040\langfenp2057 \sbasedon0 \snext18 \spriority0 \styrsid13660678 _x000d__x000a_Normal6a;}{\s19\ql \li0\ri0\nowidctlpar\wrapdefault\aspalpha\aspnum\faauto\adjustright\rin0\lin0\itap0 \rtlch\fcs1 \af0\afs20\alang1025 \ltrch\fcs0 \b\fs24\lang1040\langfe2057\cgrid\langnp1040\langfenp2057 \sbasedon0 \snext19 \spriority0 \styrsid13660678 _x000d__x000a_NormalBold;}{\s20\ql \li0\ri0\sa240\nowidctlpar\wrapdefault\aspalpha\aspnum\faauto\adjustright\rin0\lin0\itap0 \rtlch\fcs1 \af0\afs20\alang1025 \ltrch\fcs0 \i\fs24\lang1040\langfe2057\cgrid\langnp1040\langfenp2057 _x000d__x000a_\sbasedon0 \snext20 \spriority0 \styrsid13660678 AmJustText;}{\s21\qc \li0\ri0\sb240\sa240\nowidctlpar\wrapdefault\aspalpha\aspnum\faauto\adjustright\rin0\lin0\itap0 \rtlch\fcs1 \af0\afs20\alang1025 \ltrch\fcs0 _x000d__x000a_\i\fs24\lang1040\langfe2057\cgrid\langnp1040\langfenp2057 \sbasedon0 \snext21 \spriority0 \styrsid13660678 AmCrossRef;}{\*\cs22 \additive \v\f1\fs20\cf15 \spriority0 \styrsid13660678 HideTWBInt;}{_x000d__x000a_\s23\qc \li0\ri0\sb240\sa240\keepn\nowidctlpar\wrapdefault\aspalpha\aspnum\faauto\adjustright\rin0\lin0\itap0 \rtlch\fcs1 \af0\afs20\alang1025 \ltrch\fcs0 \i\fs24\lang1040\langfe2057\cgrid\langnp1040\langfenp2057 _x000d__x000a_\sbasedon0 \snext20 \spriority0 \styrsid13660678 AmJustTitle;}{\s24\qc \li0\ri0\sa240\nowidctlpar\wrapdefault\aspalpha\aspnum\faauto\adjustright\rin0\lin0\itap0 \rtlch\fcs1 \af0\afs20\alang1025 \ltrch\fcs0 _x000d__x000a_\i\fs24\lang1040\langfe2057\cgrid\langnp1040\langfenp2057 \sbasedon0 \snext24 \spriority0 \styrsid1366067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13660678 AmNumberTabs;}{\s26\ql \li0\ri0\sb240\nowidctlpar\wrapdefault\aspalpha\aspnum\faauto\adjustright\rin0\lin0\itap0 \rtlch\fcs1 _x000d__x000a_\af0\afs20\alang1025 \ltrch\fcs0 \b\fs24\lang1040\langfe2057\cgrid\langnp1040\langfenp2057 \sbasedon0 \snext26 \spriority0 \styrsid13660678 NormalBold12b;}}{\*\rsidtbl \rsid24658\rsid223860\rsid735077\rsid1718133\rsid2892074\rsid3565327\rsid4666813_x000d__x000a_\rsid6494254\rsid6641733\rsid7823322\rsid9636012\rsid10377208\rsid11215221\rsid11549030\rsid12154954\rsid13660678\rsid14382809\rsid14424199\rsid15204470\rsid15285974\rsid15950462\rsid16324206\rsid16662270}{\mmathPr\mmathFont34\mbrkBin0\mbrkBinSub0_x000d__x000a_\msmallFrac0\mdispDef1\mlMargin0\mrMargin0\mdefJc1\mwrapIndent1440\mintLim0\mnaryLim1}{\info{\author MUSIO Cristina}{\operator MUSIO Cristina}{\creatim\yr2023\mo11\dy3\hr12\min12}{\revtim\yr2023\mo11\dy3\hr12\min12}{\version1}{\edmins0}{\nofpages1}_x000d__x000a_{\nofwords101}{\nofchars577}{\nofcharsws67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60678\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6494254 \chftnsep _x000d__x000a_\par }}{\*\ftnsepc \ltrpar \pard\plain \ltrpar\ql \li0\ri0\widctlpar\wrapdefault\aspalpha\aspnum\faauto\adjustright\rin0\lin0\itap0 \rtlch\fcs1 \af0\afs20\alang1025 \ltrch\fcs0 \fs24\lang2057\langfe2057\cgrid\langnp2057\langfenp2057 {\rtlch\fcs1 \af0 _x000d__x000a_\ltrch\fcs0 \insrsid6494254 \chftnsepc _x000d__x000a_\par }}{\*\aftnsep \ltrpar \pard\plain \ltrpar\ql \li0\ri0\widctlpar\wrapdefault\aspalpha\aspnum\faauto\adjustright\rin0\lin0\itap0 \rtlch\fcs1 \af0\afs20\alang1025 \ltrch\fcs0 \fs24\lang2057\langfe2057\cgrid\langnp2057\langfenp2057 {\rtlch\fcs1 \af0 _x000d__x000a_\ltrch\fcs0 \insrsid6494254 \chftnsep _x000d__x000a_\par }}{\*\aftnsepc \ltrpar \pard\plain \ltrpar\ql \li0\ri0\widctlpar\wrapdefault\aspalpha\aspnum\faauto\adjustright\rin0\lin0\itap0 \rtlch\fcs1 \af0\afs20\alang1025 \ltrch\fcs0 \fs24\lang2057\langfe2057\cgrid\langnp2057\langfenp2057 {\rtlch\fcs1 \af0 _x000d__x000a_\ltrch\fcs0 \insrsid6494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3660678 \rtlch\fcs1 _x000d__x000a_\af0\afs20\alang1025 \ltrch\fcs0 \b\fs24\lang1040\langfe2057\cgrid\langnp1040\langfenp2057 {\rtlch\fcs1 \af0 \ltrch\fcs0 \cs17\b0\v\fs20\cf9\lang1024\langfe1024\loch\af1\hich\af1\dbch\af31501\noproof\insrsid13660678\charrsid14691961 {\*\bkmkstart restartB_x000d__x000a_}\hich\af1\dbch\af31501\loch\f1 &lt;AmendB&gt;}{\rtlch\fcs1 \af0 \ltrch\fcs0 \insrsid13660678\charrsid14691961 Emendamento\tab \tab }{\rtlch\fcs1 \af0 \ltrch\fcs0 _x000d__x000a_\cs17\b0\v\fs20\cf9\lang1024\langfe1024\loch\af1\hich\af1\dbch\af31501\noproof\insrsid13660678\charrsid14691961 \hich\af1\dbch\af31501\loch\f1 &lt;NumAmB&gt;}{\rtlch\fcs1 \af0 \ltrch\fcs0 \insrsid13660678\charrsid14691961 #}{\rtlch\fcs1 \af1 \ltrch\fcs0 _x000d__x000a_\cs22\v\f1\fs20\cf15\insrsid13660678\charrsid14691961 ENMIENDA@NRAM@}{\rtlch\fcs1 \af0 \ltrch\fcs0 \insrsid13660678\charrsid14691961 #}{\rtlch\fcs1 \af0 \ltrch\fcs0 _x000d__x000a_\cs17\b0\v\fs20\cf9\lang1024\langfe1024\loch\af1\hich\af1\dbch\af31501\noproof\insrsid13660678\charrsid14691961 \hich\af1\dbch\af31501\loch\f1 &lt;/NumAmB&gt;}{\rtlch\fcs1 \af0 \ltrch\fcs0 \insrsid13660678\charrsid14691961 _x000d__x000a_\par }\pard\plain \ltrpar\s26\ql \li0\ri0\sb240\keepn\nowidctlpar\wrapdefault\aspalpha\aspnum\faauto\adjustright\rin0\lin0\itap0\pararsid13660678 \rtlch\fcs1 \af0\afs20\alang1025 \ltrch\fcs0 \b\fs24\lang1040\langfe2057\cgrid\langnp1040\langfenp2057 {_x000d__x000a_\rtlch\fcs1 \af0 \ltrch\fcs0 \cs17\b0\v\fs20\cf9\lang1024\langfe1024\loch\af1\hich\af1\dbch\af31501\noproof\insrsid13660678\charrsid14691961 \hich\af1\dbch\af31501\loch\f1 &lt;DocAmend&gt;}{\rtlch\fcs1 \af0 \ltrch\fcs0 \insrsid13660678\charrsid14691961 #}{_x000d__x000a_\rtlch\fcs1 \af1 \ltrch\fcs0 \cs22\v\f1\fs20\cf15\insrsid13660678\charrsid14691961 MNU[OPTPROPOSALCOD][OPTPROPOSALCNS][OPTPROPOSALNLE][OPTPROPOSALINL]@CHOICE@CODEMNU}{\rtlch\fcs1 \af0 \ltrch\fcs0 \insrsid13660678\charrsid14691961 ##}{\rtlch\fcs1 \af1 _x000d__x000a_\ltrch\fcs0 \cs22\v\f1\fs20\cf15\insrsid13660678\charrsid14691961 MNU[AMACTYES][NOTAPP]@CHOICE@AMACTMNU}{\rtlch\fcs1 \af0 \ltrch\fcs0 \insrsid13660678\charrsid14691961 #}{\rtlch\fcs1 \af0 \ltrch\fcs0 _x000d__x000a_\cs17\b0\v\fs20\cf9\lang1024\langfe1024\loch\af1\hich\af1\dbch\af31501\noproof\insrsid13660678\charrsid14691961 \hich\af1\dbch\af31501\loch\f1 &lt;/DocAmend&gt;}{\rtlch\fcs1 \af0 \ltrch\fcs0 \insrsid13660678\charrsid14691961 _x000d__x000a_\par }\pard\plain \ltrpar\s19\ql \li0\ri0\keepn\nowidctlpar\wrapdefault\aspalpha\aspnum\faauto\adjustright\rin0\lin0\itap0\pararsid13660678 \rtlch\fcs1 \af0\afs20\alang1025 \ltrch\fcs0 \b\fs24\lang1040\langfe2057\cgrid\langnp1040\langfenp2057 {\rtlch\fcs1 _x000d__x000a_\af0 \ltrch\fcs0 \cs17\b0\v\fs20\cf9\lang1024\langfe1024\loch\af1\hich\af1\dbch\af31501\noproof\insrsid13660678\charrsid14691961 \hich\af1\dbch\af31501\loch\f1 &lt;Article&gt;}{\rtlch\fcs1 \af0 \ltrch\fcs0 \insrsid13660678\charrsid14691961 #}{\rtlch\fcs1 \af1 _x000d__x000a_\ltrch\fcs0 \cs22\v\f1\fs20\cf15\insrsid13660678\charrsid14691961 MNU[AMACTPARTYES][AMACTPARTNO]@CHOICE@AMACTMNU}{\rtlch\fcs1 \af0 \ltrch\fcs0 \insrsid13660678\charrsid14691961 #}{\rtlch\fcs1 \af0 \ltrch\fcs0 _x000d__x000a_\cs17\b0\v\fs20\cf9\lang1024\langfe1024\loch\af1\hich\af1\dbch\af31501\noproof\insrsid13660678\charrsid14691961 \hich\af1\dbch\af31501\loch\f1 &lt;/Artic\hich\af1\dbch\af31501\loch\f1 le&gt;}{\rtlch\fcs1 \af0 \ltrch\fcs0 \insrsid13660678\charrsid14691961 _x000d__x000a__x000d__x000a_\par }\pard\plain \ltrpar\ql \li0\ri0\keepn\widctlpar\wrapdefault\aspalpha\aspnum\faauto\adjustright\rin0\lin0\itap0\pararsid13660678 \rtlch\fcs1 \af0\afs20\alang1025 \ltrch\fcs0 \fs24\lang2057\langfe2057\cgrid\langnp2057\langfenp2057 {\rtlch\fcs1 \af0 _x000d__x000a_\ltrch\fcs0 \cs17\v\fs20\cf9\lang1024\langfe1024\loch\af1\hich\af1\dbch\af31501\noproof\langnp1040\insrsid13660678\charrsid14691961 \hich\af1\dbch\af31501\loch\f1 &lt;DocAmend2&gt;&lt;OptDel&gt;}{\rtlch\fcs1 \af0 \ltrch\fcs0 _x000d__x000a_\lang1040\langfe2057\langnp1040\insrsid13660678\charrsid14691961 #}{\rtlch\fcs1 \af1 \ltrch\fcs0 \cs22\v\f1\fs20\cf15\lang1040\langfe2057\langnp1040\insrsid13660678\charrsid14691961 MNU[OPTNRACTYES][NOTAPP]@CHOICE@AMACTMNU}{\rtlch\fcs1 \af0 \ltrch\fcs0 _x000d__x000a_\lang1040\langfe2057\langnp1040\insrsid13660678\charrsid14691961 #}{\rtlch\fcs1 \af0 \ltrch\fcs0 \cs17\v\fs20\cf9\lang1024\langfe1024\loch\af1\hich\af1\dbch\af31501\noproof\langnp1040\insrsid13660678\charrsid14691961 \hich\af1\dbch\af31501\loch\f1 _x000d__x000a_&lt;/OptDel&gt;&lt;/DocAmend2&gt;}{\rtlch\fcs1 \af0 \ltrch\fcs0 \lang1040\langfe2057\langnp1040\insrsid13660678\charrsid14691961 _x000d__x000a_\par }\pard \ltrpar\ql \li0\ri0\widctlpar\wrapdefault\aspalpha\aspnum\faauto\adjustright\rin0\lin0\itap0\pararsid13660678 {\rtlch\fcs1 \af0 \ltrch\fcs0 _x000d__x000a_\cs17\v\fs20\cf9\lang1024\langfe1024\loch\af1\hich\af1\dbch\af31501\noproof\langnp1040\insrsid13660678\charrsid14691961 \hich\af1\dbch\af31501\loch\f1 &lt;Article2&gt;&lt;OptDel&gt;}{\rtlch\fcs1 \af0 \ltrch\fcs0 _x000d__x000a_\lang1040\langfe2057\langnp1040\insrsid13660678\charrsid14691961 #}{\rtlch\fcs1 \af1 \ltrch\fcs0 \cs22\v\f1\fs20\cf15\lang1040\langfe2057\langnp1040\insrsid13660678\charrsid14691961 MNU[OPTACTPARTYES][NOTAPP]@CHOICE@AMACTMNU}{\rtlch\fcs1 \af0 \ltrch\fcs0 _x000d__x000a_\lang1040\langfe2057\langnp1040\insrsid13660678\charrsid14691961 #}{\rtlch\fcs1 \af0 \ltrch\fcs0 \cs17\v\fs20\cf9\lang1024\langfe1024\loch\af1\hich\af1\dbch\af31501\noproof\langnp1040\insrsid13660678\charrsid14691961 \hich\af1\dbch\af31501\loch\f1 _x000d__x000a_&lt;/OptDel&gt;&lt;/Article2&gt;}{\rtlch\fcs1 \af0 \ltrch\fcs0 \lang1040\langfe2057\langnp1040\insrsid13660678\charrsid14691961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13660678\charrsid14691961 \cell }\pard \ltrpar\ql \li0\ri0\widctlpar\intbl\wrapdefault\aspalpha\aspnum\faauto\adjustright\rin0\lin0 {\rtlch\fcs1 \af0 \ltrch\fcs0 _x000d__x000a_\lang1040\langfe2057\langnp1040\insrsid13660678\charrsid14691961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13660678\charrsid14691961 #}{\rtlch\fcs1 \af1 \ltrch\fcs0 \cs22\v\f1\fs20\cf15\insrsid13660678\charrsid14691961 MNU[OPTLEFTAMACT][LEFTPROP]@CHOICE@AMACTMNU}{\rtlch\fcs1 \af0 \ltrch\fcs0 \insrsid13660678\charrsid14691961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3660678\charrsid14691961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13660678\charrsid14691961 #}{\rtlch\fcs1 \af1 \ltrch\fcs0 \cs22\v\f1\fs20\cf15\insrsid13660678\charrsid14691961 TESTO}{\rtlch\fcs1 \af0 \ltrch\fcs0 \insrsid13660678\charrsid14691961 #\cell #}{\rtlch\fcs1 \af1 \ltrch\fcs0 _x000d__x000a_\cs22\v\f1\fs20\cf15\insrsid13660678\charrsid14691961 TESTO}{\rtlch\fcs1 \af0 \ltrch\fcs0 \insrsid13660678\charrsid14691961 #}{\rtlch\fcs1 \af0\afs24 \ltrch\fcs0 \insrsid13660678\charrsid14691961 \cell }\pard\plain \ltrpar_x000d__x000a_\ql \li0\ri0\widctlpar\intbl\wrapdefault\aspalpha\aspnum\faauto\adjustright\rin0\lin0 \rtlch\fcs1 \af0\afs20\alang1025 \ltrch\fcs0 \fs24\lang2057\langfe2057\cgrid\langnp2057\langfenp2057 {\rtlch\fcs1 \af0 \ltrch\fcs0 _x000d__x000a_\lang1040\langfe2057\langnp1040\insrsid13660678\charrsid14691961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660678 \rtlch\fcs1 \af0\afs20\alang1025 \ltrch\fcs0 \i\fs24\lang1040\langfe2057\cgrid\langnp1040\langfenp2057 {\rtlch\fcs1 \af0 \ltrch\fcs0 _x000d__x000a_\cs17\i0\v\fs20\cf9\lang1024\langfe1024\loch\af1\hich\af1\dbch\af31501\noproof\insrsid13660678\charrsid14691961 \hich\af1\dbch\af31501\loch\f1 &lt;OptDel&gt;}{\rtlch\fcs1 \af0 \ltrch\fcs0 \insrsid13660678\charrsid14691961 #}{\rtlch\fcs1 \af1 \ltrch\fcs0 _x000d__x000a_\cs22\v\f1\fs20\cf15\insrsid13660678\charrsid14691961 MNU[CROSSREFNO][CROSSREFYES]@CHOICE@}{\rtlch\fcs1 \af0 \ltrch\fcs0 \insrsid13660678\charrsid14691961 #}{\rtlch\fcs1 \af0 \ltrch\fcs0 _x000d__x000a_\cs17\i0\v\fs20\cf9\lang1024\langfe1024\loch\af1\hich\af1\dbch\af31501\noproof\insrsid13660678\charrsid14691961 \hich\af1\dbch\af31501\loch\f1 &lt;/OptDel&gt;}{\rtlch\fcs1 \af0 \ltrch\fcs0 \insrsid13660678\charrsid14691961 _x000d__x000a_\par }\pard\plain \ltrpar\s23\qc \li0\ri0\sb240\sa240\keepn\nowidctlpar\wrapdefault\aspalpha\aspnum\faauto\adjustright\rin0\lin0\itap0\pararsid13660678 \rtlch\fcs1 \af0\afs20\alang1025 \ltrch\fcs0 \i\fs24\lang1040\langfe2057\cgrid\langnp1040\langfenp2057 {_x000d__x000a_\rtlch\fcs1 \af0 \ltrch\fcs0 \cs17\i0\v\fs20\cf9\lang1024\langfe1024\loch\af1\hich\af1\dbch\af31501\noproof\insrsid13660678\charrsid14691961 \hich\af1\dbch\af31501\loch\f1 &lt;TitreJust&gt;}{\rtlch\fcs1 \af0 \ltrch\fcs0 \insrsid13660678\charrsid14691961 _x000d__x000a_Motivazione}{\rtlch\fcs1 \af0 \ltrch\fcs0 \cs17\i0\v\fs20\cf9\lang1024\langfe1024\loch\af1\hich\af1\dbch\af31501\noproof\insrsid13660678\charrsid14691961 \hich\af1\dbch\af31501\loch\f1 &lt;/TitreJust&gt;}{\rtlch\fcs1 \af0 \ltrch\fcs0 _x000d__x000a_\insrsid13660678\charrsid14691961 _x000d__x000a_\par }\pard\plain \ltrpar\s20\ql \li0\ri0\sa240\nowidctlpar\wrapdefault\aspalpha\aspnum\faauto\adjustright\rin0\lin0\itap0\pararsid13660678 \rtlch\fcs1 \af0\afs20\alang1025 \ltrch\fcs0 \i\fs24\lang1040\langfe2057\cgrid\langnp1040\langfenp2057 {\rtlch\fcs1 _x000d__x000a_\af0 \ltrch\fcs0 \cs17\i0\v\fs20\cf9\lang1024\langfe1024\loch\af1\hich\af1\dbch\af31501\noproof\insrsid13660678\charrsid14691961 \hich\af1\dbch\af31501\loch\f1 &lt;OptDelPrev&gt;}{\rtlch\fcs1 \af0 \ltrch\fcs0 \insrsid13660678\charrsid14691961 #}{\rtlch\fcs1 _x000d__x000a_\af1 \ltrch\fcs0 \cs22\v\f1\fs20\cf15\insrsid13660678\charrsid14691961 MNU[TEXTJUSTYES][TEXTJUSTNO]@CHOICE@}{\rtlch\fcs1 \af0 \ltrch\fcs0 \insrsid13660678\charrsid14691961 #}{\rtlch\fcs1 \af0 \ltrch\fcs0 _x000d__x000a_\cs17\i0\v\fs20\cf9\lang1024\langfe1024\loch\af1\hich\af1\dbch\af31501\noproof\insrsid13660678\charrsid14691961 \hich\af1\dbch\af31501\loch\f1 &lt;/OptDelPrev&gt;}{\rtlch\fcs1 \af0 \ltrch\fcs0 \insrsid13660678\charrsid14691961 _x000d__x000a_\par }\pard\plain \ltrpar\ql \li0\ri0\widctlpar\wrapdefault\aspalpha\aspnum\faauto\adjustright\rin0\lin0\itap0\pararsid13660678 \rtlch\fcs1 \af0\afs20\alang1025 \ltrch\fcs0 \fs24\lang2057\langfe2057\cgrid\langnp2057\langfenp2057 {\rtlch\fcs1 \af0 \ltrch\fcs0 _x000d__x000a_\cs17\v\fs20\cf9\lang1024\langfe1024\loch\af1\hich\af1\dbch\af31501\noproof\langnp1040\insrsid13660678\charrsid14691961 \hich\af1\dbch\af31501\loch\f1 &lt;/AmendB&gt;}{\rtlch\fcs1 \af0 \ltrch\fcs0 \insrsid1366067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e_x000d__x000a_68af46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587 HideTWBExt;}{_x000d__x000a_\s18\ql \li0\ri0\sa120\nowidctlpar\wrapdefault\aspalpha\aspnum\faauto\adjustright\rin0\lin0\itap0 \rtlch\fcs1 \af0\afs20\alang1025 \ltrch\fcs0 \fs24\lang2057\langfe2057\cgrid\langnp2057\langfenp2057 \sbasedon0 \snext18 \spriority0 \styrsid1068587 _x000d__x000a_Normal6a;}{\s19\ql \li0\ri0\nowidctlpar\wrapdefault\aspalpha\aspnum\faauto\adjustright\rin0\lin0\itap0 \rtlch\fcs1 \af0\afs20\alang1025 \ltrch\fcs0 \b\fs24\lang2057\langfe2057\cgrid\langnp2057\langfenp2057 \sbasedon0 \snext19 \spriority0 \styrsid1068587 _x000d__x000a_NormalBold;}{\s20\qc \li0\ri0\sa240\nowidctlpar\wrapdefault\aspalpha\aspnum\faauto\adjustright\rin0\lin0\itap0 \rtlch\fcs1 \af0\afs20\alang1025 \ltrch\fcs0 \i\fs24\lang2057\langfe2057\cgrid\langnp2057\langfenp2057 _x000d__x000a_\sbasedon0 \snext20 \spriority0 \styrsid106858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68587 AmNumberTabs;}{\s22\ql \li0\ri0\sb240\nowidctlpar\wrapdefault\aspalpha\aspnum\faauto\adjustright\rin0\lin0\itap0 \rtlch\fcs1 _x000d__x000a_\af0\afs20\alang1025 \ltrch\fcs0 \b\fs24\lang2057\langfe2057\cgrid\langnp2057\langfenp2057 \sbasedon0 \snext22 \spriority0 \styrsid1068587 NormalBold12b;}}{\*\rsidtbl \rsid24658\rsid223860\rsid735077\rsid1068587\rsid1718133\rsid2892074\rsid3565327_x000d__x000a_\rsid4666813\rsid6641733\rsid7823322\rsid9636012\rsid10377208\rsid11215221\rsid11549030\rsid12154954\rsid13646666\rsid14382809\rsid14424199\rsid15204470\rsid15285974\rsid15950462\rsid16324206\rsid16662270}{\mmathPr\mmathFont34\mbrkBin0\mbrkBinSub0_x000d__x000a_\msmallFrac0\mdispDef1\mlMargin0\mrMargin0\mdefJc1\mwrapIndent1440\mintLim0\mnaryLim1}{\info{\author MUSIO Cristina}{\operator MUSIO Cristina}{\creatim\yr2023\mo11\dy3\hr12\min12}{\revtim\yr2023\mo11\dy3\hr12\min12}{\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587\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13646666 \chftnsep _x000d__x000a_\par }}{\*\ftnsepc \ltrpar \pard\plain \ltrpar\ql \li0\ri0\widctlpar\wrapdefault\aspalpha\aspnum\faauto\adjustright\rin0\lin0\itap0 \rtlch\fcs1 \af0\afs20\alang1025 \ltrch\fcs0 \fs24\lang2057\langfe2057\cgrid\langnp2057\langfenp2057 {\rtlch\fcs1 \af0 _x000d__x000a_\ltrch\fcs0 \insrsid13646666 \chftnsepc _x000d__x000a_\par }}{\*\aftnsep \ltrpar \pard\plain \ltrpar\ql \li0\ri0\widctlpar\wrapdefault\aspalpha\aspnum\faauto\adjustright\rin0\lin0\itap0 \rtlch\fcs1 \af0\afs20\alang1025 \ltrch\fcs0 \fs24\lang2057\langfe2057\cgrid\langnp2057\langfenp2057 {\rtlch\fcs1 \af0 _x000d__x000a_\ltrch\fcs0 \insrsid13646666 \chftnsep _x000d__x000a_\par }}{\*\aftnsepc \ltrpar \pard\plain \ltrpar\ql \li0\ri0\widctlpar\wrapdefault\aspalpha\aspnum\faauto\adjustright\rin0\lin0\itap0 \rtlch\fcs1 \af0\afs20\alang1025 \ltrch\fcs0 \fs24\lang2057\langfe2057\cgrid\langnp2057\langfenp2057 {\rtlch\fcs1 \af0 _x000d__x000a_\ltrch\fcs0 \insrsid1364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68587 \rtlch\fcs1 _x000d__x000a_\af0\afs20\alang1025 \ltrch\fcs0 \b\fs24\lang2057\langfe2057\cgrid\langnp2057\langfenp2057 {\rtlch\fcs1 \af0 \ltrch\fcs0 \cs17\b0\v\fs20\cf9\lang1024\langfe1024\loch\af1\hich\af1\dbch\af31501\noproof\insrsid1068587\charrsid15879488 {\*\bkmkstart restartA}_x000d__x000a_\hich\af1\dbch\af31501\loch\f1 &lt;AmendA&gt;}{\rtlch\fcs1 \af0 \ltrch\fcs0 \insrsid1068587\charrsid15879488 [ZAMENDMENT]\tab \tab }{\rtlch\fcs1 \af0 \ltrch\fcs0 _x000d__x000a_\cs17\b0\v\fs20\cf9\lang1024\langfe1024\loch\af1\hich\af1\dbch\af31501\noproof\insrsid1068587\charrsid15879488 \hich\af1\dbch\af31501\loch\f1 &lt;NumAmA&gt;}{\rtlch\fcs1 \af0 \ltrch\fcs0 \insrsid1068587\charrsid15879488 [ZNRAM]}{\rtlch\fcs1 \af0 \ltrch\fcs0 _x000d__x000a_\cs17\b0\v\fs20\cf9\lang1024\langfe1024\loch\af1\hich\af1\dbch\af31501\noproof\insrsid1068587\charrsid15879488 \hich\af1\dbch\af31501\loch\f1 &lt;/NumAmA&gt;}{\rtlch\fcs1 \af0 \ltrch\fcs0 \insrsid1068587\charrsid15879488 _x000d__x000a_\par }\pard\plain \ltrpar\s22\ql \li0\ri0\sb240\keepn\nowidctlpar\wrapdefault\aspalpha\aspnum\faauto\adjustright\rin0\lin0\itap0\pararsid1068587 \rtlch\fcs1 \af0\afs20\alang1025 \ltrch\fcs0 \b\fs24\lang2057\langfe2057\cgrid\langnp2057\langfenp2057 {_x000d__x000a_\rtlch\fcs1 \af0 \ltrch\fcs0 \cs17\b0\v\fs20\cf9\lang1024\langfe1024\loch\af1\hich\af1\dbch\af31501\noproof\langnp1036\insrsid1068587\charrsid11356624 \hich\af1\dbch\af31501\loch\f1 &lt;DocAmend&gt;}{\rtlch\fcs1 \af0 \ltrch\fcs0 _x000d__x000a_\lang1036\langfe2057\langnp1036\insrsid1068587\charrsid11356624 [ZRESOLUTION]}{\rtlch\fcs1 \af0 \ltrch\fcs0 \cs17\b0\v\fs20\cf9\lang1024\langfe1024\loch\af1\hich\af1\dbch\af31501\noproof\langnp1036\insrsid1068587\charrsid11356624 _x000d__x000a_\hich\af1\dbch\af31501\loch\f1 &lt;/DocAmend&gt;}{\rtlch\fcs1 \af0 \ltrch\fcs0 \lang1036\langfe2057\langnp1036\insrsid1068587\charrsid11356624 _x000d__x000a_\par }\pard\plain \ltrpar\s19\ql \li0\ri0\nowidctlpar\wrapdefault\aspalpha\aspnum\faauto\adjustright\rin0\lin0\itap0\pararsid1068587 \rtlch\fcs1 \af0\afs20\alang1025 \ltrch\fcs0 \b\fs24\lang2057\langfe2057\cgrid\langnp2057\langfenp2057 {\rtlch\fcs1 \af0 _x000d__x000a_\ltrch\fcs0 \cs17\b0\v\fs20\cf9\lang1024\langfe1024\loch\af1\hich\af1\dbch\af31501\noproof\langnp1036\insrsid1068587\charrsid11356624 \hich\af1\dbch\af31501\loch\f1 &lt;Article&gt;}{\rtlch\fcs1 \af0 \ltrch\fcs0 _x000d__x000a_\lang1036\langfe2057\langnp1036\insrsid1068587\charrsid11356624 [ZRESPART]}{\rtlch\fcs1 \af0 \ltrch\fcs0 \cs17\b0\v\fs20\cf9\lang1024\langfe1024\loch\af1\hich\af1\dbch\af31501\noproof\langnp1036\insrsid1068587\charrsid11356624 _x000d__x000a_\hich\af1\dbch\af31501\loch\f1 &lt;/Article&gt;}{\rtlch\fcs1 \af0 \ltrch\fcs0 \lang1036\langfe2057\langnp1036\insrsid106858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68587\charrsid11356624 \cell }\pard \ltrpar_x000d__x000a_\ql \li0\ri0\widctlpar\intbl\wrapdefault\aspalpha\aspnum\faauto\adjustright\rin0\lin0 {\rtlch\fcs1 \af0 \ltrch\fcs0 \insrsid106858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68587\charrsid15879488 [ZLEFTA]\cell [ZRIGHT]\cell }\pard\plain \ltrpar\ql \li0\ri0\widctlpar\intbl\wrapdefault\aspalpha\aspnum\faauto\adjustright\rin0\lin0 _x000d__x000a_\rtlch\fcs1 \af0\afs20\alang1025 \ltrch\fcs0 \fs24\lang2057\langfe2057\cgrid\langnp2057\langfenp2057 {\rtlch\fcs1 \af0 \ltrch\fcs0 \insrsid106858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8587\charrsid15879488 [ZTEXTL]\cell [ZTEXTR]}{\rtlch\fcs1 \af0\afs24 \ltrch\fcs0 \insrsid1068587\charrsid15879488 \cell }\pard\plain \ltrpar\ql \li0\ri0\widctlpar\intbl\wrapdefault\aspalpha\aspnum\faauto\adjustright\rin0\lin0 \rtlch\fcs1 _x000d__x000a_\af0\afs20\alang1025 \ltrch\fcs0 \fs24\lang2057\langfe2057\cgrid\langnp2057\langfenp2057 {\rtlch\fcs1 \af0 \ltrch\fcs0 \insrsid106858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68587 {\rtlch\fcs1 \af0 \ltrch\fcs0 \cs17\v\fs20\cf9\lang1024\langfe1024\loch\af1\hich\af1\dbch\af31501\noproof\insrsid1068587\charrsid15879488 _x000d__x000a_\hich\af1\dbch\af31501\loch\f1 &lt;/AmendA&gt;}{\rtlch\fcs1 \af0 \ltrch\fcs0 \insrsid106858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2_x000d__x000a_26b246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78178 HideTWBExt;}{_x000d__x000a_\s18\ql \li0\ri0\sa120\nowidctlpar\wrapdefault\aspalpha\aspnum\faauto\adjustright\rin0\lin0\itap0 \rtlch\fcs1 \af0\afs20\alang1025 \ltrch\fcs0 \fs24\lang2057\langfe2057\cgrid\langnp2057\langfenp2057 \sbasedon0 \snext18 \spriority0 \styrsid13778178 _x000d__x000a_Normal6a;}{\s19\ql \li0\ri0\nowidctlpar\wrapdefault\aspalpha\aspnum\faauto\adjustright\rin0\lin0\itap0 \rtlch\fcs1 \af0\afs20\alang1025 \ltrch\fcs0 \b\fs24\lang2057\langfe2057\cgrid\langnp2057\langfenp2057 \sbasedon0 \snext19 \spriority0 \styrsid13778178 _x000d__x000a_NormalBold;}{\s20\ql \li0\ri0\sa240\nowidctlpar\wrapdefault\aspalpha\aspnum\faauto\adjustright\rin0\lin0\itap0 \rtlch\fcs1 \af0\afs20\alang1025 \ltrch\fcs0 \i\fs24\lang2057\langfe2057\cgrid\langnp2057\langfenp2057 _x000d__x000a_\sbasedon0 \snext20 \spriority0 \styrsid13778178 AmJustText;}{\s21\qc \li0\ri0\sb240\sa240\nowidctlpar\wrapdefault\aspalpha\aspnum\faauto\adjustright\rin0\lin0\itap0 \rtlch\fcs1 \af0\afs20\alang1025 \ltrch\fcs0 _x000d__x000a_\i\fs24\lang2057\langfe2057\cgrid\langnp2057\langfenp2057 \sbasedon0 \snext21 \spriority0 \styrsid13778178 AmCrossRef;}{\s22\qc \li0\ri0\sb240\sa240\keepn\nowidctlpar\wrapdefault\aspalpha\aspnum\faauto\adjustright\rin0\lin0\itap0 \rtlch\fcs1 _x000d__x000a_\af0\afs20\alang1025 \ltrch\fcs0 \i\fs24\lang2057\langfe2057\cgrid\langnp2057\langfenp2057 \sbasedon0 \snext20 \spriority0 \styrsid13778178 AmJustTitle;}{\s23\qc \li0\ri0\sa240\nowidctlpar\wrapdefault\aspalpha\aspnum\faauto\adjustright\rin0\lin0\itap0 _x000d__x000a_\rtlch\fcs1 \af0\afs20\alang1025 \ltrch\fcs0 \i\fs24\lang2057\langfe2057\cgrid\langnp2057\langfenp2057 \sbasedon0 \snext23 \spriority0 \styrsid1377817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778178 AmNumberTabs;}{\s25\ql \li0\ri0\sb240\nowidctlpar\wrapdefault\aspalpha\aspnum\faauto\adjustright\rin0\lin0\itap0 \rtlch\fcs1 _x000d__x000a_\af0\afs20\alang1025 \ltrch\fcs0 \b\fs24\lang2057\langfe2057\cgrid\langnp2057\langfenp2057 \sbasedon0 \snext25 \spriority0 \styrsid13778178 NormalBold12b;}}{\*\rsidtbl \rsid24658\rsid223860\rsid735077\rsid1718133\rsid2892074\rsid3565327\rsid4666813_x000d__x000a_\rsid6641733\rsid7823322\rsid9636012\rsid10377208\rsid11215221\rsid11549030\rsid12154954\rsid13778178\rsid14382809\rsid14424199\rsid14956602\rsid15204470\rsid15285974\rsid15950462\rsid16324206\rsid16662270}{\mmathPr\mmathFont34\mbrkBin0\mbrkBinSub0_x000d__x000a_\msmallFrac0\mdispDef1\mlMargin0\mrMargin0\mdefJc1\mwrapIndent1440\mintLim0\mnaryLim1}{\info{\author MUSIO Cristina}{\operator MUSIO Cristina}{\creatim\yr2023\mo11\dy3\hr12\min13}{\revtim\yr2023\mo11\dy3\hr12\min13}{\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8178\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14956602 \chftnsep _x000d__x000a_\par }}{\*\ftnsepc \ltrpar \pard\plain \ltrpar\ql \li0\ri0\widctlpar\wrapdefault\aspalpha\aspnum\faauto\adjustright\rin0\lin0\itap0 \rtlch\fcs1 \af0\afs20\alang1025 \ltrch\fcs0 \fs24\lang2057\langfe2057\cgrid\langnp2057\langfenp2057 {\rtlch\fcs1 \af0 _x000d__x000a_\ltrch\fcs0 \insrsid14956602 \chftnsepc _x000d__x000a_\par }}{\*\aftnsep \ltrpar \pard\plain \ltrpar\ql \li0\ri0\widctlpar\wrapdefault\aspalpha\aspnum\faauto\adjustright\rin0\lin0\itap0 \rtlch\fcs1 \af0\afs20\alang1025 \ltrch\fcs0 \fs24\lang2057\langfe2057\cgrid\langnp2057\langfenp2057 {\rtlch\fcs1 \af0 _x000d__x000a_\ltrch\fcs0 \insrsid14956602 \chftnsep _x000d__x000a_\par }}{\*\aftnsepc \ltrpar \pard\plain \ltrpar\ql \li0\ri0\widctlpar\wrapdefault\aspalpha\aspnum\faauto\adjustright\rin0\lin0\itap0 \rtlch\fcs1 \af0\afs20\alang1025 \ltrch\fcs0 \fs24\lang2057\langfe2057\cgrid\langnp2057\langfenp2057 {\rtlch\fcs1 \af0 _x000d__x000a_\ltrch\fcs0 \insrsid149566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778178 \rtlch\fcs1 _x000d__x000a_\af0\afs20\alang1025 \ltrch\fcs0 \b\fs24\lang2057\langfe2057\cgrid\langnp2057\langfenp2057 {\rtlch\fcs1 \af0 \ltrch\fcs0 \cs17\b0\v\fs20\cf9\lang1024\langfe1024\loch\af1\hich\af1\dbch\af31501\noproof\insrsid13778178\charrsid15879488 {\*\bkmkstart restartB_x000d__x000a_}\hich\af1\dbch\af31501\loch\f1 &lt;AmendB&gt;}{\rtlch\fcs1 \af0 \ltrch\fcs0 \insrsid13778178\charrsid15879488 [ZAMENDMENT]\tab \tab }{\rtlch\fcs1 \af0 \ltrch\fcs0 _x000d__x000a_\cs17\b0\v\fs20\cf9\lang1024\langfe1024\loch\af1\hich\af1\dbch\af31501\noproof\insrsid13778178\charrsid15879488 \hich\af1\dbch\af31501\loch\f1 &lt;NumAmB&gt;}{\rtlch\fcs1 \af0 \ltrch\fcs0 \insrsid13778178\charrsid15879488 [ZNRAM]}{\rtlch\fcs1 \af0 \ltrch\fcs0 _x000d__x000a_\cs17\b0\v\fs20\cf9\lang1024\langfe1024\loch\af1\hich\af1\dbch\af31501\noproof\insrsid13778178\charrsid15879488 \hich\af1\dbch\af31501\loch\f1 &lt;/NumAmB&gt;}{\rtlch\fcs1 \af0 \ltrch\fcs0 \insrsid13778178\charrsid15879488 _x000d__x000a_\par }\pard\plain \ltrpar\s25\ql \li0\ri0\sb240\keepn\nowidctlpar\wrapdefault\aspalpha\aspnum\faauto\adjustright\rin0\lin0\itap0\pararsid13778178 \rtlch\fcs1 \af0\afs20\alang1025 \ltrch\fcs0 \b\fs24\lang2057\langfe2057\cgrid\langnp2057\langfenp2057 {_x000d__x000a_\rtlch\fcs1 \af0 \ltrch\fcs0 \cs17\b0\v\fs20\cf9\lang1024\langfe1024\loch\af1\hich\af1\dbch\af31501\noproof\insrsid13778178\charrsid15879488 \hich\af1\dbch\af31501\loch\f1 &lt;DocAmend&gt;}{\rtlch\fcs1 \af0 \ltrch\fcs0 \insrsid13778178\charrsid15879488 _x000d__x000a_[ZPROPOSAL][ZAMACT]}{\rtlch\fcs1 \af0 \ltrch\fcs0 \cs17\b0\v\fs20\cf9\lang1024\langfe1024\loch\af1\hich\af1\dbch\af31501\noproof\insrsid13778178\charrsid15879488 \hich\af1\dbch\af31501\loch\f1 &lt;/DocAmend&gt;}{\rtlch\fcs1 \af0 \ltrch\fcs0 _x000d__x000a_\insrsid13778178\charrsid15879488 _x000d__x000a_\par }\pard\plain \ltrpar\s19\ql \li0\ri0\keepn\nowidctlpar\wrapdefault\aspalpha\aspnum\faauto\adjustright\rin0\lin0\itap0\pararsid13778178 \rtlch\fcs1 \af0\afs20\alang1025 \ltrch\fcs0 \b\fs24\lang2057\langfe2057\cgrid\langnp2057\langfenp2057 {\rtlch\fcs1 _x000d__x000a_\af0 \ltrch\fcs0 \cs17\b0\v\fs20\cf9\lang1024\langfe1024\loch\af1\hich\af1\dbch\af31501\noproof\insrsid13778178\charrsid15879488 \hich\af1\dbch\af31501\loch\f1 &lt;Article&gt;}{\rtlch\fcs1 \af0 \ltrch\fcs0 \insrsid13778178\charrsid15879488 [ZAMPART]}{_x000d__x000a_\rtlch\fcs1 \af0 \ltrch\fcs0 \cs17\b0\v\fs20\cf9\lang1024\langfe1024\loch\af1\hich\af1\dbch\af31501\noproof\insrsid13778178\charrsid15879488 \hich\af1\dbch\af31501\loch\f1 &lt;/Article&gt;}{\rtlch\fcs1 \af0 \ltrch\fcs0 \insrsid13778178\charrsid15879488 _x000d__x000a_\par }\pard\plain \ltrpar\ql \li0\ri0\keepn\widctlpar\wrapdefault\aspalpha\aspnum\faauto\adjustright\rin0\lin0\itap0\pararsid13778178 \rtlch\fcs1 \af0\afs20\alang1025 \ltrch\fcs0 \fs24\lang2057\langfe2057\cgrid\langnp2057\langfenp2057 {\rtlch\fcs1 \af0 _x000d__x000a_\ltrch\fcs0 \cs17\v\fs20\cf9\lang1024\langfe1024\loch\af1\hich\af1\dbch\af31501\noproof\insrsid13778178\charrsid15879488 \hich\af1\dbch\af31501\loch\f1 &lt;DocAmend2&gt;&lt;OptDel&gt;}{\rtlch\fcs1 \af0 \ltrch\fcs0 \insrsid13778178\charrsid15879488 [ZNRACT]}{_x000d__x000a_\rtlch\fcs1 \af0 \ltrch\fcs0 \cs17\v\fs20\cf9\lang1024\langfe1024\loch\af1\hich\af1\dbch\af31501\noproof\insrsid13778178\charrsid15879488 \hich\af1\dbch\af31501\loch\f1 &lt;/OptDel&gt;&lt;/DocAmend2&gt;}{\rtlch\fcs1 \af0 \ltrch\fcs0 \insrsid13778178\charrsid15879488 _x000d__x000a__x000d__x000a_\par }\pard \ltrpar\ql \li0\ri0\widctlpar\wrapdefault\aspalpha\aspnum\faauto\adjustright\rin0\lin0\itap0\pararsid13778178 {\rtlch\fcs1 \af0 \ltrch\fcs0 _x000d__x000a_\cs17\v\fs20\cf9\lang1024\langfe1024\loch\af1\hich\af1\dbch\af31501\noproof\langnp1036\insrsid13778178\charrsid11356624 \hich\af1\dbch\af31501\loch\f1 &lt;Article2&gt;&lt;OptDel&gt;}{\rtlch\fcs1 \af0 \ltrch\fcs0 _x000d__x000a_\lang1036\langfe2057\langnp1036\insrsid13778178\charrsid11356624 [ZACTPART]}{\rtlch\fcs1 \af0 \ltrch\fcs0 \cs17\v\fs20\cf9\lang1024\langfe1024\loch\af1\hich\af1\dbch\af31501\noproof\langnp1036\insrsid13778178\charrsid11356624 _x000d__x000a_\hich\af1\dbch\af31501\loch\f1 &lt;/OptDel&gt;&lt;/Article2&gt;}{\rtlch\fcs1 \af0 \ltrch\fcs0 \lang1036\langfe2057\langnp1036\insrsid1377817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778178\charrsid11356624 \cell }\pard \ltrpar\ql \li0\ri0\widctlpar\intbl\wrapdefault\aspalpha\aspnum\faauto\adjustright\rin0\lin0 {\rtlch\fcs1 \af0 \ltrch\fcs0 \insrsid1377817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778178\charrsid15879488 [ZLEFTB]\cell [ZRIGHT]\cell }\pard\plain \ltrpar\ql \li0\ri0\widctlpar\intbl\wrapdefault\aspalpha\aspnum\faauto\adjustright\rin0\lin0 \rtlch\fcs1 \af0\afs20\alang1025 \ltrch\fcs0 _x000d__x000a_\fs24\lang2057\langfe2057\cgrid\langnp2057\langfenp2057 {\rtlch\fcs1 \af0 \ltrch\fcs0 \insrsid1377817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778178\charrsid15879488 [ZTEXTL]\cell [ZTEXTR]}{\rtlch\fcs1 \af0\afs24 \ltrch\fcs0 \insrsid13778178\charrsid15879488 \cell }\pard\plain \ltrpar\ql \li0\ri0\widctlpar\intbl\wrapdefault\aspalpha\aspnum\faauto\adjustright\rin0\lin0 \rtlch\fcs1 _x000d__x000a_\af0\afs20\alang1025 \ltrch\fcs0 \fs24\lang2057\langfe2057\cgrid\langnp2057\langfenp2057 {\rtlch\fcs1 \af0 \ltrch\fcs0 \insrsid1377817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778178 \rtlch\fcs1 \af0\afs20\alang1025 \ltrch\fcs0 \i\fs24\lang2057\langfe2057\cgrid\langnp2057\langfenp2057 {\rtlch\fcs1 \af0 \ltrch\fcs0 _x000d__x000a_\cs17\i0\v\fs20\cf9\lang1024\langfe1024\loch\af1\hich\af1\dbch\af31501\noproof\insrsid13778178\charrsid15879488 \hich\af1\dbch\af31501\loch\f1 &lt;OptDel&gt;}{\rtlch\fcs1 \af0 \ltrch\fcs0 \insrsid13778178\charrsid15879488 [ZCROSSREF]}{\rtlch\fcs1 \af0 _x000d__x000a_\ltrch\fcs0 \cs17\i0\v\fs20\cf9\lang1024\langfe1024\loch\af1\hich\af1\dbch\af31501\noproof\insrsid13778178\charrsid15879488 \hich\af1\dbch\af31501\loch\f1 &lt;/OptDel&gt;}{\rtlch\fcs1 \af0 \ltrch\fcs0 \insrsid13778178\charrsid15879488 _x000d__x000a_\par }\pard\plain \ltrpar\s22\qc \li0\ri0\sb240\sa240\keepn\nowidctlpar\wrapdefault\aspalpha\aspnum\faauto\adjustright\rin0\lin0\itap0\pararsid13778178 \rtlch\fcs1 \af0\afs20\alang1025 \ltrch\fcs0 \i\fs24\lang2057\langfe2057\cgrid\langnp2057\langfenp2057 {_x000d__x000a_\rtlch\fcs1 \af0 \ltrch\fcs0 \cs17\i0\v\fs20\cf9\lang1024\langfe1024\loch\af1\hich\af1\dbch\af31501\noproof\insrsid13778178\charrsid15879488 \hich\af1\dbch\af31501\loch\f1 &lt;TitreJust&gt;}{\rtlch\fcs1 \af0 \ltrch\fcs0 \insrsid13778178\charrsid15879488 _x000d__x000a_[ZJUSTIFICATION]}{\rtlch\fcs1 \af0 \ltrch\fcs0 \cs17\i0\v\fs20\cf9\lang1024\langfe1024\loch\af1\hich\af1\dbch\af31501\noproof\insrsid13778178\charrsid15879488 \hich\af1\dbch\af31501\loch\f1 &lt;/TitreJust&gt;}{\rtlch\fcs1 \af0 \ltrch\fcs0 _x000d__x000a_\insrsid13778178\charrsid15879488 _x000d__x000a_\par }\pard\plain \ltrpar\s20\ql \li0\ri0\sa240\nowidctlpar\wrapdefault\aspalpha\aspnum\faauto\adjustright\rin0\lin0\itap0\pararsid13778178 \rtlch\fcs1 \af0\afs20\alang1025 \ltrch\fcs0 \i\fs24\lang2057\langfe2057\cgrid\langnp2057\langfenp2057 {\rtlch\fcs1 _x000d__x000a_\af0 \ltrch\fcs0 \cs17\i0\v\fs20\cf9\lang1024\langfe1024\loch\af1\hich\af1\dbch\af31501\noproof\insrsid13778178\charrsid15879488 \hich\af1\dbch\af31501\loch\f1 &lt;OptDelPrev&gt;}{\rtlch\fcs1 \af0 \ltrch\fcs0 \insrsid13778178\charrsid15879488 [ZTEXTJUST]}{_x000d__x000a_\rtlch\fcs1 \af0 \ltrch\fcs0 \cs17\i0\v\fs20\cf9\lang1024\langfe1024\loch\af1\hich\af1\dbch\af31501\noproof\insrsid13778178\charrsid15879488 \hich\af1\dbch\af31501\loch\f1 &lt;/OptDelPrev&gt;}{\rtlch\fcs1 \af0 \ltrch\fcs0 \insrsid13778178\charrsid15879488 _x000d__x000a__x000d__x000a_\par }\pard\plain \ltrpar\ql \li0\ri0\widctlpar\wrapdefault\aspalpha\aspnum\faauto\adjustright\rin0\lin0\itap0\pararsid13778178 \rtlch\fcs1 \af0\afs20\alang1025 \ltrch\fcs0 \fs24\lang2057\langfe2057\cgrid\langnp2057\langfenp2057 {\rtlch\fcs1 \af0 \ltrch\fcs0 _x000d__x000a_\cs17\v\fs20\cf9\lang1024\langfe1024\loch\af1\hich\af1\dbch\af31501\noproof\insrsid13778178\charrsid15879488 \hich\af1\dbch\af31501\loch\f1 &lt;/AmendB&gt;}{\rtlch\fcs1 \af0 \ltrch\fcs0 \insrsid1377817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d_x000d__x000a_c8b446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XTLANGUE" w:val="IT"/>
    <w:docVar w:name="TXTLANGUEMIN" w:val="it"/>
    <w:docVar w:name="TXTNRC" w:val="0150/2023"/>
    <w:docVar w:name="TXTNRCOM" w:val="(2023)0240"/>
    <w:docVar w:name="TXTNRPE" w:val="752.621"/>
    <w:docVar w:name="TXTNRPROC" w:val="2023/0138"/>
    <w:docVar w:name="TXTPEorAP" w:val="PE"/>
    <w:docVar w:name="TXTROUTE" w:val="AD\1288324IT.docx"/>
    <w:docVar w:name="TXTVERSION" w:val="02-00"/>
  </w:docVars>
  <w:rsids>
    <w:rsidRoot w:val="00E02E79"/>
    <w:rsid w:val="0000442C"/>
    <w:rsid w:val="00026559"/>
    <w:rsid w:val="00027FA8"/>
    <w:rsid w:val="0004474F"/>
    <w:rsid w:val="000626BE"/>
    <w:rsid w:val="00082EC4"/>
    <w:rsid w:val="000D44A6"/>
    <w:rsid w:val="00122C05"/>
    <w:rsid w:val="00134974"/>
    <w:rsid w:val="00141CD7"/>
    <w:rsid w:val="00147FBF"/>
    <w:rsid w:val="001616BD"/>
    <w:rsid w:val="00180265"/>
    <w:rsid w:val="001820A9"/>
    <w:rsid w:val="001845D0"/>
    <w:rsid w:val="001A0556"/>
    <w:rsid w:val="001B0A1E"/>
    <w:rsid w:val="001C0886"/>
    <w:rsid w:val="001C1747"/>
    <w:rsid w:val="001D5154"/>
    <w:rsid w:val="001E3AC4"/>
    <w:rsid w:val="0020077A"/>
    <w:rsid w:val="00207509"/>
    <w:rsid w:val="0023131B"/>
    <w:rsid w:val="002A67EE"/>
    <w:rsid w:val="002D23D0"/>
    <w:rsid w:val="00304EA8"/>
    <w:rsid w:val="00341A99"/>
    <w:rsid w:val="00360FAA"/>
    <w:rsid w:val="0038294E"/>
    <w:rsid w:val="003858C5"/>
    <w:rsid w:val="003A2F84"/>
    <w:rsid w:val="003B2D98"/>
    <w:rsid w:val="003C7390"/>
    <w:rsid w:val="003E1280"/>
    <w:rsid w:val="003F128E"/>
    <w:rsid w:val="0040055C"/>
    <w:rsid w:val="00487596"/>
    <w:rsid w:val="004A71CB"/>
    <w:rsid w:val="004B3A53"/>
    <w:rsid w:val="004C2A0D"/>
    <w:rsid w:val="004F1D2F"/>
    <w:rsid w:val="00502B76"/>
    <w:rsid w:val="00513F6F"/>
    <w:rsid w:val="00522B51"/>
    <w:rsid w:val="00524707"/>
    <w:rsid w:val="005539B7"/>
    <w:rsid w:val="00571233"/>
    <w:rsid w:val="005B7D8C"/>
    <w:rsid w:val="00613134"/>
    <w:rsid w:val="00626D52"/>
    <w:rsid w:val="00643DA8"/>
    <w:rsid w:val="00654F07"/>
    <w:rsid w:val="00657D5C"/>
    <w:rsid w:val="00683DD1"/>
    <w:rsid w:val="00691B1C"/>
    <w:rsid w:val="006A0F0A"/>
    <w:rsid w:val="006A48AA"/>
    <w:rsid w:val="006B1267"/>
    <w:rsid w:val="006B423D"/>
    <w:rsid w:val="006D292E"/>
    <w:rsid w:val="00712462"/>
    <w:rsid w:val="00716BAA"/>
    <w:rsid w:val="0078548A"/>
    <w:rsid w:val="007872CE"/>
    <w:rsid w:val="007B7CE3"/>
    <w:rsid w:val="007F187F"/>
    <w:rsid w:val="00817D13"/>
    <w:rsid w:val="00820C7D"/>
    <w:rsid w:val="00825730"/>
    <w:rsid w:val="00833D11"/>
    <w:rsid w:val="00836FD3"/>
    <w:rsid w:val="008375A8"/>
    <w:rsid w:val="00872A52"/>
    <w:rsid w:val="00876A73"/>
    <w:rsid w:val="0089388A"/>
    <w:rsid w:val="008A4658"/>
    <w:rsid w:val="008C195E"/>
    <w:rsid w:val="008F3DB0"/>
    <w:rsid w:val="00904864"/>
    <w:rsid w:val="009052FE"/>
    <w:rsid w:val="009215FC"/>
    <w:rsid w:val="00924555"/>
    <w:rsid w:val="009368B3"/>
    <w:rsid w:val="00982B83"/>
    <w:rsid w:val="009857B4"/>
    <w:rsid w:val="0099178F"/>
    <w:rsid w:val="009E7319"/>
    <w:rsid w:val="00A71228"/>
    <w:rsid w:val="00A71F47"/>
    <w:rsid w:val="00A74E25"/>
    <w:rsid w:val="00AC2A60"/>
    <w:rsid w:val="00AD49D0"/>
    <w:rsid w:val="00B00EE6"/>
    <w:rsid w:val="00B40447"/>
    <w:rsid w:val="00B476DC"/>
    <w:rsid w:val="00B556CD"/>
    <w:rsid w:val="00B62D4B"/>
    <w:rsid w:val="00B735E3"/>
    <w:rsid w:val="00B904FA"/>
    <w:rsid w:val="00BA3E40"/>
    <w:rsid w:val="00BD1F76"/>
    <w:rsid w:val="00BD7215"/>
    <w:rsid w:val="00BE20CF"/>
    <w:rsid w:val="00C22327"/>
    <w:rsid w:val="00C26D40"/>
    <w:rsid w:val="00C335C6"/>
    <w:rsid w:val="00C36610"/>
    <w:rsid w:val="00C4219C"/>
    <w:rsid w:val="00C52A28"/>
    <w:rsid w:val="00C56375"/>
    <w:rsid w:val="00C709B7"/>
    <w:rsid w:val="00C75E98"/>
    <w:rsid w:val="00C81C5B"/>
    <w:rsid w:val="00C83B35"/>
    <w:rsid w:val="00C85D0F"/>
    <w:rsid w:val="00D25CF2"/>
    <w:rsid w:val="00D56CE0"/>
    <w:rsid w:val="00D6254D"/>
    <w:rsid w:val="00D67D0A"/>
    <w:rsid w:val="00D74FD1"/>
    <w:rsid w:val="00D943A5"/>
    <w:rsid w:val="00D9581F"/>
    <w:rsid w:val="00DB56E4"/>
    <w:rsid w:val="00E02E79"/>
    <w:rsid w:val="00E27F01"/>
    <w:rsid w:val="00E6655E"/>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813F56-74B1-4560-B171-E0244370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link w:val="NormalBold"/>
    <w:locked/>
    <w:rsid w:val="00180265"/>
    <w:rPr>
      <w:b/>
      <w:sz w:val="24"/>
      <w:lang w:val="it-IT"/>
    </w:rPr>
  </w:style>
  <w:style w:type="character" w:customStyle="1" w:styleId="FooterChar">
    <w:name w:val="Footer Char"/>
    <w:basedOn w:val="DefaultParagraphFont"/>
    <w:link w:val="Footer"/>
    <w:rsid w:val="00180265"/>
    <w:rPr>
      <w:sz w:val="22"/>
    </w:rPr>
  </w:style>
  <w:style w:type="paragraph" w:styleId="Footer">
    <w:name w:val="footer"/>
    <w:link w:val="FooterChar"/>
    <w:unhideWhenUsed/>
    <w:rsid w:val="00180265"/>
    <w:pPr>
      <w:tabs>
        <w:tab w:val="center" w:pos="4536"/>
        <w:tab w:val="right" w:pos="9072"/>
      </w:tabs>
      <w:spacing w:before="240" w:after="240" w:line="220" w:lineRule="auto"/>
    </w:pPr>
    <w:rPr>
      <w:sz w:val="22"/>
    </w:rPr>
  </w:style>
  <w:style w:type="character" w:customStyle="1" w:styleId="FooterChar1">
    <w:name w:val="Footer Char1"/>
    <w:basedOn w:val="DefaultParagraphFont"/>
    <w:rsid w:val="00180265"/>
    <w:rPr>
      <w:sz w:val="24"/>
      <w:szCs w:val="24"/>
      <w:lang w:val="it-IT"/>
    </w:rPr>
  </w:style>
  <w:style w:type="character" w:customStyle="1" w:styleId="Normal12Char">
    <w:name w:val="Normal12 Char"/>
    <w:link w:val="Normal12"/>
    <w:locked/>
    <w:rsid w:val="00180265"/>
    <w:rPr>
      <w:noProof/>
      <w:sz w:val="24"/>
    </w:rPr>
  </w:style>
  <w:style w:type="paragraph" w:customStyle="1" w:styleId="Normal12">
    <w:name w:val="Normal12"/>
    <w:basedOn w:val="Normal"/>
    <w:link w:val="Normal12Char"/>
    <w:rsid w:val="00180265"/>
    <w:pPr>
      <w:spacing w:after="240"/>
    </w:pPr>
    <w:rPr>
      <w:noProof/>
      <w:szCs w:val="20"/>
    </w:rPr>
  </w:style>
  <w:style w:type="character" w:customStyle="1" w:styleId="Normal6Char">
    <w:name w:val="Normal6 Char"/>
    <w:link w:val="Normal6"/>
    <w:locked/>
    <w:rsid w:val="00180265"/>
    <w:rPr>
      <w:sz w:val="24"/>
      <w:lang w:val="it-IT"/>
    </w:rPr>
  </w:style>
  <w:style w:type="paragraph" w:customStyle="1" w:styleId="Normal6">
    <w:name w:val="Normal6"/>
    <w:basedOn w:val="Normal"/>
    <w:link w:val="Normal6Char"/>
    <w:rsid w:val="00180265"/>
    <w:pPr>
      <w:spacing w:after="120"/>
    </w:pPr>
    <w:rPr>
      <w:szCs w:val="20"/>
    </w:rPr>
  </w:style>
  <w:style w:type="paragraph" w:customStyle="1" w:styleId="Normal12Italic">
    <w:name w:val="Normal12Italic"/>
    <w:basedOn w:val="Normal12"/>
    <w:rsid w:val="00180265"/>
    <w:rPr>
      <w:i/>
    </w:rPr>
  </w:style>
  <w:style w:type="paragraph" w:customStyle="1" w:styleId="Footer2">
    <w:name w:val="Footer2"/>
    <w:basedOn w:val="Normal12"/>
    <w:rsid w:val="00180265"/>
    <w:pPr>
      <w:tabs>
        <w:tab w:val="center" w:pos="4535"/>
        <w:tab w:val="right" w:pos="9923"/>
      </w:tabs>
      <w:spacing w:line="480" w:lineRule="auto"/>
      <w:ind w:left="-851"/>
    </w:pPr>
    <w:rPr>
      <w:rFonts w:ascii="Arial" w:cs="Arial"/>
      <w:b/>
      <w:sz w:val="48"/>
    </w:rPr>
  </w:style>
  <w:style w:type="paragraph" w:customStyle="1" w:styleId="EntPE">
    <w:name w:val="EntPE"/>
    <w:basedOn w:val="Normal12"/>
    <w:rsid w:val="00180265"/>
    <w:pPr>
      <w:jc w:val="center"/>
    </w:pPr>
    <w:rPr>
      <w:noProof w:val="0"/>
      <w:sz w:val="56"/>
    </w:rPr>
  </w:style>
  <w:style w:type="paragraph" w:customStyle="1" w:styleId="AMNumberTabs0">
    <w:name w:val="AMNumberTabs"/>
    <w:basedOn w:val="Normal"/>
    <w:rsid w:val="001802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180265"/>
    <w:pPr>
      <w:spacing w:after="240"/>
      <w:jc w:val="center"/>
    </w:pPr>
    <w:rPr>
      <w:i/>
      <w:szCs w:val="20"/>
    </w:rPr>
  </w:style>
  <w:style w:type="paragraph" w:customStyle="1" w:styleId="Olang">
    <w:name w:val="Olang"/>
    <w:basedOn w:val="Normal"/>
    <w:rsid w:val="00180265"/>
    <w:pPr>
      <w:spacing w:before="240" w:after="240"/>
      <w:jc w:val="right"/>
    </w:pPr>
    <w:rPr>
      <w:noProof/>
    </w:rPr>
  </w:style>
  <w:style w:type="paragraph" w:styleId="BalloonText">
    <w:name w:val="Balloon Text"/>
    <w:basedOn w:val="Normal"/>
    <w:link w:val="BalloonTextChar"/>
    <w:semiHidden/>
    <w:unhideWhenUsed/>
    <w:rsid w:val="00E6655E"/>
    <w:rPr>
      <w:rFonts w:ascii="Segoe UI" w:hAnsi="Segoe UI" w:cs="Segoe UI"/>
      <w:sz w:val="18"/>
      <w:szCs w:val="18"/>
    </w:rPr>
  </w:style>
  <w:style w:type="character" w:customStyle="1" w:styleId="BalloonTextChar">
    <w:name w:val="Balloon Text Char"/>
    <w:basedOn w:val="DefaultParagraphFont"/>
    <w:link w:val="BalloonText"/>
    <w:semiHidden/>
    <w:rsid w:val="00E6655E"/>
    <w:rPr>
      <w:rFonts w:ascii="Segoe UI" w:hAnsi="Segoe UI" w:cs="Segoe UI"/>
      <w:sz w:val="18"/>
      <w:szCs w:val="18"/>
      <w:lang w:val="it-IT"/>
    </w:rPr>
  </w:style>
  <w:style w:type="paragraph" w:customStyle="1" w:styleId="RollCallSymbols14pt">
    <w:name w:val="RollCallSymbols14pt"/>
    <w:basedOn w:val="Normal"/>
    <w:rsid w:val="00E6655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6655E"/>
    <w:pPr>
      <w:tabs>
        <w:tab w:val="center" w:pos="284"/>
        <w:tab w:val="left" w:pos="426"/>
      </w:tabs>
    </w:pPr>
    <w:rPr>
      <w:snapToGrid w:val="0"/>
      <w:szCs w:val="20"/>
      <w:lang w:eastAsia="en-US"/>
    </w:rPr>
  </w:style>
  <w:style w:type="paragraph" w:customStyle="1" w:styleId="RollCallVotes">
    <w:name w:val="RollCallVotes"/>
    <w:basedOn w:val="Normal"/>
    <w:rsid w:val="00E6655E"/>
    <w:pPr>
      <w:spacing w:before="120" w:after="120"/>
      <w:jc w:val="center"/>
    </w:pPr>
    <w:rPr>
      <w:b/>
      <w:bCs/>
      <w:snapToGrid w:val="0"/>
      <w:sz w:val="16"/>
      <w:szCs w:val="20"/>
      <w:lang w:eastAsia="en-US"/>
    </w:rPr>
  </w:style>
  <w:style w:type="paragraph" w:customStyle="1" w:styleId="RollCallTable">
    <w:name w:val="RollCallTable"/>
    <w:basedOn w:val="Normal"/>
    <w:rsid w:val="00E6655E"/>
    <w:pPr>
      <w:spacing w:before="120" w:after="120"/>
    </w:pPr>
    <w:rPr>
      <w:snapToGrid w:val="0"/>
      <w:sz w:val="16"/>
      <w:szCs w:val="20"/>
      <w:lang w:eastAsia="en-US"/>
    </w:rPr>
  </w:style>
  <w:style w:type="character" w:styleId="CommentReference">
    <w:name w:val="annotation reference"/>
    <w:basedOn w:val="DefaultParagraphFont"/>
    <w:rsid w:val="00E6655E"/>
    <w:rPr>
      <w:sz w:val="16"/>
      <w:szCs w:val="16"/>
    </w:rPr>
  </w:style>
  <w:style w:type="paragraph" w:styleId="CommentText">
    <w:name w:val="annotation text"/>
    <w:basedOn w:val="Normal"/>
    <w:link w:val="CommentTextChar"/>
    <w:rsid w:val="00E6655E"/>
    <w:rPr>
      <w:sz w:val="20"/>
      <w:szCs w:val="20"/>
    </w:rPr>
  </w:style>
  <w:style w:type="character" w:customStyle="1" w:styleId="CommentTextChar">
    <w:name w:val="Comment Text Char"/>
    <w:basedOn w:val="DefaultParagraphFont"/>
    <w:link w:val="CommentText"/>
    <w:rsid w:val="00E6655E"/>
    <w:rPr>
      <w:lang w:val="it-IT"/>
    </w:rPr>
  </w:style>
  <w:style w:type="paragraph" w:styleId="CommentSubject">
    <w:name w:val="annotation subject"/>
    <w:basedOn w:val="CommentText"/>
    <w:next w:val="CommentText"/>
    <w:link w:val="CommentSubjectChar"/>
    <w:semiHidden/>
    <w:unhideWhenUsed/>
    <w:rsid w:val="00E6655E"/>
    <w:rPr>
      <w:b/>
      <w:bCs/>
    </w:rPr>
  </w:style>
  <w:style w:type="character" w:customStyle="1" w:styleId="CommentSubjectChar">
    <w:name w:val="Comment Subject Char"/>
    <w:basedOn w:val="CommentTextChar"/>
    <w:link w:val="CommentSubject"/>
    <w:semiHidden/>
    <w:rsid w:val="00E6655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D1D65-9E9A-4606-90FB-DCDD3B75F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7846</Words>
  <Characters>47574</Characters>
  <Application>Microsoft Office Word</Application>
  <DocSecurity>0</DocSecurity>
  <Lines>1706</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2023-11-14T15:31:00Z</dcterms:created>
  <dcterms:modified xsi:type="dcterms:W3CDTF">2023-11-14T15:31:00Z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\\eiciLUXpr1\pdocep$\DocEP\TRANSFIL\IT\PA_Legam.IT(26/07/2023 11:55:00)</vt:lpwstr>
  </property>
  <property fmtid="{D5CDD505-2E9C-101B-9397-08002B2CF9AE}" pid="7" name="&lt;Type&gt;">
    <vt:lpwstr>AD</vt:lpwstr>
  </property>
  <property fmtid="{D5CDD505-2E9C-101B-9397-08002B2CF9AE}" pid="8" name="Bookout">
    <vt:lpwstr>OK - 2023/11/14 16:30</vt:lpwstr>
  </property>
  <property fmtid="{D5CDD505-2E9C-101B-9397-08002B2CF9AE}" pid="9" name="Created with">
    <vt:lpwstr>9.14.1 Build [20230315]</vt:lpwstr>
  </property>
  <property fmtid="{D5CDD505-2E9C-101B-9397-08002B2CF9AE}" pid="10" name="FooterPath">
    <vt:lpwstr>AD\1288324IT.docx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ies>
</file>