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7892" w:rsidRPr="007309DB" w:rsidTr="00E34A5C">
        <w:trPr>
          <w:trHeight w:hRule="exact" w:val="1418"/>
        </w:trPr>
        <w:tc>
          <w:tcPr>
            <w:tcW w:w="6804" w:type="dxa"/>
            <w:shd w:val="clear" w:color="auto" w:fill="auto"/>
            <w:vAlign w:val="center"/>
          </w:tcPr>
          <w:p w:rsidR="00BA3E40" w:rsidRPr="007309DB" w:rsidRDefault="008355CB" w:rsidP="00E34A5C">
            <w:pPr>
              <w:pStyle w:val="EPName"/>
            </w:pPr>
            <w:bookmarkStart w:id="0" w:name="_GoBack"/>
            <w:bookmarkEnd w:id="0"/>
            <w:r w:rsidRPr="007309DB">
              <w:t>Eiropas Parlaments</w:t>
            </w:r>
          </w:p>
          <w:p w:rsidR="00BA3E40" w:rsidRPr="007309DB" w:rsidRDefault="008355CB" w:rsidP="009B6583">
            <w:pPr>
              <w:pStyle w:val="EPTerm"/>
            </w:pPr>
            <w:r w:rsidRPr="007309DB">
              <w:t>2019-2024</w:t>
            </w:r>
          </w:p>
        </w:tc>
        <w:tc>
          <w:tcPr>
            <w:tcW w:w="2268" w:type="dxa"/>
            <w:shd w:val="clear" w:color="auto" w:fill="auto"/>
          </w:tcPr>
          <w:p w:rsidR="00BA3E40" w:rsidRPr="007309DB" w:rsidRDefault="008355CB" w:rsidP="00E34A5C">
            <w:pPr>
              <w:pStyle w:val="EPLogo"/>
            </w:pPr>
            <w:r w:rsidRPr="007309D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7309DB" w:rsidRDefault="00F24D40" w:rsidP="00F24D40">
      <w:pPr>
        <w:pStyle w:val="LineTop"/>
      </w:pPr>
    </w:p>
    <w:p w:rsidR="00F24D40" w:rsidRPr="007309DB" w:rsidRDefault="008355CB" w:rsidP="00F24D40">
      <w:pPr>
        <w:pStyle w:val="EPBody"/>
      </w:pPr>
      <w:r w:rsidRPr="007309DB">
        <w:rPr>
          <w:rStyle w:val="HideTWBExt"/>
        </w:rPr>
        <w:t>&lt;</w:t>
      </w:r>
      <w:r w:rsidRPr="007309DB">
        <w:rPr>
          <w:rStyle w:val="HideTWBExt"/>
          <w:i w:val="0"/>
        </w:rPr>
        <w:t>Commission</w:t>
      </w:r>
      <w:r w:rsidRPr="007309DB">
        <w:rPr>
          <w:rStyle w:val="HideTWBExt"/>
        </w:rPr>
        <w:t>&gt;</w:t>
      </w:r>
      <w:r w:rsidRPr="007309DB">
        <w:rPr>
          <w:rStyle w:val="HideTWBInt"/>
          <w:color w:val="auto"/>
        </w:rPr>
        <w:t>{EMPL}</w:t>
      </w:r>
      <w:r w:rsidRPr="007309DB">
        <w:t>Nodarbinātības un sociālo lietu komiteja</w:t>
      </w:r>
      <w:r w:rsidRPr="007309DB">
        <w:rPr>
          <w:rStyle w:val="HideTWBExt"/>
        </w:rPr>
        <w:t>&lt;/</w:t>
      </w:r>
      <w:r w:rsidRPr="007309DB">
        <w:rPr>
          <w:rStyle w:val="HideTWBExt"/>
          <w:i w:val="0"/>
        </w:rPr>
        <w:t>Commission</w:t>
      </w:r>
      <w:r w:rsidRPr="007309DB">
        <w:rPr>
          <w:rStyle w:val="HideTWBExt"/>
        </w:rPr>
        <w:t>&gt;</w:t>
      </w:r>
    </w:p>
    <w:p w:rsidR="00F24D40" w:rsidRPr="007309DB" w:rsidRDefault="00F24D40" w:rsidP="00F24D40">
      <w:pPr>
        <w:pStyle w:val="LineBottom"/>
      </w:pPr>
    </w:p>
    <w:p w:rsidR="00AF0131" w:rsidRPr="007309DB" w:rsidRDefault="008355CB" w:rsidP="00AF0131">
      <w:pPr>
        <w:pStyle w:val="CoverReference"/>
      </w:pPr>
      <w:r w:rsidRPr="007309DB">
        <w:rPr>
          <w:rStyle w:val="HideTWBExt"/>
          <w:b w:val="0"/>
        </w:rPr>
        <w:t>&lt;RefProc&gt;</w:t>
      </w:r>
      <w:r w:rsidRPr="007309DB">
        <w:t>2023/0138</w:t>
      </w:r>
      <w:r w:rsidRPr="007309DB">
        <w:rPr>
          <w:rStyle w:val="HideTWBExt"/>
          <w:b w:val="0"/>
        </w:rPr>
        <w:t>&lt;/RefProc&gt;&lt;RefTypeProc&gt;</w:t>
      </w:r>
      <w:r w:rsidRPr="007309DB">
        <w:t>(COD)</w:t>
      </w:r>
      <w:r w:rsidRPr="007309DB">
        <w:rPr>
          <w:rStyle w:val="HideTWBExt"/>
          <w:b w:val="0"/>
        </w:rPr>
        <w:t>&lt;/RefTypeProc&gt;</w:t>
      </w:r>
    </w:p>
    <w:p w:rsidR="00AF0131" w:rsidRPr="007309DB" w:rsidRDefault="008355CB" w:rsidP="00AF0131">
      <w:pPr>
        <w:pStyle w:val="CoverDate"/>
      </w:pPr>
      <w:r w:rsidRPr="007309DB">
        <w:rPr>
          <w:rStyle w:val="HideTWBExt"/>
        </w:rPr>
        <w:t>&lt;Date&gt;</w:t>
      </w:r>
      <w:r w:rsidRPr="007309DB">
        <w:rPr>
          <w:rStyle w:val="HideTWBInt"/>
          <w:color w:val="auto"/>
        </w:rPr>
        <w:t>{30/10/2023}</w:t>
      </w:r>
      <w:r w:rsidRPr="007309DB">
        <w:t>30.10.2023</w:t>
      </w:r>
      <w:r w:rsidRPr="007309DB">
        <w:rPr>
          <w:rStyle w:val="HideTWBExt"/>
        </w:rPr>
        <w:t>&lt;/Date&gt;</w:t>
      </w:r>
    </w:p>
    <w:p w:rsidR="00AF0131" w:rsidRPr="007309DB" w:rsidRDefault="008355CB" w:rsidP="00AF0131">
      <w:pPr>
        <w:pStyle w:val="CoverDocType24a"/>
      </w:pPr>
      <w:r w:rsidRPr="007309DB">
        <w:rPr>
          <w:rStyle w:val="HideTWBExt"/>
          <w:b w:val="0"/>
        </w:rPr>
        <w:t>&lt;TitreType&gt;</w:t>
      </w:r>
      <w:r w:rsidRPr="007309DB">
        <w:t>ATZINUMS</w:t>
      </w:r>
      <w:r w:rsidRPr="007309DB">
        <w:rPr>
          <w:rStyle w:val="HideTWBExt"/>
          <w:b w:val="0"/>
        </w:rPr>
        <w:t>&lt;/TitreType&gt;</w:t>
      </w:r>
    </w:p>
    <w:p w:rsidR="00AF0131" w:rsidRPr="007309DB" w:rsidRDefault="008355CB" w:rsidP="00AF0131">
      <w:pPr>
        <w:pStyle w:val="CoverNormal24a"/>
      </w:pPr>
      <w:r w:rsidRPr="007309DB">
        <w:rPr>
          <w:rStyle w:val="HideTWBExt"/>
        </w:rPr>
        <w:t>&lt;CommissionResp&gt;</w:t>
      </w:r>
      <w:r w:rsidRPr="007309DB">
        <w:t>Sniegusi Nodarbinātības un sociālo lietu komiteja</w:t>
      </w:r>
      <w:r w:rsidRPr="007309DB">
        <w:rPr>
          <w:rStyle w:val="HideTWBExt"/>
        </w:rPr>
        <w:t>&lt;/CommissionResp&gt;</w:t>
      </w:r>
    </w:p>
    <w:p w:rsidR="00AF0131" w:rsidRPr="007309DB" w:rsidRDefault="008355CB" w:rsidP="00AF0131">
      <w:pPr>
        <w:pStyle w:val="CoverNormal24a"/>
      </w:pPr>
      <w:r w:rsidRPr="007309DB">
        <w:rPr>
          <w:rStyle w:val="HideTWBExt"/>
        </w:rPr>
        <w:t>&lt;CommissionInt&gt;</w:t>
      </w:r>
      <w:r w:rsidRPr="007309DB">
        <w:t>Ekonomikas un monetārajai komitejai</w:t>
      </w:r>
      <w:r w:rsidRPr="007309DB">
        <w:rPr>
          <w:rStyle w:val="HideTWBExt"/>
        </w:rPr>
        <w:t>&lt;/CommissionInt&gt;</w:t>
      </w:r>
    </w:p>
    <w:p w:rsidR="00AF0131" w:rsidRPr="007309DB" w:rsidRDefault="008355CB" w:rsidP="00AF0131">
      <w:pPr>
        <w:pStyle w:val="CoverNormal"/>
      </w:pPr>
      <w:r w:rsidRPr="007309DB">
        <w:rPr>
          <w:rStyle w:val="HideTWBExt"/>
        </w:rPr>
        <w:t>&lt;Titre&gt;</w:t>
      </w:r>
      <w:r w:rsidRPr="007309DB">
        <w:t>par priekšlikumu Eiropas Parlamenta un Padomes regulai par ekonomikas politikas efektīvu koordināciju un budžeta da</w:t>
      </w:r>
      <w:r w:rsidRPr="007309DB">
        <w:t>udzpusēju uzraudzību un ar ko atceļ Padomes Regulu (EK) Nr. 1466/97</w:t>
      </w:r>
      <w:r w:rsidRPr="007309DB">
        <w:rPr>
          <w:rStyle w:val="HideTWBExt"/>
        </w:rPr>
        <w:t>&lt;/Titre&gt;</w:t>
      </w:r>
    </w:p>
    <w:p w:rsidR="00AF0131" w:rsidRPr="007309DB" w:rsidRDefault="008355CB" w:rsidP="00AF0131">
      <w:pPr>
        <w:pStyle w:val="CoverNormal24a"/>
      </w:pPr>
      <w:r w:rsidRPr="007309DB">
        <w:rPr>
          <w:rStyle w:val="HideTWBExt"/>
        </w:rPr>
        <w:t>&lt;DocRef&gt;</w:t>
      </w:r>
      <w:r w:rsidRPr="007309DB">
        <w:t>(COM(2023)0240 – C9</w:t>
      </w:r>
      <w:r w:rsidRPr="007309DB">
        <w:noBreakHyphen/>
        <w:t>0150/2023 – 2023/0138(COD))</w:t>
      </w:r>
      <w:r w:rsidRPr="007309DB">
        <w:rPr>
          <w:rStyle w:val="HideTWBExt"/>
        </w:rPr>
        <w:t>&lt;/DocRef&gt;</w:t>
      </w:r>
    </w:p>
    <w:p w:rsidR="00AF0131" w:rsidRPr="007309DB" w:rsidRDefault="008355CB" w:rsidP="00AF0131">
      <w:pPr>
        <w:pStyle w:val="CoverNormal24a"/>
      </w:pPr>
      <w:r w:rsidRPr="007309DB">
        <w:t xml:space="preserve">Atzinuma sagatavotāja </w:t>
      </w:r>
      <w:r w:rsidRPr="007309DB">
        <w:rPr>
          <w:snapToGrid w:val="0"/>
        </w:rPr>
        <w:t>(*)</w:t>
      </w:r>
      <w:r w:rsidRPr="007309DB">
        <w:t xml:space="preserve">: </w:t>
      </w:r>
      <w:r w:rsidRPr="007309DB">
        <w:rPr>
          <w:rStyle w:val="HideTWBExt"/>
        </w:rPr>
        <w:t>&lt;Depute&gt;</w:t>
      </w:r>
      <w:r w:rsidRPr="007309DB">
        <w:rPr>
          <w:i/>
          <w:iCs/>
        </w:rPr>
        <w:t>Gabriele Bischoff</w:t>
      </w:r>
      <w:r w:rsidRPr="007309DB">
        <w:rPr>
          <w:rStyle w:val="HideTWBExt"/>
        </w:rPr>
        <w:t>&lt;/Depute&gt;</w:t>
      </w:r>
    </w:p>
    <w:p w:rsidR="00AF0131" w:rsidRPr="007309DB" w:rsidRDefault="008355CB" w:rsidP="00AF0131">
      <w:pPr>
        <w:pStyle w:val="CoverNormal"/>
        <w:rPr>
          <w:snapToGrid w:val="0"/>
          <w:szCs w:val="24"/>
        </w:rPr>
      </w:pPr>
      <w:r w:rsidRPr="007309DB">
        <w:rPr>
          <w:snapToGrid w:val="0"/>
        </w:rPr>
        <w:t>(*) Iesaistītā komiteja — Reglamenta 57. pants</w:t>
      </w:r>
    </w:p>
    <w:p w:rsidR="00AF0131" w:rsidRPr="007309DB" w:rsidRDefault="00AF0131" w:rsidP="00AF0131">
      <w:pPr>
        <w:pStyle w:val="CoverNormal"/>
        <w:rPr>
          <w:snapToGrid w:val="0"/>
          <w:szCs w:val="24"/>
        </w:rPr>
      </w:pPr>
    </w:p>
    <w:p w:rsidR="00AF0131" w:rsidRPr="007309DB" w:rsidRDefault="00AF0131" w:rsidP="00AF0131">
      <w:pPr>
        <w:pStyle w:val="CoverNormal"/>
        <w:rPr>
          <w:snapToGrid w:val="0"/>
          <w:szCs w:val="24"/>
        </w:rPr>
      </w:pPr>
    </w:p>
    <w:p w:rsidR="00AF0131" w:rsidRPr="007309DB" w:rsidRDefault="00AF0131" w:rsidP="00AF0131">
      <w:pPr>
        <w:pStyle w:val="CoverNormal"/>
        <w:rPr>
          <w:snapToGrid w:val="0"/>
          <w:szCs w:val="24"/>
        </w:rPr>
      </w:pPr>
    </w:p>
    <w:p w:rsidR="00AF0131" w:rsidRPr="007309DB" w:rsidRDefault="00AF0131" w:rsidP="00AF0131">
      <w:pPr>
        <w:pStyle w:val="CoverNormal"/>
        <w:rPr>
          <w:snapToGrid w:val="0"/>
          <w:szCs w:val="24"/>
        </w:rPr>
      </w:pPr>
    </w:p>
    <w:p w:rsidR="00AF0131" w:rsidRPr="007309DB" w:rsidRDefault="008355CB" w:rsidP="00AF0131">
      <w:pPr>
        <w:tabs>
          <w:tab w:val="center" w:pos="4677"/>
        </w:tabs>
      </w:pPr>
      <w:r w:rsidRPr="007309DB">
        <w:br w:type="page"/>
      </w:r>
      <w:r w:rsidRPr="007309DB">
        <w:lastRenderedPageBreak/>
        <w:t>PA_Legam</w:t>
      </w:r>
    </w:p>
    <w:p w:rsidR="00AF0131" w:rsidRPr="007309DB" w:rsidRDefault="008355CB" w:rsidP="00C56375">
      <w:pPr>
        <w:pStyle w:val="PageHeadingNotTOC"/>
      </w:pPr>
      <w:r w:rsidRPr="007309DB">
        <w:br w:type="page"/>
      </w:r>
      <w:r w:rsidRPr="007309DB">
        <w:lastRenderedPageBreak/>
        <w:t>GROZĪJUMI</w:t>
      </w:r>
    </w:p>
    <w:p w:rsidR="00AF0131" w:rsidRPr="007309DB" w:rsidRDefault="008355CB" w:rsidP="00AF0131">
      <w:pPr>
        <w:pStyle w:val="Normal12a"/>
      </w:pPr>
      <w:bookmarkStart w:id="1" w:name="IntroA"/>
      <w:r w:rsidRPr="007309DB">
        <w:t>Nodarbinātības un sociālo lietu komiteja aicina par jautājumu atbildīgo Ekonomikas un monetāro komiteju ņemt vērā turpmāk minēto.</w:t>
      </w:r>
    </w:p>
    <w:bookmarkEnd w:id="1"/>
    <w:p w:rsidR="00AF0131" w:rsidRPr="007309DB" w:rsidRDefault="008355CB" w:rsidP="00C56375">
      <w:r w:rsidRPr="007309DB">
        <w:rPr>
          <w:rStyle w:val="HideTWBExt"/>
          <w:b/>
        </w:rPr>
        <w:t>&lt;RepeatBlock-Amend&gt;</w:t>
      </w:r>
      <w:r w:rsidRPr="007309DB">
        <w:rPr>
          <w:rStyle w:val="HideTWBExt"/>
        </w:rPr>
        <w:t>&lt;Amend&gt;</w:t>
      </w:r>
      <w:r w:rsidRPr="007309DB">
        <w:rPr>
          <w:b/>
          <w:bCs/>
        </w:rPr>
        <w:t>Grozījums Nr.</w:t>
      </w:r>
      <w:r w:rsidRPr="007309DB">
        <w:tab/>
      </w:r>
      <w:r w:rsidRPr="007309DB">
        <w:rPr>
          <w:rStyle w:val="HideTWBExt"/>
        </w:rPr>
        <w:t>&lt;NumAm&gt;</w:t>
      </w:r>
      <w:r w:rsidRPr="007309DB">
        <w:rPr>
          <w:b/>
          <w:bCs/>
        </w:rPr>
        <w:t>1</w:t>
      </w:r>
      <w:r w:rsidRPr="007309DB">
        <w:rPr>
          <w:rStyle w:val="HideTWBExt"/>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2. apsvērums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(2)</w:t>
            </w:r>
            <w:r w:rsidRPr="007309DB">
              <w:tab/>
              <w:t>Stabilitātes un izaugsmes pakts (SIP), ko sākotnēji veidoja Padomes Regula (EK) Nr. 1466/97</w:t>
            </w:r>
            <w:r w:rsidRPr="007309DB">
              <w:rPr>
                <w:vertAlign w:val="superscript"/>
              </w:rPr>
              <w:t>19</w:t>
            </w:r>
            <w:r w:rsidRPr="007309DB">
              <w:t>, Padomes Regula (EK) Nr. 1467/97 (1997. gada 7. jūlijs)</w:t>
            </w:r>
            <w:r w:rsidRPr="007309DB">
              <w:rPr>
                <w:vertAlign w:val="superscript"/>
              </w:rPr>
              <w:t>20</w:t>
            </w:r>
            <w:r w:rsidRPr="007309DB">
              <w:t xml:space="preserve"> un Eiropadomes 1997. gada 17. jūnija Rezolūcija par Stabilitātes un izaugsmes paktu</w:t>
            </w:r>
            <w:r w:rsidRPr="007309DB">
              <w:rPr>
                <w:vertAlign w:val="superscript"/>
              </w:rPr>
              <w:t>21</w:t>
            </w:r>
            <w:r w:rsidRPr="007309DB">
              <w:t>, ir balstīts uz mērķi nodrošināt stabilas un ilgtspējīgas publiskās finanses kā līdzekli, lai stiprinātu nosacījumus cenu stabilitātei un spēcīgai ilgtspējīgai izaugsmei</w:t>
            </w:r>
            <w:r w:rsidRPr="007309DB">
              <w:t xml:space="preserve">, kuras pamatā ir finanšu stabilitāte, tādējādi atbalstot Savienības mērķu sasniegšanu attiecībā uz ilgtspējīgu un iekļaujošu izaugsmi </w:t>
            </w:r>
            <w:r w:rsidRPr="007309DB">
              <w:rPr>
                <w:b/>
                <w:bCs/>
                <w:i/>
                <w:iCs/>
              </w:rPr>
              <w:t>un</w:t>
            </w:r>
            <w:r w:rsidRPr="007309DB">
              <w:t xml:space="preserve"> nodarbinātību.</w:t>
            </w:r>
          </w:p>
        </w:tc>
        <w:tc>
          <w:tcPr>
            <w:tcW w:w="4876" w:type="dxa"/>
            <w:hideMark/>
          </w:tcPr>
          <w:p w:rsidR="00AF0131" w:rsidRPr="007309DB" w:rsidRDefault="008355CB" w:rsidP="00C33FBD">
            <w:pPr>
              <w:pStyle w:val="Normal6"/>
              <w:rPr>
                <w:szCs w:val="24"/>
              </w:rPr>
            </w:pPr>
            <w:r w:rsidRPr="007309DB">
              <w:t>(2)</w:t>
            </w:r>
            <w:r w:rsidRPr="007309DB">
              <w:tab/>
              <w:t>Stabilitātes un izaugsmes pakts (SIP), ko sākotnēji veidoja Padomes Regula (EK) Nr. 1466/97</w:t>
            </w:r>
            <w:r w:rsidRPr="007309DB">
              <w:rPr>
                <w:vertAlign w:val="superscript"/>
              </w:rPr>
              <w:t>19</w:t>
            </w:r>
            <w:r w:rsidRPr="007309DB">
              <w:t>, Pado</w:t>
            </w:r>
            <w:r w:rsidRPr="007309DB">
              <w:t>mes Regula (EK) Nr. 1467/97 (1997. gada 7. jūlijs)</w:t>
            </w:r>
            <w:r w:rsidRPr="007309DB">
              <w:rPr>
                <w:vertAlign w:val="superscript"/>
              </w:rPr>
              <w:t>20</w:t>
            </w:r>
            <w:r w:rsidRPr="007309DB">
              <w:t xml:space="preserve"> un Eiropadomes 1997. gada 17. jūnija Rezolūcija par Stabilitātes un izaugsmes paktu</w:t>
            </w:r>
            <w:r w:rsidRPr="007309DB">
              <w:rPr>
                <w:vertAlign w:val="superscript"/>
              </w:rPr>
              <w:t>21</w:t>
            </w:r>
            <w:r w:rsidRPr="007309DB">
              <w:t xml:space="preserve">, ir balstīts uz mērķi nodrošināt stabilas un ilgtspējīgas publiskās finanses kā līdzekli, lai stiprinātu nosacījumus </w:t>
            </w:r>
            <w:r w:rsidRPr="007309DB">
              <w:t>cenu stabilitātei un spēcīgai ilgtspējīgai</w:t>
            </w:r>
            <w:r w:rsidRPr="007309DB">
              <w:rPr>
                <w:b/>
                <w:bCs/>
                <w:i/>
                <w:iCs/>
              </w:rPr>
              <w:t>, nodarbinātību veicinošai</w:t>
            </w:r>
            <w:r w:rsidRPr="007309DB">
              <w:t xml:space="preserve"> izaugsmei, kuras pamatā ir finanšu stabilitāte, tādējādi atbalstot Savienības mērķu sasniegšanu attiecībā uz ilgtspējīgu un iekļaujošu izaugsmi</w:t>
            </w:r>
            <w:r w:rsidRPr="007309DB">
              <w:rPr>
                <w:b/>
                <w:bCs/>
                <w:i/>
                <w:iCs/>
              </w:rPr>
              <w:t xml:space="preserve">, kuras mērķis ir nodrošināt pilnīgu </w:t>
            </w:r>
            <w:r w:rsidRPr="007309DB">
              <w:t>nodarbi</w:t>
            </w:r>
            <w:r w:rsidRPr="007309DB">
              <w:t xml:space="preserve">nātību </w:t>
            </w:r>
            <w:r w:rsidRPr="007309DB">
              <w:rPr>
                <w:b/>
                <w:bCs/>
                <w:i/>
                <w:iCs/>
              </w:rPr>
              <w:t>un sociālo progresu</w:t>
            </w:r>
            <w:r w:rsidRPr="007309DB">
              <w:t>.</w:t>
            </w:r>
          </w:p>
        </w:tc>
      </w:tr>
      <w:tr w:rsidR="00C07892" w:rsidRPr="007309DB" w:rsidTr="00C33FBD">
        <w:trPr>
          <w:jc w:val="center"/>
        </w:trPr>
        <w:tc>
          <w:tcPr>
            <w:tcW w:w="4876" w:type="dxa"/>
            <w:hideMark/>
          </w:tcPr>
          <w:p w:rsidR="00AF0131" w:rsidRPr="007309DB" w:rsidRDefault="008355CB" w:rsidP="00C33FBD">
            <w:pPr>
              <w:pStyle w:val="Normal6"/>
            </w:pPr>
            <w:r w:rsidRPr="007309DB">
              <w:t>__________________</w:t>
            </w:r>
          </w:p>
        </w:tc>
        <w:tc>
          <w:tcPr>
            <w:tcW w:w="4876" w:type="dxa"/>
            <w:hideMark/>
          </w:tcPr>
          <w:p w:rsidR="00AF0131" w:rsidRPr="007309DB" w:rsidRDefault="008355CB" w:rsidP="00C33FBD">
            <w:pPr>
              <w:pStyle w:val="Normal6"/>
              <w:rPr>
                <w:szCs w:val="24"/>
              </w:rPr>
            </w:pPr>
            <w:r w:rsidRPr="007309DB">
              <w:t>__________________</w:t>
            </w:r>
          </w:p>
        </w:tc>
      </w:tr>
      <w:tr w:rsidR="00C07892" w:rsidRPr="007309DB" w:rsidTr="00C33FBD">
        <w:trPr>
          <w:jc w:val="center"/>
        </w:trPr>
        <w:tc>
          <w:tcPr>
            <w:tcW w:w="4876" w:type="dxa"/>
            <w:hideMark/>
          </w:tcPr>
          <w:p w:rsidR="00AF0131" w:rsidRPr="007309DB" w:rsidRDefault="008355CB" w:rsidP="00C33FBD">
            <w:pPr>
              <w:pStyle w:val="Normal6"/>
            </w:pPr>
            <w:r w:rsidRPr="007309DB">
              <w:rPr>
                <w:vertAlign w:val="superscript"/>
              </w:rPr>
              <w:t>19</w:t>
            </w:r>
            <w:r w:rsidRPr="007309DB">
              <w:t xml:space="preserve"> Padomes Regula (EK) Nr. 1466/97 (1997. gada 7. jūlijs) par budžeta stāvokļa uzraudzības un ekonomikas politikas uzraudzības un koordinācijas stiprināšanu (OV L 209, 2.8.1997., 1. lpp.).</w:t>
            </w:r>
          </w:p>
        </w:tc>
        <w:tc>
          <w:tcPr>
            <w:tcW w:w="4876" w:type="dxa"/>
            <w:hideMark/>
          </w:tcPr>
          <w:p w:rsidR="00AF0131" w:rsidRPr="007309DB" w:rsidRDefault="008355CB" w:rsidP="00C33FBD">
            <w:pPr>
              <w:pStyle w:val="Normal6"/>
              <w:rPr>
                <w:szCs w:val="24"/>
              </w:rPr>
            </w:pPr>
            <w:r w:rsidRPr="007309DB">
              <w:rPr>
                <w:vertAlign w:val="superscript"/>
              </w:rPr>
              <w:t>19</w:t>
            </w:r>
            <w:r w:rsidRPr="007309DB">
              <w:t xml:space="preserve"> Padomes Regula (EK) Nr. 1466/97 (1997. gada 7. jūlijs) par budžeta stāvokļa uzraudzības un ekonomikas politikas uzraudzības un koordinācijas stiprināšanu (OV L 209, 2.8.1997., 1. lpp.).</w:t>
            </w:r>
          </w:p>
        </w:tc>
      </w:tr>
      <w:tr w:rsidR="00C07892" w:rsidRPr="007309DB" w:rsidTr="00C33FBD">
        <w:trPr>
          <w:jc w:val="center"/>
        </w:trPr>
        <w:tc>
          <w:tcPr>
            <w:tcW w:w="4876" w:type="dxa"/>
            <w:hideMark/>
          </w:tcPr>
          <w:p w:rsidR="00AF0131" w:rsidRPr="007309DB" w:rsidRDefault="008355CB" w:rsidP="00C33FBD">
            <w:pPr>
              <w:pStyle w:val="Normal6"/>
            </w:pPr>
            <w:r w:rsidRPr="007309DB">
              <w:rPr>
                <w:vertAlign w:val="superscript"/>
              </w:rPr>
              <w:t>20</w:t>
            </w:r>
            <w:r w:rsidRPr="007309DB">
              <w:t xml:space="preserve"> Padomes Regula (EK) Nr. 1467/97 (1997. gada 7. jūlijs), par to</w:t>
            </w:r>
            <w:r w:rsidRPr="007309DB">
              <w:t>, kā paātrināt un precizēt pārmērīga budžeta deficīta novēršanas procedūras īstenošanu (OV L 209, 2.8.1997., 6. lpp.).</w:t>
            </w:r>
          </w:p>
        </w:tc>
        <w:tc>
          <w:tcPr>
            <w:tcW w:w="4876" w:type="dxa"/>
            <w:hideMark/>
          </w:tcPr>
          <w:p w:rsidR="00AF0131" w:rsidRPr="007309DB" w:rsidRDefault="008355CB" w:rsidP="00C33FBD">
            <w:pPr>
              <w:pStyle w:val="Normal6"/>
              <w:rPr>
                <w:szCs w:val="24"/>
              </w:rPr>
            </w:pPr>
            <w:r w:rsidRPr="007309DB">
              <w:rPr>
                <w:vertAlign w:val="superscript"/>
              </w:rPr>
              <w:t>20</w:t>
            </w:r>
            <w:r w:rsidRPr="007309DB">
              <w:t xml:space="preserve"> Padomes Regula (EK) Nr. 1467/97 (1997. gada 7. jūlijs), par to, kā paātrināt un precizēt pārmērīga budžeta deficīta novēršanas procedū</w:t>
            </w:r>
            <w:r w:rsidRPr="007309DB">
              <w:t>ras īstenošanu (OV L 209, 2.8.1997., 6. lpp.).</w:t>
            </w:r>
          </w:p>
        </w:tc>
      </w:tr>
      <w:tr w:rsidR="00C07892" w:rsidRPr="007309DB" w:rsidTr="00C33FBD">
        <w:trPr>
          <w:jc w:val="center"/>
        </w:trPr>
        <w:tc>
          <w:tcPr>
            <w:tcW w:w="4876" w:type="dxa"/>
            <w:hideMark/>
          </w:tcPr>
          <w:p w:rsidR="00AF0131" w:rsidRPr="007309DB" w:rsidRDefault="008355CB" w:rsidP="00C33FBD">
            <w:pPr>
              <w:pStyle w:val="Normal6"/>
            </w:pPr>
            <w:r w:rsidRPr="007309DB">
              <w:rPr>
                <w:vertAlign w:val="superscript"/>
              </w:rPr>
              <w:t>21</w:t>
            </w:r>
            <w:r w:rsidRPr="007309DB">
              <w:t xml:space="preserve"> Eiropadomes Rezolūcija par Amsterdamas Stabilitātes un izaugsmes paktu (1997. gada 17. jūnijs) (OV C 236, 2.8.1997., 1. lpp.).</w:t>
            </w:r>
          </w:p>
        </w:tc>
        <w:tc>
          <w:tcPr>
            <w:tcW w:w="4876" w:type="dxa"/>
            <w:hideMark/>
          </w:tcPr>
          <w:p w:rsidR="00AF0131" w:rsidRPr="007309DB" w:rsidRDefault="008355CB" w:rsidP="00C33FBD">
            <w:pPr>
              <w:pStyle w:val="Normal6"/>
              <w:rPr>
                <w:szCs w:val="24"/>
              </w:rPr>
            </w:pPr>
            <w:r w:rsidRPr="007309DB">
              <w:rPr>
                <w:vertAlign w:val="superscript"/>
              </w:rPr>
              <w:t>21</w:t>
            </w:r>
            <w:r w:rsidRPr="007309DB">
              <w:t xml:space="preserve"> Eiropadomes Rezolūcija par Amsterdamas Stabilitātes un izaugsmes paktu (1997. gada 17. jūnijs) (OV C 236, 2.8.1997., 1. lpp.).</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AF0131">
      <w:pPr>
        <w:pStyle w:val="AmNumberTabs"/>
      </w:pPr>
      <w:r w:rsidRPr="007309DB">
        <w:rPr>
          <w:rStyle w:val="HideTWBExt"/>
          <w:b w:val="0"/>
        </w:rPr>
        <w:lastRenderedPageBreak/>
        <w:t>&lt;Amend&gt;</w:t>
      </w:r>
      <w:r w:rsidRPr="007309DB">
        <w:t>Grozījums Nr.</w:t>
      </w:r>
      <w:r w:rsidRPr="007309DB">
        <w:tab/>
      </w:r>
      <w:r w:rsidRPr="007309DB">
        <w:tab/>
      </w:r>
      <w:r w:rsidRPr="007309DB">
        <w:rPr>
          <w:rStyle w:val="HideTWBExt"/>
          <w:b w:val="0"/>
        </w:rPr>
        <w:t>&lt;NumAm&gt;</w:t>
      </w:r>
      <w:r w:rsidRPr="007309DB">
        <w:t>2</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5. apsvērums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(5)</w:t>
            </w:r>
            <w:r w:rsidRPr="007309DB">
              <w:tab/>
              <w:t>Savienības ekonomikas pārvaldības sistēma būtu jāpielāgo, lai labāk ņemtu vērā fiskālā stāvokļa pieaugošo neviendabīgumu, valsts parāda problēmas un cita veida neaizsargātību dalībvalstīs. Spēcīgā politiskā reak</w:t>
            </w:r>
            <w:r w:rsidRPr="007309DB">
              <w:t>cija uz Covid-19 pandēmiju izrādījās ļoti efektīva, lai mazinātu krīzes radīto ekonomisko un sociālo kaitējumu, tomēr krīzes rezultātā ievērojami palielinājās publiskā un privātā sektora parāda attiecība, uzsverot, cik svarīgi ir pakāpeniski, noturīgi</w:t>
            </w:r>
            <w:r w:rsidRPr="007309DB">
              <w:rPr>
                <w:b/>
                <w:bCs/>
                <w:i/>
                <w:iCs/>
              </w:rPr>
              <w:t xml:space="preserve"> un</w:t>
            </w:r>
            <w:r w:rsidRPr="007309DB">
              <w:t xml:space="preserve"> i</w:t>
            </w:r>
            <w:r w:rsidRPr="007309DB">
              <w:t xml:space="preserve">zaugsmi veicinošā veidā samazināt parāda attiecību līdz piesardzīgam līmenim un novērst makroekonomisko nelīdzsvarotību, </w:t>
            </w:r>
            <w:r w:rsidRPr="007309DB">
              <w:rPr>
                <w:b/>
                <w:bCs/>
                <w:i/>
                <w:iCs/>
              </w:rPr>
              <w:t>vienlaikus</w:t>
            </w:r>
            <w:r w:rsidRPr="007309DB">
              <w:rPr>
                <w:b/>
                <w:bCs/>
              </w:rPr>
              <w:t xml:space="preserve"> </w:t>
            </w:r>
            <w:r w:rsidRPr="007309DB">
              <w:t>pievēršot pienācīgu uzmanību nodarbinātības un sociālajiem mērķiem. Tajā pašā laikā Savienības ekonomikas pārvaldības sistēm</w:t>
            </w:r>
            <w:r w:rsidRPr="007309DB">
              <w:t>a būtu jāpielāgo tā, lai palīdzētu risināt vidēja termiņa un ilgtermiņa problēmas, ar kurām saskaras Savienība, cita starpā panāktu taisnīgu zaļo un digitālo pārkārtošanos, ietverot Klimata aktu</w:t>
            </w:r>
            <w:r w:rsidRPr="007309DB">
              <w:rPr>
                <w:vertAlign w:val="superscript"/>
              </w:rPr>
              <w:t>22</w:t>
            </w:r>
            <w:r w:rsidRPr="007309DB">
              <w:t>, nodrošinātu enerģētisko drošību un atvērtu stratēģisko aut</w:t>
            </w:r>
            <w:r w:rsidRPr="007309DB">
              <w:t>onomiju, risinātu demogrāfiskās pārmaiņas, stiprinātu sociālo un ekonomisko noturību un īstenotu Stratēģisko kompasu drošībai un aizsardzībai, un tas viss prasa reformas un ilgtspējīgu un augstu investīciju līmeni turpmākajos gados.</w:t>
            </w:r>
          </w:p>
        </w:tc>
        <w:tc>
          <w:tcPr>
            <w:tcW w:w="4876" w:type="dxa"/>
            <w:hideMark/>
          </w:tcPr>
          <w:p w:rsidR="00AF0131" w:rsidRPr="007309DB" w:rsidRDefault="008355CB" w:rsidP="00C33FBD">
            <w:pPr>
              <w:pStyle w:val="Normal6"/>
              <w:rPr>
                <w:szCs w:val="24"/>
              </w:rPr>
            </w:pPr>
            <w:r w:rsidRPr="007309DB">
              <w:t>(5)</w:t>
            </w:r>
            <w:r w:rsidRPr="007309DB">
              <w:tab/>
              <w:t>Savienības ekonomik</w:t>
            </w:r>
            <w:r w:rsidRPr="007309DB">
              <w:t>as pārvaldības sistēma būtu jāpielāgo, lai labāk ņemtu vērā fiskālā stāvokļa pieaugošo neviendabīgumu, valsts parāda problēmas un cita veida neaizsargātību dalībvalstīs. Spēcīgā politiskā reakcija uz Covid-19 pandēmiju izrādījās ļoti efektīva, lai mazinātu</w:t>
            </w:r>
            <w:r w:rsidRPr="007309DB">
              <w:t xml:space="preserve"> krīzes radīto ekonomisko un sociālo kaitējumu, tomēr krīzes rezultātā ievērojami palielinājās publiskā un privātā sektora parāda attiecība, uzsverot, cik svarīgi ir pakāpeniski, noturīgi</w:t>
            </w:r>
            <w:r w:rsidRPr="007309DB">
              <w:rPr>
                <w:b/>
                <w:bCs/>
                <w:i/>
                <w:iCs/>
              </w:rPr>
              <w:t>,</w:t>
            </w:r>
            <w:r w:rsidRPr="007309DB">
              <w:t xml:space="preserve"> izaugsmi veicinošā </w:t>
            </w:r>
            <w:r w:rsidRPr="007309DB">
              <w:rPr>
                <w:b/>
                <w:bCs/>
                <w:i/>
                <w:iCs/>
              </w:rPr>
              <w:t>un iekļaujošā</w:t>
            </w:r>
            <w:r w:rsidRPr="007309DB">
              <w:t xml:space="preserve"> veidā samazināt parāda attiecību l</w:t>
            </w:r>
            <w:r w:rsidRPr="007309DB">
              <w:t xml:space="preserve">īdz piesardzīgam līmenim un novērst makroekonomisko nelīdzsvarotību, </w:t>
            </w:r>
            <w:r w:rsidRPr="007309DB">
              <w:rPr>
                <w:b/>
                <w:bCs/>
                <w:i/>
                <w:iCs/>
              </w:rPr>
              <w:t>kā arī atbalstīt augšupēju sociālo konverģenci,</w:t>
            </w:r>
            <w:r w:rsidRPr="007309DB">
              <w:t xml:space="preserve"> pievēršot pienācīgu uzmanību </w:t>
            </w:r>
            <w:r w:rsidRPr="007309DB">
              <w:rPr>
                <w:b/>
                <w:bCs/>
                <w:i/>
                <w:iCs/>
              </w:rPr>
              <w:t>kvalitatīvas</w:t>
            </w:r>
            <w:r w:rsidRPr="007309DB">
              <w:t xml:space="preserve"> nodarbinātības un sociālajiem mērķiem. Tajā pašā laikā Savienības ekonomikas pārvaldības sistēma </w:t>
            </w:r>
            <w:r w:rsidRPr="007309DB">
              <w:t>būtu jāpielāgo tā, lai palīdzētu risināt vidēja termiņa un ilgtermiņa problēmas, ar kurām saskaras Savienība, cita starpā panāktu taisnīgu zaļo un digitālo pārkārtošanos, ietverot Klimata aktu</w:t>
            </w:r>
            <w:r w:rsidRPr="007309DB">
              <w:rPr>
                <w:vertAlign w:val="superscript"/>
              </w:rPr>
              <w:t>22</w:t>
            </w:r>
            <w:r w:rsidRPr="007309DB">
              <w:t xml:space="preserve"> </w:t>
            </w:r>
            <w:r w:rsidRPr="007309DB">
              <w:rPr>
                <w:b/>
                <w:bCs/>
                <w:i/>
                <w:iCs/>
              </w:rPr>
              <w:t>un Eiropas sociālo tiesību pīlāra īstenošanu</w:t>
            </w:r>
            <w:r w:rsidRPr="007309DB">
              <w:t>, nodrošinātu ene</w:t>
            </w:r>
            <w:r w:rsidRPr="007309DB">
              <w:t>rģētisko drošību un atvērtu stratēģisko autonomiju, risinātu demogrāfiskās pārmaiņas, stiprinātu sociālo un ekonomisko noturību</w:t>
            </w:r>
            <w:r w:rsidRPr="007309DB">
              <w:rPr>
                <w:b/>
                <w:bCs/>
                <w:i/>
                <w:iCs/>
              </w:rPr>
              <w:t xml:space="preserve">, tostarp stiprinot investīcijas sociālajā jomā, </w:t>
            </w:r>
            <w:r w:rsidRPr="007309DB">
              <w:t>un īstenotu Stratēģisko kompasu drošībai un aizsardzībai, un tas viss prasa refo</w:t>
            </w:r>
            <w:r w:rsidRPr="007309DB">
              <w:t>rmas un ilgtspējīgu un augstu investīciju līmeni turpmākajos gados.</w:t>
            </w:r>
          </w:p>
        </w:tc>
      </w:tr>
      <w:tr w:rsidR="00C07892" w:rsidRPr="007309DB" w:rsidTr="00C33FBD">
        <w:trPr>
          <w:jc w:val="center"/>
        </w:trPr>
        <w:tc>
          <w:tcPr>
            <w:tcW w:w="4876" w:type="dxa"/>
            <w:hideMark/>
          </w:tcPr>
          <w:p w:rsidR="00AF0131" w:rsidRPr="007309DB" w:rsidRDefault="008355CB" w:rsidP="00C33FBD">
            <w:pPr>
              <w:pStyle w:val="Normal6"/>
            </w:pPr>
            <w:r w:rsidRPr="007309DB">
              <w:t>__________________</w:t>
            </w:r>
          </w:p>
        </w:tc>
        <w:tc>
          <w:tcPr>
            <w:tcW w:w="4876" w:type="dxa"/>
            <w:hideMark/>
          </w:tcPr>
          <w:p w:rsidR="00AF0131" w:rsidRPr="007309DB" w:rsidRDefault="008355CB" w:rsidP="00C33FBD">
            <w:pPr>
              <w:pStyle w:val="Normal6"/>
              <w:rPr>
                <w:szCs w:val="24"/>
              </w:rPr>
            </w:pPr>
            <w:r w:rsidRPr="007309DB">
              <w:t>__________________</w:t>
            </w:r>
          </w:p>
        </w:tc>
      </w:tr>
      <w:tr w:rsidR="00C07892" w:rsidRPr="007309DB" w:rsidTr="00C33FBD">
        <w:trPr>
          <w:jc w:val="center"/>
        </w:trPr>
        <w:tc>
          <w:tcPr>
            <w:tcW w:w="4876" w:type="dxa"/>
            <w:hideMark/>
          </w:tcPr>
          <w:p w:rsidR="00AF0131" w:rsidRPr="007309DB" w:rsidRDefault="008355CB" w:rsidP="00C33FBD">
            <w:pPr>
              <w:pStyle w:val="Normal6"/>
            </w:pPr>
            <w:r w:rsidRPr="007309DB">
              <w:rPr>
                <w:vertAlign w:val="superscript"/>
              </w:rPr>
              <w:t>22</w:t>
            </w:r>
            <w:r w:rsidRPr="007309DB">
              <w:t xml:space="preserve"> Eiropas Klimata aktā ir paredzēts mērķis līdz 2050. gadam panākt klimatneitralitāti Savienības mērogā un Savienības iestādēm un dalībvalstīm noteikta prasība palielināt pielāgošanās spēju, kam nepieciešamas ievērojamas publiskās investīcijas nolūkā samazi</w:t>
            </w:r>
            <w:r w:rsidRPr="007309DB">
              <w:t>nāt klimata pārmaiņu radīto negatīvo sociālekonomisko ietekmi uz ES un tās dalībvalstīm, cita starpā negatīvo ietekmi uz izaugsmi un fiskālo stabilitāti.</w:t>
            </w:r>
          </w:p>
        </w:tc>
        <w:tc>
          <w:tcPr>
            <w:tcW w:w="4876" w:type="dxa"/>
            <w:hideMark/>
          </w:tcPr>
          <w:p w:rsidR="00AF0131" w:rsidRPr="007309DB" w:rsidRDefault="008355CB" w:rsidP="00C33FBD">
            <w:pPr>
              <w:pStyle w:val="Normal6"/>
              <w:rPr>
                <w:szCs w:val="24"/>
              </w:rPr>
            </w:pPr>
            <w:r w:rsidRPr="007309DB">
              <w:rPr>
                <w:vertAlign w:val="superscript"/>
              </w:rPr>
              <w:t>22</w:t>
            </w:r>
            <w:r w:rsidRPr="007309DB">
              <w:t xml:space="preserve"> Eiropas Klimata aktā ir paredzēts mērķis līdz 2050. gadam panākt klimatneitralitāti Savienības mēro</w:t>
            </w:r>
            <w:r w:rsidRPr="007309DB">
              <w:t>gā un Savienības iestādēm un dalībvalstīm noteikta prasība palielināt pielāgošanās spēju, kam nepieciešamas ievērojamas publiskās investīcijas nolūkā samazināt klimata pārmaiņu radīto negatīvo sociālekonomisko ietekmi uz ES un tās dalībvalstīm, cita starpā</w:t>
            </w:r>
            <w:r w:rsidRPr="007309DB">
              <w:t xml:space="preserve"> negatīvo ietekmi uz izaugsmi un fiskālo stabilitāti.</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3</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7. apsvērums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(7)</w:t>
            </w:r>
            <w:r w:rsidRPr="007309DB">
              <w:tab/>
            </w:r>
            <w:r w:rsidRPr="007309DB">
              <w:t xml:space="preserve">LESD 121. panta 2., 3. un 4. punktā un 148. panta 4. punktā izklāstītajai daudzpusējās uzraudzības procedūrai saskaņā ar sīkāk izstrādātiem noteikumiem būtu jāuzrauga visas norises ekonomikas </w:t>
            </w:r>
            <w:r w:rsidRPr="007309DB">
              <w:rPr>
                <w:b/>
                <w:bCs/>
                <w:i/>
                <w:iCs/>
              </w:rPr>
              <w:t>un</w:t>
            </w:r>
            <w:r w:rsidRPr="007309DB">
              <w:t xml:space="preserve"> nodarbinātības jomā katrā dalībvalstī un Savienībā. Tas ietve</w:t>
            </w:r>
            <w:r w:rsidRPr="007309DB">
              <w:t>r makroekonomiskās nelīdzsvarotības atklāšanu un pārmērīgas nelīdzsvarotības novēršanu un koriģēšanu, kā izklāstīts Eiropas Parlamenta un Padomes Regulās (ES) Nr. 1174/2011</w:t>
            </w:r>
            <w:r w:rsidRPr="007309DB">
              <w:rPr>
                <w:vertAlign w:val="superscript"/>
              </w:rPr>
              <w:t>23</w:t>
            </w:r>
            <w:r w:rsidRPr="007309DB">
              <w:t xml:space="preserve"> un (ES) Nr. 1176/2011</w:t>
            </w:r>
            <w:r w:rsidRPr="007309DB">
              <w:rPr>
                <w:vertAlign w:val="superscript"/>
              </w:rPr>
              <w:t>24</w:t>
            </w:r>
            <w:r w:rsidRPr="007309DB">
              <w:t xml:space="preserve">. Lai uzraudzītu šādas norises ekonomikas </w:t>
            </w:r>
            <w:r w:rsidRPr="007309DB">
              <w:rPr>
                <w:b/>
                <w:bCs/>
                <w:i/>
                <w:iCs/>
              </w:rPr>
              <w:t>un</w:t>
            </w:r>
            <w:r w:rsidRPr="007309DB">
              <w:t xml:space="preserve"> nodarbinātība</w:t>
            </w:r>
            <w:r w:rsidRPr="007309DB">
              <w:t>s jomā, dalībvalstīm būtu jāsniedz informācija vidēja termiņa fiskālo un strukturālo plānu veidā.</w:t>
            </w:r>
          </w:p>
        </w:tc>
        <w:tc>
          <w:tcPr>
            <w:tcW w:w="4876" w:type="dxa"/>
            <w:hideMark/>
          </w:tcPr>
          <w:p w:rsidR="00AF0131" w:rsidRPr="007309DB" w:rsidRDefault="008355CB" w:rsidP="00C33FBD">
            <w:pPr>
              <w:pStyle w:val="Normal6"/>
              <w:rPr>
                <w:szCs w:val="24"/>
              </w:rPr>
            </w:pPr>
            <w:r w:rsidRPr="007309DB">
              <w:t>(7)</w:t>
            </w:r>
            <w:r w:rsidRPr="007309DB">
              <w:tab/>
              <w:t>LESD 121. panta 2., 3. un 4. punktā un 148. panta 4. punktā izklāstītajai daudzpusējās uzraudzības procedūrai saskaņā ar sīkāk izstrādātiem noteikumiem bū</w:t>
            </w:r>
            <w:r w:rsidRPr="007309DB">
              <w:t xml:space="preserve">tu jāuzrauga visas </w:t>
            </w:r>
            <w:r w:rsidRPr="007309DB">
              <w:rPr>
                <w:b/>
                <w:bCs/>
                <w:i/>
                <w:iCs/>
              </w:rPr>
              <w:t>tās</w:t>
            </w:r>
            <w:r w:rsidRPr="007309DB">
              <w:t xml:space="preserve"> norises ekonomikas</w:t>
            </w:r>
            <w:r w:rsidRPr="007309DB">
              <w:rPr>
                <w:b/>
                <w:bCs/>
                <w:i/>
                <w:iCs/>
              </w:rPr>
              <w:t>,</w:t>
            </w:r>
            <w:r w:rsidRPr="007309DB">
              <w:t xml:space="preserve"> nodarbinātības </w:t>
            </w:r>
            <w:r w:rsidRPr="007309DB">
              <w:rPr>
                <w:b/>
                <w:bCs/>
                <w:i/>
                <w:iCs/>
              </w:rPr>
              <w:t xml:space="preserve">un attiecīgajā sociālajā </w:t>
            </w:r>
            <w:r w:rsidRPr="007309DB">
              <w:t>jomā katrā dalībvalstī un Savienībā</w:t>
            </w:r>
            <w:r w:rsidRPr="007309DB">
              <w:rPr>
                <w:b/>
                <w:bCs/>
                <w:i/>
                <w:iCs/>
              </w:rPr>
              <w:t>, kas saistītas ar pamatmērķiem, tostarp progresu valsts mērķu sasniegšanā, un to galvenajiem un sekundārajiem Eiropas sociālo tiesību pīl</w:t>
            </w:r>
            <w:r w:rsidRPr="007309DB">
              <w:rPr>
                <w:b/>
                <w:bCs/>
                <w:i/>
                <w:iCs/>
              </w:rPr>
              <w:t>āra rādītājiem</w:t>
            </w:r>
            <w:r w:rsidRPr="007309DB">
              <w:t>. Tas ietver makroekonomiskās nelīdzsvarotības atklāšanu un pārmērīgas nelīdzsvarotības novēršanu un koriģēšanu, kā izklāstīts Eiropas Parlamenta un Padomes Regulās (ES) Nr. 1174/2011</w:t>
            </w:r>
            <w:r w:rsidRPr="007309DB">
              <w:rPr>
                <w:vertAlign w:val="superscript"/>
              </w:rPr>
              <w:t>23</w:t>
            </w:r>
            <w:r w:rsidRPr="007309DB">
              <w:t xml:space="preserve"> un (ES) Nr. 1176/2011</w:t>
            </w:r>
            <w:r w:rsidRPr="007309DB">
              <w:rPr>
                <w:vertAlign w:val="superscript"/>
              </w:rPr>
              <w:t>24</w:t>
            </w:r>
            <w:r w:rsidRPr="007309DB">
              <w:t>. Lai uzraudzītu šādas norises ek</w:t>
            </w:r>
            <w:r w:rsidRPr="007309DB">
              <w:t>onomikas</w:t>
            </w:r>
            <w:r w:rsidRPr="007309DB">
              <w:rPr>
                <w:b/>
                <w:bCs/>
                <w:i/>
                <w:iCs/>
              </w:rPr>
              <w:t xml:space="preserve">, </w:t>
            </w:r>
            <w:r w:rsidRPr="007309DB">
              <w:t xml:space="preserve">nodarbinātības </w:t>
            </w:r>
            <w:r w:rsidRPr="007309DB">
              <w:rPr>
                <w:b/>
                <w:bCs/>
                <w:i/>
                <w:iCs/>
              </w:rPr>
              <w:t xml:space="preserve">un sociālās konverģences </w:t>
            </w:r>
            <w:r w:rsidRPr="007309DB">
              <w:t>jomā, dalībvalstīm būtu jāsniedz informācija vidēja termiņa fiskālo un strukturālo plānu veidā.</w:t>
            </w:r>
          </w:p>
        </w:tc>
      </w:tr>
      <w:tr w:rsidR="00C07892" w:rsidRPr="007309DB" w:rsidTr="00C33FBD">
        <w:trPr>
          <w:jc w:val="center"/>
        </w:trPr>
        <w:tc>
          <w:tcPr>
            <w:tcW w:w="4876" w:type="dxa"/>
            <w:hideMark/>
          </w:tcPr>
          <w:p w:rsidR="00AF0131" w:rsidRPr="007309DB" w:rsidRDefault="008355CB" w:rsidP="00C33FBD">
            <w:pPr>
              <w:pStyle w:val="Normal6"/>
            </w:pPr>
            <w:r w:rsidRPr="007309DB">
              <w:t>__________________</w:t>
            </w:r>
          </w:p>
        </w:tc>
        <w:tc>
          <w:tcPr>
            <w:tcW w:w="4876" w:type="dxa"/>
            <w:hideMark/>
          </w:tcPr>
          <w:p w:rsidR="00AF0131" w:rsidRPr="007309DB" w:rsidRDefault="008355CB" w:rsidP="00C33FBD">
            <w:pPr>
              <w:pStyle w:val="Normal6"/>
              <w:rPr>
                <w:szCs w:val="24"/>
              </w:rPr>
            </w:pPr>
            <w:r w:rsidRPr="007309DB">
              <w:t>__________________</w:t>
            </w:r>
          </w:p>
        </w:tc>
      </w:tr>
      <w:tr w:rsidR="00C07892" w:rsidRPr="007309DB" w:rsidTr="00C33FBD">
        <w:trPr>
          <w:jc w:val="center"/>
        </w:trPr>
        <w:tc>
          <w:tcPr>
            <w:tcW w:w="4876" w:type="dxa"/>
            <w:hideMark/>
          </w:tcPr>
          <w:p w:rsidR="00AF0131" w:rsidRPr="007309DB" w:rsidRDefault="008355CB" w:rsidP="00C33FBD">
            <w:pPr>
              <w:pStyle w:val="Normal6"/>
            </w:pPr>
            <w:r w:rsidRPr="007309DB">
              <w:rPr>
                <w:vertAlign w:val="superscript"/>
              </w:rPr>
              <w:t>23</w:t>
            </w:r>
            <w:r w:rsidRPr="007309DB">
              <w:t xml:space="preserve"> Eiropas Parlamenta un Padomes Regula (ES) Nr. 1174/2011 (2011. gada</w:t>
            </w:r>
            <w:r w:rsidRPr="007309DB">
              <w:t xml:space="preserve"> 16. novembris) par izpildes pasākumiem pārmērīgas makroekonomiskās nelīdzsvarotības koriģēšanai eurozonā (OV L 306, 23.11.2011., 8. lpp.).</w:t>
            </w:r>
          </w:p>
        </w:tc>
        <w:tc>
          <w:tcPr>
            <w:tcW w:w="4876" w:type="dxa"/>
            <w:hideMark/>
          </w:tcPr>
          <w:p w:rsidR="00AF0131" w:rsidRPr="007309DB" w:rsidRDefault="008355CB" w:rsidP="00C33FBD">
            <w:pPr>
              <w:pStyle w:val="Normal6"/>
              <w:rPr>
                <w:szCs w:val="24"/>
              </w:rPr>
            </w:pPr>
            <w:r w:rsidRPr="007309DB">
              <w:rPr>
                <w:vertAlign w:val="superscript"/>
              </w:rPr>
              <w:t>23</w:t>
            </w:r>
            <w:r w:rsidRPr="007309DB">
              <w:t xml:space="preserve"> Eiropas Parlamenta un Padomes Regula (ES) Nr. 1174/2011 (2011. gada 16. novembris) par izpildes pasākumiem pārmēr</w:t>
            </w:r>
            <w:r w:rsidRPr="007309DB">
              <w:t>īgas makroekonomiskās nelīdzsvarotības koriģēšanai eurozonā (OV L 306, 23.11.2011., 8. lpp.).</w:t>
            </w:r>
          </w:p>
        </w:tc>
      </w:tr>
      <w:tr w:rsidR="00C07892" w:rsidRPr="007309DB" w:rsidTr="00C33FBD">
        <w:trPr>
          <w:jc w:val="center"/>
        </w:trPr>
        <w:tc>
          <w:tcPr>
            <w:tcW w:w="4876" w:type="dxa"/>
            <w:hideMark/>
          </w:tcPr>
          <w:p w:rsidR="00AF0131" w:rsidRPr="007309DB" w:rsidRDefault="008355CB" w:rsidP="00C33FBD">
            <w:pPr>
              <w:pStyle w:val="Normal6"/>
            </w:pPr>
            <w:r w:rsidRPr="007309DB">
              <w:rPr>
                <w:vertAlign w:val="superscript"/>
              </w:rPr>
              <w:t>24</w:t>
            </w:r>
            <w:r w:rsidRPr="007309DB">
              <w:t xml:space="preserve"> Eiropas Parlamenta un Padomes Regula (ES) Nr. 1176/2011 (2011. gada 16. novembris) par to, kā novērst un koriģēt makroekonomisko nelīdzsvarotību (OV L 306, 23</w:t>
            </w:r>
            <w:r w:rsidRPr="007309DB">
              <w:t>.11.2011., 25. lpp.).</w:t>
            </w:r>
          </w:p>
        </w:tc>
        <w:tc>
          <w:tcPr>
            <w:tcW w:w="4876" w:type="dxa"/>
            <w:hideMark/>
          </w:tcPr>
          <w:p w:rsidR="00AF0131" w:rsidRPr="007309DB" w:rsidRDefault="008355CB" w:rsidP="00C33FBD">
            <w:pPr>
              <w:pStyle w:val="Normal6"/>
              <w:rPr>
                <w:szCs w:val="24"/>
              </w:rPr>
            </w:pPr>
            <w:r w:rsidRPr="007309DB">
              <w:rPr>
                <w:vertAlign w:val="superscript"/>
              </w:rPr>
              <w:t>24</w:t>
            </w:r>
            <w:r w:rsidRPr="007309DB">
              <w:t xml:space="preserve"> Eiropas Parlamenta un Padomes Regula (ES) Nr. 1176/2011 (2011. gada 16. novembris) par to, kā novērst un koriģēt makroekonomisko nelīdzsvarotību (OV L 306, 23.11.2011., 25. lpp.).</w:t>
            </w:r>
          </w:p>
        </w:tc>
      </w:tr>
    </w:tbl>
    <w:p w:rsidR="00AF0131" w:rsidRPr="007309DB" w:rsidRDefault="008355CB" w:rsidP="00C56375">
      <w:pPr>
        <w:rPr>
          <w:rStyle w:val="HideTWBExt"/>
          <w:rFonts w:eastAsiaTheme="majorEastAsia"/>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4</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7.a apsvērums (jauns)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tcPr>
          <w:p w:rsidR="00AF0131" w:rsidRPr="007309DB" w:rsidRDefault="00AF0131" w:rsidP="00C33FBD">
            <w:pPr>
              <w:pStyle w:val="Normal6"/>
            </w:pPr>
          </w:p>
        </w:tc>
        <w:tc>
          <w:tcPr>
            <w:tcW w:w="4876" w:type="dxa"/>
            <w:hideMark/>
          </w:tcPr>
          <w:p w:rsidR="00AF0131" w:rsidRPr="007309DB" w:rsidRDefault="008355CB" w:rsidP="00C33FBD">
            <w:pPr>
              <w:pStyle w:val="Normal6"/>
              <w:rPr>
                <w:szCs w:val="24"/>
              </w:rPr>
            </w:pPr>
            <w:r w:rsidRPr="007309DB">
              <w:rPr>
                <w:b/>
                <w:i/>
              </w:rPr>
              <w:t>(7a)</w:t>
            </w:r>
            <w:r w:rsidRPr="007309DB">
              <w:rPr>
                <w:b/>
                <w:i/>
              </w:rPr>
              <w:tab/>
              <w:t>Lai veicinātu augšupēju sociālo konverģenci, LESD 148. panta 4. punktā noteikto daudzpusējās uzraudzības procedūru papildina</w:t>
            </w:r>
            <w:r w:rsidRPr="007309DB">
              <w:rPr>
                <w:b/>
                <w:i/>
              </w:rPr>
              <w:t xml:space="preserve"> agrīnās brīdināšanas sistēma Eiropas pusgada ietvaros (sociālās konverģences sistēma). Saskaņā ar sociālās konverģences sistēmu Komisija, pamatojoties uz LESD 148. pantu, kopīgajā ziņojumā par nodarbinātību, kas balstīts uz sociālo rezultātu pārskata galv</w:t>
            </w:r>
            <w:r w:rsidRPr="007309DB">
              <w:rPr>
                <w:b/>
                <w:i/>
              </w:rPr>
              <w:t>enajiem rādītājiem, vispirms konstatē dalībvalstu augšupējas konverģences riskus. Otrajā posmā Komisija nosaka dalībvalstis, kurās vajadzīga turpmāka pārbaude, un publicē ziņojumus par sociālo konverģenci attiecībā uz tām dalībvalstīm, kurās konstatēti aug</w:t>
            </w:r>
            <w:r w:rsidRPr="007309DB">
              <w:rPr>
                <w:b/>
                <w:i/>
              </w:rPr>
              <w:t>šupējas sociālās konverģences riski. Daudzpusējās uzraudzības pasākumu secinājumiem par konkrētām valstīm saskaņā ar jauno sistēmu būtu jānodrošina ieguldījums Komisijas pārdomās par konkrētām valstīm adresētiem ieteikumiem un priekšlikumiem.</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5</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8. apsvērums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(8)</w:t>
            </w:r>
            <w:r w:rsidRPr="007309DB">
              <w:tab/>
            </w:r>
            <w:r w:rsidRPr="007309DB">
              <w:t xml:space="preserve">Tādēļ būtu jāparedz sīki izstrādāti noteikumi par valsts vidēja termiņa fiskālo un strukturālo plānu saturu, iesniegšanu, novērtēšanu un uzraudzību, lai veicinātu parāda atmaksājamību </w:t>
            </w:r>
            <w:r w:rsidRPr="007309DB">
              <w:rPr>
                <w:b/>
                <w:bCs/>
                <w:i/>
                <w:iCs/>
              </w:rPr>
              <w:t>un</w:t>
            </w:r>
            <w:r w:rsidRPr="007309DB">
              <w:t xml:space="preserve"> ilgtspējīgu un iekļaujošu izaugsmi dalībvalstīs un novērstu pārmērīgu</w:t>
            </w:r>
            <w:r w:rsidRPr="007309DB">
              <w:t xml:space="preserve"> valsts budžeta deficītu, izmantojot vidēja termiņa plānošanu.</w:t>
            </w:r>
          </w:p>
        </w:tc>
        <w:tc>
          <w:tcPr>
            <w:tcW w:w="4876" w:type="dxa"/>
            <w:hideMark/>
          </w:tcPr>
          <w:p w:rsidR="00AF0131" w:rsidRPr="007309DB" w:rsidRDefault="008355CB" w:rsidP="00C33FBD">
            <w:pPr>
              <w:pStyle w:val="Normal6"/>
              <w:rPr>
                <w:szCs w:val="24"/>
              </w:rPr>
            </w:pPr>
            <w:r w:rsidRPr="007309DB">
              <w:t>(8)</w:t>
            </w:r>
            <w:r w:rsidRPr="007309DB">
              <w:tab/>
              <w:t>Tādēļ būtu jāparedz sīki izstrādāti noteikumi par valsts vidēja termiņa fiskālo un strukturālo plānu saturu, iesniegšanu, novērtēšanu un uzraudzību, lai veicinātu parāda atmaksājamību</w:t>
            </w:r>
            <w:r w:rsidRPr="007309DB">
              <w:rPr>
                <w:b/>
                <w:bCs/>
                <w:i/>
                <w:iCs/>
              </w:rPr>
              <w:t>,</w:t>
            </w:r>
            <w:r w:rsidRPr="007309DB">
              <w:t xml:space="preserve"> ilgt</w:t>
            </w:r>
            <w:r w:rsidRPr="007309DB">
              <w:t xml:space="preserve">spējīgu un iekļaujošu izaugsmi </w:t>
            </w:r>
            <w:r w:rsidRPr="007309DB">
              <w:rPr>
                <w:b/>
                <w:bCs/>
                <w:i/>
                <w:iCs/>
              </w:rPr>
              <w:t>un augšupēju sociālo konverģenci</w:t>
            </w:r>
            <w:r w:rsidRPr="007309DB">
              <w:t xml:space="preserve"> dalībvalstīs un novērstu pārmērīgu valsts budžeta deficītu, izmantojot vidēja termiņa plānošanu.</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6</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9. apsvērums</w:t>
      </w:r>
      <w:r w:rsidRPr="007309DB">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(9)</w:t>
            </w:r>
            <w:r w:rsidRPr="007309DB">
              <w:tab/>
              <w:t xml:space="preserve">Valsts vidēja termiņa fiskālajos un strukturālajos plānos būtu jāapvieno katras dalībvalsts fiskālo un strukturālo reformu un investīciju saistības, un šiem plāniem vajadzētu </w:t>
            </w:r>
            <w:r w:rsidRPr="007309DB">
              <w:t xml:space="preserve">būt Savienības ekonomikas pārvaldības sistēmas stūrakmenim. Katrai dalībvalstij būtu jāiesniedz vidēja termiņa plāns, kurā izklāstīta tās fiskālā trajektorija, kā arī prioritārās publisko investīciju un reformu saistības, kas kopā nodrošina ilgtspējīgu un </w:t>
            </w:r>
            <w:r w:rsidRPr="007309DB">
              <w:t>pakāpenisku parāda samazināšanu un ilgtspējīgu un iekļaujošu izaugsmi, izvairoties no procikliskas fiskālās politikas, kā arī plašākas reformu un investīciju saistības, cita starpā attiecībā uz zaļo un digitālo pārkārtošanos, sociālo un ekonomisko noturību</w:t>
            </w:r>
            <w:r w:rsidRPr="007309DB">
              <w:t xml:space="preserve"> un Eiropas sociālo tiesību pīlāra īstenošanu. Atveseļošanas un noturības mehānisma darbības laikā</w:t>
            </w:r>
            <w:r w:rsidRPr="007309DB">
              <w:rPr>
                <w:vertAlign w:val="superscript"/>
              </w:rPr>
              <w:t>25</w:t>
            </w:r>
            <w:r w:rsidRPr="007309DB">
              <w:t xml:space="preserve"> būtu pienācīgi jāņem vērā saistības, kas uzņemtas nacionālajos atveseļošanas un noturības plānos.</w:t>
            </w:r>
          </w:p>
        </w:tc>
        <w:tc>
          <w:tcPr>
            <w:tcW w:w="4876" w:type="dxa"/>
            <w:hideMark/>
          </w:tcPr>
          <w:p w:rsidR="00AF0131" w:rsidRPr="007309DB" w:rsidRDefault="008355CB" w:rsidP="00C33FBD">
            <w:pPr>
              <w:pStyle w:val="Normal6"/>
              <w:rPr>
                <w:szCs w:val="24"/>
              </w:rPr>
            </w:pPr>
            <w:r w:rsidRPr="007309DB">
              <w:t>(9)</w:t>
            </w:r>
            <w:r w:rsidRPr="007309DB">
              <w:tab/>
              <w:t>Valsts vidēja termiņa fiskālajos un strukturālajos pl</w:t>
            </w:r>
            <w:r w:rsidRPr="007309DB">
              <w:t xml:space="preserve">ānos būtu jāapvieno katras dalībvalsts fiskālo un strukturālo reformu un investīciju saistības, un šiem plāniem vajadzētu būt Savienības ekonomikas </w:t>
            </w:r>
            <w:r w:rsidRPr="007309DB">
              <w:rPr>
                <w:b/>
                <w:bCs/>
                <w:i/>
                <w:iCs/>
              </w:rPr>
              <w:t>un sociālās jomas</w:t>
            </w:r>
            <w:r w:rsidRPr="007309DB">
              <w:rPr>
                <w:b/>
                <w:bCs/>
              </w:rPr>
              <w:t xml:space="preserve"> </w:t>
            </w:r>
            <w:r w:rsidRPr="007309DB">
              <w:t>pārvaldības sistēmas stūrakmenim. Katrai dalībvalstij būtu jāiesniedz vidēja termiņa plāns</w:t>
            </w:r>
            <w:r w:rsidRPr="007309DB">
              <w:t>, kurā izklāstīta tās fiskālā trajektorija, kā arī prioritārās publisko investīciju un reformu saistības, kas kopā nodrošina ilgtspējīgu un pakāpenisku parāda samazināšanu un ilgtspējīgu un iekļaujošu izaugsmi, izvairoties no procikliskas fiskālās politika</w:t>
            </w:r>
            <w:r w:rsidRPr="007309DB">
              <w:t>s, kā arī plašākas reformu un investīciju saistības, cita starpā attiecībā uz zaļo un digitālo pārkārtošanos, sociālo un ekonomisko noturību un Eiropas sociālo tiesību pīlāra īstenošanu</w:t>
            </w:r>
            <w:r w:rsidRPr="007309DB">
              <w:rPr>
                <w:b/>
                <w:bCs/>
                <w:i/>
                <w:iCs/>
              </w:rPr>
              <w:t>, tostarp saistītos mērķus attiecībā uz nodarbinātību, prasmēm un nabad</w:t>
            </w:r>
            <w:r w:rsidRPr="007309DB">
              <w:rPr>
                <w:b/>
                <w:bCs/>
                <w:i/>
                <w:iCs/>
              </w:rPr>
              <w:t>zības samazināšanu līdz 2030. gadam</w:t>
            </w:r>
            <w:r w:rsidRPr="007309DB">
              <w:rPr>
                <w:b/>
                <w:bCs/>
                <w:i/>
                <w:iCs/>
                <w:vertAlign w:val="superscript"/>
              </w:rPr>
              <w:t>1a</w:t>
            </w:r>
            <w:r w:rsidRPr="007309DB">
              <w:t>. Atveseļošanas un noturības mehānisma darbības laikā</w:t>
            </w:r>
            <w:r w:rsidRPr="007309DB">
              <w:rPr>
                <w:vertAlign w:val="superscript"/>
              </w:rPr>
              <w:t>25</w:t>
            </w:r>
            <w:r w:rsidRPr="007309DB">
              <w:t xml:space="preserve"> būtu pienācīgi jāņem vērā saistības, kas uzņemtas nacionālajos atveseļošanas un noturības plānos.</w:t>
            </w:r>
          </w:p>
        </w:tc>
      </w:tr>
      <w:tr w:rsidR="00C07892" w:rsidRPr="007309DB" w:rsidTr="00C33FBD">
        <w:trPr>
          <w:jc w:val="center"/>
        </w:trPr>
        <w:tc>
          <w:tcPr>
            <w:tcW w:w="4876" w:type="dxa"/>
            <w:hideMark/>
          </w:tcPr>
          <w:p w:rsidR="00AF0131" w:rsidRPr="007309DB" w:rsidRDefault="008355CB" w:rsidP="00C33FBD">
            <w:pPr>
              <w:pStyle w:val="Normal6"/>
            </w:pPr>
            <w:r w:rsidRPr="007309DB">
              <w:t>__________________</w:t>
            </w:r>
          </w:p>
        </w:tc>
        <w:tc>
          <w:tcPr>
            <w:tcW w:w="4876" w:type="dxa"/>
            <w:hideMark/>
          </w:tcPr>
          <w:p w:rsidR="00AF0131" w:rsidRPr="007309DB" w:rsidRDefault="008355CB" w:rsidP="00C33FBD">
            <w:pPr>
              <w:pStyle w:val="Normal6"/>
              <w:rPr>
                <w:szCs w:val="24"/>
              </w:rPr>
            </w:pPr>
            <w:r w:rsidRPr="007309DB">
              <w:t>__________________</w:t>
            </w:r>
          </w:p>
        </w:tc>
      </w:tr>
      <w:tr w:rsidR="00C07892" w:rsidRPr="007309DB" w:rsidTr="00C33FBD">
        <w:trPr>
          <w:jc w:val="center"/>
        </w:trPr>
        <w:tc>
          <w:tcPr>
            <w:tcW w:w="4876" w:type="dxa"/>
          </w:tcPr>
          <w:p w:rsidR="00AF0131" w:rsidRPr="007309DB" w:rsidRDefault="00AF0131" w:rsidP="00C33FBD">
            <w:pPr>
              <w:pStyle w:val="Normal6"/>
              <w:rPr>
                <w:vertAlign w:val="superscript"/>
              </w:rPr>
            </w:pPr>
          </w:p>
        </w:tc>
        <w:tc>
          <w:tcPr>
            <w:tcW w:w="4876" w:type="dxa"/>
          </w:tcPr>
          <w:p w:rsidR="00AF0131" w:rsidRPr="007309DB" w:rsidRDefault="008355CB" w:rsidP="00C33FBD">
            <w:pPr>
              <w:pStyle w:val="Normal6"/>
              <w:rPr>
                <w:vertAlign w:val="superscript"/>
              </w:rPr>
            </w:pPr>
            <w:r w:rsidRPr="007309DB">
              <w:rPr>
                <w:vertAlign w:val="superscript"/>
              </w:rPr>
              <w:t xml:space="preserve">25a </w:t>
            </w:r>
            <w:r w:rsidRPr="007309DB">
              <w:rPr>
                <w:b/>
                <w:bCs/>
                <w:i/>
                <w:iCs/>
              </w:rPr>
              <w:t>Komisijas 2021. gada</w:t>
            </w:r>
            <w:r w:rsidRPr="007309DB">
              <w:rPr>
                <w:b/>
                <w:bCs/>
                <w:i/>
                <w:iCs/>
              </w:rPr>
              <w:t xml:space="preserve"> 4. marta paziņojums Eiropas Parlamentam, Padomei, Eiropas Ekonomikas un sociālo lietu komitejai un Reģionu komitejai</w:t>
            </w:r>
            <w:r w:rsidRPr="007309DB">
              <w:rPr>
                <w:b/>
                <w:bCs/>
              </w:rPr>
              <w:t xml:space="preserve"> </w:t>
            </w:r>
            <w:r w:rsidRPr="007309DB">
              <w:rPr>
                <w:b/>
                <w:bCs/>
                <w:i/>
                <w:iCs/>
              </w:rPr>
              <w:t>"Eiropas sociālo tiesību pīlāra rīcības plāns" (COM(2021)0102).</w:t>
            </w:r>
          </w:p>
        </w:tc>
      </w:tr>
      <w:tr w:rsidR="00C07892" w:rsidRPr="007309DB" w:rsidTr="00C33FBD">
        <w:trPr>
          <w:jc w:val="center"/>
        </w:trPr>
        <w:tc>
          <w:tcPr>
            <w:tcW w:w="4876" w:type="dxa"/>
            <w:hideMark/>
          </w:tcPr>
          <w:p w:rsidR="00AF0131" w:rsidRPr="007309DB" w:rsidRDefault="008355CB" w:rsidP="00C33FBD">
            <w:pPr>
              <w:pStyle w:val="Normal6"/>
            </w:pPr>
            <w:r w:rsidRPr="007309DB">
              <w:rPr>
                <w:vertAlign w:val="superscript"/>
              </w:rPr>
              <w:t>25</w:t>
            </w:r>
            <w:r w:rsidRPr="007309DB">
              <w:t xml:space="preserve"> Eiropas Parlamenta un Padomes Regula (ES) 2021/241 (2021. gada 12. feb</w:t>
            </w:r>
            <w:r w:rsidRPr="007309DB">
              <w:t>ruāris), ar ko izveido Atveseļošanas un noturības mehānismu (OV L 57, 18.2.2021., 17. lpp.).</w:t>
            </w:r>
          </w:p>
        </w:tc>
        <w:tc>
          <w:tcPr>
            <w:tcW w:w="4876" w:type="dxa"/>
            <w:hideMark/>
          </w:tcPr>
          <w:p w:rsidR="00AF0131" w:rsidRPr="007309DB" w:rsidRDefault="008355CB" w:rsidP="00C33FBD">
            <w:pPr>
              <w:pStyle w:val="Normal6"/>
              <w:rPr>
                <w:szCs w:val="24"/>
              </w:rPr>
            </w:pPr>
            <w:r w:rsidRPr="007309DB">
              <w:rPr>
                <w:vertAlign w:val="superscript"/>
              </w:rPr>
              <w:t>25</w:t>
            </w:r>
            <w:r w:rsidRPr="007309DB">
              <w:t xml:space="preserve"> Eiropas Parlamenta un Padomes Regula (ES) 2021/241 (2021. gada 12. februāris), ar ko izveido Atveseļošanas un noturības mehānismu (OV L 57, 18.2.2021., 17. lpp.</w:t>
            </w:r>
            <w:r w:rsidRPr="007309DB">
              <w:t>).</w:t>
            </w:r>
          </w:p>
        </w:tc>
      </w:tr>
    </w:tbl>
    <w:p w:rsidR="002D23D0" w:rsidRPr="007309DB" w:rsidRDefault="008355CB" w:rsidP="00C56375">
      <w:pPr>
        <w:rPr>
          <w:rFonts w:eastAsiaTheme="majorEastAsia"/>
        </w:rPr>
      </w:pPr>
      <w:r w:rsidRPr="007309DB">
        <w:rPr>
          <w:rStyle w:val="HideTWBExt"/>
        </w:rPr>
        <w:t>&lt;/Amend&gt;</w:t>
      </w:r>
    </w:p>
    <w:p w:rsidR="00AF0131" w:rsidRPr="007309DB" w:rsidRDefault="008355CB" w:rsidP="002D23D0">
      <w:pPr>
        <w:pStyle w:val="AmNumberTabs"/>
      </w:pPr>
      <w:r w:rsidRPr="007309DB">
        <w:rPr>
          <w:rStyle w:val="HideTWBExt"/>
        </w:rPr>
        <w:t>&lt;Amend&gt;</w:t>
      </w:r>
      <w:r w:rsidRPr="007309DB">
        <w:t>Grozījums Nr.</w:t>
      </w:r>
      <w:r w:rsidRPr="007309DB">
        <w:tab/>
      </w:r>
      <w:r w:rsidRPr="007309DB">
        <w:tab/>
      </w:r>
      <w:r w:rsidRPr="007309DB">
        <w:rPr>
          <w:rStyle w:val="HideTWBExt"/>
          <w:b w:val="0"/>
        </w:rPr>
        <w:t>&lt;NumAm&gt;</w:t>
      </w:r>
      <w:r w:rsidRPr="007309DB">
        <w:t>7</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10. apsvērums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(10)</w:t>
            </w:r>
            <w:r w:rsidRPr="007309DB">
              <w:tab/>
              <w:t xml:space="preserve">Kohēzijas politikas fondi arī ir sinhronizēti ar Eiropas pusgada procesu. </w:t>
            </w:r>
            <w:r w:rsidRPr="007309DB">
              <w:t xml:space="preserve">Izstrādājot valsts vidēja termiņa fiskālos un strukturālos plānus, būtu pienācīgi jāņem vērā arī </w:t>
            </w:r>
            <w:r w:rsidRPr="007309DB">
              <w:rPr>
                <w:b/>
                <w:bCs/>
                <w:i/>
                <w:iCs/>
              </w:rPr>
              <w:t>ES budžeta ilgtermiņa investīciju politika,</w:t>
            </w:r>
            <w:r w:rsidRPr="007309DB">
              <w:t xml:space="preserve"> kohēzijas politikas investīcijas un reformas. Katrai dalībvalstij būtu arī jāpaskaidro, kā tās valsts vidēja termiņ</w:t>
            </w:r>
            <w:r w:rsidRPr="007309DB">
              <w:t>a fiskālais un strukturālais plāns nodrošinās saskaņotību ar ES programmu izdevumiem, kas pilnībā atbilst ES fondu ieņēmumiem un attiecīgajam valsts līdzfinansējumam.</w:t>
            </w:r>
          </w:p>
        </w:tc>
        <w:tc>
          <w:tcPr>
            <w:tcW w:w="4876" w:type="dxa"/>
            <w:hideMark/>
          </w:tcPr>
          <w:p w:rsidR="00AF0131" w:rsidRPr="007309DB" w:rsidRDefault="008355CB" w:rsidP="00C33FBD">
            <w:pPr>
              <w:pStyle w:val="Normal6"/>
              <w:rPr>
                <w:szCs w:val="24"/>
              </w:rPr>
            </w:pPr>
            <w:r w:rsidRPr="007309DB">
              <w:t>(10)</w:t>
            </w:r>
            <w:r w:rsidRPr="007309DB">
              <w:tab/>
              <w:t xml:space="preserve">Kohēzijas politikas fondi arī ir sinhronizēti ar Eiropas pusgada procesu. </w:t>
            </w:r>
            <w:r w:rsidRPr="007309DB">
              <w:rPr>
                <w:b/>
                <w:bCs/>
                <w:i/>
                <w:iCs/>
              </w:rPr>
              <w:t>Tā kā ES b</w:t>
            </w:r>
            <w:r w:rsidRPr="007309DB">
              <w:rPr>
                <w:b/>
                <w:bCs/>
                <w:i/>
                <w:iCs/>
              </w:rPr>
              <w:t xml:space="preserve">udžeta ilgtermiņa investīciju politika stiprina ekonomisko, sociālo un teritoriālo kohēziju, </w:t>
            </w:r>
            <w:r w:rsidRPr="007309DB">
              <w:t xml:space="preserve">izstrādājot valsts vidēja termiņa fiskālos un strukturālos plānus, būtu pienācīgi jāņem vērā arī kohēzijas politikas investīcijas un reformas. Katrai dalībvalstij </w:t>
            </w:r>
            <w:r w:rsidRPr="007309DB">
              <w:t>būtu arī jāpaskaidro, kā tās valsts vidēja termiņa fiskālais un strukturālais plāns nodrošinās saskaņotību ar ES programmu izdevumiem, kas pilnībā atbilst ES fondu ieņēmumiem un attiecīgajam valsts līdzfinansējumam.</w:t>
            </w:r>
          </w:p>
        </w:tc>
      </w:tr>
    </w:tbl>
    <w:p w:rsidR="00AF0131" w:rsidRPr="007309DB" w:rsidRDefault="008355CB" w:rsidP="00C56375">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8</w:t>
      </w:r>
      <w:r w:rsidRPr="007309DB">
        <w:rPr>
          <w:rStyle w:val="HideTWBExt"/>
          <w:b w:val="0"/>
        </w:rPr>
        <w:t>&lt;/NumAm&gt;</w:t>
      </w:r>
    </w:p>
    <w:p w:rsidR="00AF0131" w:rsidRPr="007309DB" w:rsidRDefault="00AF0131" w:rsidP="00AF0131">
      <w:pPr>
        <w:rPr>
          <w:b/>
        </w:rPr>
      </w:pPr>
    </w:p>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13. apsvērums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(13)</w:t>
            </w:r>
            <w:r w:rsidRPr="007309DB">
              <w:tab/>
              <w:t>Lai dalībvalstīm sniegtu norādījumus vidēja termiņa fiskālā un strukturālā plāna izstrādē, Komisijai būtu jānāk klajā ar te</w:t>
            </w:r>
            <w:r w:rsidRPr="007309DB">
              <w:t xml:space="preserve">hnisko trajektoriju, kuras pamatā ir minimālā fiskālā korekcija, kas ļauj ticami samazināt dalībvalsts parāda trajektoriju vai saglabāt parādu piesardzīgā līmenī. Tai arī būtu jānodrošina, ka valsts parāda attiecība plānošanas perioda beigās samazinās zem </w:t>
            </w:r>
            <w:r w:rsidRPr="007309DB">
              <w:t xml:space="preserve">tās līmeņa gadā pirms tehniskās trajektorijas sākuma. </w:t>
            </w:r>
            <w:r w:rsidRPr="007309DB">
              <w:rPr>
                <w:b/>
                <w:i/>
              </w:rPr>
              <w:t>Parāda samazināšanas ilgtspējai būtu jāizriet no atbilstošas fiskālās politikas.</w:t>
            </w:r>
          </w:p>
        </w:tc>
        <w:tc>
          <w:tcPr>
            <w:tcW w:w="4876" w:type="dxa"/>
            <w:hideMark/>
          </w:tcPr>
          <w:p w:rsidR="00AF0131" w:rsidRPr="007309DB" w:rsidRDefault="008355CB" w:rsidP="00C33FBD">
            <w:pPr>
              <w:pStyle w:val="Normal6"/>
              <w:rPr>
                <w:szCs w:val="24"/>
              </w:rPr>
            </w:pPr>
            <w:r w:rsidRPr="007309DB">
              <w:t>(13)</w:t>
            </w:r>
            <w:r w:rsidRPr="007309DB">
              <w:tab/>
              <w:t xml:space="preserve">Lai dalībvalstīm sniegtu norādījumus vidēja termiņa fiskālā un strukturālā plāna izstrādē, Komisijai būtu jānāk </w:t>
            </w:r>
            <w:r w:rsidRPr="007309DB">
              <w:t>klajā ar tehnisko trajektoriju, kuras pamatā ir minimālā fiskālā korekcija, kas ļauj ticami samazināt dalībvalsts parāda trajektoriju vai saglabāt parādu piesardzīgā līmenī</w:t>
            </w:r>
            <w:r w:rsidRPr="007309DB">
              <w:rPr>
                <w:b/>
                <w:bCs/>
                <w:i/>
                <w:iCs/>
              </w:rPr>
              <w:t xml:space="preserve">, vienlaikus ņemot vērā arī mērķtiecīgas investīcijas, kas vajadzīgas, lai īstenotu </w:t>
            </w:r>
            <w:r w:rsidRPr="007309DB">
              <w:rPr>
                <w:b/>
                <w:bCs/>
                <w:i/>
                <w:iCs/>
              </w:rPr>
              <w:t>Savienības kopīgās prioritātes</w:t>
            </w:r>
            <w:r w:rsidRPr="007309DB">
              <w:t>. Tai arī būtu jānodrošina, ka valsts parāda attiecība plānošanas perioda beigās samazinās zem tās līmeņa gadā pirms tehniskās trajektorijas sākuma.</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C56375">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9</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w:t>
      </w:r>
      <w:r w:rsidRPr="007309DB">
        <w:t>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22. apsvērums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(22)</w:t>
            </w:r>
            <w:r w:rsidRPr="007309DB">
              <w:tab/>
              <w:t xml:space="preserve">Lai nodrošinātu pakāpeniskāku parāda samazināšanu, korekcijas periodu var pagarināt maksimāli par trīs gadiem, ja dalībvalsts savu vidēja termiņa fiskālo un </w:t>
            </w:r>
            <w:r w:rsidRPr="007309DB">
              <w:t>strukturālo plānu pamato ar pārbaudāmu reformu un investīciju saistību kopumu ar noteiktiem termiņiem, kas visumā: veicina izaugsmi, atbalsta fiskālo stabilitāti, pievēršas Savienības kopīgajām prioritātēm, īsteno attiecīgos ieteikumus, kas adresēti konkrē</w:t>
            </w:r>
            <w:r w:rsidRPr="007309DB">
              <w:t>tai dalībvalstij Eiropas pusgada ietvaros, un atbilst investīciju prioritātēm, kas noteiktas konkrētās valstīs, korekcijas periodā nesamazinot citas valsts finansētās publiskās investīcijas, lai nodrošinātu investīciju makroekonomisko ietekmi un izvairītos</w:t>
            </w:r>
            <w:r w:rsidRPr="007309DB">
              <w:t xml:space="preserve"> no citu investīciju prioritāšu izstumšanas.</w:t>
            </w:r>
          </w:p>
        </w:tc>
        <w:tc>
          <w:tcPr>
            <w:tcW w:w="4876" w:type="dxa"/>
            <w:hideMark/>
          </w:tcPr>
          <w:p w:rsidR="00AF0131" w:rsidRPr="007309DB" w:rsidRDefault="008355CB" w:rsidP="00C33FBD">
            <w:pPr>
              <w:pStyle w:val="Normal6"/>
              <w:rPr>
                <w:szCs w:val="24"/>
              </w:rPr>
            </w:pPr>
            <w:r w:rsidRPr="007309DB">
              <w:t>(22)</w:t>
            </w:r>
            <w:r w:rsidRPr="007309DB">
              <w:tab/>
              <w:t>Lai nodrošinātu pakāpeniskāku parāda samazināšanu, korekcijas periodu var pagarināt maksimāli par trīs gadiem, ja dalībvalsts savu vidēja termiņa fiskālo un strukturālo plānu pamato ar pārbaudāmu reformu un</w:t>
            </w:r>
            <w:r w:rsidRPr="007309DB">
              <w:t xml:space="preserve"> investīciju saistību kopumu ar noteiktiem termiņiem, kas visumā: veicina </w:t>
            </w:r>
            <w:r w:rsidRPr="007309DB">
              <w:rPr>
                <w:b/>
                <w:bCs/>
                <w:i/>
                <w:iCs/>
              </w:rPr>
              <w:t>ilgtspējīgu un iekļaujošu</w:t>
            </w:r>
            <w:r w:rsidRPr="007309DB">
              <w:t xml:space="preserve"> izaugsmi, </w:t>
            </w:r>
            <w:r w:rsidRPr="007309DB">
              <w:rPr>
                <w:b/>
                <w:bCs/>
                <w:i/>
                <w:iCs/>
              </w:rPr>
              <w:t>sekmē augšupēju sociālo konverģenci,</w:t>
            </w:r>
            <w:r w:rsidRPr="007309DB">
              <w:t xml:space="preserve"> atbalsta fiskālo stabilitāti, pievēršas Savienības kopīgajām prioritātēm, īsteno attiecīgos ieteikumus, kas a</w:t>
            </w:r>
            <w:r w:rsidRPr="007309DB">
              <w:t xml:space="preserve">dresēti konkrētai dalībvalstij Eiropas pusgada ietvaros, un atbilst investīciju prioritātēm, kas noteiktas konkrētās valstīs, korekcijas periodā nesamazinot citas valsts finansētās publiskās investīcijas, </w:t>
            </w:r>
            <w:r w:rsidRPr="007309DB">
              <w:rPr>
                <w:b/>
                <w:bCs/>
                <w:i/>
                <w:iCs/>
              </w:rPr>
              <w:t>tostarp investīcijas sociālajā jomā,</w:t>
            </w:r>
            <w:r w:rsidRPr="007309DB">
              <w:t xml:space="preserve"> lai nodrošināt</w:t>
            </w:r>
            <w:r w:rsidRPr="007309DB">
              <w:t>u investīciju makroekonomisko ietekmi un izvairītos no citu investīciju prioritāšu izstumšanas.</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rPr>
          <w:rStyle w:val="HideTWBExt"/>
          <w:b w:val="0"/>
        </w:rPr>
        <w:t>&lt;NumAm&gt;</w:t>
      </w:r>
      <w:r w:rsidRPr="007309DB">
        <w:t>10</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1. pants – 1. daļa</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 xml:space="preserve">Komisijas ierosinātais </w:t>
            </w:r>
            <w:r w:rsidRPr="007309DB">
              <w:t>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Šajā regulā ir izklāstīti noteikumi, kas nodrošina dalībvalstu ekonomikas politikas efektīvu koordināciju, tādējādi atbalstot Savienības izaugsmes un nodarbinātības mērķu sasniegšanu.</w:t>
            </w:r>
          </w:p>
        </w:tc>
        <w:tc>
          <w:tcPr>
            <w:tcW w:w="4876" w:type="dxa"/>
            <w:hideMark/>
          </w:tcPr>
          <w:p w:rsidR="00AF0131" w:rsidRPr="007309DB" w:rsidRDefault="008355CB" w:rsidP="00C33FBD">
            <w:pPr>
              <w:pStyle w:val="Normal6"/>
              <w:rPr>
                <w:szCs w:val="24"/>
              </w:rPr>
            </w:pPr>
            <w:r w:rsidRPr="007309DB">
              <w:t>Šajā regulā ir izklāstīti noteikumi, kas nodrošina dal</w:t>
            </w:r>
            <w:r w:rsidRPr="007309DB">
              <w:t xml:space="preserve">ībvalstu ekonomikas politikas efektīvu koordināciju, tādējādi atbalstot Savienības </w:t>
            </w:r>
            <w:r w:rsidRPr="007309DB">
              <w:rPr>
                <w:b/>
                <w:bCs/>
                <w:i/>
                <w:iCs/>
              </w:rPr>
              <w:t>ilgtspējīgas un iekļaujošas</w:t>
            </w:r>
            <w:r w:rsidRPr="007309DB">
              <w:t xml:space="preserve"> izaugsmes un </w:t>
            </w:r>
            <w:r w:rsidRPr="007309DB">
              <w:rPr>
                <w:b/>
                <w:bCs/>
                <w:i/>
                <w:iCs/>
              </w:rPr>
              <w:t xml:space="preserve">kvalitatīvas </w:t>
            </w:r>
            <w:r w:rsidRPr="007309DB">
              <w:t>nodarbinātības mērķu sasniegšanu.</w:t>
            </w:r>
          </w:p>
        </w:tc>
      </w:tr>
    </w:tbl>
    <w:p w:rsidR="00AF0131" w:rsidRPr="007309DB" w:rsidRDefault="008355CB" w:rsidP="00AF0131">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11</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w:t>
      </w:r>
      <w:r w:rsidRPr="007309DB">
        <w:rPr>
          <w:rStyle w:val="HideTWBExt"/>
          <w:b w:val="0"/>
        </w:rPr>
        <w:t>cAmend&gt;</w:t>
      </w:r>
    </w:p>
    <w:p w:rsidR="00AF0131" w:rsidRPr="007309DB" w:rsidRDefault="008355CB" w:rsidP="00AF0131">
      <w:pPr>
        <w:pStyle w:val="NormalBold"/>
      </w:pPr>
      <w:r w:rsidRPr="007309DB">
        <w:rPr>
          <w:rStyle w:val="HideTWBExt"/>
          <w:b w:val="0"/>
        </w:rPr>
        <w:t>&lt;Article&gt;</w:t>
      </w:r>
      <w:r w:rsidRPr="007309DB">
        <w:t>1. pants – 2. daļa</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 xml:space="preserve">Tā paredz sīki izstrādātus noteikumus par valsts vidēja termiņa fiskālo un strukturālo plānu saturu, iesniegšanu, novērtēšanu un uzraudzību Padomes un Komisijas īstenotās budžeta daudzpusējās uzraudzības ietvaros, lai veicinātu parāda atmaksājamību </w:t>
            </w:r>
            <w:r w:rsidRPr="007309DB">
              <w:rPr>
                <w:b/>
                <w:bCs/>
                <w:i/>
                <w:iCs/>
              </w:rPr>
              <w:t>un</w:t>
            </w:r>
            <w:r w:rsidRPr="007309DB">
              <w:t xml:space="preserve"> ilgt</w:t>
            </w:r>
            <w:r w:rsidRPr="007309DB">
              <w:t>spējīgu un iekļaujošu izaugsmi dalībvalstīs un novērstu pārmērīgu valsts budžeta deficītu, izmantojot vidēja termiņa plānošanu.</w:t>
            </w:r>
          </w:p>
        </w:tc>
        <w:tc>
          <w:tcPr>
            <w:tcW w:w="4876" w:type="dxa"/>
            <w:hideMark/>
          </w:tcPr>
          <w:p w:rsidR="00AF0131" w:rsidRPr="007309DB" w:rsidRDefault="008355CB" w:rsidP="00C33FBD">
            <w:pPr>
              <w:pStyle w:val="Normal6"/>
              <w:rPr>
                <w:szCs w:val="24"/>
              </w:rPr>
            </w:pPr>
            <w:r w:rsidRPr="007309DB">
              <w:t>Tā paredz sīki izstrādātus noteikumus par valsts vidēja termiņa fiskālo un strukturālo plānu saturu, iesniegšanu, novērtēšanu un</w:t>
            </w:r>
            <w:r w:rsidRPr="007309DB">
              <w:t xml:space="preserve"> uzraudzību saskaņā ar ES ekonomiskajiem, sociālajiem un ilgtspējas mērķiem Padomes un Komisijas īstenotās ekonomiskās un budžeta daudzpusējās uzraudzības ietvaros, lai veicinātu parāda atmaksājamību</w:t>
            </w:r>
            <w:r w:rsidRPr="007309DB">
              <w:rPr>
                <w:b/>
                <w:bCs/>
                <w:i/>
                <w:iCs/>
              </w:rPr>
              <w:t>,</w:t>
            </w:r>
            <w:r w:rsidRPr="007309DB">
              <w:t xml:space="preserve"> ilgtspējīgu un iekļaujošu izaugsmi </w:t>
            </w:r>
            <w:r w:rsidRPr="007309DB">
              <w:rPr>
                <w:b/>
                <w:bCs/>
                <w:i/>
                <w:iCs/>
              </w:rPr>
              <w:t>un augšupēju sociālo</w:t>
            </w:r>
            <w:r w:rsidRPr="007309DB">
              <w:rPr>
                <w:b/>
                <w:bCs/>
                <w:i/>
                <w:iCs/>
              </w:rPr>
              <w:t xml:space="preserve"> konverģenci</w:t>
            </w:r>
            <w:r w:rsidRPr="007309DB">
              <w:t xml:space="preserve"> dalībvalstīs un novērstu pārmērīgu valsts budžeta deficītu, izmantojot vidēja termiņa plānošanu </w:t>
            </w:r>
            <w:r w:rsidRPr="007309DB">
              <w:rPr>
                <w:b/>
                <w:bCs/>
                <w:i/>
                <w:iCs/>
              </w:rPr>
              <w:t>un vienlaikus nodrošinot mērķtiecīgas investīcijas ekonomikas un sociālajā jomā saskaņā ar Savienības kopīgajām prioritātēm</w:t>
            </w:r>
            <w:r w:rsidRPr="007309DB">
              <w:t>.</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C56375">
      <w:pPr>
        <w:pStyle w:val="AmNumberTabs"/>
      </w:pPr>
      <w:r w:rsidRPr="007309DB">
        <w:rPr>
          <w:rStyle w:val="HideTWBExt"/>
          <w:b w:val="0"/>
        </w:rPr>
        <w:t>&lt;Amend&gt;</w:t>
      </w:r>
      <w:r w:rsidRPr="007309DB">
        <w:t>Grozī</w:t>
      </w:r>
      <w:r w:rsidRPr="007309DB">
        <w:t>jums Nr.</w:t>
      </w:r>
      <w:r w:rsidRPr="007309DB">
        <w:tab/>
      </w:r>
      <w:r w:rsidRPr="007309DB">
        <w:tab/>
      </w:r>
      <w:r w:rsidRPr="007309DB">
        <w:rPr>
          <w:rStyle w:val="HideTWBExt"/>
          <w:b w:val="0"/>
        </w:rPr>
        <w:t>&lt;NumAm&gt;</w:t>
      </w:r>
      <w:r w:rsidRPr="007309DB">
        <w:t>12</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3. pants – 1. daļa</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 xml:space="preserve">Lai nodrošinātu ekonomikas politikas ciešāku koordināciju un dalībvalstu ekonomisko un sociālo rādītāju </w:t>
            </w:r>
            <w:r w:rsidRPr="007309DB">
              <w:rPr>
                <w:b/>
                <w:bCs/>
                <w:i/>
                <w:iCs/>
              </w:rPr>
              <w:t>stabilu</w:t>
            </w:r>
            <w:r w:rsidRPr="007309DB">
              <w:t xml:space="preserve"> konverģenci, Padome un Komisija Eiropas pusgada ietvaros veic daudzpusēju uzraudzību saskaņā ar LESD noteiktajiem mērķiem un prasībām. Daudzpusējā uzraudzība balstās uz augstas kvalitātes neatkarīgu statistiku, kas sagatavota saskaņā ar Eiropas Par</w:t>
            </w:r>
            <w:r w:rsidRPr="007309DB">
              <w:t>lamenta un Padomes Regulā (EK) Nr. 223/2009 noteiktajiem principiem.</w:t>
            </w:r>
          </w:p>
        </w:tc>
        <w:tc>
          <w:tcPr>
            <w:tcW w:w="4876" w:type="dxa"/>
            <w:hideMark/>
          </w:tcPr>
          <w:p w:rsidR="00AF0131" w:rsidRPr="007309DB" w:rsidRDefault="008355CB" w:rsidP="00C33FBD">
            <w:pPr>
              <w:pStyle w:val="Normal6"/>
              <w:rPr>
                <w:szCs w:val="24"/>
              </w:rPr>
            </w:pPr>
            <w:r w:rsidRPr="007309DB">
              <w:t xml:space="preserve">Lai nodrošinātu ekonomikas </w:t>
            </w:r>
            <w:r w:rsidRPr="007309DB">
              <w:rPr>
                <w:b/>
                <w:bCs/>
                <w:i/>
                <w:iCs/>
              </w:rPr>
              <w:t>un nodarbinātības</w:t>
            </w:r>
            <w:r w:rsidRPr="007309DB">
              <w:t xml:space="preserve"> politikas ciešāku koordināciju un dalībvalstu ekonomisko un sociālo rādītāju </w:t>
            </w:r>
            <w:r w:rsidRPr="007309DB">
              <w:rPr>
                <w:b/>
                <w:bCs/>
                <w:i/>
                <w:iCs/>
              </w:rPr>
              <w:t>augšupēju</w:t>
            </w:r>
            <w:r w:rsidRPr="007309DB">
              <w:t xml:space="preserve"> konverģenci </w:t>
            </w:r>
            <w:r w:rsidRPr="007309DB">
              <w:rPr>
                <w:b/>
                <w:bCs/>
                <w:i/>
                <w:iCs/>
              </w:rPr>
              <w:t>saskaņā ar Savienības kopīgajām prioritātēm</w:t>
            </w:r>
            <w:r w:rsidRPr="007309DB">
              <w:t xml:space="preserve">, Padome un Komisija Eiropas pusgada ietvaros veic daudzpusēju uzraudzību saskaņā ar LESD noteiktajiem mērķiem un prasībām. Daudzpusējā uzraudzība balstās uz augstas kvalitātes neatkarīgu statistiku, kas sagatavota saskaņā ar Eiropas Parlamenta un Padomes </w:t>
            </w:r>
            <w:r w:rsidRPr="007309DB">
              <w:t>Regulā (EK) Nr. 223/2009 noteiktajiem principiem.</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13</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3. pants – 2. daļa – b punkts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b)</w:t>
            </w:r>
            <w:r w:rsidRPr="007309DB">
              <w:tab/>
            </w:r>
            <w:r w:rsidRPr="007309DB">
              <w:t xml:space="preserve">to nodarbinātības pamatnostādņu formulēšanu un īstenošanas uzraudzība, kuras dalībvalstīm ir jāņem vērā saskaņā ar LESD 148. panta 2. punktu, </w:t>
            </w:r>
            <w:r w:rsidRPr="007309DB">
              <w:rPr>
                <w:b/>
                <w:bCs/>
                <w:i/>
                <w:iCs/>
              </w:rPr>
              <w:t>cita starpā</w:t>
            </w:r>
            <w:r w:rsidRPr="007309DB">
              <w:t xml:space="preserve"> Eiropas sociālo tiesību </w:t>
            </w:r>
            <w:r w:rsidRPr="007309DB">
              <w:rPr>
                <w:b/>
                <w:bCs/>
                <w:i/>
                <w:iCs/>
              </w:rPr>
              <w:t>pīlārs</w:t>
            </w:r>
            <w:r w:rsidRPr="007309DB">
              <w:t>, un saistītos konkrētai valstij adresētos ieteikumus;</w:t>
            </w:r>
          </w:p>
        </w:tc>
        <w:tc>
          <w:tcPr>
            <w:tcW w:w="4876" w:type="dxa"/>
            <w:hideMark/>
          </w:tcPr>
          <w:p w:rsidR="00AF0131" w:rsidRPr="007309DB" w:rsidRDefault="008355CB" w:rsidP="00C33FBD">
            <w:pPr>
              <w:pStyle w:val="Normal6"/>
              <w:rPr>
                <w:szCs w:val="24"/>
              </w:rPr>
            </w:pPr>
            <w:r w:rsidRPr="007309DB">
              <w:t>b)</w:t>
            </w:r>
            <w:r w:rsidRPr="007309DB">
              <w:tab/>
            </w:r>
            <w:r w:rsidRPr="007309DB">
              <w:t xml:space="preserve">to nodarbinātības pamatnostādņu formulēšanu un īstenošanas uzraudzību, kuras dalībvalstīm ir jāņem vērā saskaņā ar LESD 148. panta 2. punktu, Eiropas sociālo tiesību </w:t>
            </w:r>
            <w:r w:rsidRPr="007309DB">
              <w:rPr>
                <w:b/>
                <w:bCs/>
                <w:i/>
                <w:iCs/>
              </w:rPr>
              <w:t>pīlāru un tā pamatmērķiem</w:t>
            </w:r>
            <w:r w:rsidRPr="007309DB">
              <w:t>, un saistītos konkrētai valstij adresētos ieteikumus</w:t>
            </w:r>
            <w:r w:rsidRPr="007309DB">
              <w:rPr>
                <w:b/>
                <w:bCs/>
                <w:i/>
                <w:iCs/>
              </w:rPr>
              <w:t>, kā arī soc</w:t>
            </w:r>
            <w:r w:rsidRPr="007309DB">
              <w:rPr>
                <w:b/>
                <w:bCs/>
                <w:i/>
                <w:iCs/>
              </w:rPr>
              <w:t>iālo rezultātu pārskatu, tā galvenos un sekundāros rādītājus un sociālās konverģences sistēmu, lai novērstu un noteiktu sociālās konverģences riskus</w:t>
            </w:r>
            <w:r w:rsidRPr="007309DB">
              <w:t>;</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14</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 xml:space="preserve">4. </w:t>
      </w:r>
      <w:r w:rsidRPr="007309DB">
        <w:t>pants – 1. punkts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1.</w:t>
            </w:r>
            <w:r w:rsidRPr="007309DB">
              <w:tab/>
              <w:t xml:space="preserve">Vajadzības gadījumā pēc tam, kad saskaņā ar šo regulu ir novērtēti vidēja termiņa fiskālie un strukturālie plāni, gada progresa ziņojumi un sociālekonomiskais stāvoklis attiecīgajās </w:t>
            </w:r>
            <w:r w:rsidRPr="007309DB">
              <w:t xml:space="preserve">dalībvalstīs, Padome, pamatojoties uz Komisijas ieteikumiem, sniedz ieteikumus minētajām dalībvalstīm, pilnībā izmantojot LESD 121. un 148. pantā paredzētos juridiskos instrumentus </w:t>
            </w:r>
            <w:r w:rsidRPr="007309DB">
              <w:rPr>
                <w:b/>
                <w:bCs/>
                <w:i/>
                <w:iCs/>
              </w:rPr>
              <w:t>un</w:t>
            </w:r>
            <w:r w:rsidRPr="007309DB">
              <w:t xml:space="preserve"> saistītos sekundāros tiesību aktus.</w:t>
            </w:r>
          </w:p>
        </w:tc>
        <w:tc>
          <w:tcPr>
            <w:tcW w:w="4876" w:type="dxa"/>
            <w:hideMark/>
          </w:tcPr>
          <w:p w:rsidR="00AF0131" w:rsidRPr="007309DB" w:rsidRDefault="008355CB" w:rsidP="00C33FBD">
            <w:pPr>
              <w:pStyle w:val="Normal6"/>
              <w:rPr>
                <w:szCs w:val="24"/>
              </w:rPr>
            </w:pPr>
            <w:r w:rsidRPr="007309DB">
              <w:t>1.</w:t>
            </w:r>
            <w:r w:rsidRPr="007309DB">
              <w:tab/>
              <w:t xml:space="preserve">Vajadzības gadījumā pēc tam, kad </w:t>
            </w:r>
            <w:r w:rsidRPr="007309DB">
              <w:t>saskaņā ar šo regulu ir novērtēti vidēja termiņa fiskālie un strukturālie plāni, gada progresa ziņojumi un sociālekonomiskais stāvoklis attiecīgajās dalībvalstīs, Padome, pamatojoties uz Komisijas ieteikumiem, sniedz ieteikumus minētajām dalībvalstīm, piln</w:t>
            </w:r>
            <w:r w:rsidRPr="007309DB">
              <w:t xml:space="preserve">ībā izmantojot </w:t>
            </w:r>
            <w:r w:rsidRPr="007309DB">
              <w:rPr>
                <w:b/>
                <w:bCs/>
                <w:i/>
                <w:iCs/>
              </w:rPr>
              <w:t xml:space="preserve">Eiropas sociālo tiesību pīlāru un </w:t>
            </w:r>
            <w:r w:rsidRPr="007309DB">
              <w:t>LESD 121. un 148. pantā paredzētos juridiskos instrumentus</w:t>
            </w:r>
            <w:r w:rsidRPr="007309DB">
              <w:rPr>
                <w:b/>
                <w:bCs/>
                <w:i/>
                <w:iCs/>
              </w:rPr>
              <w:t>,</w:t>
            </w:r>
            <w:r w:rsidRPr="007309DB">
              <w:t xml:space="preserve"> saistītos sekundāros tiesību aktus.</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15</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 xml:space="preserve">4. pants </w:t>
      </w:r>
      <w:r w:rsidRPr="007309DB">
        <w:t>– 3. punkts – ba apakšpunkts (jauns)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tcPr>
          <w:p w:rsidR="00AF0131" w:rsidRPr="007309DB" w:rsidRDefault="00AF0131" w:rsidP="00C33FBD">
            <w:pPr>
              <w:pStyle w:val="Normal6"/>
            </w:pPr>
          </w:p>
        </w:tc>
        <w:tc>
          <w:tcPr>
            <w:tcW w:w="4876" w:type="dxa"/>
            <w:hideMark/>
          </w:tcPr>
          <w:p w:rsidR="00AF0131" w:rsidRPr="007309DB" w:rsidRDefault="008355CB" w:rsidP="00C33FBD">
            <w:pPr>
              <w:pStyle w:val="Normal6"/>
              <w:rPr>
                <w:szCs w:val="24"/>
              </w:rPr>
            </w:pPr>
            <w:r w:rsidRPr="007309DB">
              <w:rPr>
                <w:b/>
                <w:i/>
              </w:rPr>
              <w:t>ba)</w:t>
            </w:r>
            <w:r w:rsidRPr="007309DB">
              <w:rPr>
                <w:b/>
                <w:i/>
              </w:rPr>
              <w:tab/>
              <w:t>Padome, pamatojoties uz Komisijas priekšlikumu, sniedz ieteikumu saskaņā ar LESD 148. panta 4. punktu vai atspoguļojot sociālās konverģences sistēmas rezultātus;</w:t>
            </w:r>
          </w:p>
        </w:tc>
      </w:tr>
    </w:tbl>
    <w:p w:rsidR="00AF0131" w:rsidRPr="007309DB" w:rsidRDefault="008355CB" w:rsidP="00AF0131">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rPr>
          <w:rStyle w:val="HideTWBExt"/>
          <w:b w:val="0"/>
        </w:rPr>
        <w:t>&lt;NumAm&gt;</w:t>
      </w:r>
      <w:r w:rsidRPr="007309DB">
        <w:t>16</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7. pants – 1. punkts – b apakšpunkts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b)</w:t>
            </w:r>
            <w:r w:rsidRPr="007309DB">
              <w:tab/>
              <w:t>savas makroekonomikas prognozes un pieņēmumus;</w:t>
            </w:r>
          </w:p>
        </w:tc>
        <w:tc>
          <w:tcPr>
            <w:tcW w:w="4876" w:type="dxa"/>
            <w:hideMark/>
          </w:tcPr>
          <w:p w:rsidR="00AF0131" w:rsidRPr="007309DB" w:rsidRDefault="008355CB" w:rsidP="00C33FBD">
            <w:pPr>
              <w:pStyle w:val="Normal6"/>
              <w:rPr>
                <w:szCs w:val="24"/>
              </w:rPr>
            </w:pPr>
            <w:r w:rsidRPr="007309DB">
              <w:t>b)</w:t>
            </w:r>
            <w:r w:rsidRPr="007309DB">
              <w:tab/>
              <w:t xml:space="preserve">savas </w:t>
            </w:r>
            <w:r w:rsidRPr="007309DB">
              <w:t xml:space="preserve">makroekonomikas prognozes un pieņēmumus; </w:t>
            </w:r>
            <w:r w:rsidRPr="007309DB">
              <w:rPr>
                <w:b/>
                <w:i/>
              </w:rPr>
              <w:t>savu prognozi un pieņēmumus par sociālajiem riskiem;</w:t>
            </w:r>
          </w:p>
        </w:tc>
      </w:tr>
    </w:tbl>
    <w:p w:rsidR="00AF0131" w:rsidRPr="007309DB" w:rsidRDefault="008355CB" w:rsidP="00AF0131">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17</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11. pants – 1. punkts – 2. daļa</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w:t>
            </w:r>
            <w:r w:rsidRPr="007309DB">
              <w:t>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 xml:space="preserve">Valsts vidēja termiņa fiskālajā un strukturālajā plānā apraksta arī attiecīgās dalībvalsts rīcību nolūkā īstenot konkrētai valstij adresētos ieteikumus, to starpā tos, kas attiecas uz makroekonomiskās nelīdzsvarotības novēršanas </w:t>
            </w:r>
            <w:r w:rsidRPr="007309DB">
              <w:t>procedūru, un attiecīgā gadījumā Komisijas brīdinājumus vai Padomes ieteikumus, kas sniegti saskaņā ar LESD 121. panta 4. punktu.</w:t>
            </w:r>
          </w:p>
        </w:tc>
        <w:tc>
          <w:tcPr>
            <w:tcW w:w="4876" w:type="dxa"/>
            <w:hideMark/>
          </w:tcPr>
          <w:p w:rsidR="00AF0131" w:rsidRPr="007309DB" w:rsidRDefault="008355CB" w:rsidP="00C33FBD">
            <w:pPr>
              <w:pStyle w:val="Normal6"/>
              <w:rPr>
                <w:szCs w:val="24"/>
              </w:rPr>
            </w:pPr>
            <w:r w:rsidRPr="007309DB">
              <w:t>Valsts vidēja termiņa fiskālajā un strukturālajā plānā apraksta arī attiecīgās dalībvalsts rīcību nolūkā īstenot konkrētai val</w:t>
            </w:r>
            <w:r w:rsidRPr="007309DB">
              <w:t xml:space="preserve">stij adresētos ieteikumus, to starpā tos, kas attiecas uz makroekonomiskās nelīdzsvarotības novēršanas procedūru, </w:t>
            </w:r>
            <w:r w:rsidRPr="007309DB">
              <w:rPr>
                <w:b/>
                <w:bCs/>
                <w:i/>
                <w:iCs/>
              </w:rPr>
              <w:t xml:space="preserve">kā arī problēmas, kas konstatētas sociālās konverģences ziņojumos saskaņā ar sociālās konverģences sistēmu, </w:t>
            </w:r>
            <w:r w:rsidRPr="007309DB">
              <w:t>un attiecīgā gadījumā Komisijas br</w:t>
            </w:r>
            <w:r w:rsidRPr="007309DB">
              <w:t xml:space="preserve">īdinājumus vai Padomes ieteikumus, kas sniegti saskaņā ar LESD 121. panta 4. punktu </w:t>
            </w:r>
            <w:r w:rsidRPr="007309DB">
              <w:rPr>
                <w:b/>
                <w:bCs/>
                <w:i/>
                <w:iCs/>
              </w:rPr>
              <w:t>un LESD 148. panta 4. punktu</w:t>
            </w:r>
            <w:r w:rsidRPr="007309DB">
              <w:t>.</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18</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12. pants – 1. daļa – b punkts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b)</w:t>
            </w:r>
            <w:r w:rsidRPr="007309DB">
              <w:tab/>
              <w:t>paskaidro, kā tas nodrošinās, ka tiek īstenotas investīcijas un reformas, ar kurām tiek risinātas galvenās problēmas, kas apzinātas Eiropas pusgadā, konkrētām valstīm adresētajos ieteikumos, attiecīgā gadījumā</w:t>
            </w:r>
            <w:r w:rsidRPr="007309DB">
              <w:t xml:space="preserve"> koriģēs konstatēto makroekonomisko nelīdzsvarotību saskaņā ar makroekonomiskās nelīdzsvarotības novēršanas procedūru un pievērsīsies šīs regulas VI pielikumā minētajām Savienības kopīgajām prioritātēm, to starpā Eiropas zaļajam kursam, Eiropas sociālo tie</w:t>
            </w:r>
            <w:r w:rsidRPr="007309DB">
              <w:t>sību pīlāram un digitālajai desmitgadei, vienlaikus ievērojot atjauninātos nacionālos enerģētikas un klimata plānus un valstu digitālās desmitgades ceļvežus;</w:t>
            </w:r>
          </w:p>
        </w:tc>
        <w:tc>
          <w:tcPr>
            <w:tcW w:w="4876" w:type="dxa"/>
            <w:hideMark/>
          </w:tcPr>
          <w:p w:rsidR="00AF0131" w:rsidRPr="007309DB" w:rsidRDefault="008355CB" w:rsidP="00C33FBD">
            <w:pPr>
              <w:pStyle w:val="Normal6"/>
              <w:rPr>
                <w:szCs w:val="24"/>
              </w:rPr>
            </w:pPr>
            <w:r w:rsidRPr="007309DB">
              <w:t>b)</w:t>
            </w:r>
            <w:r w:rsidRPr="007309DB">
              <w:tab/>
            </w:r>
            <w:r w:rsidRPr="007309DB">
              <w:rPr>
                <w:b/>
                <w:i/>
              </w:rPr>
              <w:t>novērtē valsts publisko investīciju trūkumus, lai sasniegtu kopīgās prioritātes; pamatojoties u</w:t>
            </w:r>
            <w:r w:rsidRPr="007309DB">
              <w:rPr>
                <w:b/>
                <w:i/>
              </w:rPr>
              <w:t xml:space="preserve">z to, nodrošina, ka plānotā fiskālā korekcija ļauj veikt nepieciešamās sociālās investīcijas, lai īstenotu Eiropas sociālo tiesību pīlāra principus. </w:t>
            </w:r>
            <w:r w:rsidRPr="007309DB">
              <w:rPr>
                <w:b/>
                <w:bCs/>
                <w:i/>
                <w:iCs/>
              </w:rPr>
              <w:t xml:space="preserve">Turklāt </w:t>
            </w:r>
            <w:r w:rsidRPr="007309DB">
              <w:t>paskaidro, kā tas nodrošinās, ka tiek īstenotas investīcijas un reformas, ar kurām tiek risinātas g</w:t>
            </w:r>
            <w:r w:rsidRPr="007309DB">
              <w:t>alvenās problēmas, kas apzinātas Eiropas pusgadā, konkrētām valstīm adresētajos ieteikumos, attiecīgā gadījumā koriģēs konstatēto makroekonomisko nelīdzsvarotību saskaņā ar makroekonomiskās nelīdzsvarotības novēršanas procedūru</w:t>
            </w:r>
            <w:r w:rsidRPr="007309DB">
              <w:rPr>
                <w:b/>
                <w:bCs/>
                <w:i/>
                <w:iCs/>
              </w:rPr>
              <w:t xml:space="preserve">, attiecīgā gadījumā koriģēs </w:t>
            </w:r>
            <w:r w:rsidRPr="007309DB">
              <w:rPr>
                <w:b/>
                <w:bCs/>
                <w:i/>
                <w:iCs/>
              </w:rPr>
              <w:t>konstatētos sociālās konverģences riskus saskaņā ar sociālās konverģences sistēmu</w:t>
            </w:r>
            <w:r w:rsidRPr="007309DB">
              <w:t xml:space="preserve"> un pievērsīsies šīs regulas VI pielikumā minētajām Savienības kopīgajām prioritātēm, to starpā Eiropas zaļajam kursam, Eiropas sociālo tiesību pīlāram</w:t>
            </w:r>
            <w:r w:rsidRPr="007309DB">
              <w:rPr>
                <w:b/>
                <w:bCs/>
                <w:i/>
                <w:iCs/>
              </w:rPr>
              <w:t>, tostarp saistītajiem m</w:t>
            </w:r>
            <w:r w:rsidRPr="007309DB">
              <w:rPr>
                <w:b/>
                <w:bCs/>
                <w:i/>
                <w:iCs/>
              </w:rPr>
              <w:t>ērķiem attiecībā uz nodarbinātību, apmācību un nabadzības samazināšanu līdz 2030. gadam,</w:t>
            </w:r>
            <w:r w:rsidRPr="007309DB">
              <w:t xml:space="preserve"> un digitālajai desmitgadei, vienlaikus ievērojot atjauninātos nacionālos enerģētikas un klimata plānus un valstu digitālās desmitgades ceļvežus</w:t>
            </w:r>
            <w:r w:rsidRPr="007309DB">
              <w:rPr>
                <w:b/>
                <w:bCs/>
                <w:i/>
                <w:iCs/>
              </w:rPr>
              <w:t>.</w:t>
            </w:r>
            <w:r w:rsidRPr="007309DB">
              <w:rPr>
                <w:b/>
                <w:i/>
              </w:rPr>
              <w:t xml:space="preserve"> </w:t>
            </w:r>
            <w:r w:rsidRPr="007309DB">
              <w:rPr>
                <w:b/>
                <w:bCs/>
                <w:i/>
                <w:iCs/>
              </w:rPr>
              <w:t xml:space="preserve">Tas arī paskaidro, kā </w:t>
            </w:r>
            <w:r w:rsidRPr="007309DB">
              <w:rPr>
                <w:b/>
                <w:bCs/>
                <w:i/>
                <w:iCs/>
              </w:rPr>
              <w:t>tas palīdz īstenot dalībvalstu ekonomikas politikas vispārējās pamatnostādnes un nodarbinātības pamatnostādnes saskaņā ar LESD 121. panta 2. punktu un 148. panta 2. punktu</w:t>
            </w:r>
            <w:r w:rsidRPr="007309DB">
              <w:t>;</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19</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w:t>
      </w:r>
      <w:r w:rsidRPr="007309DB">
        <w:rPr>
          <w:rStyle w:val="HideTWBExt"/>
          <w:b w:val="0"/>
        </w:rPr>
        <w:t>DocAmend&gt;</w:t>
      </w:r>
    </w:p>
    <w:p w:rsidR="00AF0131" w:rsidRPr="007309DB" w:rsidRDefault="008355CB" w:rsidP="00AF0131">
      <w:pPr>
        <w:pStyle w:val="NormalBold"/>
      </w:pPr>
      <w:r w:rsidRPr="007309DB">
        <w:rPr>
          <w:rStyle w:val="HideTWBExt"/>
          <w:b w:val="0"/>
        </w:rPr>
        <w:t>&lt;Article&gt;</w:t>
      </w:r>
      <w:r w:rsidRPr="007309DB">
        <w:t>12. pants – 1. daļa – da punkts (jauns)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tcPr>
          <w:p w:rsidR="00AF0131" w:rsidRPr="007309DB" w:rsidRDefault="00AF0131" w:rsidP="00C33FBD">
            <w:pPr>
              <w:pStyle w:val="Normal6"/>
            </w:pPr>
          </w:p>
        </w:tc>
        <w:tc>
          <w:tcPr>
            <w:tcW w:w="4876" w:type="dxa"/>
            <w:hideMark/>
          </w:tcPr>
          <w:p w:rsidR="00AF0131" w:rsidRPr="007309DB" w:rsidRDefault="008355CB" w:rsidP="00C33FBD">
            <w:pPr>
              <w:pStyle w:val="Normal6"/>
              <w:rPr>
                <w:szCs w:val="24"/>
              </w:rPr>
            </w:pPr>
            <w:r w:rsidRPr="007309DB">
              <w:rPr>
                <w:b/>
                <w:i/>
              </w:rPr>
              <w:t>da)</w:t>
            </w:r>
            <w:r w:rsidRPr="007309DB">
              <w:rPr>
                <w:b/>
                <w:i/>
              </w:rPr>
              <w:tab/>
              <w:t xml:space="preserve">izskaidro apspriešanās procesu, kas veikts saskaņā ar valsts tiesisko regulējumu, ar vietējām un reģionālajām iestādēm, sociālajiem </w:t>
            </w:r>
            <w:r w:rsidRPr="007309DB">
              <w:rPr>
                <w:b/>
                <w:i/>
              </w:rPr>
              <w:t>partneriem, pilsoniskās sabiedrības organizācijām un citām attiecīgajām ieinteresētajām personām, kā arī to, kā ieinteresēto personu ieguldījums ir atspoguļots plānā un īstenošanas procesā; kā arī</w:t>
            </w:r>
          </w:p>
        </w:tc>
      </w:tr>
    </w:tbl>
    <w:p w:rsidR="00AF0131" w:rsidRPr="007309DB" w:rsidRDefault="008355CB" w:rsidP="00AF0131">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20</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13. pants – 2. punkts – 2. daļa – iv apakšpunkts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iv)</w:t>
            </w:r>
            <w:r w:rsidRPr="007309DB">
              <w:tab/>
              <w:t>īsteno attiecīgos ieteikumus, kas adresēti konkrētajai dalībvalstij, cita starpā attiecīgā gadījumā</w:t>
            </w:r>
            <w:r w:rsidRPr="007309DB">
              <w:t xml:space="preserve"> ieteikumus, kas sniegti saistībā ar makroekonomiskās nelīdzsvarotības novēršanas procedūru;</w:t>
            </w:r>
          </w:p>
        </w:tc>
        <w:tc>
          <w:tcPr>
            <w:tcW w:w="4876" w:type="dxa"/>
            <w:hideMark/>
          </w:tcPr>
          <w:p w:rsidR="00AF0131" w:rsidRPr="007309DB" w:rsidRDefault="008355CB" w:rsidP="00C33FBD">
            <w:pPr>
              <w:pStyle w:val="Normal6"/>
              <w:rPr>
                <w:szCs w:val="24"/>
              </w:rPr>
            </w:pPr>
            <w:r w:rsidRPr="007309DB">
              <w:t>iv)</w:t>
            </w:r>
            <w:r w:rsidRPr="007309DB">
              <w:tab/>
              <w:t xml:space="preserve">īsteno attiecīgos ieteikumus, kas adresēti konkrētajai dalībvalstij </w:t>
            </w:r>
            <w:r w:rsidRPr="007309DB">
              <w:rPr>
                <w:b/>
                <w:bCs/>
                <w:i/>
                <w:iCs/>
              </w:rPr>
              <w:t>saskaņā ar LESD 121. panta 4. punktu un 148. panta 4. punktu</w:t>
            </w:r>
            <w:r w:rsidRPr="007309DB">
              <w:t>, cita starpā attiecīgā gadījum</w:t>
            </w:r>
            <w:r w:rsidRPr="007309DB">
              <w:t>ā ieteikumus, kas sniegti saistībā ar makroekonomiskās nelīdzsvarotības novēršanas procedūru</w:t>
            </w:r>
            <w:r w:rsidRPr="007309DB">
              <w:rPr>
                <w:b/>
                <w:bCs/>
                <w:i/>
                <w:iCs/>
              </w:rPr>
              <w:t>, kā arī saskaņā ar sociālās konverģences sistēmu</w:t>
            </w:r>
            <w:r w:rsidRPr="007309DB">
              <w:t>;</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21</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16. pants –</w:t>
      </w:r>
      <w:r w:rsidRPr="007309DB">
        <w:t xml:space="preserve"> 1. daļa</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 xml:space="preserve">Padome pēc Komisijas ieteikuma parasti </w:t>
            </w:r>
            <w:r w:rsidRPr="007309DB">
              <w:rPr>
                <w:b/>
                <w:bCs/>
                <w:i/>
                <w:iCs/>
              </w:rPr>
              <w:t>četru</w:t>
            </w:r>
            <w:r w:rsidRPr="007309DB">
              <w:t xml:space="preserve"> nedēļu laikā pēc tā pieņemšanas pieņem ieteikumu, kurā nosaka attiecīgās dalībvalsts neto izdevumu trajektoriju un attiecīgā gadījumā apstiprina reformu un investīciju saistību kopumu, kas ir pamatā valsts vidēja termiņa fiskālajā un strukturālajā plānā i</w:t>
            </w:r>
            <w:r w:rsidRPr="007309DB">
              <w:t>ekļautā korekcijas perioda pagarināšanai.</w:t>
            </w:r>
          </w:p>
        </w:tc>
        <w:tc>
          <w:tcPr>
            <w:tcW w:w="4876" w:type="dxa"/>
            <w:hideMark/>
          </w:tcPr>
          <w:p w:rsidR="00AF0131" w:rsidRPr="007309DB" w:rsidRDefault="008355CB" w:rsidP="00C33FBD">
            <w:pPr>
              <w:pStyle w:val="Normal6"/>
              <w:rPr>
                <w:szCs w:val="24"/>
              </w:rPr>
            </w:pPr>
            <w:r w:rsidRPr="007309DB">
              <w:t xml:space="preserve">Padome pēc Komisijas ieteikuma </w:t>
            </w:r>
            <w:r w:rsidRPr="007309DB">
              <w:rPr>
                <w:b/>
                <w:bCs/>
                <w:i/>
                <w:iCs/>
              </w:rPr>
              <w:t>un pēc apspriešanās ar attiecīgajām padomdevējām komitejām, kas minētas 26. pantā,</w:t>
            </w:r>
            <w:r w:rsidRPr="007309DB">
              <w:t xml:space="preserve"> parasti </w:t>
            </w:r>
            <w:r w:rsidRPr="007309DB">
              <w:rPr>
                <w:b/>
                <w:bCs/>
                <w:i/>
                <w:iCs/>
              </w:rPr>
              <w:t>sešu līdz desmit</w:t>
            </w:r>
            <w:r w:rsidRPr="007309DB">
              <w:t xml:space="preserve"> nedēļu laikā pēc tā pieņemšanas pieņem ieteikumu, kurā nosaka attiecīgās dalībvalsts neto izdevumu trajektoriju un attiecīgā gadījumā apstiprina reformu un investīciju saistību kopumu, kas ir pamatā valsts vidēja termiņa fiskālajā un strukturālajā plānā i</w:t>
            </w:r>
            <w:r w:rsidRPr="007309DB">
              <w:t>ekļautā korekcijas perioda pagarināšanai.</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22</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17. pants – 1. daļa</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 xml:space="preserve">Ja Padome uzskata, ka plāns neatbilst </w:t>
            </w:r>
            <w:r w:rsidRPr="007309DB">
              <w:t>15. panta 2. punktā un 3. punkta a) apakšpunktā izklāstītajām prasībām, tā pēc Komisijas ieteikuma iesaka attiecīgajai dalībvalstij iesniegt pārskatītu valsts vidēja termiņa fiskālo un strukturālo plānu.</w:t>
            </w:r>
          </w:p>
        </w:tc>
        <w:tc>
          <w:tcPr>
            <w:tcW w:w="4876" w:type="dxa"/>
            <w:hideMark/>
          </w:tcPr>
          <w:p w:rsidR="00AF0131" w:rsidRPr="007309DB" w:rsidRDefault="008355CB" w:rsidP="00C33FBD">
            <w:pPr>
              <w:pStyle w:val="Normal6"/>
              <w:rPr>
                <w:szCs w:val="24"/>
              </w:rPr>
            </w:pPr>
            <w:r w:rsidRPr="007309DB">
              <w:t>Ja Padome uzskata, ka plāns neatbilst 15. panta 2. p</w:t>
            </w:r>
            <w:r w:rsidRPr="007309DB">
              <w:t xml:space="preserve">unktā un 3. punkta a) </w:t>
            </w:r>
            <w:r w:rsidRPr="007309DB">
              <w:rPr>
                <w:b/>
                <w:bCs/>
                <w:i/>
                <w:iCs/>
              </w:rPr>
              <w:t xml:space="preserve">un b) </w:t>
            </w:r>
            <w:r w:rsidRPr="007309DB">
              <w:t xml:space="preserve">apakšpunktā izklāstītajām prasībām, tā pēc Komisijas ieteikuma </w:t>
            </w:r>
            <w:r w:rsidRPr="007309DB">
              <w:rPr>
                <w:b/>
                <w:bCs/>
                <w:i/>
                <w:iCs/>
              </w:rPr>
              <w:t>un pēc apspriešanās ar attiecīgajām padomdevējām komitejām, kas minētas 26. pantā,</w:t>
            </w:r>
            <w:r w:rsidRPr="007309DB">
              <w:t xml:space="preserve"> iesaka attiecīgajai dalībvalstij iesniegt pārskatītu valsts vidēja termiņa fiskālo</w:t>
            </w:r>
            <w:r w:rsidRPr="007309DB">
              <w:t xml:space="preserve"> un strukturālo plānu.</w:t>
            </w:r>
          </w:p>
        </w:tc>
      </w:tr>
    </w:tbl>
    <w:p w:rsidR="00AF0131" w:rsidRPr="007309DB" w:rsidRDefault="008355CB" w:rsidP="00AF0131">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23</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20. pants – 2. punkts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2.</w:t>
            </w:r>
            <w:r w:rsidRPr="007309DB">
              <w:tab/>
              <w:t>Šā panta 1. punktā minētajā gada progresa ziņojumā jo</w:t>
            </w:r>
            <w:r w:rsidRPr="007309DB">
              <w:t xml:space="preserve"> īpaši ietver informāciju par progresu neto izdevumu trajektorijas īstenošanā, plašāku reformu un investīciju saistību īstenošanā Eiropas pusgada kontekstā un attiecīgā gadījumā reformu un investīciju saistību kopuma īstenošanā, kas ir korekcijas perioda p</w:t>
            </w:r>
            <w:r w:rsidRPr="007309DB">
              <w:t>agarināšanas pamatā.</w:t>
            </w:r>
          </w:p>
        </w:tc>
        <w:tc>
          <w:tcPr>
            <w:tcW w:w="4876" w:type="dxa"/>
            <w:hideMark/>
          </w:tcPr>
          <w:p w:rsidR="00AF0131" w:rsidRPr="007309DB" w:rsidRDefault="008355CB" w:rsidP="00C33FBD">
            <w:pPr>
              <w:pStyle w:val="Normal6"/>
              <w:rPr>
                <w:szCs w:val="24"/>
              </w:rPr>
            </w:pPr>
            <w:r w:rsidRPr="007309DB">
              <w:t>2.</w:t>
            </w:r>
            <w:r w:rsidRPr="007309DB">
              <w:tab/>
              <w:t>Šā panta 1. punktā minētajā gada progresa ziņojumā jo īpaši ietver informāciju par progresu neto izdevumu trajektorijas īstenošanā, plašāku reformu un investīciju saistību īstenošanā Eiropas pusgada kontekstā</w:t>
            </w:r>
            <w:r w:rsidRPr="007309DB">
              <w:rPr>
                <w:b/>
                <w:bCs/>
                <w:i/>
                <w:iCs/>
              </w:rPr>
              <w:t>, tostarp progresu ES un</w:t>
            </w:r>
            <w:r w:rsidRPr="007309DB">
              <w:rPr>
                <w:b/>
                <w:bCs/>
                <w:i/>
                <w:iCs/>
              </w:rPr>
              <w:t xml:space="preserve"> dalībvalstu mērķu sasniegšanā attiecībā uz nodarbinātību, apmācību un nabadzības samazināšanu līdz 2030. gadam, kā arī par VI pielikumā minētajām Savienības kopīgajām prioritātēm,</w:t>
            </w:r>
            <w:r w:rsidRPr="007309DB">
              <w:t xml:space="preserve"> un attiecīgā gadījumā reformu un investīciju saistību kopuma īstenošanā, ka</w:t>
            </w:r>
            <w:r w:rsidRPr="007309DB">
              <w:t>s ir korekcijas perioda pagarināšanas pamatā.</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24</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22. pants – 1. daļa</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 xml:space="preserve">Katra neatkarīgā valsts fiskālā </w:t>
            </w:r>
            <w:r w:rsidRPr="007309DB">
              <w:t>iestāde, kas minēta Padomes Direktīvas [..]</w:t>
            </w:r>
            <w:r w:rsidRPr="007309DB">
              <w:rPr>
                <w:vertAlign w:val="superscript"/>
              </w:rPr>
              <w:t>32</w:t>
            </w:r>
            <w:r w:rsidRPr="007309DB">
              <w:t xml:space="preserve"> [par valsts budžeta struktūrām] 8. pantā</w:t>
            </w:r>
            <w:r w:rsidRPr="007309DB">
              <w:rPr>
                <w:b/>
                <w:bCs/>
                <w:i/>
                <w:iCs/>
              </w:rPr>
              <w:t>,</w:t>
            </w:r>
            <w:r w:rsidRPr="007309DB">
              <w:t xml:space="preserve"> sniedz novērtējumu par to, vai budžeta izpildes dati, kas paziņoti 20. pantā minētajā progresa ziņojumā, atbilst neto izdevumu trajektorijai</w:t>
            </w:r>
            <w:r w:rsidRPr="007309DB">
              <w:rPr>
                <w:b/>
                <w:bCs/>
                <w:i/>
                <w:iCs/>
              </w:rPr>
              <w:t>.</w:t>
            </w:r>
            <w:r w:rsidRPr="007309DB">
              <w:t xml:space="preserve"> Attiecīgā gadījumā </w:t>
            </w:r>
            <w:r w:rsidRPr="007309DB">
              <w:rPr>
                <w:b/>
                <w:bCs/>
                <w:i/>
                <w:iCs/>
              </w:rPr>
              <w:t>katra n</w:t>
            </w:r>
            <w:r w:rsidRPr="007309DB">
              <w:rPr>
                <w:b/>
                <w:bCs/>
                <w:i/>
                <w:iCs/>
              </w:rPr>
              <w:t>eatkarīgā valsts fiskālā iestāde</w:t>
            </w:r>
            <w:r w:rsidRPr="007309DB">
              <w:t xml:space="preserve"> analizē arī faktorus, kas ir pamatā novirzei no neto izdevumu trajektorijas.</w:t>
            </w:r>
          </w:p>
        </w:tc>
        <w:tc>
          <w:tcPr>
            <w:tcW w:w="4876" w:type="dxa"/>
            <w:hideMark/>
          </w:tcPr>
          <w:p w:rsidR="00AF0131" w:rsidRPr="007309DB" w:rsidRDefault="008355CB" w:rsidP="00C33FBD">
            <w:pPr>
              <w:pStyle w:val="Normal6"/>
              <w:rPr>
                <w:szCs w:val="24"/>
              </w:rPr>
            </w:pPr>
            <w:r w:rsidRPr="007309DB">
              <w:t>Katra neatkarīgā valsts fiskālā iestāde, kas minēta Padomes Direktīvas [..]</w:t>
            </w:r>
            <w:r w:rsidRPr="007309DB">
              <w:rPr>
                <w:vertAlign w:val="superscript"/>
              </w:rPr>
              <w:t>32</w:t>
            </w:r>
            <w:r w:rsidRPr="007309DB">
              <w:t xml:space="preserve"> [par valsts budžeta struktūrām] 8. pantā</w:t>
            </w:r>
            <w:r w:rsidRPr="007309DB">
              <w:rPr>
                <w:b/>
                <w:bCs/>
                <w:i/>
                <w:iCs/>
              </w:rPr>
              <w:t>:</w:t>
            </w:r>
          </w:p>
        </w:tc>
      </w:tr>
      <w:tr w:rsidR="00C07892" w:rsidRPr="007309DB" w:rsidTr="00C33FBD">
        <w:trPr>
          <w:jc w:val="center"/>
        </w:trPr>
        <w:tc>
          <w:tcPr>
            <w:tcW w:w="4876" w:type="dxa"/>
          </w:tcPr>
          <w:p w:rsidR="00AF0131" w:rsidRPr="007309DB" w:rsidRDefault="00AF0131" w:rsidP="00C33FBD">
            <w:pPr>
              <w:pStyle w:val="Normal6"/>
            </w:pPr>
          </w:p>
        </w:tc>
        <w:tc>
          <w:tcPr>
            <w:tcW w:w="4876" w:type="dxa"/>
            <w:hideMark/>
          </w:tcPr>
          <w:p w:rsidR="00AF0131" w:rsidRPr="007309DB" w:rsidRDefault="008355CB" w:rsidP="00C33FBD">
            <w:pPr>
              <w:pStyle w:val="Normal6"/>
              <w:rPr>
                <w:szCs w:val="24"/>
              </w:rPr>
            </w:pPr>
            <w:r w:rsidRPr="007309DB">
              <w:rPr>
                <w:b/>
                <w:i/>
              </w:rPr>
              <w:t>a)</w:t>
            </w:r>
            <w:r w:rsidRPr="007309DB">
              <w:t xml:space="preserve"> </w:t>
            </w:r>
            <w:r w:rsidRPr="007309DB">
              <w:tab/>
              <w:t>sniedz novērtējumu p</w:t>
            </w:r>
            <w:r w:rsidRPr="007309DB">
              <w:t xml:space="preserve">ar to, vai budžeta izpildes dati, kas paziņoti </w:t>
            </w:r>
            <w:r w:rsidRPr="007309DB">
              <w:rPr>
                <w:b/>
                <w:bCs/>
                <w:i/>
                <w:iCs/>
              </w:rPr>
              <w:t xml:space="preserve">šīs regulas </w:t>
            </w:r>
            <w:r w:rsidRPr="007309DB">
              <w:t>20. pantā minētajā progresa ziņojumā, atbilst neto izdevumu trajektorijai</w:t>
            </w:r>
            <w:r w:rsidRPr="007309DB">
              <w:rPr>
                <w:b/>
                <w:bCs/>
                <w:i/>
                <w:iCs/>
              </w:rPr>
              <w:t>;</w:t>
            </w:r>
          </w:p>
        </w:tc>
      </w:tr>
      <w:tr w:rsidR="00C07892" w:rsidRPr="007309DB" w:rsidTr="00C33FBD">
        <w:trPr>
          <w:jc w:val="center"/>
        </w:trPr>
        <w:tc>
          <w:tcPr>
            <w:tcW w:w="4876" w:type="dxa"/>
          </w:tcPr>
          <w:p w:rsidR="00AF0131" w:rsidRPr="007309DB" w:rsidRDefault="00AF0131" w:rsidP="00C33FBD">
            <w:pPr>
              <w:pStyle w:val="Normal6"/>
            </w:pPr>
          </w:p>
        </w:tc>
        <w:tc>
          <w:tcPr>
            <w:tcW w:w="4876" w:type="dxa"/>
            <w:hideMark/>
          </w:tcPr>
          <w:p w:rsidR="00AF0131" w:rsidRPr="007309DB" w:rsidRDefault="008355CB" w:rsidP="00C33FBD">
            <w:pPr>
              <w:pStyle w:val="Normal6"/>
              <w:rPr>
                <w:szCs w:val="24"/>
              </w:rPr>
            </w:pPr>
            <w:r w:rsidRPr="007309DB">
              <w:rPr>
                <w:b/>
                <w:i/>
              </w:rPr>
              <w:t>b)</w:t>
            </w:r>
            <w:r w:rsidRPr="007309DB">
              <w:t xml:space="preserve"> </w:t>
            </w:r>
            <w:r w:rsidRPr="007309DB">
              <w:tab/>
              <w:t>attiecīgā gadījumā analizē arī faktorus, kas ir pamatā novirzei no neto izdevumu trajektorijas</w:t>
            </w:r>
            <w:r w:rsidRPr="007309DB">
              <w:rPr>
                <w:b/>
                <w:bCs/>
                <w:i/>
                <w:iCs/>
              </w:rPr>
              <w:t>;</w:t>
            </w:r>
          </w:p>
        </w:tc>
      </w:tr>
      <w:tr w:rsidR="00C07892" w:rsidRPr="007309DB" w:rsidTr="00C33FBD">
        <w:trPr>
          <w:jc w:val="center"/>
        </w:trPr>
        <w:tc>
          <w:tcPr>
            <w:tcW w:w="4876" w:type="dxa"/>
          </w:tcPr>
          <w:p w:rsidR="00AF0131" w:rsidRPr="007309DB" w:rsidRDefault="00AF0131" w:rsidP="00C33FBD">
            <w:pPr>
              <w:pStyle w:val="Normal6"/>
            </w:pPr>
          </w:p>
        </w:tc>
        <w:tc>
          <w:tcPr>
            <w:tcW w:w="4876" w:type="dxa"/>
            <w:hideMark/>
          </w:tcPr>
          <w:p w:rsidR="00AF0131" w:rsidRPr="007309DB" w:rsidRDefault="008355CB" w:rsidP="00C33FBD">
            <w:pPr>
              <w:pStyle w:val="Normal6"/>
              <w:rPr>
                <w:szCs w:val="24"/>
              </w:rPr>
            </w:pPr>
            <w:r w:rsidRPr="007309DB">
              <w:rPr>
                <w:b/>
                <w:i/>
              </w:rPr>
              <w:t xml:space="preserve">c) </w:t>
            </w:r>
            <w:r w:rsidRPr="007309DB">
              <w:tab/>
            </w:r>
            <w:r w:rsidRPr="007309DB">
              <w:rPr>
                <w:b/>
                <w:bCs/>
                <w:i/>
                <w:iCs/>
              </w:rPr>
              <w:t xml:space="preserve">sniedz </w:t>
            </w:r>
            <w:r w:rsidRPr="007309DB">
              <w:rPr>
                <w:b/>
                <w:bCs/>
                <w:i/>
                <w:iCs/>
              </w:rPr>
              <w:t>novērtējumu par fiskālās korekcijas politikas risinājumu sociālo ietekmi</w:t>
            </w:r>
            <w:r w:rsidRPr="007309DB">
              <w:t>.</w:t>
            </w:r>
          </w:p>
        </w:tc>
      </w:tr>
      <w:tr w:rsidR="00C07892" w:rsidRPr="007309DB" w:rsidTr="00C33FBD">
        <w:trPr>
          <w:jc w:val="center"/>
        </w:trPr>
        <w:tc>
          <w:tcPr>
            <w:tcW w:w="4876" w:type="dxa"/>
            <w:hideMark/>
          </w:tcPr>
          <w:p w:rsidR="00AF0131" w:rsidRPr="007309DB" w:rsidRDefault="008355CB" w:rsidP="00C33FBD">
            <w:pPr>
              <w:pStyle w:val="Normal6"/>
            </w:pPr>
            <w:r w:rsidRPr="007309DB">
              <w:t>__________________</w:t>
            </w:r>
          </w:p>
        </w:tc>
        <w:tc>
          <w:tcPr>
            <w:tcW w:w="4876" w:type="dxa"/>
            <w:hideMark/>
          </w:tcPr>
          <w:p w:rsidR="00AF0131" w:rsidRPr="007309DB" w:rsidRDefault="008355CB" w:rsidP="00C33FBD">
            <w:pPr>
              <w:pStyle w:val="Normal6"/>
              <w:rPr>
                <w:szCs w:val="24"/>
              </w:rPr>
            </w:pPr>
            <w:r w:rsidRPr="007309DB">
              <w:t>__________________</w:t>
            </w:r>
          </w:p>
        </w:tc>
      </w:tr>
      <w:tr w:rsidR="00C07892" w:rsidRPr="007309DB" w:rsidTr="00C33FBD">
        <w:trPr>
          <w:jc w:val="center"/>
        </w:trPr>
        <w:tc>
          <w:tcPr>
            <w:tcW w:w="4876" w:type="dxa"/>
            <w:hideMark/>
          </w:tcPr>
          <w:p w:rsidR="00AF0131" w:rsidRPr="007309DB" w:rsidRDefault="008355CB" w:rsidP="00C33FBD">
            <w:pPr>
              <w:pStyle w:val="Normal6"/>
            </w:pPr>
            <w:r w:rsidRPr="007309DB">
              <w:rPr>
                <w:vertAlign w:val="superscript"/>
              </w:rPr>
              <w:t>32</w:t>
            </w:r>
            <w:r w:rsidRPr="007309DB">
              <w:t xml:space="preserve"> Padomes [..] Direktīva [..], [ar ko groza Padomes Direktīvu 2011/85/ES par prasībām dalībvalstu budžeta struktūrām] (OV..., ..., ... lpp.).</w:t>
            </w:r>
          </w:p>
        </w:tc>
        <w:tc>
          <w:tcPr>
            <w:tcW w:w="4876" w:type="dxa"/>
            <w:hideMark/>
          </w:tcPr>
          <w:p w:rsidR="00AF0131" w:rsidRPr="007309DB" w:rsidRDefault="008355CB" w:rsidP="00C33FBD">
            <w:pPr>
              <w:pStyle w:val="Normal6"/>
              <w:rPr>
                <w:szCs w:val="24"/>
              </w:rPr>
            </w:pPr>
            <w:r w:rsidRPr="007309DB">
              <w:rPr>
                <w:vertAlign w:val="superscript"/>
              </w:rPr>
              <w:t>32</w:t>
            </w:r>
            <w:r w:rsidRPr="007309DB">
              <w:t xml:space="preserve"> Padomes [..] Direktīva [..], [ar ko groza Padomes Direktīvu 2011/85/ES par prasībām dalībvalstu budžeta struktūrām] (OV..., ..., ... lpp.).</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25</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 xml:space="preserve">26. pants </w:t>
      </w:r>
      <w:r w:rsidRPr="007309DB">
        <w:t>– 1. daļa</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 xml:space="preserve">Eiropas Parlamentu pienācīgi iesaista Eiropas pusgada norisēs, lai palielinātu pārredzamību, atbildību un pārskatatbildību par pieņemtajiem lēmumiem, jo īpaši izmantojot dialogu par ekonomikas </w:t>
            </w:r>
            <w:r w:rsidRPr="007309DB">
              <w:t>jautājumiem. Atbilstīgos gadījumos Eiropas pusgada satvarā notiek apspriešanās ar Ekonomikas un finanšu komiteju, Ekonomikas politikas komiteju, Nodarbinātības komiteju un Sociālās aizsardzības komiteju. Eiropas pusgada norišu satvarā saistībā ar galvenaji</w:t>
            </w:r>
            <w:r w:rsidRPr="007309DB">
              <w:t>em politikas jautājumiem attiecīgā gadījumā iesaista attiecīgās ieinteresētās personas, jo īpaši sociālos partnerus, saskaņā ar LESD un ievērojot valstu tiesisko regulējumu un politisko sistēmu.</w:t>
            </w:r>
          </w:p>
        </w:tc>
        <w:tc>
          <w:tcPr>
            <w:tcW w:w="4876" w:type="dxa"/>
            <w:hideMark/>
          </w:tcPr>
          <w:p w:rsidR="00AF0131" w:rsidRPr="007309DB" w:rsidRDefault="008355CB" w:rsidP="00C33FBD">
            <w:pPr>
              <w:pStyle w:val="Normal6"/>
              <w:rPr>
                <w:szCs w:val="24"/>
              </w:rPr>
            </w:pPr>
            <w:r w:rsidRPr="007309DB">
              <w:t>Eiropas Parlamentu pienācīgi iesaista Eiropas pusgada norisēs</w:t>
            </w:r>
            <w:r w:rsidRPr="007309DB">
              <w:t xml:space="preserve">, lai palielinātu pārredzamību, atbildību un pārskatatbildību par pieņemtajiem lēmumiem, jo īpaši izmantojot dialogu par ekonomikas </w:t>
            </w:r>
            <w:r w:rsidRPr="007309DB">
              <w:rPr>
                <w:b/>
                <w:bCs/>
                <w:i/>
                <w:iCs/>
              </w:rPr>
              <w:t xml:space="preserve">un nodarbinātības </w:t>
            </w:r>
            <w:r w:rsidRPr="007309DB">
              <w:t>jautājumiem</w:t>
            </w:r>
            <w:r w:rsidRPr="007309DB">
              <w:rPr>
                <w:b/>
                <w:bCs/>
                <w:i/>
                <w:iCs/>
              </w:rPr>
              <w:t>, kā arī par makroekonomikas un sociālās politikas prioritāšu noteikšanu</w:t>
            </w:r>
            <w:r w:rsidRPr="007309DB">
              <w:t>. Atbilstīgos gadījumos</w:t>
            </w:r>
            <w:r w:rsidRPr="007309DB">
              <w:t xml:space="preserve"> Eiropas pusgada satvarā notiek apspriešanās ar Ekonomikas un finanšu komiteju, Ekonomikas politikas komiteju, Nodarbinātības komiteju un Sociālās aizsardzības komiteju. </w:t>
            </w:r>
            <w:r w:rsidRPr="007309DB">
              <w:rPr>
                <w:b/>
                <w:bCs/>
                <w:i/>
                <w:iCs/>
              </w:rPr>
              <w:t>Vajadzības gadījumā Eiropas pusgadā apspriežas arī ar Eiropas Ekonomikas un sociālo li</w:t>
            </w:r>
            <w:r w:rsidRPr="007309DB">
              <w:rPr>
                <w:b/>
                <w:bCs/>
                <w:i/>
                <w:iCs/>
              </w:rPr>
              <w:t>etu komiteju un Reģionu komiteju.</w:t>
            </w:r>
            <w:r w:rsidRPr="007309DB">
              <w:t xml:space="preserve"> Eiropas pusgada norišu satvarā saistībā ar galvenajiem politikas jautājumiem attiecīgā gadījumā iesaista attiecīgās ieinteresētās personas, jo īpaši sociālos partnerus </w:t>
            </w:r>
            <w:r w:rsidRPr="007309DB">
              <w:rPr>
                <w:b/>
                <w:bCs/>
                <w:i/>
                <w:iCs/>
              </w:rPr>
              <w:t>un pilsoniskās sabiedrības organizācijas</w:t>
            </w:r>
            <w:r w:rsidRPr="007309DB">
              <w:t>, saskaņā ar L</w:t>
            </w:r>
            <w:r w:rsidRPr="007309DB">
              <w:t>ESD un ievērojot valstu tiesisko regulējumu un politisko sistēmu.</w:t>
            </w:r>
          </w:p>
        </w:tc>
      </w:tr>
    </w:tbl>
    <w:p w:rsidR="00AF0131" w:rsidRPr="007309DB" w:rsidRDefault="008355CB" w:rsidP="00C56375">
      <w:pPr>
        <w:rPr>
          <w:rFonts w:eastAsiaTheme="majorEastAsia"/>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26</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26. pants – 2. daļa</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 xml:space="preserve">Lai </w:t>
            </w:r>
            <w:r w:rsidRPr="007309DB">
              <w:t>pastiprinātu dialogu starp Savienības iestādēm, jo īpaši Eiropas Parlamentu, Padomi un Komisiju, un lai nodrošinātu pārredzamību un pārskatatbildību, Eiropas Parlaments var uzaicināt Padomes, Komisijas un attiecīgā gadījumā Eiropadomes un Eurogrupas priekš</w:t>
            </w:r>
            <w:r w:rsidRPr="007309DB">
              <w:t>sēdētāju piedalīties komitejas sanāksmē, lai apspriestu Komisijas izdotos politikas norādījumus dalībvalstīm, Eiropadomes secinājumus un saskaņā ar šo regulu veiktās daudzpusējās uzraudzības rezultātus.</w:t>
            </w:r>
          </w:p>
        </w:tc>
        <w:tc>
          <w:tcPr>
            <w:tcW w:w="4876" w:type="dxa"/>
            <w:hideMark/>
          </w:tcPr>
          <w:p w:rsidR="00AF0131" w:rsidRPr="007309DB" w:rsidRDefault="008355CB" w:rsidP="00C33FBD">
            <w:pPr>
              <w:pStyle w:val="Normal6"/>
              <w:rPr>
                <w:szCs w:val="24"/>
              </w:rPr>
            </w:pPr>
            <w:r w:rsidRPr="007309DB">
              <w:t>Lai pastiprinātu dialogu starp Savienības iestādēm, j</w:t>
            </w:r>
            <w:r w:rsidRPr="007309DB">
              <w:t>o īpaši Eiropas Parlamentu, Padomi un Komisiju, un lai nodrošinātu pārredzamību un pārskatatbildību, Eiropas Parlaments var uzaicināt Padomes, Komisijas un attiecīgā gadījumā Eiropadomes un Eurogrupas priekšsēdētāju piedalīties komitejas sanāksmē, lai apsp</w:t>
            </w:r>
            <w:r w:rsidRPr="007309DB">
              <w:t>riestu Komisijas izdotos politikas norādījumus dalībvalstīm, Eiropadomes secinājumus un saskaņā ar šo regulu veiktās daudzpusējās uzraudzības rezultātus</w:t>
            </w:r>
            <w:r w:rsidRPr="007309DB">
              <w:rPr>
                <w:b/>
                <w:bCs/>
                <w:i/>
                <w:iCs/>
              </w:rPr>
              <w:t>, tostarp saskaņā ar LESD 121. panta 4. punktu un 148. pantu izveidotās agrīnās brīdināšanas sistēmas</w:t>
            </w:r>
            <w:r w:rsidRPr="007309DB">
              <w:t>.</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27</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26. pants – 3.a daļa (jauna)</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tcPr>
          <w:p w:rsidR="00AF0131" w:rsidRPr="007309DB" w:rsidRDefault="00AF0131" w:rsidP="00C33FBD">
            <w:pPr>
              <w:pStyle w:val="Normal6"/>
            </w:pPr>
          </w:p>
        </w:tc>
        <w:tc>
          <w:tcPr>
            <w:tcW w:w="4876" w:type="dxa"/>
            <w:hideMark/>
          </w:tcPr>
          <w:p w:rsidR="00AF0131" w:rsidRPr="007309DB" w:rsidRDefault="008355CB" w:rsidP="00C33FBD">
            <w:pPr>
              <w:pStyle w:val="Normal6"/>
              <w:rPr>
                <w:szCs w:val="24"/>
              </w:rPr>
            </w:pPr>
            <w:r w:rsidRPr="007309DB">
              <w:rPr>
                <w:b/>
                <w:i/>
              </w:rPr>
              <w:t xml:space="preserve">Eiropas Parlamenta kompetentās komitejas var aicināt Komisiju apspriest </w:t>
            </w:r>
            <w:r w:rsidRPr="007309DB">
              <w:rPr>
                <w:b/>
                <w:i/>
              </w:rPr>
              <w:t>šādus jautājumus:</w:t>
            </w:r>
          </w:p>
        </w:tc>
      </w:tr>
      <w:tr w:rsidR="00C07892" w:rsidRPr="007309DB" w:rsidTr="00C33FBD">
        <w:trPr>
          <w:jc w:val="center"/>
        </w:trPr>
        <w:tc>
          <w:tcPr>
            <w:tcW w:w="4876" w:type="dxa"/>
          </w:tcPr>
          <w:p w:rsidR="00AF0131" w:rsidRPr="007309DB" w:rsidRDefault="00AF0131" w:rsidP="00C33FBD">
            <w:pPr>
              <w:pStyle w:val="Normal6"/>
            </w:pPr>
          </w:p>
        </w:tc>
        <w:tc>
          <w:tcPr>
            <w:tcW w:w="4876" w:type="dxa"/>
            <w:hideMark/>
          </w:tcPr>
          <w:p w:rsidR="00AF0131" w:rsidRPr="007309DB" w:rsidRDefault="008355CB" w:rsidP="00C33FBD">
            <w:pPr>
              <w:pStyle w:val="Normal6"/>
              <w:rPr>
                <w:szCs w:val="24"/>
              </w:rPr>
            </w:pPr>
            <w:r w:rsidRPr="007309DB">
              <w:rPr>
                <w:b/>
                <w:i/>
              </w:rPr>
              <w:t>a)</w:t>
            </w:r>
            <w:r w:rsidRPr="007309DB">
              <w:rPr>
                <w:b/>
                <w:i/>
              </w:rPr>
              <w:tab/>
              <w:t>Komisijas novērtējumu par vidēja termiņa valsts parāda prognozēšanu valsts vidēja termiņa fiskālajos un strukturālajos plānos un parāda atmaksājamības analīzi;</w:t>
            </w:r>
          </w:p>
        </w:tc>
      </w:tr>
      <w:tr w:rsidR="00C07892" w:rsidRPr="007309DB" w:rsidTr="00C33FBD">
        <w:trPr>
          <w:jc w:val="center"/>
        </w:trPr>
        <w:tc>
          <w:tcPr>
            <w:tcW w:w="4876" w:type="dxa"/>
          </w:tcPr>
          <w:p w:rsidR="00AF0131" w:rsidRPr="007309DB" w:rsidRDefault="00AF0131" w:rsidP="00C33FBD">
            <w:pPr>
              <w:pStyle w:val="Normal6"/>
            </w:pPr>
          </w:p>
        </w:tc>
        <w:tc>
          <w:tcPr>
            <w:tcW w:w="4876" w:type="dxa"/>
            <w:hideMark/>
          </w:tcPr>
          <w:p w:rsidR="00AF0131" w:rsidRPr="007309DB" w:rsidRDefault="008355CB" w:rsidP="00C33FBD">
            <w:pPr>
              <w:pStyle w:val="Normal6"/>
              <w:rPr>
                <w:szCs w:val="24"/>
              </w:rPr>
            </w:pPr>
            <w:r w:rsidRPr="007309DB">
              <w:rPr>
                <w:b/>
                <w:i/>
              </w:rPr>
              <w:t>b)</w:t>
            </w:r>
            <w:r w:rsidRPr="007309DB">
              <w:rPr>
                <w:b/>
                <w:i/>
              </w:rPr>
              <w:tab/>
              <w:t xml:space="preserve"> novērtējumu par informāciju, ko dalībvalstis sniedz gada progresa </w:t>
            </w:r>
            <w:r w:rsidRPr="007309DB">
              <w:rPr>
                <w:b/>
                <w:i/>
              </w:rPr>
              <w:t>ziņojumos;</w:t>
            </w:r>
          </w:p>
        </w:tc>
      </w:tr>
      <w:tr w:rsidR="00C07892" w:rsidRPr="007309DB" w:rsidTr="00C33FBD">
        <w:trPr>
          <w:jc w:val="center"/>
        </w:trPr>
        <w:tc>
          <w:tcPr>
            <w:tcW w:w="4876" w:type="dxa"/>
          </w:tcPr>
          <w:p w:rsidR="00AF0131" w:rsidRPr="007309DB" w:rsidRDefault="00AF0131" w:rsidP="00C33FBD">
            <w:pPr>
              <w:pStyle w:val="Normal6"/>
            </w:pPr>
          </w:p>
        </w:tc>
        <w:tc>
          <w:tcPr>
            <w:tcW w:w="4876" w:type="dxa"/>
            <w:hideMark/>
          </w:tcPr>
          <w:p w:rsidR="00AF0131" w:rsidRPr="007309DB" w:rsidRDefault="008355CB" w:rsidP="00C33FBD">
            <w:pPr>
              <w:pStyle w:val="Normal6"/>
              <w:rPr>
                <w:szCs w:val="24"/>
              </w:rPr>
            </w:pPr>
            <w:r w:rsidRPr="007309DB">
              <w:rPr>
                <w:b/>
                <w:i/>
              </w:rPr>
              <w:t>c)</w:t>
            </w:r>
            <w:r w:rsidRPr="007309DB">
              <w:rPr>
                <w:b/>
                <w:i/>
              </w:rPr>
              <w:tab/>
              <w:t>novērtējumu par reformu un investīciju saistību kopumu, kas ir korekcijas perioda pagarināšanas pamatā;</w:t>
            </w:r>
          </w:p>
        </w:tc>
      </w:tr>
      <w:tr w:rsidR="00C07892" w:rsidRPr="007309DB" w:rsidTr="00C33FBD">
        <w:trPr>
          <w:jc w:val="center"/>
        </w:trPr>
        <w:tc>
          <w:tcPr>
            <w:tcW w:w="4876" w:type="dxa"/>
          </w:tcPr>
          <w:p w:rsidR="00AF0131" w:rsidRPr="007309DB" w:rsidRDefault="00AF0131" w:rsidP="00C33FBD">
            <w:pPr>
              <w:pStyle w:val="Normal6"/>
            </w:pPr>
          </w:p>
        </w:tc>
        <w:tc>
          <w:tcPr>
            <w:tcW w:w="4876" w:type="dxa"/>
            <w:hideMark/>
          </w:tcPr>
          <w:p w:rsidR="00AF0131" w:rsidRPr="007309DB" w:rsidRDefault="008355CB" w:rsidP="00C33FBD">
            <w:pPr>
              <w:pStyle w:val="Normal6"/>
              <w:rPr>
                <w:szCs w:val="24"/>
              </w:rPr>
            </w:pPr>
            <w:r w:rsidRPr="007309DB">
              <w:rPr>
                <w:b/>
                <w:i/>
              </w:rPr>
              <w:t>d) novērtējumu par konkrētām valstīm adresētajiem ieteikumiem un sociālās konverģences riskiem, kā arī progresu virzībā uz Eiropas soc</w:t>
            </w:r>
            <w:r w:rsidRPr="007309DB">
              <w:rPr>
                <w:b/>
                <w:i/>
              </w:rPr>
              <w:t>iālo tiesību pīlāra principu īstenošanu.</w:t>
            </w:r>
          </w:p>
        </w:tc>
      </w:tr>
    </w:tbl>
    <w:p w:rsidR="00AF0131" w:rsidRPr="007309DB" w:rsidRDefault="008355CB" w:rsidP="00C56375">
      <w:pPr>
        <w:rPr>
          <w:rStyle w:val="HideTWBExt"/>
          <w:rFonts w:eastAsiaTheme="majorEastAsia"/>
          <w:b/>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28</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II pielikums – 1. daļa – d punkts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d)</w:t>
            </w:r>
            <w:r w:rsidRPr="007309DB">
              <w:tab/>
              <w:t xml:space="preserve">informāciju par </w:t>
            </w:r>
            <w:r w:rsidRPr="007309DB">
              <w:t>netiešajām saistībām</w:t>
            </w:r>
            <w:r w:rsidRPr="007309DB">
              <w:rPr>
                <w:b/>
                <w:bCs/>
                <w:i/>
                <w:iCs/>
              </w:rPr>
              <w:t>, kas saistītas ar sabiedrības novecošanu,</w:t>
            </w:r>
            <w:r w:rsidRPr="007309DB">
              <w:t xml:space="preserve"> un iespējamām saistībām ar potenciāli lielu ietekmi uz valdības budžetu, tai skaitā valdības garantijām, ienākumus nenesošiem aizdevumiem un saistībām, kas izriet no publisko sabiedrību darbība</w:t>
            </w:r>
            <w:r w:rsidRPr="007309DB">
              <w:t>s, arī to apmēra, iespējamiem izdevumiem un saistībām, kas izriet no tiesas prāvām, un, ciktāl iespējams, informāciju par saistībām, kas saistītas ar katastrofām un klimatu;</w:t>
            </w:r>
          </w:p>
        </w:tc>
        <w:tc>
          <w:tcPr>
            <w:tcW w:w="4876" w:type="dxa"/>
            <w:hideMark/>
          </w:tcPr>
          <w:p w:rsidR="00AF0131" w:rsidRPr="007309DB" w:rsidRDefault="008355CB" w:rsidP="00C33FBD">
            <w:pPr>
              <w:pStyle w:val="Normal6"/>
              <w:rPr>
                <w:szCs w:val="24"/>
              </w:rPr>
            </w:pPr>
            <w:r w:rsidRPr="007309DB">
              <w:t>d)</w:t>
            </w:r>
            <w:r w:rsidRPr="007309DB">
              <w:tab/>
              <w:t>informāciju par netiešajām saistībām un iespējamām saistībām ar potenciāli liel</w:t>
            </w:r>
            <w:r w:rsidRPr="007309DB">
              <w:t>u ietekmi uz valdības budžetu, tai skaitā valdības garantijām, ienākumus nenesošiem aizdevumiem un saistībām, kas izriet no publisko sabiedrību darbības, arī to apmēra, iespējamiem izdevumiem un saistībām, kas izriet no tiesas prāvām, un, ciktāl iespējams,</w:t>
            </w:r>
            <w:r w:rsidRPr="007309DB">
              <w:t xml:space="preserve"> informāciju par saistībām, kas saistītas ar katastrofām un klimatu;</w:t>
            </w:r>
          </w:p>
        </w:tc>
      </w:tr>
    </w:tbl>
    <w:p w:rsidR="00AF0131" w:rsidRPr="007309DB" w:rsidRDefault="008355CB" w:rsidP="00AF0131">
      <w:pPr>
        <w:pStyle w:val="AMNumberTabs0"/>
        <w:keepNext/>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29</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II pielikums – 1. daļa – f punkts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f)</w:t>
            </w:r>
            <w:r w:rsidRPr="007309DB">
              <w:tab/>
              <w:t xml:space="preserve">ja dalībvalsts izmanto e) apakšpunktā minētos pieņēmumus, kas atšķiras no Komisijas pieņēmumiem par valsts vidēja termiņa fiskālo un strukturālo plānu korekcijas periodu un turpmāko 10 gadu periodu, ja nav veikti turpmāki budžeta pasākumi, pienācīgus </w:t>
            </w:r>
            <w:r w:rsidRPr="007309DB">
              <w:t>paskaidrojumus un pamatojumu, kas balstīts uz pamatotiem ekonomiskiem argumentiem par šīm atšķirībām;</w:t>
            </w:r>
          </w:p>
        </w:tc>
        <w:tc>
          <w:tcPr>
            <w:tcW w:w="4876" w:type="dxa"/>
            <w:hideMark/>
          </w:tcPr>
          <w:p w:rsidR="00AF0131" w:rsidRPr="007309DB" w:rsidRDefault="008355CB" w:rsidP="00C33FBD">
            <w:pPr>
              <w:pStyle w:val="Normal6"/>
              <w:rPr>
                <w:szCs w:val="24"/>
              </w:rPr>
            </w:pPr>
            <w:r w:rsidRPr="007309DB">
              <w:t>f)</w:t>
            </w:r>
            <w:r w:rsidRPr="007309DB">
              <w:tab/>
              <w:t xml:space="preserve">ja dalībvalsts izmanto e) apakšpunktā minētos pieņēmumus, kas atšķiras no Komisijas pieņēmumiem par valsts vidēja termiņa fiskālo un strukturālo plānu </w:t>
            </w:r>
            <w:r w:rsidRPr="007309DB">
              <w:t xml:space="preserve">korekcijas periodu un turpmāko 10 gadu periodu, ja nav veikti turpmāki budžeta pasākumi, pienācīgus paskaidrojumus un pamatojumu, kas balstīts uz pamatotiem ekonomiskiem </w:t>
            </w:r>
            <w:r w:rsidRPr="007309DB">
              <w:rPr>
                <w:b/>
                <w:bCs/>
                <w:i/>
                <w:iCs/>
              </w:rPr>
              <w:t>un sociāliem</w:t>
            </w:r>
            <w:r w:rsidRPr="007309DB">
              <w:t xml:space="preserve"> argumentiem par šīm atšķirībām;</w:t>
            </w:r>
          </w:p>
        </w:tc>
      </w:tr>
    </w:tbl>
    <w:p w:rsidR="00AF0131" w:rsidRPr="007309DB" w:rsidRDefault="008355CB" w:rsidP="00AF0131">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30</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II pielikums – 1. daļa – g punkts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g)</w:t>
            </w:r>
            <w:r w:rsidRPr="007309DB">
              <w:tab/>
              <w:t>analīzi par to, kā izmaiņas galvenajās ekonomikas prognozēs ietekmētu budžeta un parāda stāvokli;</w:t>
            </w:r>
          </w:p>
        </w:tc>
        <w:tc>
          <w:tcPr>
            <w:tcW w:w="4876" w:type="dxa"/>
            <w:hideMark/>
          </w:tcPr>
          <w:p w:rsidR="00AF0131" w:rsidRPr="007309DB" w:rsidRDefault="008355CB" w:rsidP="00C33FBD">
            <w:pPr>
              <w:pStyle w:val="Normal6"/>
              <w:rPr>
                <w:szCs w:val="24"/>
              </w:rPr>
            </w:pPr>
            <w:r w:rsidRPr="007309DB">
              <w:t>g)</w:t>
            </w:r>
            <w:r w:rsidRPr="007309DB">
              <w:tab/>
            </w:r>
            <w:r w:rsidRPr="007309DB">
              <w:t xml:space="preserve">analīzi par to, kā izmaiņas galvenajās ekonomikas </w:t>
            </w:r>
            <w:r w:rsidRPr="007309DB">
              <w:rPr>
                <w:b/>
                <w:bCs/>
                <w:i/>
                <w:iCs/>
              </w:rPr>
              <w:t>un sociālajās</w:t>
            </w:r>
            <w:r w:rsidRPr="007309DB">
              <w:t xml:space="preserve"> prognozēs ietekmētu dalībvalsts budžeta un parāda stāvokli </w:t>
            </w:r>
            <w:r w:rsidRPr="007309DB">
              <w:rPr>
                <w:b/>
                <w:bCs/>
                <w:i/>
                <w:iCs/>
              </w:rPr>
              <w:t>un to valsts mērķu sasniegšanu, kas saistīti ar Eiropas sociālo tiesību pīlāra pamatmērķiem un to galvenajiem sekundārajiem rādītājie</w:t>
            </w:r>
            <w:r w:rsidRPr="007309DB">
              <w:rPr>
                <w:b/>
                <w:bCs/>
                <w:i/>
                <w:iCs/>
              </w:rPr>
              <w:t>m, kā arī Savienības kopīgajām prioritātēm</w:t>
            </w:r>
            <w:r w:rsidRPr="007309DB">
              <w:t>;</w:t>
            </w:r>
          </w:p>
        </w:tc>
      </w:tr>
    </w:tbl>
    <w:p w:rsidR="00AF0131" w:rsidRPr="007309DB" w:rsidRDefault="008355CB" w:rsidP="00AF0131">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31</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II pielikums – 1. daļa – h punkts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h)</w:t>
            </w:r>
            <w:r w:rsidRPr="007309DB">
              <w:tab/>
              <w:t>attiecīgā gadījumā —</w:t>
            </w:r>
            <w:r w:rsidRPr="007309DB">
              <w:t xml:space="preserve"> pienācīgi pamatotus iemeslus (ar attiecīgiem pamatotiem un pārbaudāmiem ekonomiskiem argumentiem) novirzei no Komisijas norādītās tehniskās trajektorijas;</w:t>
            </w:r>
          </w:p>
        </w:tc>
        <w:tc>
          <w:tcPr>
            <w:tcW w:w="4876" w:type="dxa"/>
            <w:hideMark/>
          </w:tcPr>
          <w:p w:rsidR="00AF0131" w:rsidRPr="007309DB" w:rsidRDefault="008355CB" w:rsidP="00C33FBD">
            <w:pPr>
              <w:pStyle w:val="Normal6"/>
              <w:rPr>
                <w:szCs w:val="24"/>
              </w:rPr>
            </w:pPr>
            <w:r w:rsidRPr="007309DB">
              <w:t>h)</w:t>
            </w:r>
            <w:r w:rsidRPr="007309DB">
              <w:tab/>
              <w:t>attiecīgā gadījumā – pienācīgi pamatotus iemeslus (ar attiecīgiem pamatotiem un pārbaudāmiem ekon</w:t>
            </w:r>
            <w:r w:rsidRPr="007309DB">
              <w:t xml:space="preserve">omiskiem </w:t>
            </w:r>
            <w:r w:rsidRPr="007309DB">
              <w:rPr>
                <w:b/>
                <w:bCs/>
                <w:i/>
                <w:iCs/>
              </w:rPr>
              <w:t>un sociāliem</w:t>
            </w:r>
            <w:r w:rsidRPr="007309DB">
              <w:t xml:space="preserve"> argumentiem) novirzei no Komisijas norādītās tehniskās trajektorijas;</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32</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II pielikums – 1. daļa – j punkts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 xml:space="preserve">Komisijas </w:t>
            </w:r>
            <w:r w:rsidRPr="007309DB">
              <w:t>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j)</w:t>
            </w:r>
            <w:r w:rsidRPr="007309DB">
              <w:tab/>
              <w:t>kopējos publisko investīciju izdevumus, kā arī reformu un publisko investīciju izdevumus, kas vērsti uz VI pielikumā minētajām Savienības kopīgajām prioritātēm;</w:t>
            </w:r>
          </w:p>
        </w:tc>
        <w:tc>
          <w:tcPr>
            <w:tcW w:w="4876" w:type="dxa"/>
            <w:hideMark/>
          </w:tcPr>
          <w:p w:rsidR="00AF0131" w:rsidRPr="007309DB" w:rsidRDefault="008355CB" w:rsidP="00C33FBD">
            <w:pPr>
              <w:pStyle w:val="Normal6"/>
              <w:rPr>
                <w:szCs w:val="24"/>
              </w:rPr>
            </w:pPr>
            <w:r w:rsidRPr="007309DB">
              <w:t>j)</w:t>
            </w:r>
            <w:r w:rsidRPr="007309DB">
              <w:tab/>
              <w:t xml:space="preserve">kopējos publisko investīciju izdevumus, kā arī reformu un </w:t>
            </w:r>
            <w:r w:rsidRPr="007309DB">
              <w:t xml:space="preserve">publisko investīciju izdevumus, kas vērsti uz </w:t>
            </w:r>
            <w:r w:rsidRPr="007309DB">
              <w:rPr>
                <w:b/>
                <w:bCs/>
                <w:i/>
                <w:iCs/>
              </w:rPr>
              <w:t xml:space="preserve">katru no </w:t>
            </w:r>
            <w:r w:rsidRPr="007309DB">
              <w:t>VI pielikumā minētajām Savienības kopīgajām prioritātēm;</w:t>
            </w:r>
          </w:p>
        </w:tc>
      </w:tr>
    </w:tbl>
    <w:p w:rsidR="00AF0131" w:rsidRPr="007309DB" w:rsidRDefault="008355CB" w:rsidP="00C56375">
      <w:pPr>
        <w:rPr>
          <w:rFonts w:eastAsiaTheme="majorEastAsia"/>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33</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II pielikums – 1. daļa – k punkts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k)</w:t>
            </w:r>
            <w:r w:rsidRPr="007309DB">
              <w:tab/>
              <w:t>attiecīgā gadījumā informāciju par konkrētu, laikā ierobežotu un pārbaudāmu reformu un investīciju saistību kopumu, kas ir pamatā korekcijas perioda pagarināšanai saskaņā ar 13. pantu, tā īstenošanas</w:t>
            </w:r>
            <w:r w:rsidRPr="007309DB">
              <w:t xml:space="preserve"> grafiku, kā arī pamatotus ekonomiskos argumentus par to, ka šis reformu un investīciju saistību kopums atbilst 13. pantā noteiktajiem kritērijiem, ņemot vērā VII pielikumā noteiktos novērtēšanas kritērijus;</w:t>
            </w:r>
          </w:p>
        </w:tc>
        <w:tc>
          <w:tcPr>
            <w:tcW w:w="4876" w:type="dxa"/>
            <w:hideMark/>
          </w:tcPr>
          <w:p w:rsidR="00AF0131" w:rsidRPr="007309DB" w:rsidRDefault="008355CB" w:rsidP="00C33FBD">
            <w:pPr>
              <w:pStyle w:val="Normal6"/>
              <w:rPr>
                <w:szCs w:val="24"/>
              </w:rPr>
            </w:pPr>
            <w:r w:rsidRPr="007309DB">
              <w:t>k)</w:t>
            </w:r>
            <w:r w:rsidRPr="007309DB">
              <w:tab/>
            </w:r>
            <w:r w:rsidRPr="007309DB">
              <w:t xml:space="preserve">attiecīgā gadījumā informāciju par konkrētu, laikā ierobežotu un pārbaudāmu reformu un investīciju saistību kopumu, kas ir pamatā korekcijas perioda pagarināšanai saskaņā ar 13. pantu, tā īstenošanas grafiku, kā arī pamatotus ekonomiskos </w:t>
            </w:r>
            <w:r w:rsidRPr="007309DB">
              <w:rPr>
                <w:b/>
                <w:bCs/>
                <w:i/>
                <w:iCs/>
              </w:rPr>
              <w:t>un sociālos</w:t>
            </w:r>
            <w:r w:rsidRPr="007309DB">
              <w:t xml:space="preserve"> argume</w:t>
            </w:r>
            <w:r w:rsidRPr="007309DB">
              <w:t>ntus par to, ka šis reformu un investīciju saistību kopums atbilst 13. pantā noteiktajiem kritērijiem, ņemot vērā VII pielikumā noteiktos novērtēšanas kritērijus;</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34</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II pielikums – 1. daļa – l punkts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l)</w:t>
            </w:r>
            <w:r w:rsidRPr="007309DB">
              <w:tab/>
              <w:t xml:space="preserve">cik vien iespējams, kvantitatīvi izsaka k) apakšpunktā minēto reformu un investīciju paredzamo ietekmi uz fiskālo stabilitāti, izaugsmi un nodarbinātību, </w:t>
            </w:r>
            <w:r w:rsidRPr="007309DB">
              <w:t>attiecīgā gadījumā ievērojot kopīgi saskaņotu metodiku;</w:t>
            </w:r>
          </w:p>
        </w:tc>
        <w:tc>
          <w:tcPr>
            <w:tcW w:w="4876" w:type="dxa"/>
            <w:hideMark/>
          </w:tcPr>
          <w:p w:rsidR="00AF0131" w:rsidRPr="007309DB" w:rsidRDefault="008355CB" w:rsidP="00C33FBD">
            <w:pPr>
              <w:pStyle w:val="Normal6"/>
              <w:rPr>
                <w:szCs w:val="24"/>
              </w:rPr>
            </w:pPr>
            <w:r w:rsidRPr="007309DB">
              <w:t>l)</w:t>
            </w:r>
            <w:r w:rsidRPr="007309DB">
              <w:tab/>
              <w:t xml:space="preserve">cik vien iespējams, kvantitatīvi izsaka k) apakšpunktā minēto reformu un investīciju paredzamo ietekmi uz fiskālo stabilitāti, </w:t>
            </w:r>
            <w:r w:rsidRPr="007309DB">
              <w:rPr>
                <w:b/>
                <w:bCs/>
                <w:i/>
                <w:iCs/>
              </w:rPr>
              <w:t>ilgtspējīgu un iekļaujošu</w:t>
            </w:r>
            <w:r w:rsidRPr="007309DB">
              <w:t xml:space="preserve"> izaugsmi un </w:t>
            </w:r>
            <w:r w:rsidRPr="007309DB">
              <w:rPr>
                <w:b/>
                <w:bCs/>
                <w:i/>
                <w:iCs/>
              </w:rPr>
              <w:t>konkurētspēju, kvalitatīvu</w:t>
            </w:r>
            <w:r w:rsidRPr="007309DB">
              <w:rPr>
                <w:b/>
                <w:bCs/>
              </w:rPr>
              <w:t xml:space="preserve"> </w:t>
            </w:r>
            <w:r w:rsidRPr="007309DB">
              <w:t>nodar</w:t>
            </w:r>
            <w:r w:rsidRPr="007309DB">
              <w:t xml:space="preserve">binātību, </w:t>
            </w:r>
            <w:r w:rsidRPr="007309DB">
              <w:rPr>
                <w:b/>
                <w:bCs/>
                <w:i/>
                <w:iCs/>
              </w:rPr>
              <w:t>kā arī augšupēju sociālo konverģenci,</w:t>
            </w:r>
            <w:r w:rsidRPr="007309DB">
              <w:t xml:space="preserve"> attiecīgā gadījumā ievērojot kopīgi saskaņotu metodiku;</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35</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II pielikums – 1. daļa – na punkts (jauns)</w:t>
      </w:r>
      <w:r w:rsidRPr="007309DB">
        <w:rPr>
          <w:rStyle w:val="HideTWBExt"/>
          <w:b w:val="0"/>
        </w:rPr>
        <w:t>&lt;/Articl</w:t>
      </w:r>
      <w:r w:rsidRPr="007309DB">
        <w:rPr>
          <w:rStyle w:val="HideTWBExt"/>
          <w:b w:val="0"/>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tcPr>
          <w:p w:rsidR="00AF0131" w:rsidRPr="007309DB" w:rsidRDefault="00AF0131" w:rsidP="00C33FBD">
            <w:pPr>
              <w:pStyle w:val="Normal6"/>
            </w:pPr>
          </w:p>
        </w:tc>
        <w:tc>
          <w:tcPr>
            <w:tcW w:w="4876" w:type="dxa"/>
            <w:hideMark/>
          </w:tcPr>
          <w:p w:rsidR="00AF0131" w:rsidRPr="007309DB" w:rsidRDefault="008355CB" w:rsidP="00C33FBD">
            <w:pPr>
              <w:pStyle w:val="Normal6"/>
              <w:rPr>
                <w:szCs w:val="24"/>
              </w:rPr>
            </w:pPr>
            <w:r w:rsidRPr="007309DB">
              <w:rPr>
                <w:b/>
                <w:i/>
              </w:rPr>
              <w:t>na)</w:t>
            </w:r>
            <w:r w:rsidRPr="007309DB">
              <w:rPr>
                <w:b/>
                <w:i/>
              </w:rPr>
              <w:tab/>
              <w:t>attiecīgā gadījumā reformas un investīcijas konstatēto sociālās konverģences risku koriģēšanai saskaņā ar sociālās konverģences sistēmu;</w:t>
            </w:r>
          </w:p>
        </w:tc>
      </w:tr>
    </w:tbl>
    <w:p w:rsidR="00AF0131" w:rsidRPr="007309DB" w:rsidRDefault="008355CB" w:rsidP="00C56375">
      <w:pPr>
        <w:rPr>
          <w:rFonts w:eastAsiaTheme="majorEastAsia"/>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36</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w:t>
      </w:r>
      <w:r w:rsidRPr="007309DB">
        <w:t xml:space="preserve">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II pielikums – 1. daļa – p punkts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p)</w:t>
            </w:r>
            <w:r w:rsidRPr="007309DB">
              <w:tab/>
              <w:t xml:space="preserve">attiecībā uz dalībvalstīm ar zemām valsts parāda problēmām, bet lielām netiešām saistībām </w:t>
            </w:r>
            <w:r w:rsidRPr="007309DB">
              <w:rPr>
                <w:b/>
                <w:bCs/>
                <w:i/>
                <w:iCs/>
              </w:rPr>
              <w:t>sabiedrības novecošanas dēļ</w:t>
            </w:r>
            <w:r w:rsidRPr="007309DB">
              <w:t xml:space="preserve">, valsts neto </w:t>
            </w:r>
            <w:r w:rsidRPr="007309DB">
              <w:t>izdevumu trajektorijā un valsts vidēja termiņa fiskālo un strukturālo plānu reformās būtu pienācīgi jāņem vērā publisko finanšu ilgtermiņa fiskālās stabilitātes problēmas;</w:t>
            </w:r>
          </w:p>
        </w:tc>
        <w:tc>
          <w:tcPr>
            <w:tcW w:w="4876" w:type="dxa"/>
            <w:hideMark/>
          </w:tcPr>
          <w:p w:rsidR="00AF0131" w:rsidRPr="007309DB" w:rsidRDefault="008355CB" w:rsidP="00C33FBD">
            <w:pPr>
              <w:pStyle w:val="Normal6"/>
              <w:rPr>
                <w:szCs w:val="24"/>
              </w:rPr>
            </w:pPr>
            <w:r w:rsidRPr="007309DB">
              <w:t>p)</w:t>
            </w:r>
            <w:r w:rsidRPr="007309DB">
              <w:tab/>
              <w:t>attiecībā uz dalībvalstīm ar zemām valsts parāda problēmām, bet lielām netiešām s</w:t>
            </w:r>
            <w:r w:rsidRPr="007309DB">
              <w:t>aistībām, valsts neto izdevumu trajektorijā un valsts vidēja termiņa fiskālo un strukturālo plānu reformās būtu pienācīgi jāņem vērā publisko finanšu ilgtermiņa fiskālās stabilitātes problēmas</w:t>
            </w:r>
            <w:r w:rsidRPr="007309DB">
              <w:rPr>
                <w:b/>
                <w:bCs/>
                <w:i/>
                <w:iCs/>
              </w:rPr>
              <w:t>, kā arī sociālās konverģences riski, kas noteikti jaunākajā uzr</w:t>
            </w:r>
            <w:r w:rsidRPr="007309DB">
              <w:rPr>
                <w:b/>
                <w:bCs/>
                <w:i/>
                <w:iCs/>
              </w:rPr>
              <w:t>audzības instrumentā</w:t>
            </w:r>
            <w:r w:rsidRPr="007309DB">
              <w:t>;</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37</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II pielikums – 1. daļa – q punkts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q)</w:t>
            </w:r>
            <w:r w:rsidRPr="007309DB">
              <w:tab/>
              <w:t xml:space="preserve">informāciju par apspriešanos ar </w:t>
            </w:r>
            <w:r w:rsidRPr="007309DB">
              <w:t>sociālajiem partneriem, pilsoniskās sabiedrības organizācijām un citām attiecīgajām ieinteresētajām personām saistībā ar plāna sagatavošanu.</w:t>
            </w:r>
          </w:p>
        </w:tc>
        <w:tc>
          <w:tcPr>
            <w:tcW w:w="4876" w:type="dxa"/>
            <w:hideMark/>
          </w:tcPr>
          <w:p w:rsidR="00AF0131" w:rsidRPr="007309DB" w:rsidRDefault="008355CB" w:rsidP="00C33FBD">
            <w:pPr>
              <w:pStyle w:val="Normal6"/>
              <w:rPr>
                <w:szCs w:val="24"/>
              </w:rPr>
            </w:pPr>
            <w:r w:rsidRPr="007309DB">
              <w:t>q)</w:t>
            </w:r>
            <w:r w:rsidRPr="007309DB">
              <w:tab/>
              <w:t xml:space="preserve">informāciju par </w:t>
            </w:r>
            <w:r w:rsidRPr="007309DB">
              <w:rPr>
                <w:b/>
                <w:bCs/>
                <w:i/>
                <w:iCs/>
              </w:rPr>
              <w:t>efektīvu</w:t>
            </w:r>
            <w:r w:rsidRPr="007309DB">
              <w:rPr>
                <w:b/>
                <w:bCs/>
              </w:rPr>
              <w:t xml:space="preserve"> </w:t>
            </w:r>
            <w:r w:rsidRPr="007309DB">
              <w:t xml:space="preserve">apspriešanos ar sociālajiem partneriem, pilsoniskās sabiedrības organizācijām un citām </w:t>
            </w:r>
            <w:r w:rsidRPr="007309DB">
              <w:t>attiecīgajām ieinteresētajām personām saistībā ar plāna sagatavošanu.</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38</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III pielikums – 1. daļa – b punkts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b)</w:t>
            </w:r>
            <w:r w:rsidRPr="007309DB">
              <w:tab/>
              <w:t>salīdzinājumu no valsts vidēja termiņa fiskālā un strukturālā plāna sākuma starp minētajā plānā iesniegto galveno ekonomisko mainīgo lielumu prognozēm un izpildes datiem par šiem mainīgajiem lielumiem, kā arī ietekmi uz atbilstību Padomes not</w:t>
            </w:r>
            <w:r w:rsidRPr="007309DB">
              <w:t>eiktajai neto izdevumu trajektorijai un ietekmi uz plānā norādīto valsts parāda attiecības prognozēto virzību;</w:t>
            </w:r>
          </w:p>
        </w:tc>
        <w:tc>
          <w:tcPr>
            <w:tcW w:w="4876" w:type="dxa"/>
            <w:hideMark/>
          </w:tcPr>
          <w:p w:rsidR="00AF0131" w:rsidRPr="007309DB" w:rsidRDefault="008355CB" w:rsidP="00C33FBD">
            <w:pPr>
              <w:pStyle w:val="Normal6"/>
              <w:rPr>
                <w:szCs w:val="24"/>
              </w:rPr>
            </w:pPr>
            <w:r w:rsidRPr="007309DB">
              <w:t>b)</w:t>
            </w:r>
            <w:r w:rsidRPr="007309DB">
              <w:tab/>
              <w:t xml:space="preserve">salīdzinājumu no valsts vidēja termiņa fiskālā un strukturālā plāna sākuma starp minētajā plānā iesniegto galveno ekonomisko </w:t>
            </w:r>
            <w:r w:rsidRPr="007309DB">
              <w:rPr>
                <w:b/>
                <w:bCs/>
                <w:i/>
                <w:iCs/>
              </w:rPr>
              <w:t>un sociālo</w:t>
            </w:r>
            <w:r w:rsidRPr="007309DB">
              <w:t xml:space="preserve"> mainīg</w:t>
            </w:r>
            <w:r w:rsidRPr="007309DB">
              <w:t>o lielumu prognozēm un izpildes datiem par šiem mainīgajiem lielumiem, kā arī ietekmi uz atbilstību Padomes noteiktajai neto izdevumu trajektorijai un ietekmi uz plānā norādīto valsts parāda attiecības prognozēto virzību</w:t>
            </w:r>
            <w:r w:rsidRPr="007309DB">
              <w:rPr>
                <w:b/>
                <w:bCs/>
                <w:i/>
                <w:iCs/>
              </w:rPr>
              <w:t xml:space="preserve">, kā arī uz atbilstību valsts mērķu </w:t>
            </w:r>
            <w:r w:rsidRPr="007309DB">
              <w:rPr>
                <w:b/>
                <w:bCs/>
                <w:i/>
                <w:iCs/>
              </w:rPr>
              <w:t>sasniegšanai saistībā ar Eiropas sociālo tiesību pīlāra pamatmērķiem</w:t>
            </w:r>
            <w:r w:rsidRPr="007309DB">
              <w:t>;</w:t>
            </w:r>
          </w:p>
        </w:tc>
      </w:tr>
    </w:tbl>
    <w:p w:rsidR="00AF0131" w:rsidRPr="007309DB" w:rsidRDefault="008355CB" w:rsidP="00AF0131">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39</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III pielikums – 1. daļa – h punkts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h)</w:t>
            </w:r>
            <w:r w:rsidRPr="007309DB">
              <w:tab/>
              <w:t>galvenos pieņēmumus par gaidāmo ekonomisko attīstību un galvenajiem ekonomiskajiem mainīgajiem lielumiem nākamajos korekcijas perioda gados, t. sk. valsts parāda attiecību;</w:t>
            </w:r>
          </w:p>
        </w:tc>
        <w:tc>
          <w:tcPr>
            <w:tcW w:w="4876" w:type="dxa"/>
            <w:hideMark/>
          </w:tcPr>
          <w:p w:rsidR="00AF0131" w:rsidRPr="007309DB" w:rsidRDefault="008355CB" w:rsidP="00C33FBD">
            <w:pPr>
              <w:pStyle w:val="Normal6"/>
              <w:rPr>
                <w:szCs w:val="24"/>
              </w:rPr>
            </w:pPr>
            <w:r w:rsidRPr="007309DB">
              <w:t>h)</w:t>
            </w:r>
            <w:r w:rsidRPr="007309DB">
              <w:tab/>
              <w:t xml:space="preserve">galvenos pieņēmumus par gaidāmo ekonomisko </w:t>
            </w:r>
            <w:r w:rsidRPr="007309DB">
              <w:rPr>
                <w:b/>
                <w:bCs/>
                <w:i/>
                <w:iCs/>
              </w:rPr>
              <w:t>un sociālo</w:t>
            </w:r>
            <w:r w:rsidRPr="007309DB">
              <w:t xml:space="preserve"> attīstību un</w:t>
            </w:r>
            <w:r w:rsidRPr="007309DB">
              <w:t xml:space="preserve"> galvenajiem ekonomiskajiem </w:t>
            </w:r>
            <w:r w:rsidRPr="007309DB">
              <w:rPr>
                <w:b/>
                <w:bCs/>
                <w:i/>
                <w:iCs/>
              </w:rPr>
              <w:t>un sociālajiem</w:t>
            </w:r>
            <w:r w:rsidRPr="007309DB">
              <w:t xml:space="preserve"> mainīgajiem lielumiem nākamajos korekcijas perioda gados, t. sk. valsts parāda attiecību;</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40</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 xml:space="preserve">III pielikums – 1. </w:t>
      </w:r>
      <w:r w:rsidRPr="007309DB">
        <w:t>daļa – l punkts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l)</w:t>
            </w:r>
            <w:r w:rsidRPr="007309DB">
              <w:tab/>
              <w:t xml:space="preserve">makroekonomiskās nelīdzsvarotības novēršanas procedūrā konstatētās makroekonomiskās nelīdzsvarotības attīstības analīzi un to attiecīgo reformu un investīciju īstenošanas ietekmi, par </w:t>
            </w:r>
            <w:r w:rsidRPr="007309DB">
              <w:t>kurām attiecīgā gadījumā ziņots valsts vidēja termiņa fiskālajā un strukturālajā plānā saskaņā ar II pielikuma n) punktu;</w:t>
            </w:r>
          </w:p>
        </w:tc>
        <w:tc>
          <w:tcPr>
            <w:tcW w:w="4876" w:type="dxa"/>
            <w:hideMark/>
          </w:tcPr>
          <w:p w:rsidR="00AF0131" w:rsidRPr="007309DB" w:rsidRDefault="008355CB" w:rsidP="00C33FBD">
            <w:pPr>
              <w:pStyle w:val="Normal6"/>
              <w:rPr>
                <w:szCs w:val="24"/>
              </w:rPr>
            </w:pPr>
            <w:r w:rsidRPr="007309DB">
              <w:t>l)</w:t>
            </w:r>
            <w:r w:rsidRPr="007309DB">
              <w:tab/>
              <w:t xml:space="preserve">makroekonomiskās nelīdzsvarotības novēršanas procedūrā konstatētās makroekonomiskās nelīdzsvarotības attīstības </w:t>
            </w:r>
            <w:r w:rsidRPr="007309DB">
              <w:rPr>
                <w:b/>
                <w:bCs/>
                <w:i/>
                <w:iCs/>
              </w:rPr>
              <w:t>un saskaņā ar sociā</w:t>
            </w:r>
            <w:r w:rsidRPr="007309DB">
              <w:rPr>
                <w:b/>
                <w:bCs/>
                <w:i/>
                <w:iCs/>
              </w:rPr>
              <w:t>lās konverģences sistēmu konstatēto sociālās konverģences risku</w:t>
            </w:r>
            <w:r w:rsidRPr="007309DB">
              <w:t xml:space="preserve"> analīzi un to attiecīgo reformu un investīciju īstenošanas ietekmi, par kurām attiecīgā gadījumā ziņots valsts vidēja termiņa fiskālajā un strukturālajā plānā saskaņā ar II pielikuma n) </w:t>
            </w:r>
            <w:r w:rsidRPr="007309DB">
              <w:rPr>
                <w:b/>
                <w:bCs/>
                <w:i/>
                <w:iCs/>
              </w:rPr>
              <w:t xml:space="preserve">un o) </w:t>
            </w:r>
            <w:r w:rsidRPr="007309DB">
              <w:t>punktu;</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41</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III pielikums – 1. daļa – n punkts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n)</w:t>
            </w:r>
            <w:r w:rsidRPr="007309DB">
              <w:tab/>
              <w:t xml:space="preserve">informāciju par darba tirgus, prasmju un sociālās </w:t>
            </w:r>
            <w:r w:rsidRPr="007309DB">
              <w:t>politikas norisēm un par tādu politikas pasākumu īstenošanu, kas veicina augšupēju sociālo konverģenci starp dalībvalstīm virzībā uz labākiem darba un dzīves apstākļiem saskaņā ar Eiropas sociālo tiesību pīlāra principiem un nodarbinātības pamatnostādnēm s</w:t>
            </w:r>
            <w:r w:rsidRPr="007309DB">
              <w:t>askaņā ar LESD 148. pantu; tas ietver pasākumu paredzamo ietekmi saistībā ar progresu valsts mērķu sasniegšanā attiecībā uz nodarbinātību, prasmēm un nabadzības samazināšanu līdz 2030. gadam;</w:t>
            </w:r>
          </w:p>
        </w:tc>
        <w:tc>
          <w:tcPr>
            <w:tcW w:w="4876" w:type="dxa"/>
            <w:hideMark/>
          </w:tcPr>
          <w:p w:rsidR="00AF0131" w:rsidRPr="007309DB" w:rsidRDefault="008355CB" w:rsidP="00C33FBD">
            <w:pPr>
              <w:pStyle w:val="Normal6"/>
              <w:rPr>
                <w:szCs w:val="24"/>
              </w:rPr>
            </w:pPr>
            <w:r w:rsidRPr="007309DB">
              <w:t>n)</w:t>
            </w:r>
            <w:r w:rsidRPr="007309DB">
              <w:tab/>
              <w:t xml:space="preserve">informāciju par darba tirgus, prasmju un sociālās politikas </w:t>
            </w:r>
            <w:r w:rsidRPr="007309DB">
              <w:t xml:space="preserve">norisēm un par tādu politikas pasākumu īstenošanu, kas veicina augšupēju sociālo konverģenci starp dalībvalstīm virzībā uz labākiem darba un dzīves apstākļiem saskaņā ar Eiropas sociālo tiesību pīlāra principiem un nodarbinātības pamatnostādnēm saskaņā ar </w:t>
            </w:r>
            <w:r w:rsidRPr="007309DB">
              <w:t>LESD 148. pantu</w:t>
            </w:r>
            <w:r w:rsidRPr="007309DB">
              <w:rPr>
                <w:b/>
                <w:bCs/>
                <w:i/>
                <w:iCs/>
              </w:rPr>
              <w:t>, kā arī sociālās konverģences sistēmu</w:t>
            </w:r>
            <w:r w:rsidRPr="007309DB">
              <w:t>; tas ietver pasākumu paredzamo ietekmi saistībā ar progresu valsts mērķu sasniegšanā attiecībā uz nodarbinātību, prasmēm un nabadzības samazināšanu līdz 2030. gadam</w:t>
            </w:r>
            <w:r w:rsidRPr="007309DB">
              <w:rPr>
                <w:b/>
                <w:bCs/>
                <w:i/>
                <w:iCs/>
              </w:rPr>
              <w:t xml:space="preserve"> un, attiecīgā gadījumā, pasākumu pare</w:t>
            </w:r>
            <w:r w:rsidRPr="007309DB">
              <w:rPr>
                <w:b/>
                <w:bCs/>
                <w:i/>
                <w:iCs/>
              </w:rPr>
              <w:t>dzamo ietekmi attiecībā uz konstatēto sociālās konverģences risku novēršanu saskaņā ar sociālās konverģences sistēmu</w:t>
            </w:r>
            <w:r w:rsidRPr="007309DB">
              <w:t>;</w:t>
            </w:r>
          </w:p>
        </w:tc>
      </w:tr>
    </w:tbl>
    <w:p w:rsidR="00AF0131" w:rsidRPr="007309DB" w:rsidRDefault="008355CB" w:rsidP="00AF0131">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42</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 xml:space="preserve">III pielikums – 1. daļa – oa punkts </w:t>
      </w:r>
      <w:r w:rsidRPr="007309DB">
        <w:t>(jauns)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AF0131" w:rsidP="00C33FBD">
            <w:pPr>
              <w:pStyle w:val="Normal6"/>
            </w:pPr>
          </w:p>
        </w:tc>
        <w:tc>
          <w:tcPr>
            <w:tcW w:w="4876" w:type="dxa"/>
            <w:hideMark/>
          </w:tcPr>
          <w:p w:rsidR="00AF0131" w:rsidRPr="007309DB" w:rsidRDefault="008355CB" w:rsidP="00C33FBD">
            <w:pPr>
              <w:pStyle w:val="Normal6"/>
              <w:rPr>
                <w:szCs w:val="24"/>
              </w:rPr>
            </w:pPr>
            <w:r w:rsidRPr="007309DB">
              <w:rPr>
                <w:b/>
                <w:i/>
              </w:rPr>
              <w:t>oa)</w:t>
            </w:r>
            <w:r w:rsidRPr="007309DB">
              <w:tab/>
            </w:r>
            <w:r w:rsidRPr="007309DB">
              <w:rPr>
                <w:b/>
                <w:bCs/>
                <w:i/>
                <w:iCs/>
              </w:rPr>
              <w:t>informāciju par apspriešanos ar sociālajiem partneriem, pilsoniskās sabiedrības organizācijām un citām attiecīgajām ieinteresētajām personām saistībā ar ziņojuma sagatavošanu;</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C56375">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43</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VII pielikums – 2. punkts – 2. daļa – 2.1. apakšpunkts – ievaddaļa</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2.1.</w:t>
            </w:r>
            <w:r w:rsidRPr="007309DB">
              <w:tab/>
              <w:t xml:space="preserve">Reformu un investīciju saistību kopums </w:t>
            </w:r>
            <w:r w:rsidRPr="007309DB">
              <w:t>veicina izaugsmi.</w:t>
            </w:r>
          </w:p>
        </w:tc>
        <w:tc>
          <w:tcPr>
            <w:tcW w:w="4876" w:type="dxa"/>
            <w:hideMark/>
          </w:tcPr>
          <w:p w:rsidR="00AF0131" w:rsidRPr="007309DB" w:rsidRDefault="008355CB" w:rsidP="00C33FBD">
            <w:pPr>
              <w:pStyle w:val="Normal6"/>
              <w:rPr>
                <w:szCs w:val="24"/>
              </w:rPr>
            </w:pPr>
            <w:r w:rsidRPr="007309DB">
              <w:t>2.1.</w:t>
            </w:r>
            <w:r w:rsidRPr="007309DB">
              <w:tab/>
              <w:t xml:space="preserve">Reformu un investīciju saistību kopums veicina </w:t>
            </w:r>
            <w:r w:rsidRPr="007309DB">
              <w:rPr>
                <w:b/>
                <w:bCs/>
                <w:i/>
                <w:iCs/>
              </w:rPr>
              <w:t>ilgtspējīgu</w:t>
            </w:r>
            <w:r w:rsidRPr="007309DB">
              <w:t xml:space="preserve"> izaugsmi. </w:t>
            </w:r>
            <w:r w:rsidRPr="007309DB">
              <w:rPr>
                <w:b/>
                <w:i/>
              </w:rPr>
              <w:t>Paredzams, ka reformu un investīciju saistību kopums nodrošinās pietiekamu progresu virzībā uz valsts mērķiem, kas saistīti ar Eiropas sociālo tiesību pīlāra pamatm</w:t>
            </w:r>
            <w:r w:rsidRPr="007309DB">
              <w:rPr>
                <w:b/>
                <w:i/>
              </w:rPr>
              <w:t>ērķiem un to galvenajiem un sekundārajiem rādītājiem.</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44</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VII pielikums – 2. punkts – 2. daļa – 2.2.a apakšpunkts (jauns)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 xml:space="preserve">Komisijas ierosinātais </w:t>
            </w:r>
            <w:r w:rsidRPr="007309DB">
              <w:t>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tcPr>
          <w:p w:rsidR="00AF0131" w:rsidRPr="007309DB" w:rsidRDefault="00AF0131" w:rsidP="00C33FBD">
            <w:pPr>
              <w:pStyle w:val="Normal6"/>
            </w:pPr>
          </w:p>
        </w:tc>
        <w:tc>
          <w:tcPr>
            <w:tcW w:w="4876" w:type="dxa"/>
            <w:hideMark/>
          </w:tcPr>
          <w:p w:rsidR="00AF0131" w:rsidRPr="007309DB" w:rsidRDefault="008355CB" w:rsidP="00C33FBD">
            <w:pPr>
              <w:pStyle w:val="Normal6"/>
              <w:rPr>
                <w:szCs w:val="24"/>
              </w:rPr>
            </w:pPr>
            <w:r w:rsidRPr="007309DB">
              <w:rPr>
                <w:b/>
                <w:i/>
              </w:rPr>
              <w:t>2.2.a</w:t>
            </w:r>
            <w:r w:rsidRPr="007309DB">
              <w:rPr>
                <w:b/>
                <w:i/>
              </w:rPr>
              <w:tab/>
              <w:t>Reformu un investīciju saistību kopums veicina augšupēju sociālo konverģenci.</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45</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 xml:space="preserve">VII pielikums – 2. punkts – 2. daļa – 2.4. </w:t>
      </w:r>
      <w:r w:rsidRPr="007309DB">
        <w:t>apakšpunkts – ievaddaļa</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2.4.</w:t>
            </w:r>
            <w:r w:rsidRPr="007309DB">
              <w:tab/>
              <w:t>Viss reformu un investīciju saistību kopums palīdz īstenot attiecīgos konkrētai valstij adresētos ieteikumus un attiecīgā gadījumā ieteikumus, kas sniegti saistībā ar makroek</w:t>
            </w:r>
            <w:r w:rsidRPr="007309DB">
              <w:t>onomiskās nelīdzsvarotības novēršanas procedūru.</w:t>
            </w:r>
          </w:p>
        </w:tc>
        <w:tc>
          <w:tcPr>
            <w:tcW w:w="4876" w:type="dxa"/>
            <w:hideMark/>
          </w:tcPr>
          <w:p w:rsidR="00AF0131" w:rsidRPr="007309DB" w:rsidRDefault="008355CB" w:rsidP="00C33FBD">
            <w:pPr>
              <w:pStyle w:val="Normal6"/>
              <w:rPr>
                <w:szCs w:val="24"/>
              </w:rPr>
            </w:pPr>
            <w:r w:rsidRPr="007309DB">
              <w:t>2.4.</w:t>
            </w:r>
            <w:r w:rsidRPr="007309DB">
              <w:tab/>
              <w:t xml:space="preserve">Viss reformu un investīciju saistību kopums palīdz īstenot attiecīgos konkrētai valstij adresētos ieteikumus </w:t>
            </w:r>
            <w:r w:rsidRPr="007309DB">
              <w:rPr>
                <w:b/>
                <w:bCs/>
                <w:i/>
                <w:iCs/>
              </w:rPr>
              <w:t>saskaņā ar LESD 121. panta 4. punktu un 148. panta 4. punktu</w:t>
            </w:r>
            <w:r w:rsidRPr="007309DB">
              <w:t xml:space="preserve"> un attiecīgā gadījumā ieteikumus</w:t>
            </w:r>
            <w:r w:rsidRPr="007309DB">
              <w:t>, kas sniegti saistībā ar makroekonomiskās nelīdzsvarotības novēršanas procedūru.</w:t>
            </w:r>
          </w:p>
        </w:tc>
      </w:tr>
    </w:tbl>
    <w:p w:rsidR="00AF0131" w:rsidRPr="007309DB" w:rsidRDefault="008355CB" w:rsidP="00C56375">
      <w:pPr>
        <w:rPr>
          <w:rStyle w:val="HideTWBExt"/>
          <w:rFonts w:ascii="Times New Roman" w:hAnsi="Times New Roman" w:cs="Times New Roman"/>
          <w:noProof w:val="0"/>
          <w:vanish w:val="0"/>
          <w:color w:val="auto"/>
          <w:sz w:val="24"/>
        </w:rPr>
      </w:pPr>
      <w:r w:rsidRPr="007309DB">
        <w:rPr>
          <w:rStyle w:val="HideTWBExt"/>
        </w:rPr>
        <w:t>&lt;/Amend&gt;</w:t>
      </w:r>
    </w:p>
    <w:p w:rsidR="00AF0131" w:rsidRPr="007309DB" w:rsidRDefault="00AF0131" w:rsidP="00AF0131">
      <w:pPr>
        <w:rPr>
          <w:rStyle w:val="HideTWBExt"/>
        </w:rPr>
      </w:pPr>
    </w:p>
    <w:p w:rsidR="00AF0131" w:rsidRPr="007309DB" w:rsidRDefault="008355CB" w:rsidP="00AF0131">
      <w:pPr>
        <w:pStyle w:val="AmNumberTabs"/>
      </w:pPr>
      <w:r w:rsidRPr="007309DB">
        <w:rPr>
          <w:rStyle w:val="HideTWBExt"/>
          <w:b w:val="0"/>
        </w:rPr>
        <w:t>&lt;Amend&gt;</w:t>
      </w:r>
      <w:r w:rsidRPr="007309DB">
        <w:t>Grozījums Nr.</w:t>
      </w:r>
      <w:r w:rsidRPr="007309DB">
        <w:tab/>
      </w:r>
      <w:r w:rsidRPr="007309DB">
        <w:tab/>
      </w:r>
      <w:r w:rsidRPr="007309DB">
        <w:rPr>
          <w:rStyle w:val="HideTWBExt"/>
          <w:b w:val="0"/>
        </w:rPr>
        <w:t>&lt;NumAm&gt;</w:t>
      </w:r>
      <w:r w:rsidRPr="007309DB">
        <w:t>46</w:t>
      </w:r>
      <w:r w:rsidRPr="007309DB">
        <w:rPr>
          <w:rStyle w:val="HideTWBExt"/>
          <w:b w:val="0"/>
        </w:rPr>
        <w:t>&lt;/NumAm&gt;</w:t>
      </w:r>
    </w:p>
    <w:p w:rsidR="00AF0131" w:rsidRPr="007309DB" w:rsidRDefault="00AF0131" w:rsidP="00AF0131"/>
    <w:p w:rsidR="00AF0131" w:rsidRPr="007309DB" w:rsidRDefault="008355CB" w:rsidP="00AF0131">
      <w:pPr>
        <w:pStyle w:val="NormalBold"/>
        <w:keepNext/>
      </w:pPr>
      <w:r w:rsidRPr="007309DB">
        <w:rPr>
          <w:rStyle w:val="HideTWBExt"/>
          <w:b w:val="0"/>
        </w:rPr>
        <w:t>&lt;DocAmend&gt;</w:t>
      </w:r>
      <w:r w:rsidRPr="007309DB">
        <w:t>Regulas priekšlikums</w:t>
      </w:r>
      <w:r w:rsidRPr="007309DB">
        <w:rPr>
          <w:rStyle w:val="HideTWBExt"/>
          <w:b w:val="0"/>
        </w:rPr>
        <w:t>&lt;/DocAmend&gt;</w:t>
      </w:r>
    </w:p>
    <w:p w:rsidR="00AF0131" w:rsidRPr="007309DB" w:rsidRDefault="008355CB" w:rsidP="00AF0131">
      <w:pPr>
        <w:pStyle w:val="NormalBold"/>
      </w:pPr>
      <w:r w:rsidRPr="007309DB">
        <w:rPr>
          <w:rStyle w:val="HideTWBExt"/>
          <w:b w:val="0"/>
        </w:rPr>
        <w:t>&lt;Article&gt;</w:t>
      </w:r>
      <w:r w:rsidRPr="007309DB">
        <w:t>VII pielikums – 2. punkts – 2. daļa – 2.4. apakšpunkts – 1. ievilkums</w:t>
      </w:r>
      <w:r w:rsidRPr="007309D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07892" w:rsidRPr="007309DB" w:rsidTr="00C33FBD">
        <w:trPr>
          <w:jc w:val="center"/>
        </w:trPr>
        <w:tc>
          <w:tcPr>
            <w:tcW w:w="9752" w:type="dxa"/>
            <w:gridSpan w:val="2"/>
          </w:tcPr>
          <w:p w:rsidR="00AF0131" w:rsidRPr="007309DB" w:rsidRDefault="00AF0131" w:rsidP="00C33FBD">
            <w:pPr>
              <w:keepNext/>
            </w:pPr>
          </w:p>
        </w:tc>
      </w:tr>
      <w:tr w:rsidR="00C07892" w:rsidRPr="007309DB" w:rsidTr="00C33FBD">
        <w:trPr>
          <w:jc w:val="center"/>
        </w:trPr>
        <w:tc>
          <w:tcPr>
            <w:tcW w:w="4876" w:type="dxa"/>
            <w:hideMark/>
          </w:tcPr>
          <w:p w:rsidR="00AF0131" w:rsidRPr="007309DB" w:rsidRDefault="008355CB" w:rsidP="00C33FBD">
            <w:pPr>
              <w:pStyle w:val="ColumnHeading"/>
              <w:keepNext/>
            </w:pPr>
            <w:r w:rsidRPr="007309DB">
              <w:t>Komisijas ierosinātais teksts</w:t>
            </w:r>
          </w:p>
        </w:tc>
        <w:tc>
          <w:tcPr>
            <w:tcW w:w="4876" w:type="dxa"/>
            <w:hideMark/>
          </w:tcPr>
          <w:p w:rsidR="00AF0131" w:rsidRPr="007309DB" w:rsidRDefault="008355CB" w:rsidP="00C33FBD">
            <w:pPr>
              <w:pStyle w:val="ColumnHeading"/>
              <w:keepNext/>
            </w:pPr>
            <w:r w:rsidRPr="007309DB">
              <w:t>Grozījums</w:t>
            </w:r>
          </w:p>
        </w:tc>
      </w:tr>
      <w:tr w:rsidR="00C07892" w:rsidRPr="007309DB" w:rsidTr="00C33FBD">
        <w:trPr>
          <w:jc w:val="center"/>
        </w:trPr>
        <w:tc>
          <w:tcPr>
            <w:tcW w:w="4876" w:type="dxa"/>
            <w:hideMark/>
          </w:tcPr>
          <w:p w:rsidR="00AF0131" w:rsidRPr="007309DB" w:rsidRDefault="008355CB" w:rsidP="00C33FBD">
            <w:pPr>
              <w:pStyle w:val="Normal6"/>
            </w:pPr>
            <w:r w:rsidRPr="007309DB">
              <w:t>–</w:t>
            </w:r>
            <w:r w:rsidRPr="007309DB">
              <w:tab/>
              <w:t>Paredzams, ka attiecīgo reformu un investīciju saistību kopums, kas ir pamatā korekcijas perioda pagarināšanai, visā pilnībā risinās problēmas, kas konstatētas attiecīgajos konkrētajai valstij adresēt</w:t>
            </w:r>
            <w:r w:rsidRPr="007309DB">
              <w:t>ajos ieteikumos, un attiecīgā gadījumā ieteikumos, kas sniegti saistībā ar makroekonomiskās nelīdzsvarotības novēršanas procedūru, attiecīgā gadījumā ņemot vērā konkrētās valsts problēmu apmēru un mērogu un saistības, ko tā uzņēmusies saskaņā ar atveseļoša</w:t>
            </w:r>
            <w:r w:rsidRPr="007309DB">
              <w:t>nas un noturības plānu.</w:t>
            </w:r>
          </w:p>
        </w:tc>
        <w:tc>
          <w:tcPr>
            <w:tcW w:w="4876" w:type="dxa"/>
            <w:hideMark/>
          </w:tcPr>
          <w:p w:rsidR="00AF0131" w:rsidRPr="007309DB" w:rsidRDefault="008355CB" w:rsidP="00C33FBD">
            <w:pPr>
              <w:pStyle w:val="Normal6"/>
              <w:rPr>
                <w:szCs w:val="24"/>
              </w:rPr>
            </w:pPr>
            <w:r w:rsidRPr="007309DB">
              <w:t>–</w:t>
            </w:r>
            <w:r w:rsidRPr="007309DB">
              <w:tab/>
              <w:t xml:space="preserve">Paredzams, ka attiecīgo reformu un investīciju saistību kopums, kas ir pamatā korekcijas perioda pagarināšanai, visā pilnībā risinās problēmas, kas konstatētas attiecīgajos konkrētajai valstij adresētajos ieteikumos, un attiecīgā </w:t>
            </w:r>
            <w:r w:rsidRPr="007309DB">
              <w:t xml:space="preserve">gadījumā ieteikumos, kas sniegti saistībā ar makroekonomiskās nelīdzsvarotības novēršanas procedūru, </w:t>
            </w:r>
            <w:r w:rsidRPr="007309DB">
              <w:rPr>
                <w:b/>
                <w:bCs/>
                <w:i/>
                <w:iCs/>
              </w:rPr>
              <w:t>arī ieteikumos, kas sniegti saskaņā ar LESD 148. panta 4. punktu,</w:t>
            </w:r>
            <w:r w:rsidRPr="007309DB">
              <w:t xml:space="preserve"> attiecīgā gadījumā ņemot vērā konkrētās valsts problēmu apmēru un mērogu un saistības, ko</w:t>
            </w:r>
            <w:r w:rsidRPr="007309DB">
              <w:t xml:space="preserve"> tā uzņēmusies saskaņā ar atveseļošanas un noturības plānu.</w:t>
            </w:r>
          </w:p>
        </w:tc>
      </w:tr>
    </w:tbl>
    <w:p w:rsidR="00AF0131" w:rsidRPr="007309DB" w:rsidRDefault="008355CB" w:rsidP="00AF0131">
      <w:pPr>
        <w:rPr>
          <w:rStyle w:val="HideTWBExt"/>
        </w:rPr>
      </w:pPr>
      <w:r w:rsidRPr="007309DB">
        <w:rPr>
          <w:rStyle w:val="HideTWBExt"/>
        </w:rPr>
        <w:t>&lt;/Amend&gt;</w:t>
      </w:r>
    </w:p>
    <w:p w:rsidR="00AF0131" w:rsidRPr="007309DB" w:rsidRDefault="008355CB" w:rsidP="00AF0131">
      <w:pPr>
        <w:rPr>
          <w:rStyle w:val="HideTWBExt"/>
          <w:szCs w:val="20"/>
        </w:rPr>
      </w:pPr>
      <w:r w:rsidRPr="007309DB">
        <w:rPr>
          <w:rStyle w:val="HideTWBExt"/>
        </w:rPr>
        <w:t>&lt;/RepeatBlock-Amend&gt;</w:t>
      </w:r>
    </w:p>
    <w:p w:rsidR="00AF0131" w:rsidRPr="007309DB" w:rsidRDefault="008355CB" w:rsidP="00AF0131">
      <w:r w:rsidRPr="007309DB">
        <w:br w:type="page"/>
      </w:r>
    </w:p>
    <w:p w:rsidR="00AF0131" w:rsidRPr="007309DB" w:rsidRDefault="008355CB" w:rsidP="00AF0131">
      <w:pPr>
        <w:pStyle w:val="PageHeadingNotTOC"/>
      </w:pPr>
      <w:bookmarkStart w:id="2" w:name="ProcPageAD"/>
      <w:r w:rsidRPr="007309DB">
        <w:t>ATZINUMU SNIEDZOŠĀS KOMITEJAS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07892" w:rsidRPr="007309DB"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7309DB" w:rsidRDefault="008355CB" w:rsidP="00C33FBD">
            <w:pPr>
              <w:autoSpaceDE w:val="0"/>
              <w:autoSpaceDN w:val="0"/>
              <w:adjustRightInd w:val="0"/>
              <w:rPr>
                <w:b/>
                <w:bCs/>
                <w:color w:val="000000"/>
                <w:sz w:val="20"/>
                <w:szCs w:val="20"/>
              </w:rPr>
            </w:pPr>
            <w:r w:rsidRPr="007309DB">
              <w:rPr>
                <w:b/>
                <w:color w:val="000000"/>
                <w:sz w:val="20"/>
              </w:rPr>
              <w:t>Virsraksts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7309DB" w:rsidRDefault="008355CB" w:rsidP="00C33FBD">
            <w:pPr>
              <w:autoSpaceDE w:val="0"/>
              <w:autoSpaceDN w:val="0"/>
              <w:adjustRightInd w:val="0"/>
              <w:rPr>
                <w:color w:val="000000"/>
                <w:sz w:val="20"/>
                <w:szCs w:val="20"/>
              </w:rPr>
            </w:pPr>
            <w:r w:rsidRPr="007309DB">
              <w:rPr>
                <w:color w:val="000000"/>
                <w:sz w:val="20"/>
              </w:rPr>
              <w:t xml:space="preserve">Ekonomikas politikas efektīva koordinācija un budžeta daudzpusēja uzraudzība, un Padomes Regulas (EK) Nr. </w:t>
            </w:r>
            <w:r w:rsidRPr="007309DB">
              <w:rPr>
                <w:color w:val="000000"/>
                <w:sz w:val="20"/>
              </w:rPr>
              <w:t>1466/97 atcelšana</w:t>
            </w:r>
          </w:p>
        </w:tc>
      </w:tr>
      <w:tr w:rsidR="00C07892" w:rsidRPr="007309DB"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7309DB" w:rsidRDefault="008355CB" w:rsidP="00C33FBD">
            <w:pPr>
              <w:autoSpaceDE w:val="0"/>
              <w:autoSpaceDN w:val="0"/>
              <w:adjustRightInd w:val="0"/>
              <w:rPr>
                <w:b/>
                <w:bCs/>
                <w:color w:val="000000"/>
                <w:sz w:val="20"/>
                <w:szCs w:val="20"/>
              </w:rPr>
            </w:pPr>
            <w:r w:rsidRPr="007309DB">
              <w:rPr>
                <w:b/>
                <w:color w:val="000000"/>
                <w:sz w:val="20"/>
              </w:rPr>
              <w:t>Atsauces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7309DB" w:rsidRDefault="008355CB" w:rsidP="00C33FBD">
            <w:pPr>
              <w:autoSpaceDE w:val="0"/>
              <w:autoSpaceDN w:val="0"/>
              <w:adjustRightInd w:val="0"/>
              <w:rPr>
                <w:color w:val="000000"/>
                <w:sz w:val="20"/>
                <w:szCs w:val="20"/>
              </w:rPr>
            </w:pPr>
            <w:r w:rsidRPr="007309DB">
              <w:rPr>
                <w:color w:val="000000"/>
                <w:sz w:val="20"/>
              </w:rPr>
              <w:t>COM(2023)0240 – C9-0150/2023 – 2023/0138(COD)</w:t>
            </w:r>
          </w:p>
        </w:tc>
      </w:tr>
      <w:tr w:rsidR="00C07892" w:rsidRPr="007309DB"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7309DB" w:rsidRDefault="008355CB" w:rsidP="00C33FBD">
            <w:pPr>
              <w:autoSpaceDE w:val="0"/>
              <w:autoSpaceDN w:val="0"/>
              <w:adjustRightInd w:val="0"/>
              <w:rPr>
                <w:b/>
                <w:bCs/>
                <w:color w:val="000000"/>
                <w:sz w:val="20"/>
                <w:szCs w:val="20"/>
              </w:rPr>
            </w:pPr>
            <w:r w:rsidRPr="007309DB">
              <w:rPr>
                <w:b/>
                <w:color w:val="000000"/>
                <w:sz w:val="20"/>
              </w:rPr>
              <w:t>Atbildīgā komiteja</w:t>
            </w:r>
          </w:p>
          <w:p w:rsidR="00AF0131" w:rsidRPr="007309DB" w:rsidRDefault="008355CB" w:rsidP="00C33FBD">
            <w:pPr>
              <w:autoSpaceDE w:val="0"/>
              <w:autoSpaceDN w:val="0"/>
              <w:adjustRightInd w:val="0"/>
              <w:rPr>
                <w:color w:val="000000"/>
                <w:sz w:val="20"/>
                <w:szCs w:val="20"/>
              </w:rPr>
            </w:pPr>
            <w:r w:rsidRPr="007309DB">
              <w:rPr>
                <w:color w:val="000000"/>
                <w:sz w:val="20"/>
              </w:rPr>
              <w:t>       Datums, kad paziņoja plenārsēdē</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7309DB" w:rsidRDefault="008355CB" w:rsidP="00C33FBD">
            <w:pPr>
              <w:autoSpaceDE w:val="0"/>
              <w:autoSpaceDN w:val="0"/>
              <w:adjustRightInd w:val="0"/>
              <w:rPr>
                <w:color w:val="000000"/>
                <w:sz w:val="20"/>
                <w:szCs w:val="20"/>
              </w:rPr>
            </w:pPr>
            <w:r w:rsidRPr="007309DB">
              <w:rPr>
                <w:color w:val="000000"/>
                <w:sz w:val="20"/>
              </w:rPr>
              <w:t>ECON</w:t>
            </w:r>
          </w:p>
          <w:p w:rsidR="00AF0131" w:rsidRPr="007309DB" w:rsidRDefault="008355CB" w:rsidP="00C33FBD">
            <w:pPr>
              <w:autoSpaceDE w:val="0"/>
              <w:autoSpaceDN w:val="0"/>
              <w:adjustRightInd w:val="0"/>
              <w:rPr>
                <w:color w:val="000000"/>
                <w:sz w:val="20"/>
                <w:szCs w:val="20"/>
              </w:rPr>
            </w:pPr>
            <w:r w:rsidRPr="007309DB">
              <w:rPr>
                <w:color w:val="000000"/>
                <w:sz w:val="20"/>
              </w:rPr>
              <w:t>12.6.2023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7309DB"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7309DB"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7309DB" w:rsidRDefault="00AF0131" w:rsidP="00C33FBD">
            <w:pPr>
              <w:autoSpaceDE w:val="0"/>
              <w:autoSpaceDN w:val="0"/>
              <w:adjustRightInd w:val="0"/>
              <w:rPr>
                <w:rFonts w:ascii="sans-serif" w:hAnsi="sans-serif" w:cs="sans-serif"/>
                <w:color w:val="000000"/>
              </w:rPr>
            </w:pPr>
          </w:p>
        </w:tc>
      </w:tr>
      <w:tr w:rsidR="00C07892" w:rsidRPr="007309DB"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7309DB" w:rsidRDefault="008355CB" w:rsidP="00C33FBD">
            <w:pPr>
              <w:autoSpaceDE w:val="0"/>
              <w:autoSpaceDN w:val="0"/>
              <w:adjustRightInd w:val="0"/>
              <w:rPr>
                <w:b/>
                <w:bCs/>
                <w:color w:val="000000"/>
                <w:sz w:val="20"/>
                <w:szCs w:val="20"/>
              </w:rPr>
            </w:pPr>
            <w:r w:rsidRPr="007309DB">
              <w:rPr>
                <w:b/>
                <w:color w:val="000000"/>
                <w:sz w:val="20"/>
              </w:rPr>
              <w:t>Atzinumu sniedza</w:t>
            </w:r>
          </w:p>
          <w:p w:rsidR="00AF0131" w:rsidRPr="007309DB" w:rsidRDefault="008355CB" w:rsidP="00C33FBD">
            <w:pPr>
              <w:autoSpaceDE w:val="0"/>
              <w:autoSpaceDN w:val="0"/>
              <w:adjustRightInd w:val="0"/>
              <w:rPr>
                <w:color w:val="000000"/>
                <w:sz w:val="20"/>
                <w:szCs w:val="20"/>
              </w:rPr>
            </w:pPr>
            <w:r w:rsidRPr="007309DB">
              <w:rPr>
                <w:color w:val="000000"/>
                <w:sz w:val="20"/>
              </w:rPr>
              <w:t>       Datums, kad paziņoja plenārsēdē</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7309DB" w:rsidRDefault="008355CB" w:rsidP="00C33FBD">
            <w:pPr>
              <w:autoSpaceDE w:val="0"/>
              <w:autoSpaceDN w:val="0"/>
              <w:adjustRightInd w:val="0"/>
              <w:rPr>
                <w:color w:val="000000"/>
                <w:sz w:val="20"/>
                <w:szCs w:val="20"/>
              </w:rPr>
            </w:pPr>
            <w:r w:rsidRPr="007309DB">
              <w:rPr>
                <w:color w:val="000000"/>
                <w:sz w:val="20"/>
              </w:rPr>
              <w:t>EMPL</w:t>
            </w:r>
          </w:p>
          <w:p w:rsidR="00AF0131" w:rsidRPr="007309DB" w:rsidRDefault="008355CB" w:rsidP="00C33FBD">
            <w:pPr>
              <w:autoSpaceDE w:val="0"/>
              <w:autoSpaceDN w:val="0"/>
              <w:adjustRightInd w:val="0"/>
              <w:rPr>
                <w:color w:val="000000"/>
                <w:sz w:val="20"/>
                <w:szCs w:val="20"/>
              </w:rPr>
            </w:pPr>
            <w:r w:rsidRPr="007309DB">
              <w:rPr>
                <w:color w:val="000000"/>
                <w:sz w:val="20"/>
              </w:rPr>
              <w:t>12.6.2023</w:t>
            </w:r>
          </w:p>
        </w:tc>
      </w:tr>
      <w:tr w:rsidR="00C07892" w:rsidRPr="007309DB"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7309DB" w:rsidRDefault="008355CB" w:rsidP="00C33FBD">
            <w:pPr>
              <w:autoSpaceDE w:val="0"/>
              <w:autoSpaceDN w:val="0"/>
              <w:adjustRightInd w:val="0"/>
              <w:rPr>
                <w:b/>
                <w:bCs/>
                <w:color w:val="000000"/>
                <w:sz w:val="20"/>
                <w:szCs w:val="20"/>
              </w:rPr>
            </w:pPr>
            <w:r w:rsidRPr="007309DB">
              <w:rPr>
                <w:b/>
                <w:color w:val="000000"/>
                <w:sz w:val="20"/>
              </w:rPr>
              <w:t xml:space="preserve">Iesaistītās komitejas – datums, </w:t>
            </w:r>
            <w:r w:rsidRPr="007309DB">
              <w:rPr>
                <w:b/>
                <w:color w:val="000000"/>
                <w:sz w:val="20"/>
              </w:rPr>
              <w:t>kad paziņoja plenārsēdē</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7309DB" w:rsidRDefault="008355CB" w:rsidP="00C33FBD">
            <w:pPr>
              <w:autoSpaceDE w:val="0"/>
              <w:autoSpaceDN w:val="0"/>
              <w:adjustRightInd w:val="0"/>
              <w:rPr>
                <w:color w:val="000000"/>
                <w:sz w:val="20"/>
                <w:szCs w:val="20"/>
              </w:rPr>
            </w:pPr>
            <w:r w:rsidRPr="007309DB">
              <w:rPr>
                <w:color w:val="000000"/>
                <w:sz w:val="20"/>
              </w:rPr>
              <w:t>14.9.2023</w:t>
            </w:r>
          </w:p>
        </w:tc>
      </w:tr>
      <w:tr w:rsidR="00C07892" w:rsidRPr="007309DB"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7309DB" w:rsidRDefault="008355CB" w:rsidP="00C33FBD">
            <w:pPr>
              <w:autoSpaceDE w:val="0"/>
              <w:autoSpaceDN w:val="0"/>
              <w:adjustRightInd w:val="0"/>
              <w:rPr>
                <w:b/>
                <w:bCs/>
                <w:color w:val="000000"/>
                <w:sz w:val="20"/>
                <w:szCs w:val="20"/>
              </w:rPr>
            </w:pPr>
            <w:r w:rsidRPr="007309DB">
              <w:rPr>
                <w:b/>
                <w:color w:val="000000"/>
                <w:sz w:val="20"/>
              </w:rPr>
              <w:t>Atzinuma sagatavotāja</w:t>
            </w:r>
          </w:p>
          <w:p w:rsidR="00AF0131" w:rsidRPr="007309DB" w:rsidRDefault="008355CB" w:rsidP="00C33FBD">
            <w:pPr>
              <w:autoSpaceDE w:val="0"/>
              <w:autoSpaceDN w:val="0"/>
              <w:adjustRightInd w:val="0"/>
              <w:rPr>
                <w:color w:val="000000"/>
                <w:sz w:val="20"/>
                <w:szCs w:val="20"/>
              </w:rPr>
            </w:pPr>
            <w:r w:rsidRPr="007309DB">
              <w:rPr>
                <w:color w:val="000000"/>
                <w:sz w:val="20"/>
              </w:rPr>
              <w:t>       Iecelšanas datums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7309DB" w:rsidRDefault="008355CB" w:rsidP="00C33FBD">
            <w:pPr>
              <w:autoSpaceDE w:val="0"/>
              <w:autoSpaceDN w:val="0"/>
              <w:adjustRightInd w:val="0"/>
              <w:rPr>
                <w:color w:val="000000"/>
                <w:sz w:val="20"/>
                <w:szCs w:val="20"/>
              </w:rPr>
            </w:pPr>
            <w:r w:rsidRPr="007309DB">
              <w:rPr>
                <w:color w:val="000000"/>
                <w:sz w:val="20"/>
              </w:rPr>
              <w:t>Gabriele Bischoff</w:t>
            </w:r>
          </w:p>
          <w:p w:rsidR="00AF0131" w:rsidRPr="007309DB" w:rsidRDefault="008355CB" w:rsidP="00C33FBD">
            <w:pPr>
              <w:autoSpaceDE w:val="0"/>
              <w:autoSpaceDN w:val="0"/>
              <w:adjustRightInd w:val="0"/>
              <w:rPr>
                <w:color w:val="000000"/>
                <w:sz w:val="20"/>
                <w:szCs w:val="20"/>
              </w:rPr>
            </w:pPr>
            <w:r w:rsidRPr="007309DB">
              <w:rPr>
                <w:color w:val="000000"/>
                <w:sz w:val="20"/>
              </w:rPr>
              <w:t>29.6.2023</w:t>
            </w:r>
          </w:p>
        </w:tc>
      </w:tr>
      <w:tr w:rsidR="00C07892" w:rsidRPr="007309DB"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7309DB" w:rsidRDefault="008355CB" w:rsidP="00C33FBD">
            <w:pPr>
              <w:autoSpaceDE w:val="0"/>
              <w:autoSpaceDN w:val="0"/>
              <w:adjustRightInd w:val="0"/>
              <w:rPr>
                <w:b/>
                <w:bCs/>
                <w:color w:val="000000"/>
                <w:sz w:val="20"/>
                <w:szCs w:val="20"/>
              </w:rPr>
            </w:pPr>
            <w:r w:rsidRPr="007309DB">
              <w:rPr>
                <w:b/>
                <w:color w:val="000000"/>
                <w:sz w:val="20"/>
              </w:rPr>
              <w:t>Izskatīšana komitejā</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7309DB" w:rsidRDefault="008355CB" w:rsidP="00C33FBD">
            <w:pPr>
              <w:autoSpaceDE w:val="0"/>
              <w:autoSpaceDN w:val="0"/>
              <w:adjustRightInd w:val="0"/>
              <w:rPr>
                <w:color w:val="000000"/>
                <w:sz w:val="20"/>
                <w:szCs w:val="20"/>
              </w:rPr>
            </w:pPr>
            <w:r w:rsidRPr="007309DB">
              <w:rPr>
                <w:color w:val="000000"/>
                <w:sz w:val="20"/>
              </w:rPr>
              <w:t>2.10.2023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7309DB"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7309DB"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7309DB" w:rsidRDefault="00AF0131" w:rsidP="00C33FBD">
            <w:pPr>
              <w:autoSpaceDE w:val="0"/>
              <w:autoSpaceDN w:val="0"/>
              <w:adjustRightInd w:val="0"/>
              <w:rPr>
                <w:rFonts w:ascii="sans-serif" w:hAnsi="sans-serif" w:cs="sans-serif"/>
                <w:color w:val="000000"/>
              </w:rPr>
            </w:pPr>
          </w:p>
        </w:tc>
      </w:tr>
      <w:tr w:rsidR="00C07892" w:rsidRPr="007309DB"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7309DB" w:rsidRDefault="008355CB" w:rsidP="00C33FBD">
            <w:pPr>
              <w:autoSpaceDE w:val="0"/>
              <w:autoSpaceDN w:val="0"/>
              <w:adjustRightInd w:val="0"/>
              <w:rPr>
                <w:b/>
                <w:bCs/>
                <w:color w:val="000000"/>
                <w:sz w:val="20"/>
                <w:szCs w:val="20"/>
              </w:rPr>
            </w:pPr>
            <w:r w:rsidRPr="007309DB">
              <w:rPr>
                <w:b/>
                <w:color w:val="000000"/>
                <w:sz w:val="20"/>
              </w:rPr>
              <w:t>Pieņemšanas datums</w:t>
            </w:r>
          </w:p>
        </w:tc>
        <w:tc>
          <w:tcPr>
            <w:tcW w:w="1530" w:type="dxa"/>
            <w:tcBorders>
              <w:top w:val="nil"/>
              <w:left w:val="nil"/>
              <w:bottom w:val="single" w:sz="8" w:space="0" w:color="000000"/>
              <w:right w:val="nil"/>
            </w:tcBorders>
            <w:tcMar>
              <w:top w:w="79" w:type="dxa"/>
              <w:left w:w="79" w:type="dxa"/>
              <w:bottom w:w="79" w:type="dxa"/>
              <w:right w:w="79" w:type="dxa"/>
            </w:tcMar>
          </w:tcPr>
          <w:p w:rsidR="00AF0131" w:rsidRPr="007309DB" w:rsidRDefault="008355CB" w:rsidP="00C33FBD">
            <w:pPr>
              <w:autoSpaceDE w:val="0"/>
              <w:autoSpaceDN w:val="0"/>
              <w:adjustRightInd w:val="0"/>
              <w:rPr>
                <w:color w:val="000000"/>
                <w:sz w:val="20"/>
                <w:szCs w:val="20"/>
              </w:rPr>
            </w:pPr>
            <w:r w:rsidRPr="007309DB">
              <w:rPr>
                <w:color w:val="000000"/>
                <w:sz w:val="20"/>
              </w:rPr>
              <w:t>25.10.2023</w:t>
            </w:r>
          </w:p>
        </w:tc>
        <w:tc>
          <w:tcPr>
            <w:tcW w:w="1474" w:type="dxa"/>
            <w:tcBorders>
              <w:top w:val="nil"/>
              <w:left w:val="nil"/>
              <w:bottom w:val="single" w:sz="8" w:space="0" w:color="000000"/>
              <w:right w:val="nil"/>
            </w:tcBorders>
            <w:tcMar>
              <w:top w:w="79" w:type="dxa"/>
              <w:left w:w="79" w:type="dxa"/>
              <w:bottom w:w="79" w:type="dxa"/>
              <w:right w:w="79" w:type="dxa"/>
            </w:tcMar>
          </w:tcPr>
          <w:p w:rsidR="00AF0131" w:rsidRPr="007309DB" w:rsidRDefault="00AF0131" w:rsidP="00C33FB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AF0131" w:rsidRPr="007309DB" w:rsidRDefault="00AF0131" w:rsidP="00C33FB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F0131" w:rsidRPr="007309DB" w:rsidRDefault="00AF0131" w:rsidP="00C33FBD">
            <w:pPr>
              <w:autoSpaceDE w:val="0"/>
              <w:autoSpaceDN w:val="0"/>
              <w:adjustRightInd w:val="0"/>
              <w:rPr>
                <w:rFonts w:ascii="sans-serif" w:hAnsi="sans-serif" w:cs="sans-serif"/>
                <w:color w:val="000000"/>
              </w:rPr>
            </w:pPr>
          </w:p>
        </w:tc>
      </w:tr>
      <w:tr w:rsidR="00C07892" w:rsidRPr="007309DB"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7309DB" w:rsidRDefault="008355CB" w:rsidP="00C33FBD">
            <w:pPr>
              <w:autoSpaceDE w:val="0"/>
              <w:autoSpaceDN w:val="0"/>
              <w:adjustRightInd w:val="0"/>
              <w:rPr>
                <w:b/>
                <w:bCs/>
                <w:color w:val="000000"/>
                <w:sz w:val="20"/>
                <w:szCs w:val="20"/>
              </w:rPr>
            </w:pPr>
            <w:r w:rsidRPr="007309DB">
              <w:rPr>
                <w:b/>
                <w:color w:val="000000"/>
                <w:sz w:val="20"/>
              </w:rPr>
              <w:t>Galīgais balsojums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7309DB" w:rsidRDefault="008355CB" w:rsidP="00C33FBD">
            <w:pPr>
              <w:autoSpaceDE w:val="0"/>
              <w:autoSpaceDN w:val="0"/>
              <w:adjustRightInd w:val="0"/>
              <w:rPr>
                <w:color w:val="000000"/>
                <w:sz w:val="20"/>
                <w:szCs w:val="20"/>
              </w:rPr>
            </w:pPr>
            <w:r w:rsidRPr="007309DB">
              <w:rPr>
                <w:color w:val="000000"/>
                <w:sz w:val="20"/>
              </w:rPr>
              <w:t>+:</w:t>
            </w:r>
          </w:p>
          <w:p w:rsidR="00AF0131" w:rsidRPr="007309DB" w:rsidRDefault="008355CB" w:rsidP="00C33FBD">
            <w:pPr>
              <w:autoSpaceDE w:val="0"/>
              <w:autoSpaceDN w:val="0"/>
              <w:adjustRightInd w:val="0"/>
              <w:rPr>
                <w:color w:val="000000"/>
                <w:sz w:val="20"/>
                <w:szCs w:val="20"/>
              </w:rPr>
            </w:pPr>
            <w:r w:rsidRPr="007309DB">
              <w:rPr>
                <w:color w:val="000000"/>
                <w:sz w:val="20"/>
              </w:rPr>
              <w:t>–:</w:t>
            </w:r>
          </w:p>
          <w:p w:rsidR="00AF0131" w:rsidRPr="007309DB" w:rsidRDefault="008355CB" w:rsidP="00C33FBD">
            <w:pPr>
              <w:autoSpaceDE w:val="0"/>
              <w:autoSpaceDN w:val="0"/>
              <w:adjustRightInd w:val="0"/>
              <w:rPr>
                <w:color w:val="000000"/>
                <w:sz w:val="20"/>
                <w:szCs w:val="20"/>
              </w:rPr>
            </w:pPr>
            <w:r w:rsidRPr="007309DB">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7309DB" w:rsidRDefault="008355CB" w:rsidP="00C33FBD">
            <w:pPr>
              <w:autoSpaceDE w:val="0"/>
              <w:autoSpaceDN w:val="0"/>
              <w:adjustRightInd w:val="0"/>
              <w:rPr>
                <w:color w:val="000000"/>
                <w:sz w:val="20"/>
                <w:szCs w:val="20"/>
              </w:rPr>
            </w:pPr>
            <w:r w:rsidRPr="007309DB">
              <w:rPr>
                <w:color w:val="000000"/>
                <w:sz w:val="20"/>
              </w:rPr>
              <w:t>29</w:t>
            </w:r>
          </w:p>
          <w:p w:rsidR="00AF0131" w:rsidRPr="007309DB" w:rsidRDefault="008355CB" w:rsidP="00C33FBD">
            <w:pPr>
              <w:autoSpaceDE w:val="0"/>
              <w:autoSpaceDN w:val="0"/>
              <w:adjustRightInd w:val="0"/>
              <w:rPr>
                <w:color w:val="000000"/>
                <w:sz w:val="20"/>
                <w:szCs w:val="20"/>
              </w:rPr>
            </w:pPr>
            <w:r w:rsidRPr="007309DB">
              <w:rPr>
                <w:color w:val="000000"/>
                <w:sz w:val="20"/>
              </w:rPr>
              <w:t>4</w:t>
            </w:r>
          </w:p>
          <w:p w:rsidR="00AF0131" w:rsidRPr="007309DB" w:rsidRDefault="008355CB" w:rsidP="00C33FBD">
            <w:pPr>
              <w:autoSpaceDE w:val="0"/>
              <w:autoSpaceDN w:val="0"/>
              <w:adjustRightInd w:val="0"/>
              <w:rPr>
                <w:color w:val="000000"/>
                <w:sz w:val="20"/>
                <w:szCs w:val="20"/>
              </w:rPr>
            </w:pPr>
            <w:r w:rsidRPr="007309DB">
              <w:rPr>
                <w:color w:val="000000"/>
                <w:sz w:val="20"/>
              </w:rPr>
              <w:t>10</w:t>
            </w:r>
          </w:p>
        </w:tc>
      </w:tr>
      <w:tr w:rsidR="00C07892" w:rsidRPr="007309DB"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7309DB" w:rsidRDefault="008355CB" w:rsidP="00C33FBD">
            <w:pPr>
              <w:autoSpaceDE w:val="0"/>
              <w:autoSpaceDN w:val="0"/>
              <w:adjustRightInd w:val="0"/>
              <w:rPr>
                <w:b/>
                <w:bCs/>
                <w:color w:val="000000"/>
                <w:sz w:val="20"/>
                <w:szCs w:val="20"/>
              </w:rPr>
            </w:pPr>
            <w:r w:rsidRPr="007309DB">
              <w:rPr>
                <w:b/>
                <w:color w:val="000000"/>
                <w:sz w:val="20"/>
              </w:rPr>
              <w:t xml:space="preserve">Komitejas locekļi, kas bija klāt </w:t>
            </w:r>
            <w:r w:rsidRPr="007309DB">
              <w:rPr>
                <w:b/>
                <w:color w:val="000000"/>
                <w:sz w:val="20"/>
              </w:rPr>
              <w:t>galīgajā balsošanā</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7309DB" w:rsidRDefault="008355CB" w:rsidP="00C33FBD">
            <w:pPr>
              <w:autoSpaceDE w:val="0"/>
              <w:autoSpaceDN w:val="0"/>
              <w:adjustRightInd w:val="0"/>
              <w:rPr>
                <w:color w:val="000000"/>
                <w:sz w:val="20"/>
                <w:szCs w:val="20"/>
              </w:rPr>
            </w:pPr>
            <w:r w:rsidRPr="007309DB">
              <w:rPr>
                <w:color w:val="000000"/>
                <w:sz w:val="20"/>
              </w:rPr>
              <w:t>João Albuquerque, Marc Angel, Dominique Bilde, Gabriele Bischoff, Milan Brglez, Jordi Cañas, David Casa, Ilan De Basso, Margarita de la Pisa Carrión, Özlem Demirel, Klára Dobrev, Jarosław Duda, Estrella Durá Ferrandis, Lucia Ďuriš Nichol</w:t>
            </w:r>
            <w:r w:rsidRPr="007309DB">
              <w:rPr>
                <w:color w:val="000000"/>
                <w:sz w:val="20"/>
              </w:rPr>
              <w:t>sonová, Loucas Fourlas, Cindy Franssen, Chiara Gemma, Helmut Geuking, Elisabetta Gualmini, Alicia Homs Ginel, Agnes Jongerius, Stelios Kympouropoulos, Katrin Langensiepen, Miriam Lexmann, Elena Lizzi, Sara Matthieu, Max Orville, Kira Marie Peter-Hansen, Dr</w:t>
            </w:r>
            <w:r w:rsidRPr="007309DB">
              <w:rPr>
                <w:color w:val="000000"/>
                <w:sz w:val="20"/>
              </w:rPr>
              <w:t>agoş Pîslaru, Elżbieta Rafalska, Daniela Rondinelli, Pirkko Ruohonen-Lerner, Monica Semedo, Romana Tomc, Nikolaj Villumsen, Marianne Vind, Maria Walsh, Tomáš Zdechovský</w:t>
            </w:r>
          </w:p>
        </w:tc>
      </w:tr>
      <w:tr w:rsidR="00C07892" w:rsidRPr="007309DB"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7309DB" w:rsidRDefault="008355CB" w:rsidP="00C33FBD">
            <w:pPr>
              <w:autoSpaceDE w:val="0"/>
              <w:autoSpaceDN w:val="0"/>
              <w:adjustRightInd w:val="0"/>
              <w:rPr>
                <w:b/>
                <w:bCs/>
                <w:color w:val="000000"/>
                <w:sz w:val="20"/>
                <w:szCs w:val="20"/>
              </w:rPr>
            </w:pPr>
            <w:r w:rsidRPr="007309DB">
              <w:rPr>
                <w:b/>
                <w:color w:val="000000"/>
                <w:sz w:val="20"/>
              </w:rPr>
              <w:t>Aizstājēji,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7309DB" w:rsidRDefault="008355CB" w:rsidP="00C33FBD">
            <w:pPr>
              <w:autoSpaceDE w:val="0"/>
              <w:autoSpaceDN w:val="0"/>
              <w:adjustRightInd w:val="0"/>
              <w:rPr>
                <w:color w:val="000000"/>
                <w:sz w:val="20"/>
                <w:szCs w:val="20"/>
              </w:rPr>
            </w:pPr>
            <w:r w:rsidRPr="007309DB">
              <w:rPr>
                <w:color w:val="000000"/>
                <w:sz w:val="20"/>
              </w:rPr>
              <w:t xml:space="preserve">Alexander Alexandrov Yordanov, Aurore </w:t>
            </w:r>
            <w:r w:rsidRPr="007309DB">
              <w:rPr>
                <w:color w:val="000000"/>
                <w:sz w:val="20"/>
              </w:rPr>
              <w:t>Lalucq, Eugenia Rodríguez Palop</w:t>
            </w:r>
          </w:p>
        </w:tc>
      </w:tr>
      <w:tr w:rsidR="00C07892" w:rsidRPr="007309DB"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7309DB" w:rsidRDefault="008355CB" w:rsidP="00C33FBD">
            <w:pPr>
              <w:autoSpaceDE w:val="0"/>
              <w:autoSpaceDN w:val="0"/>
              <w:adjustRightInd w:val="0"/>
              <w:rPr>
                <w:b/>
                <w:bCs/>
                <w:color w:val="000000"/>
                <w:sz w:val="20"/>
                <w:szCs w:val="20"/>
              </w:rPr>
            </w:pPr>
            <w:r w:rsidRPr="007309DB">
              <w:rPr>
                <w:b/>
                <w:color w:val="000000"/>
                <w:sz w:val="20"/>
              </w:rPr>
              <w:t>Aizstājēji (209. panta 7. punkts),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7309DB" w:rsidRDefault="008355CB" w:rsidP="00C33FBD">
            <w:pPr>
              <w:autoSpaceDE w:val="0"/>
              <w:autoSpaceDN w:val="0"/>
              <w:adjustRightInd w:val="0"/>
              <w:rPr>
                <w:color w:val="000000"/>
                <w:sz w:val="20"/>
                <w:szCs w:val="20"/>
              </w:rPr>
            </w:pPr>
            <w:r w:rsidRPr="007309DB">
              <w:rPr>
                <w:color w:val="000000"/>
                <w:sz w:val="20"/>
              </w:rPr>
              <w:t>Sirpa Pietikäinen, Caroline Roose</w:t>
            </w:r>
          </w:p>
        </w:tc>
      </w:tr>
    </w:tbl>
    <w:p w:rsidR="00AF0131" w:rsidRPr="007309DB" w:rsidRDefault="00AF0131" w:rsidP="00AF0131"/>
    <w:bookmarkEnd w:id="2"/>
    <w:p w:rsidR="00AF0131" w:rsidRPr="007309DB" w:rsidRDefault="00AF0131" w:rsidP="00AF0131">
      <w:pPr>
        <w:sectPr w:rsidR="00AF0131" w:rsidRPr="007309DB" w:rsidSect="007309D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AF0131" w:rsidRPr="007309DB" w:rsidRDefault="008355CB" w:rsidP="00AF0131">
      <w:pPr>
        <w:pStyle w:val="PageHeadingNotTOC"/>
      </w:pPr>
      <w:bookmarkStart w:id="3" w:name="RollCallPageAD"/>
      <w:r w:rsidRPr="007309DB">
        <w:t>ATZINUMU SNIEDZOŠĀS KOMITEJAS GALĪGAIS BALSOJUMS PĒC SARAKSTA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07892" w:rsidRPr="007309DB" w:rsidTr="00C33FBD">
        <w:trPr>
          <w:cantSplit/>
        </w:trPr>
        <w:tc>
          <w:tcPr>
            <w:tcW w:w="1701" w:type="dxa"/>
            <w:shd w:val="pct10" w:color="000000" w:fill="FFFFFF"/>
            <w:vAlign w:val="center"/>
          </w:tcPr>
          <w:p w:rsidR="00AF0131" w:rsidRPr="007309DB" w:rsidRDefault="008355CB" w:rsidP="00C33FBD">
            <w:pPr>
              <w:pStyle w:val="RollCallVotes"/>
            </w:pPr>
            <w:r w:rsidRPr="007309DB">
              <w:t>29</w:t>
            </w:r>
          </w:p>
        </w:tc>
        <w:tc>
          <w:tcPr>
            <w:tcW w:w="7371" w:type="dxa"/>
            <w:shd w:val="pct10" w:color="000000" w:fill="FFFFFF"/>
          </w:tcPr>
          <w:p w:rsidR="00AF0131" w:rsidRPr="007309DB" w:rsidRDefault="008355CB" w:rsidP="00C33FBD">
            <w:pPr>
              <w:pStyle w:val="RollCallSymbols14pt"/>
            </w:pPr>
            <w:r w:rsidRPr="007309DB">
              <w:t>+</w:t>
            </w:r>
          </w:p>
        </w:tc>
      </w:tr>
      <w:tr w:rsidR="00C07892" w:rsidRPr="007309DB" w:rsidTr="00C33FBD">
        <w:trPr>
          <w:cantSplit/>
        </w:trPr>
        <w:tc>
          <w:tcPr>
            <w:tcW w:w="1701" w:type="dxa"/>
            <w:shd w:val="clear" w:color="auto" w:fill="FFFFFF"/>
          </w:tcPr>
          <w:p w:rsidR="00AF0131" w:rsidRPr="007309DB" w:rsidRDefault="008355CB" w:rsidP="00C33FBD">
            <w:pPr>
              <w:pStyle w:val="RollCallTable"/>
            </w:pPr>
            <w:r w:rsidRPr="007309DB">
              <w:t>PPE</w:t>
            </w:r>
          </w:p>
        </w:tc>
        <w:tc>
          <w:tcPr>
            <w:tcW w:w="7371" w:type="dxa"/>
            <w:shd w:val="clear" w:color="auto" w:fill="FFFFFF"/>
          </w:tcPr>
          <w:p w:rsidR="00AF0131" w:rsidRPr="007309DB" w:rsidRDefault="008355CB" w:rsidP="00C33FBD">
            <w:pPr>
              <w:pStyle w:val="RollCallTable"/>
            </w:pPr>
            <w:r w:rsidRPr="007309DB">
              <w:t xml:space="preserve">David Casa, Loucas Fourlas, Cindy </w:t>
            </w:r>
            <w:r w:rsidRPr="007309DB">
              <w:t>Franssen, Stelios Kympouropoulos, Sirpa Pietikäinen, Maria Walsh</w:t>
            </w:r>
          </w:p>
        </w:tc>
      </w:tr>
      <w:tr w:rsidR="00C07892" w:rsidRPr="007309DB" w:rsidTr="00C33FBD">
        <w:trPr>
          <w:cantSplit/>
        </w:trPr>
        <w:tc>
          <w:tcPr>
            <w:tcW w:w="1701" w:type="dxa"/>
            <w:shd w:val="clear" w:color="auto" w:fill="FFFFFF"/>
          </w:tcPr>
          <w:p w:rsidR="00AF0131" w:rsidRPr="007309DB" w:rsidRDefault="008355CB" w:rsidP="00C33FBD">
            <w:pPr>
              <w:pStyle w:val="RollCallTable"/>
            </w:pPr>
            <w:r w:rsidRPr="007309DB">
              <w:t>Renew</w:t>
            </w:r>
          </w:p>
        </w:tc>
        <w:tc>
          <w:tcPr>
            <w:tcW w:w="7371" w:type="dxa"/>
            <w:shd w:val="clear" w:color="auto" w:fill="FFFFFF"/>
          </w:tcPr>
          <w:p w:rsidR="00AF0131" w:rsidRPr="007309DB" w:rsidRDefault="008355CB" w:rsidP="00C33FBD">
            <w:pPr>
              <w:pStyle w:val="RollCallTable"/>
            </w:pPr>
            <w:r w:rsidRPr="007309DB">
              <w:t>Jordi Cañas, Lucia Ďuriš Nicholsonová, Max Orville, Dragoş Pîslaru, Monica Semedo</w:t>
            </w:r>
          </w:p>
        </w:tc>
      </w:tr>
      <w:tr w:rsidR="00C07892" w:rsidRPr="007309DB" w:rsidTr="00C33FBD">
        <w:trPr>
          <w:cantSplit/>
        </w:trPr>
        <w:tc>
          <w:tcPr>
            <w:tcW w:w="1701" w:type="dxa"/>
            <w:shd w:val="clear" w:color="auto" w:fill="FFFFFF"/>
          </w:tcPr>
          <w:p w:rsidR="00AF0131" w:rsidRPr="007309DB" w:rsidRDefault="008355CB" w:rsidP="00C33FBD">
            <w:pPr>
              <w:pStyle w:val="RollCallTable"/>
            </w:pPr>
            <w:r w:rsidRPr="007309DB">
              <w:t>S&amp;D</w:t>
            </w:r>
          </w:p>
        </w:tc>
        <w:tc>
          <w:tcPr>
            <w:tcW w:w="7371" w:type="dxa"/>
            <w:shd w:val="clear" w:color="auto" w:fill="FFFFFF"/>
          </w:tcPr>
          <w:p w:rsidR="00AF0131" w:rsidRPr="007309DB" w:rsidRDefault="008355CB" w:rsidP="00C33FBD">
            <w:pPr>
              <w:pStyle w:val="RollCallTable"/>
            </w:pPr>
            <w:r w:rsidRPr="007309DB">
              <w:t>João Albuquerque, Marc Angel, Gabriele Bischoff, Milan Brglez, Klára Dobrev, Estrella Durá Ferran</w:t>
            </w:r>
            <w:r w:rsidRPr="007309DB">
              <w:t>dis, Elisabetta Gualmini, Alicia Homs Ginel, Agnes Jongerius, Aurore Lalucq, Daniela Rondinelli, Marianne Vind</w:t>
            </w:r>
          </w:p>
        </w:tc>
      </w:tr>
      <w:tr w:rsidR="00C07892" w:rsidRPr="007309DB" w:rsidTr="00C33FBD">
        <w:trPr>
          <w:cantSplit/>
        </w:trPr>
        <w:tc>
          <w:tcPr>
            <w:tcW w:w="1701" w:type="dxa"/>
            <w:shd w:val="clear" w:color="auto" w:fill="FFFFFF"/>
          </w:tcPr>
          <w:p w:rsidR="00AF0131" w:rsidRPr="007309DB" w:rsidRDefault="008355CB" w:rsidP="00C33FBD">
            <w:pPr>
              <w:pStyle w:val="RollCallTable"/>
            </w:pPr>
            <w:r w:rsidRPr="007309DB">
              <w:t>The Left</w:t>
            </w:r>
          </w:p>
        </w:tc>
        <w:tc>
          <w:tcPr>
            <w:tcW w:w="7371" w:type="dxa"/>
            <w:shd w:val="clear" w:color="auto" w:fill="FFFFFF"/>
          </w:tcPr>
          <w:p w:rsidR="00AF0131" w:rsidRPr="007309DB" w:rsidRDefault="008355CB" w:rsidP="00C33FBD">
            <w:pPr>
              <w:pStyle w:val="RollCallTable"/>
            </w:pPr>
            <w:r w:rsidRPr="007309DB">
              <w:t>Eugenia Rodríguez Palop, Nikolaj Villumsen</w:t>
            </w:r>
          </w:p>
        </w:tc>
      </w:tr>
      <w:tr w:rsidR="00C07892" w:rsidRPr="007309DB" w:rsidTr="00C33FBD">
        <w:trPr>
          <w:cantSplit/>
        </w:trPr>
        <w:tc>
          <w:tcPr>
            <w:tcW w:w="1701" w:type="dxa"/>
            <w:shd w:val="clear" w:color="auto" w:fill="FFFFFF"/>
          </w:tcPr>
          <w:p w:rsidR="00AF0131" w:rsidRPr="007309DB" w:rsidRDefault="008355CB" w:rsidP="00C33FBD">
            <w:pPr>
              <w:pStyle w:val="RollCallTable"/>
            </w:pPr>
            <w:r w:rsidRPr="007309DB">
              <w:t>Verts/ALE</w:t>
            </w:r>
          </w:p>
        </w:tc>
        <w:tc>
          <w:tcPr>
            <w:tcW w:w="7371" w:type="dxa"/>
            <w:shd w:val="clear" w:color="auto" w:fill="FFFFFF"/>
          </w:tcPr>
          <w:p w:rsidR="00AF0131" w:rsidRPr="007309DB" w:rsidRDefault="008355CB" w:rsidP="00C33FBD">
            <w:pPr>
              <w:pStyle w:val="RollCallTable"/>
            </w:pPr>
            <w:r w:rsidRPr="007309DB">
              <w:t>Katrin Langensiepen, Sara Matthieu, Kira Marie Peter-Hansen, Caroline Roose</w:t>
            </w:r>
          </w:p>
        </w:tc>
      </w:tr>
    </w:tbl>
    <w:p w:rsidR="00AF0131" w:rsidRPr="007309DB" w:rsidRDefault="00AF0131" w:rsidP="00AF01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07892" w:rsidRPr="007309DB" w:rsidTr="00C33FBD">
        <w:trPr>
          <w:cantSplit/>
        </w:trPr>
        <w:tc>
          <w:tcPr>
            <w:tcW w:w="1701" w:type="dxa"/>
            <w:shd w:val="pct10" w:color="000000" w:fill="FFFFFF"/>
            <w:vAlign w:val="center"/>
          </w:tcPr>
          <w:p w:rsidR="00AF0131" w:rsidRPr="007309DB" w:rsidRDefault="008355CB" w:rsidP="00C33FBD">
            <w:pPr>
              <w:pStyle w:val="RollCallVotes"/>
            </w:pPr>
            <w:r w:rsidRPr="007309DB">
              <w:t>4</w:t>
            </w:r>
          </w:p>
        </w:tc>
        <w:tc>
          <w:tcPr>
            <w:tcW w:w="7371" w:type="dxa"/>
            <w:shd w:val="pct10" w:color="000000" w:fill="FFFFFF"/>
          </w:tcPr>
          <w:p w:rsidR="00AF0131" w:rsidRPr="007309DB" w:rsidRDefault="008355CB" w:rsidP="00C33FBD">
            <w:pPr>
              <w:pStyle w:val="RollCallSymbols14pt"/>
            </w:pPr>
            <w:r w:rsidRPr="007309DB">
              <w:t>-</w:t>
            </w:r>
          </w:p>
        </w:tc>
      </w:tr>
      <w:tr w:rsidR="00C07892" w:rsidRPr="007309DB" w:rsidTr="00C33FBD">
        <w:trPr>
          <w:cantSplit/>
        </w:trPr>
        <w:tc>
          <w:tcPr>
            <w:tcW w:w="1701" w:type="dxa"/>
            <w:shd w:val="clear" w:color="auto" w:fill="FFFFFF"/>
          </w:tcPr>
          <w:p w:rsidR="00AF0131" w:rsidRPr="007309DB" w:rsidRDefault="008355CB" w:rsidP="00C33FBD">
            <w:pPr>
              <w:pStyle w:val="RollCallTable"/>
            </w:pPr>
            <w:r w:rsidRPr="007309DB">
              <w:t>ECR</w:t>
            </w:r>
          </w:p>
        </w:tc>
        <w:tc>
          <w:tcPr>
            <w:tcW w:w="7371" w:type="dxa"/>
            <w:shd w:val="clear" w:color="auto" w:fill="FFFFFF"/>
          </w:tcPr>
          <w:p w:rsidR="00AF0131" w:rsidRPr="007309DB" w:rsidRDefault="008355CB" w:rsidP="00C33FBD">
            <w:pPr>
              <w:pStyle w:val="RollCallTable"/>
            </w:pPr>
            <w:r w:rsidRPr="007309DB">
              <w:t>Margarita de la Pisa Carrión, Elżbieta Rafalska, Pirkko Ruohonen-Lerner</w:t>
            </w:r>
          </w:p>
        </w:tc>
      </w:tr>
      <w:tr w:rsidR="00C07892" w:rsidRPr="007309DB" w:rsidTr="00C33FBD">
        <w:trPr>
          <w:cantSplit/>
        </w:trPr>
        <w:tc>
          <w:tcPr>
            <w:tcW w:w="1701" w:type="dxa"/>
            <w:shd w:val="clear" w:color="auto" w:fill="FFFFFF"/>
          </w:tcPr>
          <w:p w:rsidR="00AF0131" w:rsidRPr="007309DB" w:rsidRDefault="008355CB" w:rsidP="00C33FBD">
            <w:pPr>
              <w:pStyle w:val="RollCallTable"/>
            </w:pPr>
            <w:r w:rsidRPr="007309DB">
              <w:t>ID</w:t>
            </w:r>
          </w:p>
        </w:tc>
        <w:tc>
          <w:tcPr>
            <w:tcW w:w="7371" w:type="dxa"/>
            <w:shd w:val="clear" w:color="auto" w:fill="FFFFFF"/>
          </w:tcPr>
          <w:p w:rsidR="00AF0131" w:rsidRPr="007309DB" w:rsidRDefault="008355CB" w:rsidP="00C33FBD">
            <w:pPr>
              <w:pStyle w:val="RollCallTable"/>
            </w:pPr>
            <w:r w:rsidRPr="007309DB">
              <w:t>Dominique Bilde</w:t>
            </w:r>
          </w:p>
        </w:tc>
      </w:tr>
    </w:tbl>
    <w:p w:rsidR="00AF0131" w:rsidRPr="007309DB" w:rsidRDefault="00AF0131" w:rsidP="00AF01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07892" w:rsidRPr="007309DB" w:rsidTr="00C33FBD">
        <w:trPr>
          <w:cantSplit/>
        </w:trPr>
        <w:tc>
          <w:tcPr>
            <w:tcW w:w="1701" w:type="dxa"/>
            <w:shd w:val="pct10" w:color="000000" w:fill="FFFFFF"/>
            <w:vAlign w:val="center"/>
          </w:tcPr>
          <w:p w:rsidR="00AF0131" w:rsidRPr="007309DB" w:rsidRDefault="008355CB" w:rsidP="00C33FBD">
            <w:pPr>
              <w:pStyle w:val="RollCallVotes"/>
            </w:pPr>
            <w:r w:rsidRPr="007309DB">
              <w:t>10</w:t>
            </w:r>
          </w:p>
        </w:tc>
        <w:tc>
          <w:tcPr>
            <w:tcW w:w="7371" w:type="dxa"/>
            <w:shd w:val="pct10" w:color="000000" w:fill="FFFFFF"/>
          </w:tcPr>
          <w:p w:rsidR="00AF0131" w:rsidRPr="007309DB" w:rsidRDefault="008355CB" w:rsidP="00C33FBD">
            <w:pPr>
              <w:pStyle w:val="RollCallSymbols14pt"/>
            </w:pPr>
            <w:r w:rsidRPr="007309DB">
              <w:t>0</w:t>
            </w:r>
          </w:p>
        </w:tc>
      </w:tr>
      <w:tr w:rsidR="00C07892" w:rsidRPr="007309DB" w:rsidTr="00C33FBD">
        <w:trPr>
          <w:cantSplit/>
        </w:trPr>
        <w:tc>
          <w:tcPr>
            <w:tcW w:w="1701" w:type="dxa"/>
            <w:shd w:val="clear" w:color="auto" w:fill="FFFFFF"/>
          </w:tcPr>
          <w:p w:rsidR="00AF0131" w:rsidRPr="007309DB" w:rsidRDefault="008355CB" w:rsidP="00C33FBD">
            <w:pPr>
              <w:pStyle w:val="RollCallTable"/>
            </w:pPr>
            <w:r w:rsidRPr="007309DB">
              <w:t>ECR</w:t>
            </w:r>
          </w:p>
        </w:tc>
        <w:tc>
          <w:tcPr>
            <w:tcW w:w="7371" w:type="dxa"/>
            <w:shd w:val="clear" w:color="auto" w:fill="FFFFFF"/>
          </w:tcPr>
          <w:p w:rsidR="00AF0131" w:rsidRPr="007309DB" w:rsidRDefault="008355CB" w:rsidP="00C33FBD">
            <w:pPr>
              <w:pStyle w:val="RollCallTable"/>
            </w:pPr>
            <w:r w:rsidRPr="007309DB">
              <w:t>Chiara Gemma</w:t>
            </w:r>
          </w:p>
        </w:tc>
      </w:tr>
      <w:tr w:rsidR="00C07892" w:rsidRPr="007309DB" w:rsidTr="00C33FBD">
        <w:trPr>
          <w:cantSplit/>
        </w:trPr>
        <w:tc>
          <w:tcPr>
            <w:tcW w:w="1701" w:type="dxa"/>
            <w:shd w:val="clear" w:color="auto" w:fill="FFFFFF"/>
          </w:tcPr>
          <w:p w:rsidR="00AF0131" w:rsidRPr="007309DB" w:rsidRDefault="008355CB" w:rsidP="00C33FBD">
            <w:pPr>
              <w:pStyle w:val="RollCallTable"/>
            </w:pPr>
            <w:r w:rsidRPr="007309DB">
              <w:t>ID</w:t>
            </w:r>
          </w:p>
        </w:tc>
        <w:tc>
          <w:tcPr>
            <w:tcW w:w="7371" w:type="dxa"/>
            <w:shd w:val="clear" w:color="auto" w:fill="FFFFFF"/>
          </w:tcPr>
          <w:p w:rsidR="00AF0131" w:rsidRPr="007309DB" w:rsidRDefault="008355CB" w:rsidP="00C33FBD">
            <w:pPr>
              <w:pStyle w:val="RollCallTable"/>
            </w:pPr>
            <w:r w:rsidRPr="007309DB">
              <w:t>Elena Lizzi</w:t>
            </w:r>
          </w:p>
        </w:tc>
      </w:tr>
      <w:tr w:rsidR="00C07892" w:rsidRPr="007309DB" w:rsidTr="00C33FBD">
        <w:trPr>
          <w:cantSplit/>
        </w:trPr>
        <w:tc>
          <w:tcPr>
            <w:tcW w:w="1701" w:type="dxa"/>
            <w:shd w:val="clear" w:color="auto" w:fill="FFFFFF"/>
          </w:tcPr>
          <w:p w:rsidR="00AF0131" w:rsidRPr="007309DB" w:rsidRDefault="008355CB" w:rsidP="00C33FBD">
            <w:pPr>
              <w:pStyle w:val="RollCallTable"/>
            </w:pPr>
            <w:r w:rsidRPr="007309DB">
              <w:t>PPE</w:t>
            </w:r>
          </w:p>
        </w:tc>
        <w:tc>
          <w:tcPr>
            <w:tcW w:w="7371" w:type="dxa"/>
            <w:shd w:val="clear" w:color="auto" w:fill="FFFFFF"/>
          </w:tcPr>
          <w:p w:rsidR="00AF0131" w:rsidRPr="007309DB" w:rsidRDefault="008355CB" w:rsidP="00C33FBD">
            <w:pPr>
              <w:pStyle w:val="RollCallTable"/>
            </w:pPr>
            <w:r w:rsidRPr="007309DB">
              <w:t>Alexander Alexandrov Yordanov, Jarosław Duda, Helmut Geuking, Miriam Lexmann, Romana Tomc, Tomáš Zdechovský</w:t>
            </w:r>
          </w:p>
        </w:tc>
      </w:tr>
      <w:tr w:rsidR="00C07892" w:rsidRPr="007309DB" w:rsidTr="00C33FBD">
        <w:trPr>
          <w:cantSplit/>
        </w:trPr>
        <w:tc>
          <w:tcPr>
            <w:tcW w:w="1701" w:type="dxa"/>
            <w:shd w:val="clear" w:color="auto" w:fill="FFFFFF"/>
          </w:tcPr>
          <w:p w:rsidR="00AF0131" w:rsidRPr="007309DB" w:rsidRDefault="008355CB" w:rsidP="00C33FBD">
            <w:pPr>
              <w:pStyle w:val="RollCallTable"/>
            </w:pPr>
            <w:r w:rsidRPr="007309DB">
              <w:t>S&amp;D</w:t>
            </w:r>
          </w:p>
        </w:tc>
        <w:tc>
          <w:tcPr>
            <w:tcW w:w="7371" w:type="dxa"/>
            <w:shd w:val="clear" w:color="auto" w:fill="FFFFFF"/>
          </w:tcPr>
          <w:p w:rsidR="00AF0131" w:rsidRPr="007309DB" w:rsidRDefault="008355CB" w:rsidP="00C33FBD">
            <w:pPr>
              <w:pStyle w:val="RollCallTable"/>
            </w:pPr>
            <w:r w:rsidRPr="007309DB">
              <w:t>Ilan De Basso</w:t>
            </w:r>
          </w:p>
        </w:tc>
      </w:tr>
      <w:tr w:rsidR="00C07892" w:rsidRPr="007309DB" w:rsidTr="00C33FBD">
        <w:trPr>
          <w:cantSplit/>
        </w:trPr>
        <w:tc>
          <w:tcPr>
            <w:tcW w:w="1701" w:type="dxa"/>
            <w:shd w:val="clear" w:color="auto" w:fill="FFFFFF"/>
          </w:tcPr>
          <w:p w:rsidR="00AF0131" w:rsidRPr="007309DB" w:rsidRDefault="008355CB" w:rsidP="00C33FBD">
            <w:pPr>
              <w:pStyle w:val="RollCallTable"/>
            </w:pPr>
            <w:r w:rsidRPr="007309DB">
              <w:t>The Left</w:t>
            </w:r>
          </w:p>
        </w:tc>
        <w:tc>
          <w:tcPr>
            <w:tcW w:w="7371" w:type="dxa"/>
            <w:shd w:val="clear" w:color="auto" w:fill="FFFFFF"/>
          </w:tcPr>
          <w:p w:rsidR="00AF0131" w:rsidRPr="007309DB" w:rsidRDefault="008355CB" w:rsidP="00C33FBD">
            <w:pPr>
              <w:pStyle w:val="RollCallTable"/>
            </w:pPr>
            <w:r w:rsidRPr="007309DB">
              <w:t>Özlem Demirel</w:t>
            </w:r>
          </w:p>
        </w:tc>
      </w:tr>
    </w:tbl>
    <w:p w:rsidR="00AF0131" w:rsidRPr="007309DB" w:rsidRDefault="00AF0131" w:rsidP="00AF0131">
      <w:pPr>
        <w:pStyle w:val="Normal12a"/>
      </w:pPr>
    </w:p>
    <w:p w:rsidR="00AF0131" w:rsidRPr="007309DB" w:rsidRDefault="008355CB" w:rsidP="00AF0131">
      <w:r w:rsidRPr="007309DB">
        <w:t>Izmantoto apzīmējumu skaidrojums:</w:t>
      </w:r>
    </w:p>
    <w:p w:rsidR="00AF0131" w:rsidRPr="007309DB" w:rsidRDefault="008355CB" w:rsidP="00AF0131">
      <w:pPr>
        <w:pStyle w:val="RollCallTabs"/>
      </w:pPr>
      <w:r w:rsidRPr="007309DB">
        <w:t>+</w:t>
      </w:r>
      <w:r w:rsidRPr="007309DB">
        <w:tab/>
        <w:t>:</w:t>
      </w:r>
      <w:r w:rsidRPr="007309DB">
        <w:tab/>
        <w:t>par</w:t>
      </w:r>
    </w:p>
    <w:p w:rsidR="00AF0131" w:rsidRPr="007309DB" w:rsidRDefault="008355CB" w:rsidP="00AF0131">
      <w:pPr>
        <w:pStyle w:val="RollCallTabs"/>
      </w:pPr>
      <w:r w:rsidRPr="007309DB">
        <w:t>-</w:t>
      </w:r>
      <w:r w:rsidRPr="007309DB">
        <w:tab/>
        <w:t>:</w:t>
      </w:r>
      <w:r w:rsidRPr="007309DB">
        <w:tab/>
        <w:t>pret</w:t>
      </w:r>
    </w:p>
    <w:p w:rsidR="00AF0131" w:rsidRPr="007309DB" w:rsidRDefault="008355CB" w:rsidP="00AF0131">
      <w:pPr>
        <w:pStyle w:val="RollCallTabs"/>
      </w:pPr>
      <w:r w:rsidRPr="007309DB">
        <w:t>0</w:t>
      </w:r>
      <w:r w:rsidRPr="007309DB">
        <w:tab/>
        <w:t>:</w:t>
      </w:r>
      <w:r w:rsidRPr="007309DB">
        <w:tab/>
        <w:t>atturas</w:t>
      </w:r>
    </w:p>
    <w:p w:rsidR="00AF0131" w:rsidRPr="007309DB" w:rsidRDefault="00AF0131" w:rsidP="00AF0131"/>
    <w:bookmarkEnd w:id="3"/>
    <w:p w:rsidR="00AF0131" w:rsidRPr="007309DB" w:rsidRDefault="00AF0131" w:rsidP="00AF0131"/>
    <w:p w:rsidR="00DB56E4" w:rsidRPr="007309DB" w:rsidRDefault="00DB56E4" w:rsidP="00AF0131">
      <w:pPr>
        <w:pStyle w:val="CoverReference"/>
      </w:pPr>
    </w:p>
    <w:sectPr w:rsidR="00DB56E4" w:rsidRPr="007309DB" w:rsidSect="00C56375">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7309DB" w:rsidRDefault="008355CB">
      <w:r w:rsidRPr="007309DB">
        <w:separator/>
      </w:r>
    </w:p>
  </w:endnote>
  <w:endnote w:type="continuationSeparator" w:id="0">
    <w:p w:rsidR="00000000" w:rsidRPr="007309DB" w:rsidRDefault="008355CB">
      <w:r w:rsidRPr="007309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9DB" w:rsidRPr="007309DB" w:rsidRDefault="007309DB" w:rsidP="007309DB">
    <w:pPr>
      <w:pStyle w:val="EPFooter"/>
    </w:pPr>
    <w:r w:rsidRPr="007309DB">
      <w:t>PE</w:t>
    </w:r>
    <w:r w:rsidRPr="007309DB">
      <w:rPr>
        <w:rStyle w:val="HideTWBExt"/>
      </w:rPr>
      <w:t>&lt;NoPE&gt;</w:t>
    </w:r>
    <w:r w:rsidRPr="007309DB">
      <w:t>752.621</w:t>
    </w:r>
    <w:r w:rsidRPr="007309DB">
      <w:rPr>
        <w:rStyle w:val="HideTWBExt"/>
      </w:rPr>
      <w:t>&lt;/NoPE&gt;&lt;Version&gt;</w:t>
    </w:r>
    <w:r w:rsidRPr="007309DB">
      <w:t>v02-00</w:t>
    </w:r>
    <w:r w:rsidRPr="007309DB">
      <w:rPr>
        <w:rStyle w:val="HideTWBExt"/>
      </w:rPr>
      <w:t>&lt;/Version&gt;</w:t>
    </w:r>
    <w:r w:rsidRPr="007309DB">
      <w:tab/>
    </w:r>
    <w:r w:rsidRPr="007309DB">
      <w:fldChar w:fldCharType="begin"/>
    </w:r>
    <w:r w:rsidRPr="007309DB">
      <w:instrText xml:space="preserve"> PAGE  \* MERGEFORMAT </w:instrText>
    </w:r>
    <w:r w:rsidRPr="007309DB">
      <w:fldChar w:fldCharType="separate"/>
    </w:r>
    <w:r w:rsidR="008355CB">
      <w:rPr>
        <w:noProof/>
      </w:rPr>
      <w:t>2</w:t>
    </w:r>
    <w:r w:rsidRPr="007309DB">
      <w:fldChar w:fldCharType="end"/>
    </w:r>
    <w:r w:rsidRPr="007309DB">
      <w:t>/</w:t>
    </w:r>
    <w:fldSimple w:instr=" NUMPAGES  \* MERGEFORMAT ">
      <w:r w:rsidR="008355CB">
        <w:rPr>
          <w:noProof/>
        </w:rPr>
        <w:t>27</w:t>
      </w:r>
    </w:fldSimple>
    <w:r w:rsidRPr="007309DB">
      <w:tab/>
    </w:r>
    <w:r w:rsidRPr="007309DB">
      <w:rPr>
        <w:rStyle w:val="HideTWBExt"/>
      </w:rPr>
      <w:t>&lt;PathFdR&gt;</w:t>
    </w:r>
    <w:r w:rsidRPr="007309DB">
      <w:t>AD\1288324LV.docx</w:t>
    </w:r>
    <w:r w:rsidRPr="007309DB">
      <w:rPr>
        <w:rStyle w:val="HideTWBExt"/>
      </w:rPr>
      <w:t>&lt;/PathFdR&gt;</w:t>
    </w:r>
  </w:p>
  <w:p w:rsidR="00AF0131" w:rsidRPr="007309DB" w:rsidRDefault="007309DB" w:rsidP="007309DB">
    <w:pPr>
      <w:pStyle w:val="EPFooter2"/>
    </w:pPr>
    <w:r w:rsidRPr="007309DB">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9DB" w:rsidRPr="007309DB" w:rsidRDefault="007309DB" w:rsidP="007309DB">
    <w:pPr>
      <w:pStyle w:val="EPFooter"/>
    </w:pPr>
    <w:r w:rsidRPr="007309DB">
      <w:rPr>
        <w:rStyle w:val="HideTWBExt"/>
      </w:rPr>
      <w:t>&lt;PathFdR&gt;</w:t>
    </w:r>
    <w:r w:rsidRPr="007309DB">
      <w:t>AD\1288324LV.docx</w:t>
    </w:r>
    <w:r w:rsidRPr="007309DB">
      <w:rPr>
        <w:rStyle w:val="HideTWBExt"/>
      </w:rPr>
      <w:t>&lt;/PathFdR&gt;</w:t>
    </w:r>
    <w:r w:rsidRPr="007309DB">
      <w:tab/>
    </w:r>
    <w:r w:rsidRPr="007309DB">
      <w:fldChar w:fldCharType="begin"/>
    </w:r>
    <w:r w:rsidRPr="007309DB">
      <w:instrText xml:space="preserve"> PAGE  \* MERGEFORMAT </w:instrText>
    </w:r>
    <w:r w:rsidRPr="007309DB">
      <w:fldChar w:fldCharType="separate"/>
    </w:r>
    <w:r w:rsidR="008355CB">
      <w:rPr>
        <w:noProof/>
      </w:rPr>
      <w:t>3</w:t>
    </w:r>
    <w:r w:rsidRPr="007309DB">
      <w:fldChar w:fldCharType="end"/>
    </w:r>
    <w:r w:rsidRPr="007309DB">
      <w:t>/</w:t>
    </w:r>
    <w:fldSimple w:instr=" NUMPAGES  \* MERGEFORMAT ">
      <w:r w:rsidR="008355CB">
        <w:rPr>
          <w:noProof/>
        </w:rPr>
        <w:t>27</w:t>
      </w:r>
    </w:fldSimple>
    <w:r w:rsidRPr="007309DB">
      <w:tab/>
      <w:t>PE</w:t>
    </w:r>
    <w:r w:rsidRPr="007309DB">
      <w:rPr>
        <w:rStyle w:val="HideTWBExt"/>
      </w:rPr>
      <w:t>&lt;NoPE&gt;</w:t>
    </w:r>
    <w:r w:rsidRPr="007309DB">
      <w:t>752.621</w:t>
    </w:r>
    <w:r w:rsidRPr="007309DB">
      <w:rPr>
        <w:rStyle w:val="HideTWBExt"/>
      </w:rPr>
      <w:t>&lt;/NoPE&gt;&lt;Version&gt;</w:t>
    </w:r>
    <w:r w:rsidRPr="007309DB">
      <w:t>v02-00</w:t>
    </w:r>
    <w:r w:rsidRPr="007309DB">
      <w:rPr>
        <w:rStyle w:val="HideTWBExt"/>
      </w:rPr>
      <w:t>&lt;/Version&gt;</w:t>
    </w:r>
  </w:p>
  <w:p w:rsidR="00AF0131" w:rsidRPr="007309DB" w:rsidRDefault="007309DB" w:rsidP="007309DB">
    <w:pPr>
      <w:pStyle w:val="EPFooter2"/>
    </w:pPr>
    <w:r w:rsidRPr="007309DB">
      <w:tab/>
    </w:r>
    <w:r w:rsidRPr="007309DB">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9DB" w:rsidRPr="007309DB" w:rsidRDefault="007309DB" w:rsidP="007309DB">
    <w:pPr>
      <w:pStyle w:val="EPFooter"/>
    </w:pPr>
    <w:r w:rsidRPr="007309DB">
      <w:rPr>
        <w:rStyle w:val="HideTWBExt"/>
      </w:rPr>
      <w:t>&lt;PathFdR&gt;</w:t>
    </w:r>
    <w:r w:rsidRPr="007309DB">
      <w:t>AD\1288324LV.docx</w:t>
    </w:r>
    <w:r w:rsidRPr="007309DB">
      <w:rPr>
        <w:rStyle w:val="HideTWBExt"/>
      </w:rPr>
      <w:t>&lt;/PathFdR&gt;</w:t>
    </w:r>
    <w:r w:rsidRPr="007309DB">
      <w:tab/>
    </w:r>
    <w:r w:rsidRPr="007309DB">
      <w:tab/>
      <w:t>PE</w:t>
    </w:r>
    <w:r w:rsidRPr="007309DB">
      <w:rPr>
        <w:rStyle w:val="HideTWBExt"/>
      </w:rPr>
      <w:t>&lt;NoPE&gt;</w:t>
    </w:r>
    <w:r w:rsidRPr="007309DB">
      <w:t>752.621</w:t>
    </w:r>
    <w:r w:rsidRPr="007309DB">
      <w:rPr>
        <w:rStyle w:val="HideTWBExt"/>
      </w:rPr>
      <w:t>&lt;/NoPE&gt;&lt;Version&gt;</w:t>
    </w:r>
    <w:r w:rsidRPr="007309DB">
      <w:t>v02-00</w:t>
    </w:r>
    <w:r w:rsidRPr="007309DB">
      <w:rPr>
        <w:rStyle w:val="HideTWBExt"/>
      </w:rPr>
      <w:t>&lt;/Version&gt;</w:t>
    </w:r>
  </w:p>
  <w:p w:rsidR="00AF0131" w:rsidRPr="007309DB" w:rsidRDefault="007309DB" w:rsidP="007309DB">
    <w:pPr>
      <w:pStyle w:val="EPFooter2"/>
    </w:pPr>
    <w:r w:rsidRPr="007309DB">
      <w:t>LV</w:t>
    </w:r>
    <w:r w:rsidRPr="007309DB">
      <w:tab/>
    </w:r>
    <w:r w:rsidRPr="007309DB">
      <w:rPr>
        <w:b w:val="0"/>
        <w:i/>
        <w:color w:val="C0C0C0"/>
        <w:sz w:val="22"/>
      </w:rPr>
      <w:t>Vienoti daudzveidībā</w:t>
    </w:r>
    <w:r w:rsidRPr="007309DB">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7309DB" w:rsidRDefault="008355CB" w:rsidP="002258E0">
    <w:pPr>
      <w:pStyle w:val="EPFooter"/>
    </w:pPr>
    <w:r w:rsidRPr="007309DB">
      <w:rPr>
        <w:rStyle w:val="HideTWBExt"/>
      </w:rPr>
      <w:t>&lt;PathFdR&gt;</w:t>
    </w:r>
    <w:r w:rsidRPr="007309DB">
      <w:t>AD\1288324EN.docx</w:t>
    </w:r>
    <w:r w:rsidRPr="007309DB">
      <w:rPr>
        <w:rStyle w:val="HideTWBExt"/>
      </w:rPr>
      <w:t>&lt;/PathFdR&gt;</w:t>
    </w:r>
    <w:r w:rsidRPr="007309DB">
      <w:tab/>
    </w:r>
    <w:r w:rsidRPr="007309DB">
      <w:tab/>
      <w:t>PE</w:t>
    </w:r>
    <w:r w:rsidRPr="007309DB">
      <w:rPr>
        <w:rStyle w:val="HideTWBExt"/>
      </w:rPr>
      <w:t>&lt;NoPE&gt;</w:t>
    </w:r>
    <w:r w:rsidRPr="007309DB">
      <w:t>752.621</w:t>
    </w:r>
    <w:r w:rsidRPr="007309DB">
      <w:rPr>
        <w:rStyle w:val="HideTWBExt"/>
      </w:rPr>
      <w:t>&lt;/NoPE&gt;&lt;Version&gt;</w:t>
    </w:r>
    <w:r w:rsidRPr="007309DB">
      <w:t>v02-00</w:t>
    </w:r>
    <w:r w:rsidRPr="007309DB">
      <w:rPr>
        <w:rStyle w:val="HideTWBExt"/>
      </w:rPr>
      <w:t>&lt;/Version&gt;</w:t>
    </w:r>
  </w:p>
  <w:p w:rsidR="001A7452" w:rsidRPr="007309DB" w:rsidRDefault="008355CB" w:rsidP="002258E0">
    <w:pPr>
      <w:pStyle w:val="EPFooter2"/>
    </w:pPr>
    <w:r w:rsidRPr="007309DB">
      <w:t>EN</w:t>
    </w:r>
    <w:r w:rsidRPr="007309DB">
      <w:tab/>
    </w:r>
    <w:r w:rsidRPr="007309DB">
      <w:rPr>
        <w:b w:val="0"/>
        <w:i/>
        <w:color w:val="C0C0C0"/>
        <w:sz w:val="22"/>
      </w:rPr>
      <w:t>United in diversity</w:t>
    </w:r>
    <w:r w:rsidRPr="007309DB">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7309DB" w:rsidRDefault="008355CB">
      <w:r w:rsidRPr="007309DB">
        <w:separator/>
      </w:r>
    </w:p>
  </w:footnote>
  <w:footnote w:type="continuationSeparator" w:id="0">
    <w:p w:rsidR="00000000" w:rsidRPr="007309DB" w:rsidRDefault="008355CB">
      <w:r w:rsidRPr="007309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5CB" w:rsidRDefault="008355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5CB" w:rsidRDefault="008355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55CB" w:rsidRDefault="008355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2"/>
    <w:docVar w:name="CJMNU" w:val="1"/>
    <w:docVar w:name="CODEMNU" w:val=" 1"/>
    <w:docVar w:name="COM2KEY" w:val="ECON"/>
    <w:docVar w:name="COMKEY" w:val="EMPL"/>
    <w:docVar w:name="CopyToNetwork" w:val="-1"/>
    <w:docVar w:name="CVAR"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04921 HideTWBExt;}{_x000d__x000a_\s18\ql \li0\ri0\sa120\nowidctlpar\wrapdefault\aspalpha\aspnum\faauto\adjustright\rin0\lin0\itap0 \rtlch\fcs1 \af0\afs20\alang1025 \ltrch\fcs0 \fs24\lang2057\langfe2057\cgrid\langnp2057\langfenp2057 \sbasedon0 \snext18 \spriority0 \styrsid2104921 _x000d__x000a_Normal6a;}{\s19\ql \li0\ri0\nowidctlpar\wrapdefault\aspalpha\aspnum\faauto\adjustright\rin0\lin0\itap0 \rtlch\fcs1 \af0\afs20\alang1025 \ltrch\fcs0 \b\fs24\lang2057\langfe2057\cgrid\langnp2057\langfenp2057 \sbasedon0 \snext19 \spriority0 \styrsid2104921 _x000d__x000a_NormalBold;}{\*\cs20 \additive \v\f1\fs20\cf15 \spriority0 \styrsid2104921 HideTWBInt;}{\s21\qc \li0\ri0\sa240\nowidctlpar\wrapdefault\aspalpha\aspnum\faauto\adjustright\rin0\lin0\itap0 \rtlch\fcs1 \af0\afs20\alang1025 \ltrch\fcs0 _x000d__x000a_\i\fs24\lang2057\langfe2057\cgrid\langnp2057\langfenp2057 \sbasedon0 \snext21 \spriority0 \styrsid2104921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104921 AmNumberTabs;}{\s23\ql \li0\ri0\sb240\nowidctlpar\wrapdefault\aspalpha\aspnum\faauto\adjustright\rin0\lin0\itap0 \rtlch\fcs1 _x000d__x000a_\af0\afs20\alang1025 \ltrch\fcs0 \b\fs24\lang2057\langfe2057\cgrid\langnp2057\langfenp2057 \sbasedon0 \snext23 \spriority0 \styrsid2104921 NormalBold12b;}}{\*\rsidtbl \rsid24658\rsid223860\rsid735077\rsid1718133\rsid2104921\rsid2892074\rsid3565327_x000d__x000a_\rsid4666813\rsid6641733\rsid7823322\rsid9636012\rsid10377208\rsid11215221\rsid11549030\rsid11881958\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30}{\nofchars176}{\nofcharsws20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04921\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1881958 \chftnsep _x000d__x000a_\par }}{\*\ftnsepc \ltrpar \pard\plain \ltrpar\ql \li0\ri0\widctlpar\wrapdefault\aspalpha\aspnum\faauto\adjustright\rin0\lin0\itap0 \rtlch\fcs1 \af0\afs20\alang1025 \ltrch\fcs0 \fs24\lang2057\langfe2057\cgrid\langnp2057\langfenp2057 {\rtlch\fcs1 \af0 _x000d__x000a_\ltrch\fcs0 \insrsid11881958 \chftnsepc _x000d__x000a_\par }}{\*\aftnsep \ltrpar \pard\plain \ltrpar\ql \li0\ri0\widctlpar\wrapdefault\aspalpha\aspnum\faauto\adjustright\rin0\lin0\itap0 \rtlch\fcs1 \af0\afs20\alang1025 \ltrch\fcs0 \fs24\lang2057\langfe2057\cgrid\langnp2057\langfenp2057 {\rtlch\fcs1 \af0 _x000d__x000a_\ltrch\fcs0 \insrsid11881958 \chftnsep _x000d__x000a_\par }}{\*\aftnsepc \ltrpar \pard\plain \ltrpar\ql \li0\ri0\widctlpar\wrapdefault\aspalpha\aspnum\faauto\adjustright\rin0\lin0\itap0 \rtlch\fcs1 \af0\afs20\alang1025 \ltrch\fcs0 \fs24\lang2057\langfe2057\cgrid\langnp2057\langfenp2057 {\rtlch\fcs1 \af0 _x000d__x000a_\ltrch\fcs0 \insrsid118819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104921 \rtlch\fcs1 _x000d__x000a_\af0\afs20\alang1025 \ltrch\fcs0 \b\fs24\lang2057\langfe2057\cgrid\langnp2057\langfenp2057 {\rtlch\fcs1 \af0 \ltrch\fcs0 \cs17\b0\v\fs20\cf9\lang1024\langfe1024\loch\af1\hich\af1\dbch\af31501\noproof\insrsid2104921\charrsid7612140 {\*\bkmkstart restartA}_x000d__x000a_\hich\af1\dbch\af31501\loch\f1 &lt;AmendA&gt;}{\rtlch\fcs1 \af0 \ltrch\fcs0 \insrsid2104921\charrsid7612140 Amendment\tab \tab }{\rtlch\fcs1 \af0 \ltrch\fcs0 _x000d__x000a_\cs17\b0\v\fs20\cf9\lang1024\langfe1024\loch\af1\hich\af1\dbch\af31501\noproof\insrsid2104921\charrsid7612140 \hich\af1\dbch\af31501\loch\f1 &lt;NumAmA&gt;}{\rtlch\fcs1 \af0 \ltrch\fcs0 \insrsid2104921\charrsid7612140 #}{\rtlch\fcs1 \af1 \ltrch\fcs0 _x000d__x000a_\cs20\v\f1\fs20\cf15\insrsid2104921\charrsid7612140 ENMIENDA@NRAM@}{\rtlch\fcs1 \af0 \ltrch\fcs0 \insrsid2104921\charrsid7612140 #}{\rtlch\fcs1 \af0 \ltrch\fcs0 _x000d__x000a_\cs17\b0\v\fs20\cf9\lang1024\langfe1024\loch\af1\hich\af1\dbch\af31501\noproof\insrsid2104921\charrsid7612140 \hich\af1\dbch\af31501\loch\f1 &lt;/NumAmA&gt;}{\rtlch\fcs1 \af0 \ltrch\fcs0 \insrsid2104921\charrsid7612140 _x000d__x000a_\par }\pard\plain \ltrpar\s23\ql \li0\ri0\sb240\keepn\nowidctlpar\wrapdefault\aspalpha\aspnum\faauto\adjustright\rin0\lin0\itap0\pararsid2104921 \rtlch\fcs1 \af0\afs20\alang1025 \ltrch\fcs0 \b\fs24\lang2057\langfe2057\cgrid\langnp2057\langfenp2057 {_x000d__x000a_\rtlch\fcs1 \af0 \ltrch\fcs0 \cs17\b0\v\fs20\cf9\lang1024\langfe1024\loch\af1\hich\af1\dbch\af31501\noproof\insrsid2104921\charrsid7612140 \hich\af1\dbch\af31501\loch\f1 &lt;DocAmend&gt;}{\rtlch\fcs1 \af0 \ltrch\fcs0 \insrsid2104921\charrsid7612140 _x000d__x000a_Draft legislative resolution}{\rtlch\fcs1 \af0 \ltrch\fcs0 \cs17\b0\v\fs20\cf9\lang1024\langfe1024\loch\af1\hich\af1\dbch\af31501\noproof\insrsid2104921\charrsid7612140 \hich\af1\dbch\af31501\loch\f1 &lt;/DocAmend&gt;}{\rtlch\fcs1 \af0 \ltrch\fcs0 _x000d__x000a_\insrsid2104921\charrsid7612140 _x000d__x000a_\par }\pard\plain \ltrpar\s19\ql \li0\ri0\nowidctlpar\wrapdefault\aspalpha\aspnum\faauto\adjustright\rin0\lin0\itap0\pararsid2104921 \rtlch\fcs1 \af0\afs20\alang1025 \ltrch\fcs0 \b\fs24\lang2057\langfe2057\cgrid\langnp2057\langfenp2057 {\rtlch\fcs1 \af0 _x000d__x000a_\ltrch\fcs0 \cs17\b0\v\fs20\cf9\lang1024\langfe1024\loch\af1\hich\af1\dbch\af31501\noproof\insrsid2104921\charrsid7612140 \hich\af1\dbch\af31501\loch\f1 &lt;Article&gt;}{\rtlch\fcs1 \af0 \ltrch\fcs0 \cf10\insrsid2104921\charrsid10711382 \u9668\'3f}{\rtlch\fcs1 _x000d__x000a_\af0 \ltrch\fcs0 \insrsid2104921\charrsid7612140 #}{\rtlch\fcs1 \af1 \ltrch\fcs0 \cs20\v\f1\fs20\cf15\insrsid2104921\charrsid7612140 TVTRESPART@RESPART@}{\rtlch\fcs1 \af0 \ltrch\fcs0 \insrsid2104921\charrsid7612140 #}{\rtlch\fcs1 \af0 \ltrch\fcs0 _x000d__x000a_\cf10\insrsid2104921\charrsid10711382 \u9658\'3f}{\rtlch\fcs1 \af0 \ltrch\fcs0 \cs17\b0\v\fs20\cf9\lang1024\langfe1024\loch\af1\hich\af1\dbch\af31501\noproof\insrsid2104921\charrsid7612140 \hich\af1\dbch\af31501\loch\f1 &lt;/Article&gt;}{\rtlch\fcs1 \af0 _x000d__x000a_\ltrch\fcs0 \insrsid2104921\charrsid7612140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2104921\charrsid7612140 \cell }\pard \ltrpar\ql \li0\ri0\widctlpar\intbl\wrapdefault\aspalpha\aspnum\faauto\adjustright\rin0\lin0 {\rtlch\fcs1 \af0 \ltrch\fcs0 _x000d__x000a_\insrsid2104921\charrsid7612140 \trowd \irow0\irowband0\ltrrow\ts11\trqc\trgaph340\trleft-340\trftsWidth1\trftsWidthB3\trpaddl340\trpaddr340\trpaddfl3\trpaddft3\trpaddfb3\trpaddfr3\tblrsid14374628\tblind0\tblindtype3 \clvertalt\clbrdrt\brdrtbl \clbrdrl_x000d__x000a_\brdrtbl \clbrdrb\brdrtbl \clbrdrr\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2104921\charrsid7612140 Draft legislative resolution\cell Amendment\cell }\pard\plain \ltrpar\ql \li0\ri0\widctlpar\intbl\wrapdefault\aspalpha\aspnum\faauto\adjustright\rin0\lin0 \rtlch\fcs1 \af0\afs20\alang1025 \ltrch\fcs0 _x000d__x000a_\fs24\lang2057\langfe2057\cgrid\langnp2057\langfenp2057 {\rtlch\fcs1 \af0 \ltrch\fcs0 \insrsid2104921\charrsid7612140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104921\charrsid7612140 ##\cell ##}{\rtlch\fcs1 \af0\afs24 \ltrch\fcs0 \insrsid2104921\charrsid7612140 \cell }\pard\plain \ltrpar\ql \li0\ri0\widctlpar\intbl\wrapdefault\aspalpha\aspnum\faauto\adjustright\rin0\lin0 \rtlch\fcs1 _x000d__x000a_\af0\afs20\alang1025 \ltrch\fcs0 \fs24\lang2057\langfe2057\cgrid\langnp2057\langfenp2057 {\rtlch\fcs1 \af0 \ltrch\fcs0 \insrsid2104921\charrsid7612140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104921 {\rtlch\fcs1 \af0 \ltrch\fcs0 \cs17\v\fs20\cf9\lang1024\langfe1024\loch\af1\hich\af1\dbch\af31501\noproof\insrsid2104921\charrsid7612140 _x000d__x000a_\hich\af1\dbch\af31501\loch\f1 &lt;/AmendA&gt;}{\rtlch\fcs1 \af0 \ltrch\fcs0 \insrsid210492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60_x000d__x000a_4a3d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85513 HideTWBExt;}{_x000d__x000a_\s18\ql \li0\ri0\sa120\nowidctlpar\wrapdefault\aspalpha\aspnum\faauto\adjustright\rin0\lin0\itap0 \rtlch\fcs1 \af0\afs20\alang1025 \ltrch\fcs0 \fs24\lang2057\langfe2057\cgrid\langnp2057\langfenp2057 \sbasedon0 \snext18 \spriority0 \styrsid15485513 _x000d__x000a_Normal6a;}{\s19\ql \li0\ri0\nowidctlpar\wrapdefault\aspalpha\aspnum\faauto\adjustright\rin0\lin0\itap0 \rtlch\fcs1 \af0\afs20\alang1025 \ltrch\fcs0 \b\fs24\lang2057\langfe2057\cgrid\langnp2057\langfenp2057 \sbasedon0 \snext19 \spriority0 \styrsid15485513 _x000d__x000a_NormalBold;}{\s20\ql \li0\ri0\sa240\nowidctlpar\wrapdefault\aspalpha\aspnum\faauto\adjustright\rin0\lin0\itap0 \rtlch\fcs1 \af0\afs20\alang1025 \ltrch\fcs0 \i\fs24\lang2057\langfe2057\cgrid\langnp2057\langfenp2057 _x000d__x000a_\sbasedon0 \snext20 \spriority0 \styrsid15485513 AmJustText;}{\s21\qc \li0\ri0\sb240\sa240\nowidctlpar\wrapdefault\aspalpha\aspnum\faauto\adjustright\rin0\lin0\itap0 \rtlch\fcs1 \af0\afs20\alang1025 \ltrch\fcs0 _x000d__x000a_\i\fs24\lang2057\langfe2057\cgrid\langnp2057\langfenp2057 \sbasedon0 \snext21 \spriority0 \styrsid15485513 AmCrossRef;}{\*\cs22 \additive \v\f1\fs20\cf15 \spriority0 \styrsid15485513 HideTWBInt;}{_x000d__x000a_\s23\qc \li0\ri0\sb240\sa240\keepn\nowidctlpar\wrapdefault\aspalpha\aspnum\faauto\adjustright\rin0\lin0\itap0 \rtlch\fcs1 \af0\afs20\alang1025 \ltrch\fcs0 \i\fs24\lang2057\langfe2057\cgrid\langnp2057\langfenp2057 _x000d__x000a_\sbasedon0 \snext20 \spriority0 \styrsid15485513 AmJustTitle;}{\s24\qc \li0\ri0\sa240\nowidctlpar\wrapdefault\aspalpha\aspnum\faauto\adjustright\rin0\lin0\itap0 \rtlch\fcs1 \af0\afs20\alang1025 \ltrch\fcs0 _x000d__x000a_\i\fs24\lang2057\langfe2057\cgrid\langnp2057\langfenp2057 \sbasedon0 \snext24 \spriority0 \styrsid15485513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485513 AmNumberTabs;}{\s26\ql \li0\ri0\sb240\nowidctlpar\wrapdefault\aspalpha\aspnum\faauto\adjustright\rin0\lin0\itap0 \rtlch\fcs1 _x000d__x000a_\af0\afs20\alang1025 \ltrch\fcs0 \b\fs24\lang2057\langfe2057\cgrid\langnp2057\langfenp2057 \sbasedon0 \snext26 \spriority0 \styrsid15485513 NormalBold12b;}}{\*\rsidtbl \rsid24658\rsid223860\rsid735077\rsid1718133\rsid2892074\rsid3565327\rsid4666813_x000d__x000a_\rsid6641733\rsid7823322\rsid9636012\rsid10377208\rsid11215221\rsid11549030\rsid12154954\rsid14382809\rsid14424199\rsid15204470\rsid15285974\rsid15485513\rsid15667495\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99}{\nofchars567}{\nofcharsws66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85513\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667495 \chftnsep _x000d__x000a_\par }}{\*\ftnsepc \ltrpar \pard\plain \ltrpar\ql \li0\ri0\widctlpar\wrapdefault\aspalpha\aspnum\faauto\adjustright\rin0\lin0\itap0 \rtlch\fcs1 \af0\afs20\alang1025 \ltrch\fcs0 \fs24\lang2057\langfe2057\cgrid\langnp2057\langfenp2057 {\rtlch\fcs1 \af0 _x000d__x000a_\ltrch\fcs0 \insrsid15667495 \chftnsepc _x000d__x000a_\par }}{\*\aftnsep \ltrpar \pard\plain \ltrpar\ql \li0\ri0\widctlpar\wrapdefault\aspalpha\aspnum\faauto\adjustright\rin0\lin0\itap0 \rtlch\fcs1 \af0\afs20\alang1025 \ltrch\fcs0 \fs24\lang2057\langfe2057\cgrid\langnp2057\langfenp2057 {\rtlch\fcs1 \af0 _x000d__x000a_\ltrch\fcs0 \insrsid15667495 \chftnsep _x000d__x000a_\par }}{\*\aftnsepc \ltrpar \pard\plain \ltrpar\ql \li0\ri0\widctlpar\wrapdefault\aspalpha\aspnum\faauto\adjustright\rin0\lin0\itap0 \rtlch\fcs1 \af0\afs20\alang1025 \ltrch\fcs0 \fs24\lang2057\langfe2057\cgrid\langnp2057\langfenp2057 {\rtlch\fcs1 \af0 _x000d__x000a_\ltrch\fcs0 \insrsid156674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5485513 \rtlch\fcs1 _x000d__x000a_\af0\afs20\alang1025 \ltrch\fcs0 \b\fs24\lang2057\langfe2057\cgrid\langnp2057\langfenp2057 {\rtlch\fcs1 \af0 \ltrch\fcs0 \cs17\b0\v\fs20\cf9\lang1024\langfe1024\loch\af1\hich\af1\dbch\af31501\noproof\insrsid15485513\charrsid7612140 {\*\bkmkstart restartB}_x000d__x000a_\hich\af1\dbch\af31501\loch\f1 &lt;AmendB&gt;}{\rtlch\fcs1 \af0 \ltrch\fcs0 \insrsid15485513\charrsid7612140 Amendment\tab \tab }{\rtlch\fcs1 \af0 \ltrch\fcs0 _x000d__x000a_\cs17\b0\v\fs20\cf9\lang1024\langfe1024\loch\af1\hich\af1\dbch\af31501\noproof\insrsid15485513\charrsid7612140 \hich\af1\dbch\af31501\loch\f1 &lt;NumAmB&gt;}{\rtlch\fcs1 \af0 \ltrch\fcs0 \insrsid15485513\charrsid7612140 #}{\rtlch\fcs1 \af1 \ltrch\fcs0 _x000d__x000a_\cs22\v\f1\fs20\cf15\insrsid15485513\charrsid7612140 ENMIENDA@NRAM@}{\rtlch\fcs1 \af0 \ltrch\fcs0 \insrsid15485513\charrsid7612140 #}{\rtlch\fcs1 \af0 \ltrch\fcs0 _x000d__x000a_\cs17\b0\v\fs20\cf9\lang1024\langfe1024\loch\af1\hich\af1\dbch\af31501\noproof\insrsid15485513\charrsid7612140 \hich\af1\dbch\af31501\loch\f1 &lt;/NumAmB&gt;}{\rtlch\fcs1 \af0 \ltrch\fcs0 \insrsid15485513\charrsid7612140 _x000d__x000a_\par }\pard\plain \ltrpar\s26\ql \li0\ri0\sb240\keepn\nowidctlpar\wrapdefault\aspalpha\aspnum\faauto\adjustright\rin0\lin0\itap0\pararsid15485513 \rtlch\fcs1 \af0\afs20\alang1025 \ltrch\fcs0 \b\fs24\lang2057\langfe2057\cgrid\langnp2057\langfenp2057 {_x000d__x000a_\rtlch\fcs1 \af0 \ltrch\fcs0 \cs17\b0\v\fs20\cf9\lang1024\langfe1024\loch\af1\hich\af1\dbch\af31501\noproof\insrsid15485513\charrsid7612140 \hich\af1\dbch\af31501\loch\f1 &lt;DocAmend&gt;}{\rtlch\fcs1 \af0 \ltrch\fcs0 \insrsid15485513\charrsid7612140 #}{_x000d__x000a_\rtlch\fcs1 \af1 \ltrch\fcs0 \cs22\v\f1\fs20\cf15\insrsid15485513\charrsid7612140 MNU[OPTPROPOSALCOD][OPTPROPOSALCNS][OPTPROPOSALNLE][OPTPROPOSALINL]@CHOICE@CODEMNU}{\rtlch\fcs1 \af0 \ltrch\fcs0 \insrsid15485513\charrsid7612140 ##}{\rtlch\fcs1 \af1 _x000d__x000a_\ltrch\fcs0 \cs22\v\f1\fs20\cf15\insrsid15485513\charrsid7612140 MNU[AMACTYES][NOTAPP]@CHOICE@AMACTMNU}{\rtlch\fcs1 \af0 \ltrch\fcs0 \insrsid15485513\charrsid7612140 #}{\rtlch\fcs1 \af0 \ltrch\fcs0 _x000d__x000a_\cs17\b0\v\fs20\cf9\lang1024\langfe1024\loch\af1\hich\af1\dbch\af31501\noproof\insrsid15485513\charrsid7612140 \hich\af1\dbch\af31501\loch\f1 &lt;/DocAmend&gt;}{\rtlch\fcs1 \af0 \ltrch\fcs0 \insrsid15485513\charrsid7612140 _x000d__x000a_\par }\pard\plain \ltrpar\s19\ql \li0\ri0\keepn\nowidctlpar\wrapdefault\aspalpha\aspnum\faauto\adjustright\rin0\lin0\itap0\pararsid15485513 \rtlch\fcs1 \af0\afs20\alang1025 \ltrch\fcs0 \b\fs24\lang2057\langfe2057\cgrid\langnp2057\langfenp2057 {\rtlch\fcs1 _x000d__x000a_\af0 \ltrch\fcs0 \cs17\b0\v\fs20\cf9\lang1024\langfe1024\loch\af1\hich\af1\dbch\af31501\noproof\insrsid15485513\charrsid7612140 \hich\af1\dbch\af31501\loch\f1 &lt;Article&gt;}{\rtlch\fcs1 \af0 \ltrch\fcs0 \insrsid15485513\charrsid7612140 #}{\rtlch\fcs1 \af1 _x000d__x000a_\ltrch\fcs0 \cs22\v\f1\fs20\cf15\insrsid15485513\charrsid7612140 MNU[AMACTPARTYES][AMACTPARTNO]@CHOICE@AMACTMNU}{\rtlch\fcs1 \af0 \ltrch\fcs0 \insrsid15485513\charrsid7612140 #}{\rtlch\fcs1 \af0 \ltrch\fcs0 _x000d__x000a_\cs17\b0\v\fs20\cf9\lang1024\langfe1024\loch\af1\hich\af1\dbch\af31501\noproof\insrsid15485513\charrsid7612140 \hich\af1\dbch\af31501\loch\f1 &lt;/Article&gt;}{\rtlch\fcs1 \af0 \ltrch\fcs0 \insrsid15485513\charrsid7612140 _x000d__x000a_\par }\pard\plain \ltrpar\ql \li0\ri0\keepn\widctlpar\wrapdefault\aspalpha\aspnum\faauto\adjustright\rin0\lin0\itap0\pararsid15485513 \rtlch\fcs1 \af0\afs20\alang1025 \ltrch\fcs0 \fs24\lang2057\langfe2057\cgrid\langnp2057\langfenp2057 {\rtlch\fcs1 \af0 _x000d__x000a_\ltrch\fcs0 \cs17\v\fs20\cf9\lang1024\langfe1024\loch\af1\hich\af1\dbch\af31501\noproof\insrsid15485513\charrsid7612140 \hich\af1\dbch\af31501\loch\f1 &lt;DocAmend\hich\af1\dbch\af31501\loch\f1 2&gt;&lt;OptDel&gt;}{\rtlch\fcs1 \af0 \ltrch\fcs0 _x000d__x000a_\insrsid15485513\charrsid7612140 #}{\rtlch\fcs1 \af1 \ltrch\fcs0 \cs22\v\f1\fs20\cf15\insrsid15485513\charrsid7612140 MNU[OPTNRACTYES][NOTAPP]@CHOICE@AMACTMNU}{\rtlch\fcs1 \af0 \ltrch\fcs0 \insrsid15485513\charrsid7612140 #}{\rtlch\fcs1 \af0 \ltrch\fcs0 _x000d__x000a_\cs17\v\fs20\cf9\lang1024\langfe1024\loch\af1\hich\af1\dbch\af31501\noproof\insrsid15485513\charrsid7612140 \hich\af1\dbch\af31501\loch\f1 &lt;/OptDel&gt;&lt;/DocAmend2&gt;}{\rtlch\fcs1 \af0 \ltrch\fcs0 \insrsid15485513\charrsid7612140 _x000d__x000a_\par }\pard \ltrpar\ql \li0\ri0\widctlpar\wrapdefault\aspalpha\aspnum\faauto\adjustright\rin0\lin0\itap0\pararsid15485513 {\rtlch\fcs1 \af0 \ltrch\fcs0 \cs17\v\fs20\cf9\lang1024\langfe1024\loch\af1\hich\af1\dbch\af31501\noproof\insrsid15485513\charrsid7612140 _x000d__x000a_\hich\af1\dbch\af31501\loch\f1 &lt;Article2&gt;&lt;OptDel&gt;}{\rtlch\fcs1 \af0 \ltrch\fcs0 \insrsid15485513\charrsid7612140 #}{\rtlch\fcs1 \af1 \ltrch\fcs0 \cs22\v\f1\fs20\cf15\insrsid15485513\charrsid7612140 MNU[OPTACTPARTYES][NOTAPP]@CHOICE@AMACTMNU}{\rtlch\fcs1 _x000d__x000a_\af0 \ltrch\fcs0 \insrsid15485513\charrsid7612140 #}{\rtlch\fcs1 \af0 \ltrch\fcs0 \cs17\v\fs20\cf9\lang1024\langfe1024\loch\af1\hich\af1\dbch\af31501\noproof\insrsid15485513\charrsid7612140 \hich\af1\dbch\af31501\loch\f1 &lt;/OptDel&gt;&lt;/Article2&gt;}{\rtlch\fcs1 _x000d__x000a_\af0 \ltrch\fcs0 \insrsid15485513\charrsid7612140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insrsid15485513\charrsid7612140 \cell }\pard \ltrpar\ql \li0\ri0\widctlpar\intbl\wrapdefault\aspalpha\aspnum\faauto\adjustright\rin0\lin0 {\rtlch\fcs1 \af0 \ltrch\fcs0 \insrsid15485513\charrsid7612140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15485513\charrsid7612140 #}{\rtlch\fcs1 \af1 \ltrch\fcs0 \cs22\v\f1\fs20\cf15\insrsid15485513\charrsid7612140 MNU[OPTLEFTAMACT][LEFTPROP]@CHOICE@AMACTMNU}{\rtlch\fcs1 \af0 \ltrch\fcs0 \insrsid15485513\charrsid7612140 #\cell Amendment\cell _x000d__x000a_}\pard\plain \ltrpar\ql \li0\ri0\widctlpar\intbl\wrapdefault\aspalpha\aspnum\faauto\adjustright\rin0\lin0 \rtlch\fcs1 \af0\afs20\alang1025 \ltrch\fcs0 \fs24\lang2057\langfe2057\cgrid\langnp2057\langfenp2057 {\rtlch\fcs1 \af0 \ltrch\fcs0 _x000d__x000a_\insrsid15485513\charrsid7612140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5485513\charrsid7612140 ##\cell ##}{\rtlch\fcs1 \af0\afs24 \ltrch\fcs0 \insrsid15485513\charrsid7612140 \cell }\pard\plain \ltrpar\ql \li0\ri0\widctlpar\intbl\wrapdefault\aspalpha\aspnum\faauto\adjustright\rin0\lin0 _x000d__x000a_\rtlch\fcs1 \af0\afs20\alang1025 \ltrch\fcs0 \fs24\lang2057\langfe2057\cgrid\langnp2057\langfenp2057 {\rtlch\fcs1 \af0 \ltrch\fcs0 \insrsid15485513\charrsid7612140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485513 \rtlch\fcs1 \af0\afs20\alang1025 \ltrch\fcs0 \i\fs24\lang2057\langfe2057\cgrid\langnp2057\langfenp2057 {\rtlch\fcs1 \af0 \ltrch\fcs0 _x000d__x000a_\cs17\i0\v\fs20\cf9\lang1024\langfe1024\loch\af1\hich\af1\dbch\af31501\noproof\insrsid15485513\charrsid7612140 \hich\af1\dbch\af31501\loch\f1 &lt;OptDel&gt;}{\rtlch\fcs1 \af0 \ltrch\fcs0 \insrsid15485513\charrsid7612140 #}{\rtlch\fcs1 \af1 \ltrch\fcs0 _x000d__x000a_\cs22\v\f1\fs20\cf15\insrsid15485513\charrsid7612140 MNU[CROSSREFNO][CROSSREFYES]@CHOICE@}{\rtlch\fcs1 \af0 \ltrch\fcs0 \insrsid15485513\charrsid7612140 #}{\rtlch\fcs1 \af0 \ltrch\fcs0 _x000d__x000a_\cs17\i0\v\fs20\cf9\lang1024\langfe1024\loch\af1\hich\af1\dbch\af31501\noproof\insrsid15485513\charrsid7612140 \hich\af1\dbch\af31501\loch\f1 &lt;/OptDel&gt;}{\rtlch\fcs1 \af0 \ltrch\fcs0 \insrsid15485513\charrsid7612140 _x000d__x000a_\par }\pard\plain \ltrpar\s23\qc \li0\ri0\sb240\sa240\keepn\nowidctlpar\wrapdefault\aspalpha\aspnum\faauto\adjustright\rin0\lin0\itap0\pararsid15485513 \rtlch\fcs1 \af0\afs20\alang1025 \ltrch\fcs0 \i\fs24\lang2057\langfe2057\cgrid\langnp2057\langfenp2057 {_x000d__x000a_\rtlch\fcs1 \af0 \ltrch\fcs0 \cs17\i0\v\fs20\cf9\lang1024\langfe1024\loch\af1\hich\af1\dbch\af31501\noproof\insrsid15485513\charrsid7612140 \hich\af1\dbch\af31501\loch\f1 &lt;TitreJust&gt;}{\rtlch\fcs1 \af0 \ltrch\fcs0 \insrsid15485513\charrsid7612140 _x000d__x000a_Justification}{\rtlch\fcs1 \af0 \ltrch\fcs0 \cs17\i0\v\fs20\cf9\lang1024\langfe1024\loch\af1\hich\af1\dbch\af31501\noproof\insrsid15485513\charrsid7612140 \hich\af1\dbch\af31501\loch\f1 &lt;/TitreJust&gt;}{\rtlch\fcs1 \af0 \ltrch\fcs0 _x000d__x000a_\insrsid15485513\charrsid7612140 _x000d__x000a_\par }\pard\plain \ltrpar\s20\ql \li0\ri0\sa240\nowidctlpar\wrapdefault\aspalpha\aspnum\faauto\adjustright\rin0\lin0\itap0\pararsid15485513 \rtlch\fcs1 \af0\afs20\alang1025 \ltrch\fcs0 \i\fs24\lang2057\langfe2057\cgrid\langnp2057\langfenp2057 {\rtlch\fcs1 _x000d__x000a_\af0 \ltrch\fcs0 \cs17\i0\v\fs20\cf9\lang1024\langfe1024\loch\af1\hich\af1\dbch\af31501\noproof\insrsid15485513\charrsid7612140 \hich\af1\dbch\af31501\loch\f1 &lt;OptDelPrev&gt;}{\rtlch\fcs1 \af0 \ltrch\fcs0 \insrsid15485513\charrsid7612140 #}{\rtlch\fcs1 \af1 _x000d__x000a_\ltrch\fcs0 \cs22\v\f1\fs20\cf15\insrsid15485513\charrsid7612140 MNU[TEXTJUSTYES][TEXTJUSTNO]@CHOICE@}{\rtlch\fcs1 \af0 \ltrch\fcs0 \insrsid15485513\charrsid7612140 #}{\rtlch\fcs1 \af0 \ltrch\fcs0 _x000d__x000a_\cs17\i0\v\fs20\cf9\lang1024\langfe1024\loch\af1\hich\af1\dbch\af31501\noproof\insrsid15485513\charrsid7612140 \hich\af1\dbch\af31501\loch\f1 &lt;/OptDelPrev&gt;}{\rtlch\fcs1 \af0 \ltrch\fcs0 \insrsid15485513\charrsid7612140 _x000d__x000a_\par }\pard\plain \ltrpar\ql \li0\ri0\widctlpar\wrapdefault\aspalpha\aspnum\faauto\adjustright\rin0\lin0\itap0\pararsid15485513 \rtlch\fcs1 \af0\afs20\alang1025 \ltrch\fcs0 \fs24\lang2057\langfe2057\cgrid\langnp2057\langfenp2057 {\rtlch\fcs1 \af0 \ltrch\fcs0 _x000d__x000a_\cs17\v\fs20\cf9\lang1024\langfe1024\loch\af1\hich\af1\dbch\af31501\noproof\insrsid15485513\charrsid7612140 \hich\af1\dbch\af31501\loch\f1 &lt;/AmendB&gt;}{\rtlch\fcs1 \af0 \ltrch\fcs0 \insrsid1548551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48_x000d__x000a_313f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473135 HideTWBExt;}{_x000d__x000a_\s18\ql \li0\ri0\sa120\nowidctlpar\wrapdefault\aspalpha\aspnum\faauto\adjustright\rin0\lin0\itap0 \rtlch\fcs1 \af0\afs20\alang1025 \ltrch\fcs0 \fs24\lang2057\langfe2057\cgrid\langnp2057\langfenp2057 \sbasedon0 \snext18 \spriority0 \styrsid8473135 _x000d__x000a_Normal6a;}{\s19\ql \li0\ri0\nowidctlpar\wrapdefault\aspalpha\aspnum\faauto\adjustright\rin0\lin0\itap0 \rtlch\fcs1 \af0\afs20\alang1025 \ltrch\fcs0 \b\fs24\lang2057\langfe2057\cgrid\langnp2057\langfenp2057 \sbasedon0 \snext19 \spriority0 \styrsid8473135 _x000d__x000a_NormalBold;}{\s20\qc \li0\ri0\sa240\nowidctlpar\wrapdefault\aspalpha\aspnum\faauto\adjustright\rin0\lin0\itap0 \rtlch\fcs1 \af0\afs20\alang1025 \ltrch\fcs0 \i\fs24\lang2057\langfe2057\cgrid\langnp2057\langfenp2057 _x000d__x000a_\sbasedon0 \snext20 \spriority0 \styrsid847313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473135 AmNumberTabs;}{\s22\ql \li0\ri0\sb240\nowidctlpar\wrapdefault\aspalpha\aspnum\faauto\adjustright\rin0\lin0\itap0 \rtlch\fcs1 _x000d__x000a_\af0\afs20\alang1025 \ltrch\fcs0 \b\fs24\lang2057\langfe2057\cgrid\langnp2057\langfenp2057 \sbasedon0 \snext22 \spriority0 \styrsid8473135 NormalBold12b;}}{\*\rsidtbl \rsid24658\rsid223860\rsid735077\rsid1718133\rsid2892074\rsid3565327\rsid4666813_x000d__x000a_\rsid6641733\rsid7823322\rsid8473135\rsid9636012\rsid10377208\rsid11215221\rsid11549030\rsid12154954\rsid14382809\rsid14424199\rsid15204470\rsid15285974\rsid15335601\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7313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335601 \chftnsep _x000d__x000a_\par }}{\*\ftnsepc \ltrpar \pard\plain \ltrpar\ql \li0\ri0\widctlpar\wrapdefault\aspalpha\aspnum\faauto\adjustright\rin0\lin0\itap0 \rtlch\fcs1 \af0\afs20\alang1025 \ltrch\fcs0 \fs24\lang2057\langfe2057\cgrid\langnp2057\langfenp2057 {\rtlch\fcs1 \af0 _x000d__x000a_\ltrch\fcs0 \insrsid15335601 \chftnsepc _x000d__x000a_\par }}{\*\aftnsep \ltrpar \pard\plain \ltrpar\ql \li0\ri0\widctlpar\wrapdefault\aspalpha\aspnum\faauto\adjustright\rin0\lin0\itap0 \rtlch\fcs1 \af0\afs20\alang1025 \ltrch\fcs0 \fs24\lang2057\langfe2057\cgrid\langnp2057\langfenp2057 {\rtlch\fcs1 \af0 _x000d__x000a_\ltrch\fcs0 \insrsid15335601 \chftnsep _x000d__x000a_\par }}{\*\aftnsepc \ltrpar \pard\plain \ltrpar\ql \li0\ri0\widctlpar\wrapdefault\aspalpha\aspnum\faauto\adjustright\rin0\lin0\itap0 \rtlch\fcs1 \af0\afs20\alang1025 \ltrch\fcs0 \fs24\lang2057\langfe2057\cgrid\langnp2057\langfenp2057 {\rtlch\fcs1 \af0 _x000d__x000a_\ltrch\fcs0 \insrsid153356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8473135 \rtlch\fcs1 _x000d__x000a_\af0\afs20\alang1025 \ltrch\fcs0 \b\fs24\lang2057\langfe2057\cgrid\langnp2057\langfenp2057 {\rtlch\fcs1 \af0 \ltrch\fcs0 \cs17\b0\v\fs20\cf9\lang1024\langfe1024\loch\af1\hich\af1\dbch\af31501\noproof\insrsid8473135\charrsid15879488 {\*\bkmkstart restartA}_x000d__x000a_\hich\af1\dbch\af31501\loch\f1 &lt;AmendA&gt;}{\rtlch\fcs1 \af0 \ltrch\fcs0 \insrsid8473135\charrsid15879488 [ZAMENDMENT]\tab \tab }{\rtlch\fcs1 \af0 \ltrch\fcs0 _x000d__x000a_\cs17\b0\v\fs20\cf9\lang1024\langfe1024\loch\af1\hich\af1\dbch\af31501\noproof\insrsid8473135\charrsid15879488 \hich\af1\dbch\af31501\loch\f1 &lt;NumAmA&gt;}{\rtlch\fcs1 \af0 \ltrch\fcs0 \insrsid8473135\charrsid15879488 [ZNRAM]}{\rtlch\fcs1 \af0 \ltrch\fcs0 _x000d__x000a_\cs17\b0\v\fs20\cf9\lang1024\langfe1024\loch\af1\hich\af1\dbch\af31501\noproof\insrsid8473135\charrsid15879488 \hich\af1\dbch\af31501\loch\f1 &lt;/NumAmA&gt;}{\rtlch\fcs1 \af0 \ltrch\fcs0 \insrsid8473135\charrsid15879488 _x000d__x000a_\par }\pard\plain \ltrpar\s22\ql \li0\ri0\sb240\keepn\nowidctlpar\wrapdefault\aspalpha\aspnum\faauto\adjustright\rin0\lin0\itap0\pararsid8473135 \rtlch\fcs1 \af0\afs20\alang1025 \ltrch\fcs0 \b\fs24\lang2057\langfe2057\cgrid\langnp2057\langfenp2057 {_x000d__x000a_\rtlch\fcs1 \af0 \ltrch\fcs0 \cs17\b0\v\fs20\cf9\lang1024\langfe1024\loch\af1\hich\af1\dbch\af31501\noproof\langnp1036\insrsid8473135\charrsid11356624 \hich\af1\dbch\af31501\loch\f1 &lt;DocAmend&gt;}{\rtlch\fcs1 \af0 \ltrch\fcs0 _x000d__x000a_\lang1036\langfe2057\langnp1036\insrsid8473135\charrsid11356624 [ZRESOLUTION]}{\rtlch\fcs1 \af0 \ltrch\fcs0 \cs17\b0\v\fs20\cf9\lang1024\langfe1024\loch\af1\hich\af1\dbch\af31501\noproof\langnp1036\insrsid8473135\charrsid11356624 _x000d__x000a_\hich\af1\dbch\af31501\loch\f1 &lt;/DocAmend&gt;}{\rtlch\fcs1 \af0 \ltrch\fcs0 \lang1036\langfe2057\langnp1036\insrsid8473135\charrsid11356624 _x000d__x000a_\par }\pard\plain \ltrpar\s19\ql \li0\ri0\nowidctlpar\wrapdefault\aspalpha\aspnum\faauto\adjustright\rin0\lin0\itap0\pararsid8473135 \rtlch\fcs1 \af0\afs20\alang1025 \ltrch\fcs0 \b\fs24\lang2057\langfe2057\cgrid\langnp2057\langfenp2057 {\rtlch\fcs1 \af0 _x000d__x000a_\ltrch\fcs0 \cs17\b0\v\fs20\cf9\lang1024\langfe1024\loch\af1\hich\af1\dbch\af31501\noproof\langnp1036\insrsid8473135\charrsid11356624 \hich\af1\dbch\af31501\loch\f1 &lt;Article&gt;}{\rtlch\fcs1 \af0 \ltrch\fcs0 _x000d__x000a_\lang1036\langfe2057\langnp1036\insrsid8473135\charrsid11356624 [ZRESPART]}{\rtlch\fcs1 \af0 \ltrch\fcs0 \cs17\b0\v\fs20\cf9\lang1024\langfe1024\loch\af1\hich\af1\dbch\af31501\noproof\langnp1036\insrsid8473135\charrsid11356624 _x000d__x000a_\hich\af1\dbch\af31501\loch\f1 &lt;/Article&gt;}{\rtlch\fcs1 \af0 \ltrch\fcs0 \lang1036\langfe2057\langnp1036\insrsid8473135\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473135\charrsid11356624 \cell }\pard \ltrpar_x000d__x000a_\ql \li0\ri0\widctlpar\intbl\wrapdefault\aspalpha\aspnum\faauto\adjustright\rin0\lin0 {\rtlch\fcs1 \af0 \ltrch\fcs0 \insrsid8473135\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8473135\charrsid15879488 [ZLEFTA]\cell [ZRIGHT]\cell }\pard\plain \ltrpar\ql \li0\ri0\widctlpar\intbl\wrapdefault\aspalpha\aspnum\faauto\adjustright\rin0\lin0 _x000d__x000a_\rtlch\fcs1 \af0\afs20\alang1025 \ltrch\fcs0 \fs24\lang2057\langfe2057\cgrid\langnp2057\langfenp2057 {\rtlch\fcs1 \af0 \ltrch\fcs0 \insrsid8473135\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473135\charrsid15879488 [ZTEXTL]\cell [ZTEXTR]}{\rtlch\fcs1 \af0\afs24 \ltrch\fcs0 \insrsid8473135\charrsid15879488 \cell }\pard\plain \ltrpar\ql \li0\ri0\widctlpar\intbl\wrapdefault\aspalpha\aspnum\faauto\adjustright\rin0\lin0 \rtlch\fcs1 _x000d__x000a_\af0\afs20\alang1025 \ltrch\fcs0 \fs24\lang2057\langfe2057\cgrid\langnp2057\langfenp2057 {\rtlch\fcs1 \af0 \ltrch\fcs0 \insrsid8473135\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473135 {\rtlch\fcs1 \af0 \ltrch\fcs0 \cs17\v\fs20\cf9\lang1024\langfe1024\loch\af1\hich\af1\dbch\af31501\noproof\insrsid8473135\charrsid15879488 _x000d__x000a_\hich\af1\dbch\af31501\loch\f1 &lt;/AmendA&gt;}{\rtlch\fcs1 \af0 \ltrch\fcs0 \insrsid847313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9_x000d__x000a_3041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2627 HideTWBExt;}{_x000d__x000a_\s18\ql \li0\ri0\sa120\nowidctlpar\wrapdefault\aspalpha\aspnum\faauto\adjustright\rin0\lin0\itap0 \rtlch\fcs1 \af0\afs20\alang1025 \ltrch\fcs0 \fs24\lang2057\langfe2057\cgrid\langnp2057\langfenp2057 \sbasedon0 \snext18 \spriority0 \styrsid722627 _x000d__x000a_Normal6a;}{\s19\ql \li0\ri0\nowidctlpar\wrapdefault\aspalpha\aspnum\faauto\adjustright\rin0\lin0\itap0 \rtlch\fcs1 \af0\afs20\alang1025 \ltrch\fcs0 \b\fs24\lang2057\langfe2057\cgrid\langnp2057\langfenp2057 \sbasedon0 \snext19 \spriority0 \styrsid722627 _x000d__x000a_NormalBold;}{\s20\ql \li0\ri0\sa240\nowidctlpar\wrapdefault\aspalpha\aspnum\faauto\adjustright\rin0\lin0\itap0 \rtlch\fcs1 \af0\afs20\alang1025 \ltrch\fcs0 \i\fs24\lang2057\langfe2057\cgrid\langnp2057\langfenp2057 _x000d__x000a_\sbasedon0 \snext20 \spriority0 \styrsid722627 AmJustText;}{\s21\qc \li0\ri0\sb240\sa240\nowidctlpar\wrapdefault\aspalpha\aspnum\faauto\adjustright\rin0\lin0\itap0 \rtlch\fcs1 \af0\afs20\alang1025 \ltrch\fcs0 _x000d__x000a_\i\fs24\lang2057\langfe2057\cgrid\langnp2057\langfenp2057 \sbasedon0 \snext21 \spriority0 \styrsid722627 AmCrossRef;}{\s22\qc \li0\ri0\sb240\sa240\keepn\nowidctlpar\wrapdefault\aspalpha\aspnum\faauto\adjustright\rin0\lin0\itap0 \rtlch\fcs1 _x000d__x000a_\af0\afs20\alang1025 \ltrch\fcs0 \i\fs24\lang2057\langfe2057\cgrid\langnp2057\langfenp2057 \sbasedon0 \snext20 \spriority0 \styrsid722627 AmJustTitle;}{\s23\qc \li0\ri0\sa240\nowidctlpar\wrapdefault\aspalpha\aspnum\faauto\adjustright\rin0\lin0\itap0 _x000d__x000a_\rtlch\fcs1 \af0\afs20\alang1025 \ltrch\fcs0 \i\fs24\lang2057\langfe2057\cgrid\langnp2057\langfenp2057 \sbasedon0 \snext23 \spriority0 \styrsid72262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22627 AmNumberTabs;}{\s25\ql \li0\ri0\sb240\nowidctlpar\wrapdefault\aspalpha\aspnum\faauto\adjustright\rin0\lin0\itap0 \rtlch\fcs1 _x000d__x000a_\af0\afs20\alang1025 \ltrch\fcs0 \b\fs24\lang2057\langfe2057\cgrid\langnp2057\langfenp2057 \sbasedon0 \snext25 \spriority0 \styrsid722627 NormalBold12b;}}{\*\rsidtbl \rsid24658\rsid223860\rsid722627\rsid735077\rsid1718133\rsid2375206\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55}{\nofchars317}{\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2627\newtblstyruls\nogrowautofit\usenormstyforlist\noindnmbrts\felnbrelev\nocxsptable\indrlsweleven\noafcnsttbl\afelev\utinl\hwelev\spltpgpar\notcvasp\notbrkcnstfrctbl\notvatxbx\krnprsnet\cachedcolbal \nouicompat \fet0_x000d__x000a_{\*\wgrffmtfilter 013f}\nofeaturethrottle1\ilfomacatclnup0{\*\template C:\\Users\\mkrieg\\AppData\\Local\\Temp\\Blank1.dotx}{\*\ftnsep \ltrpar \pard\plain \ltrpar\ql \li0\ri0\widctlpar\wrapdefault\aspalpha\aspnum\faauto\adjustright\rin0\lin0\itap0 _x000d__x000a_\rtlch\fcs1 \af0\afs20\alang1025 \ltrch\fcs0 \fs24\lang2057\langfe2057\cgrid\langnp2057\langfenp2057 {\rtlch\fcs1 \af0 \ltrch\fcs0 \insrsid2375206 \chftnsep _x000d__x000a_\par }}{\*\ftnsepc \ltrpar \pard\plain \ltrpar\ql \li0\ri0\widctlpar\wrapdefault\aspalpha\aspnum\faauto\adjustright\rin0\lin0\itap0 \rtlch\fcs1 \af0\afs20\alang1025 \ltrch\fcs0 \fs24\lang2057\langfe2057\cgrid\langnp2057\langfenp2057 {\rtlch\fcs1 \af0 _x000d__x000a_\ltrch\fcs0 \insrsid2375206 \chftnsepc _x000d__x000a_\par }}{\*\aftnsep \ltrpar \pard\plain \ltrpar\ql \li0\ri0\widctlpar\wrapdefault\aspalpha\aspnum\faauto\adjustright\rin0\lin0\itap0 \rtlch\fcs1 \af0\afs20\alang1025 \ltrch\fcs0 \fs24\lang2057\langfe2057\cgrid\langnp2057\langfenp2057 {\rtlch\fcs1 \af0 _x000d__x000a_\ltrch\fcs0 \insrsid2375206 \chftnsep _x000d__x000a_\par }}{\*\aftnsepc \ltrpar \pard\plain \ltrpar\ql \li0\ri0\widctlpar\wrapdefault\aspalpha\aspnum\faauto\adjustright\rin0\lin0\itap0 \rtlch\fcs1 \af0\afs20\alang1025 \ltrch\fcs0 \fs24\lang2057\langfe2057\cgrid\langnp2057\langfenp2057 {\rtlch\fcs1 \af0 _x000d__x000a_\ltrch\fcs0 \insrsid23752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22627 \rtlch\fcs1 _x000d__x000a_\af0\afs20\alang1025 \ltrch\fcs0 \b\fs24\lang2057\langfe2057\cgrid\langnp2057\langfenp2057 {\rtlch\fcs1 \af0 \ltrch\fcs0 \cs17\b0\v\fs20\cf9\lang1024\langfe1024\loch\af1\hich\af1\dbch\af31501\noproof\insrsid722627\charrsid15879488 {\*\bkmkstart restartB}_x000d__x000a_\hich\af1\dbch\af31501\loch\f1 &lt;AmendB&gt;}{\rtlch\fcs1 \af0 \ltrch\fcs0 \insrsid722627\charrsid15879488 [ZAMENDMENT]\tab \tab }{\rtlch\fcs1 \af0 \ltrch\fcs0 _x000d__x000a_\cs17\b0\v\fs20\cf9\lang1024\langfe1024\loch\af1\hich\af1\dbch\af31501\noproof\insrsid722627\charrsid15879488 \hich\af1\dbch\af31501\loch\f1 &lt;NumAmB&gt;}{\rtlch\fcs1 \af0 \ltrch\fcs0 \insrsid722627\charrsid15879488 [ZNRAM]}{\rtlch\fcs1 \af0 \ltrch\fcs0 _x000d__x000a_\cs17\b0\v\fs20\cf9\lang1024\langfe1024\loch\af1\hich\af1\dbch\af31501\noproof\insrsid722627\charrsid15879488 \hich\af1\dbch\af31501\loch\f1 &lt;/NumAmB&gt;}{\rtlch\fcs1 \af0 \ltrch\fcs0 \insrsid722627\charrsid15879488 _x000d__x000a_\par }\pard\plain \ltrpar\s25\ql \li0\ri0\sb240\keepn\nowidctlpar\wrapdefault\aspalpha\aspnum\faauto\adjustright\rin0\lin0\itap0\pararsid722627 \rtlch\fcs1 \af0\afs20\alang1025 \ltrch\fcs0 \b\fs24\lang2057\langfe2057\cgrid\langnp2057\langfenp2057 {\rtlch\fcs1 _x000d__x000a_\af0 \ltrch\fcs0 \cs17\b0\v\fs20\cf9\lang1024\langfe1024\loch\af1\hich\af1\dbch\af31501\noproof\insrsid722627\charrsid15879488 \hich\af1\dbch\af31501\loch\f1 &lt;DocAmend&gt;}{\rtlch\fcs1 \af0 \ltrch\fcs0 \insrsid722627\charrsid15879488 [ZPROPOSAL][ZAMACT]}{_x000d__x000a_\rtlch\fcs1 \af0 \ltrch\fcs0 \cs17\b0\v\fs20\cf9\lang1024\langfe1024\loch\af1\hich\af1\dbch\af31501\noproof\insrsid722627\charrsid15879488 \hich\af1\dbch\af31501\loch\f1 &lt;/DocAmend&gt;}{\rtlch\fcs1 \af0 \ltrch\fcs0 \insrsid722627\charrsid15879488 _x000d__x000a_\par }\pard\plain \ltrpar\s19\ql \li0\ri0\keepn\nowidctlpar\wrapdefault\aspalpha\aspnum\faauto\adjustright\rin0\lin0\itap0\pararsid722627 \rtlch\fcs1 \af0\afs20\alang1025 \ltrch\fcs0 \b\fs24\lang2057\langfe2057\cgrid\langnp2057\langfenp2057 {\rtlch\fcs1 \af0 _x000d__x000a_\ltrch\fcs0 \cs17\b0\v\fs20\cf9\lang1024\langfe1024\loch\af1\hich\af1\dbch\af31501\noproof\insrsid722627\charrsid15879488 \hich\af1\dbch\af31501\loch\f1 &lt;Article&gt;}{\rtlch\fcs1 \af0 \ltrch\fcs0 \insrsid722627\charrsid15879488 [ZAMPART]}{\rtlch\fcs1 \af0 _x000d__x000a_\ltrch\fcs0 \cs17\b0\v\fs20\cf9\lang1024\langfe1024\loch\af1\hich\af1\dbch\af31501\noproof\insrsid722627\charrsid15879488 \hich\af1\dbch\af31501\loch\f1 &lt;/Article&gt;}{\rtlch\fcs1 \af0 \ltrch\fcs0 \insrsid722627\charrsid15879488 _x000d__x000a_\par }\pard\plain \ltrpar\ql \li0\ri0\keepn\widctlpar\wrapdefault\aspalpha\aspnum\faauto\adjustright\rin0\lin0\itap0\pararsid722627 \rtlch\fcs1 \af0\afs20\alang1025 \ltrch\fcs0 \fs24\lang2057\langfe2057\cgrid\langnp2057\langfenp2057 {\rtlch\fcs1 \af0 _x000d__x000a_\ltrch\fcs0 \cs17\v\fs20\cf9\lang1024\langfe1024\loch\af1\hich\af1\dbch\af31501\noproof\insrsid722627\charrsid15879488 \hich\af1\dbch\af31501\loch\f1 &lt;DocAmend2&gt;&lt;OptDel&gt;}{\rtlch\fcs1 \af0 \ltrch\fcs0 \insrsid722627\charrsid15879488 [ZNRACT]}{\rtlch\fcs1 _x000d__x000a_\af0 \ltrch\fcs0 \cs17\v\fs20\cf9\lang1024\langfe1024\loch\af1\hich\af1\dbch\af31501\noproof\insrsid722627\charrsid15879488 \hich\af1\dbch\af31501\loch\f1 &lt;/OptDel&gt;&lt;/DocAmend2&gt;}{\rtlch\fcs1 \af0 \ltrch\fcs0 \insrsid722627\charrsid15879488 _x000d__x000a_\par }\pard \ltrpar\ql \li0\ri0\widctlpar\wrapdefault\aspalpha\aspnum\faauto\adjustright\rin0\lin0\itap0\pararsid722627 {\rtlch\fcs1 \af0 \ltrch\fcs0 _x000d__x000a_\cs17\v\fs20\cf9\lang1024\langfe1024\loch\af1\hich\af1\dbch\af31501\noproof\langnp1036\insrsid722627\charrsid11356624 \hich\af1\dbch\af31501\loch\f1 &lt;Article2&gt;&lt;OptDel&gt;}{\rtlch\fcs1 \af0 \ltrch\fcs0 _x000d__x000a_\lang1036\langfe2057\langnp1036\insrsid722627\charrsid11356624 [ZACTPART]}{\rtlch\fcs1 \af0 \ltrch\fcs0 \cs17\v\fs20\cf9\lang1024\langfe1024\loch\af1\hich\af1\dbch\af31501\noproof\langnp1036\insrsid722627\charrsid11356624 \hich\af1\dbch\af31501\loch\f1 _x000d__x000a_&lt;/OptDel&gt;&lt;/Article2&gt;}{\rtlch\fcs1 \af0 \ltrch\fcs0 \lang1036\langfe2057\langnp1036\insrsid72262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22627\charrsid11356624 \cell }\pard \ltrpar\ql \li0\ri0\widctlpar\intbl\wrapdefault\aspalpha\aspnum\faauto\adjustright\rin0\lin0 {\rtlch\fcs1 \af0 \ltrch\fcs0 \insrsid72262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22627\charrsid15879488 [ZLEFTB]\cell [ZRIGHT]\cell }\pard\plain \ltrpar\ql \li0\ri0\widctlpar\intbl\wrapdefault\aspalpha\aspnum\faauto\adjustright\rin0\lin0 \rtlch\fcs1 \af0\afs20\alang1025 \ltrch\fcs0 _x000d__x000a_\fs24\lang2057\langfe2057\cgrid\langnp2057\langfenp2057 {\rtlch\fcs1 \af0 \ltrch\fcs0 \insrsid72262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22627\charrsid15879488 [ZTEXTL]\cell [ZTEXTR]}{\rtlch\fcs1 \af0\afs24 \ltrch\fcs0 \insrsid722627\charrsid15879488 \cell }\pard\plain \ltrpar\ql \li0\ri0\widctlpar\intbl\wrapdefault\aspalpha\aspnum\faauto\adjustright\rin0\lin0 \rtlch\fcs1 _x000d__x000a_\af0\afs20\alang1025 \ltrch\fcs0 \fs24\lang2057\langfe2057\cgrid\langnp2057\langfenp2057 {\rtlch\fcs1 \af0 \ltrch\fcs0 \insrsid72262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22627 \rtlch\fcs1 \af0\afs20\alang1025 \ltrch\fcs0 \i\fs24\lang2057\langfe2057\cgrid\langnp2057\langfenp2057 {\rtlch\fcs1 \af0 \ltrch\fcs0 _x000d__x000a_\cs17\i0\v\fs20\cf9\lang1024\langfe1024\loch\af1\hich\af1\dbch\af31501\noproof\insrsid722627\charrsid15879488 \hich\af1\dbch\af31501\loch\f1 &lt;OptDel&gt;}{\rtlch\fcs1 \af0 \ltrch\fcs0 \insrsid722627\charrsid15879488 [ZCROSSREF]}{\rtlch\fcs1 \af0 \ltrch\fcs0 _x000d__x000a_\cs17\i0\v\fs20\cf9\lang1024\langfe1024\loch\af1\hich\af1\dbch\af31501\noproof\insrsid722627\charrsid15879488 \hich\af1\dbch\af31501\loch\f1 &lt;/OptDel&gt;}{\rtlch\fcs1 \af0 \ltrch\fcs0 \insrsid722627\charrsid15879488 _x000d__x000a_\par }\pard\plain \ltrpar\s22\qc \li0\ri0\sb240\sa240\keepn\nowidctlpar\wrapdefault\aspalpha\aspnum\faauto\adjustright\rin0\lin0\itap0\pararsid722627 \rtlch\fcs1 \af0\afs20\alang1025 \ltrch\fcs0 \i\fs24\lang2057\langfe2057\cgrid\langnp2057\langfenp2057 {_x000d__x000a_\rtlch\fcs1 \af0 \ltrch\fcs0 \cs17\i0\v\fs20\cf9\lang1024\langfe1024\loch\af1\hich\af1\dbch\af31501\noproof\insrsid722627\charrsid15879488 \hich\af1\dbch\af31501\loch\f1 &lt;TitreJust&gt;}{\rtlch\fcs1 \af0 \ltrch\fcs0 \insrsid722627\charrsid15879488 _x000d__x000a_[ZJUSTIFICATION]}{\rtlch\fcs1 \af0 \ltrch\fcs0 \cs17\i0\v\fs20\cf9\lang1024\langfe1024\loch\af1\hich\af1\dbch\af31501\noproof\insrsid722627\charrsid15879488 \hich\af1\dbch\af31501\loch\f1 &lt;/TitreJust&gt;}{\rtlch\fcs1 \af0 \ltrch\fcs0 _x000d__x000a_\insrsid722627\charrsid15879488 _x000d__x000a_\par }\pard\plain \ltrpar\s20\ql \li0\ri0\sa240\nowidctlpar\wrapdefault\aspalpha\aspnum\faauto\adjustright\rin0\lin0\itap0\pararsid722627 \rtlch\fcs1 \af0\afs20\alang1025 \ltrch\fcs0 \i\fs24\lang2057\langfe2057\cgrid\langnp2057\langfenp2057 {\rtlch\fcs1 \af0 _x000d__x000a_\ltrch\fcs0 \cs17\i0\v\fs20\cf9\lang1024\langfe1024\loch\af1\hich\af1\dbch\af31501\noproof\insrsid722627\charrsid15879488 \hich\af1\dbch\af31501\loch\f1 &lt;OptDelPrev&gt;}{\rtlch\fcs1 \af0 \ltrch\fcs0 \insrsid722627\charrsid15879488 [ZTEXTJUST]}{\rtlch\fcs1 _x000d__x000a_\af0 \ltrch\fcs0 \cs17\i0\v\fs20\cf9\lang1024\langfe1024\loch\af1\hich\af1\dbch\af31501\noproof\insrsid722627\charrsid15879488 \hich\af1\dbch\af31501\loch\f1 &lt;/OptDelPrev&gt;}{\rtlch\fcs1 \af0 \ltrch\fcs0 \insrsid722627\charrsid15879488 _x000d__x000a_\par }\pard\plain \ltrpar\ql \li0\ri0\widctlpar\wrapdefault\aspalpha\aspnum\faauto\adjustright\rin0\lin0\itap0\pararsid722627 \rtlch\fcs1 \af0\afs20\alang1025 \ltrch\fcs0 \fs24\lang2057\langfe2057\cgrid\langnp2057\langfenp2057 {\rtlch\fcs1 \af0 \ltrch\fcs0 _x000d__x000a_\cs17\v\fs20\cf9\lang1024\langfe1024\loch\af1\hich\af1\dbch\af31501\noproof\insrsid722627\charrsid15879488 \hich\af1\dbch\af31501\loch\f1 &lt;/AmendB&gt;}{\rtlch\fcs1 \af0 \ltrch\fcs0 \insrsid72262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7_x000d__x000a_1543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8"/>
    <w:docVar w:name="TITLECODMNU" w:val=" 1"/>
    <w:docVar w:name="TVTAMACTPART" w:val="abc"/>
    <w:docVar w:name="TVTRESPART" w:val="abc"/>
    <w:docVar w:name="TXTLANGUE" w:val="EN"/>
    <w:docVar w:name="TXTLANGUEMIN" w:val="en"/>
    <w:docVar w:name="TXTNRC" w:val="0150/2023"/>
    <w:docVar w:name="TXTNRCOM" w:val="(2023)0240"/>
    <w:docVar w:name="TXTNRFIRSTAM" w:val="1"/>
    <w:docVar w:name="TXTNRLASTAM" w:val="5"/>
    <w:docVar w:name="TXTNRPE" w:val="752.621"/>
    <w:docVar w:name="TXTNRPROC" w:val="2023/0138"/>
    <w:docVar w:name="TXTPEorAP" w:val="PE"/>
    <w:docVar w:name="TXTROUTE" w:val="AD\1288324EN.docx"/>
    <w:docVar w:name="TXTVERSION" w:val="02-00"/>
  </w:docVars>
  <w:rsids>
    <w:rsidRoot w:val="007426EC"/>
    <w:rsid w:val="00026559"/>
    <w:rsid w:val="00027FA8"/>
    <w:rsid w:val="0004474F"/>
    <w:rsid w:val="000522F2"/>
    <w:rsid w:val="00082EC4"/>
    <w:rsid w:val="000C751C"/>
    <w:rsid w:val="000D44A6"/>
    <w:rsid w:val="00121470"/>
    <w:rsid w:val="00122C05"/>
    <w:rsid w:val="00122CC3"/>
    <w:rsid w:val="00134974"/>
    <w:rsid w:val="00141CD7"/>
    <w:rsid w:val="001616BD"/>
    <w:rsid w:val="00180E36"/>
    <w:rsid w:val="001820A9"/>
    <w:rsid w:val="001A0556"/>
    <w:rsid w:val="001A7452"/>
    <w:rsid w:val="001B0A1E"/>
    <w:rsid w:val="001C0886"/>
    <w:rsid w:val="001D5154"/>
    <w:rsid w:val="001E3AC4"/>
    <w:rsid w:val="0020077A"/>
    <w:rsid w:val="00220500"/>
    <w:rsid w:val="002258E0"/>
    <w:rsid w:val="0023131B"/>
    <w:rsid w:val="002A67EE"/>
    <w:rsid w:val="002C26F8"/>
    <w:rsid w:val="002D23D0"/>
    <w:rsid w:val="00304EA8"/>
    <w:rsid w:val="003300D9"/>
    <w:rsid w:val="00341A99"/>
    <w:rsid w:val="00360FAA"/>
    <w:rsid w:val="003668DD"/>
    <w:rsid w:val="0038294E"/>
    <w:rsid w:val="003A2F84"/>
    <w:rsid w:val="003A6A67"/>
    <w:rsid w:val="003B07E2"/>
    <w:rsid w:val="003C7390"/>
    <w:rsid w:val="003E00BF"/>
    <w:rsid w:val="003E1280"/>
    <w:rsid w:val="003F128E"/>
    <w:rsid w:val="0040055C"/>
    <w:rsid w:val="00415589"/>
    <w:rsid w:val="004515F9"/>
    <w:rsid w:val="00487596"/>
    <w:rsid w:val="004B3A53"/>
    <w:rsid w:val="004C2A0D"/>
    <w:rsid w:val="004F1D2F"/>
    <w:rsid w:val="00502B76"/>
    <w:rsid w:val="00513F6F"/>
    <w:rsid w:val="00522B51"/>
    <w:rsid w:val="00524707"/>
    <w:rsid w:val="00525B43"/>
    <w:rsid w:val="00543D1E"/>
    <w:rsid w:val="005539B7"/>
    <w:rsid w:val="00565298"/>
    <w:rsid w:val="00571233"/>
    <w:rsid w:val="005716CD"/>
    <w:rsid w:val="00586041"/>
    <w:rsid w:val="005922EC"/>
    <w:rsid w:val="005D22C6"/>
    <w:rsid w:val="00600087"/>
    <w:rsid w:val="00613134"/>
    <w:rsid w:val="0062175F"/>
    <w:rsid w:val="00626D52"/>
    <w:rsid w:val="006315F6"/>
    <w:rsid w:val="00632FD4"/>
    <w:rsid w:val="00643DA8"/>
    <w:rsid w:val="00653EDA"/>
    <w:rsid w:val="00657D5C"/>
    <w:rsid w:val="00683DD1"/>
    <w:rsid w:val="00691B1C"/>
    <w:rsid w:val="006A0F0A"/>
    <w:rsid w:val="006A48AA"/>
    <w:rsid w:val="006B1267"/>
    <w:rsid w:val="006D292E"/>
    <w:rsid w:val="006F1531"/>
    <w:rsid w:val="00712462"/>
    <w:rsid w:val="00716BAA"/>
    <w:rsid w:val="007309DB"/>
    <w:rsid w:val="0073137C"/>
    <w:rsid w:val="00740A09"/>
    <w:rsid w:val="00741A65"/>
    <w:rsid w:val="007426EC"/>
    <w:rsid w:val="0078548A"/>
    <w:rsid w:val="007875FA"/>
    <w:rsid w:val="007B7CE3"/>
    <w:rsid w:val="007D04FC"/>
    <w:rsid w:val="007F187F"/>
    <w:rsid w:val="00817D13"/>
    <w:rsid w:val="00820C7D"/>
    <w:rsid w:val="00832841"/>
    <w:rsid w:val="00833D11"/>
    <w:rsid w:val="008355CB"/>
    <w:rsid w:val="00836FD3"/>
    <w:rsid w:val="008375A8"/>
    <w:rsid w:val="008506A6"/>
    <w:rsid w:val="008652A4"/>
    <w:rsid w:val="00872A52"/>
    <w:rsid w:val="00876A73"/>
    <w:rsid w:val="0089388A"/>
    <w:rsid w:val="008F3DB0"/>
    <w:rsid w:val="00904864"/>
    <w:rsid w:val="009052FE"/>
    <w:rsid w:val="009215FC"/>
    <w:rsid w:val="00921659"/>
    <w:rsid w:val="009230BA"/>
    <w:rsid w:val="00924555"/>
    <w:rsid w:val="00930617"/>
    <w:rsid w:val="009368B3"/>
    <w:rsid w:val="00982B83"/>
    <w:rsid w:val="009857B4"/>
    <w:rsid w:val="009B6583"/>
    <w:rsid w:val="009E7319"/>
    <w:rsid w:val="00A36CA0"/>
    <w:rsid w:val="00A71228"/>
    <w:rsid w:val="00A74E25"/>
    <w:rsid w:val="00A9371F"/>
    <w:rsid w:val="00AC2A60"/>
    <w:rsid w:val="00AC6CD7"/>
    <w:rsid w:val="00AD49D0"/>
    <w:rsid w:val="00AF0131"/>
    <w:rsid w:val="00B0002A"/>
    <w:rsid w:val="00B00EE6"/>
    <w:rsid w:val="00B1322B"/>
    <w:rsid w:val="00B31BC8"/>
    <w:rsid w:val="00B476DC"/>
    <w:rsid w:val="00B556CD"/>
    <w:rsid w:val="00B62D4B"/>
    <w:rsid w:val="00B904FA"/>
    <w:rsid w:val="00BA3E40"/>
    <w:rsid w:val="00BA7875"/>
    <w:rsid w:val="00BB2414"/>
    <w:rsid w:val="00BD1F76"/>
    <w:rsid w:val="00BD41AD"/>
    <w:rsid w:val="00BE20CF"/>
    <w:rsid w:val="00C07892"/>
    <w:rsid w:val="00C22327"/>
    <w:rsid w:val="00C22F30"/>
    <w:rsid w:val="00C335C6"/>
    <w:rsid w:val="00C33FBD"/>
    <w:rsid w:val="00C4219C"/>
    <w:rsid w:val="00C46349"/>
    <w:rsid w:val="00C47E8C"/>
    <w:rsid w:val="00C52A28"/>
    <w:rsid w:val="00C56375"/>
    <w:rsid w:val="00C709B7"/>
    <w:rsid w:val="00C75E98"/>
    <w:rsid w:val="00C81C5B"/>
    <w:rsid w:val="00C83B35"/>
    <w:rsid w:val="00CB6296"/>
    <w:rsid w:val="00D25CF2"/>
    <w:rsid w:val="00D56CE0"/>
    <w:rsid w:val="00D6254D"/>
    <w:rsid w:val="00D65AA8"/>
    <w:rsid w:val="00D6771F"/>
    <w:rsid w:val="00D67D0A"/>
    <w:rsid w:val="00D74FD1"/>
    <w:rsid w:val="00D851D4"/>
    <w:rsid w:val="00D943A5"/>
    <w:rsid w:val="00D9581F"/>
    <w:rsid w:val="00DB56E4"/>
    <w:rsid w:val="00E27F01"/>
    <w:rsid w:val="00E34A5C"/>
    <w:rsid w:val="00E602B4"/>
    <w:rsid w:val="00E6766A"/>
    <w:rsid w:val="00E77FF5"/>
    <w:rsid w:val="00E9018C"/>
    <w:rsid w:val="00E94D64"/>
    <w:rsid w:val="00EA24D0"/>
    <w:rsid w:val="00EA29B5"/>
    <w:rsid w:val="00EA3802"/>
    <w:rsid w:val="00EF1432"/>
    <w:rsid w:val="00EF33D5"/>
    <w:rsid w:val="00F15744"/>
    <w:rsid w:val="00F24D40"/>
    <w:rsid w:val="00FA3C27"/>
    <w:rsid w:val="00FD3BC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0D76C4-8E8F-426E-A880-D61A29C27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link w:val="NormalBold"/>
    <w:locked/>
    <w:rsid w:val="00525B43"/>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character" w:customStyle="1" w:styleId="FooterChar">
    <w:name w:val="Footer Char"/>
    <w:basedOn w:val="DefaultParagraphFont"/>
    <w:link w:val="Footer"/>
    <w:rsid w:val="00525B43"/>
    <w:rPr>
      <w:sz w:val="22"/>
    </w:rPr>
  </w:style>
  <w:style w:type="paragraph" w:styleId="Footer">
    <w:name w:val="footer"/>
    <w:link w:val="FooterChar"/>
    <w:unhideWhenUsed/>
    <w:rsid w:val="00525B43"/>
    <w:pPr>
      <w:tabs>
        <w:tab w:val="center" w:pos="4536"/>
        <w:tab w:val="right" w:pos="9072"/>
      </w:tabs>
      <w:spacing w:before="240" w:after="240" w:line="220" w:lineRule="auto"/>
    </w:pPr>
    <w:rPr>
      <w:sz w:val="22"/>
    </w:rPr>
  </w:style>
  <w:style w:type="character" w:customStyle="1" w:styleId="Normal12Char">
    <w:name w:val="Normal12 Char"/>
    <w:link w:val="Normal12"/>
    <w:locked/>
    <w:rsid w:val="00525B43"/>
    <w:rPr>
      <w:noProof/>
      <w:sz w:val="24"/>
    </w:rPr>
  </w:style>
  <w:style w:type="paragraph" w:customStyle="1" w:styleId="Normal12">
    <w:name w:val="Normal12"/>
    <w:basedOn w:val="Normal"/>
    <w:link w:val="Normal12Char"/>
    <w:rsid w:val="00525B43"/>
    <w:pPr>
      <w:spacing w:after="240"/>
    </w:pPr>
    <w:rPr>
      <w:noProof/>
      <w:szCs w:val="20"/>
    </w:rPr>
  </w:style>
  <w:style w:type="character" w:customStyle="1" w:styleId="Normal6Char">
    <w:name w:val="Normal6 Char"/>
    <w:link w:val="Normal6"/>
    <w:locked/>
    <w:rsid w:val="00525B43"/>
    <w:rPr>
      <w:sz w:val="24"/>
      <w:lang w:val="lv-LV"/>
    </w:rPr>
  </w:style>
  <w:style w:type="paragraph" w:customStyle="1" w:styleId="Normal6">
    <w:name w:val="Normal6"/>
    <w:basedOn w:val="Normal"/>
    <w:link w:val="Normal6Char"/>
    <w:rsid w:val="00525B43"/>
    <w:pPr>
      <w:spacing w:after="120"/>
    </w:pPr>
    <w:rPr>
      <w:szCs w:val="20"/>
    </w:rPr>
  </w:style>
  <w:style w:type="paragraph" w:customStyle="1" w:styleId="Normal12Italic">
    <w:name w:val="Normal12Italic"/>
    <w:basedOn w:val="Normal12"/>
    <w:rsid w:val="00525B43"/>
    <w:rPr>
      <w:i/>
    </w:rPr>
  </w:style>
  <w:style w:type="paragraph" w:customStyle="1" w:styleId="Footer2">
    <w:name w:val="Footer2"/>
    <w:basedOn w:val="Normal12"/>
    <w:rsid w:val="00525B43"/>
    <w:pPr>
      <w:tabs>
        <w:tab w:val="center" w:pos="4535"/>
        <w:tab w:val="right" w:pos="9923"/>
      </w:tabs>
      <w:spacing w:line="480" w:lineRule="auto"/>
      <w:ind w:left="-851"/>
    </w:pPr>
    <w:rPr>
      <w:rFonts w:ascii="Arial" w:cs="Arial"/>
      <w:b/>
      <w:sz w:val="48"/>
    </w:rPr>
  </w:style>
  <w:style w:type="paragraph" w:customStyle="1" w:styleId="EntPE">
    <w:name w:val="EntPE"/>
    <w:basedOn w:val="Normal12"/>
    <w:rsid w:val="00525B43"/>
    <w:pPr>
      <w:jc w:val="center"/>
    </w:pPr>
    <w:rPr>
      <w:noProof w:val="0"/>
      <w:sz w:val="56"/>
    </w:rPr>
  </w:style>
  <w:style w:type="paragraph" w:customStyle="1" w:styleId="AMNumberTabs0">
    <w:name w:val="AMNumberTabs"/>
    <w:basedOn w:val="Normal"/>
    <w:rsid w:val="00525B4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525B43"/>
    <w:pPr>
      <w:spacing w:after="240"/>
      <w:jc w:val="center"/>
    </w:pPr>
    <w:rPr>
      <w:i/>
      <w:szCs w:val="20"/>
    </w:rPr>
  </w:style>
  <w:style w:type="paragraph" w:customStyle="1" w:styleId="Olang">
    <w:name w:val="Olang"/>
    <w:basedOn w:val="Normal"/>
    <w:rsid w:val="00525B43"/>
    <w:pPr>
      <w:spacing w:before="240" w:after="240"/>
      <w:jc w:val="right"/>
    </w:pPr>
    <w:rPr>
      <w:noProof/>
    </w:rPr>
  </w:style>
  <w:style w:type="paragraph" w:styleId="BalloonText">
    <w:name w:val="Balloon Text"/>
    <w:basedOn w:val="Normal"/>
    <w:link w:val="BalloonTextChar"/>
    <w:semiHidden/>
    <w:unhideWhenUsed/>
    <w:rsid w:val="000522F2"/>
    <w:rPr>
      <w:rFonts w:ascii="Segoe UI" w:hAnsi="Segoe UI" w:cs="Segoe UI"/>
      <w:sz w:val="18"/>
      <w:szCs w:val="18"/>
    </w:rPr>
  </w:style>
  <w:style w:type="character" w:customStyle="1" w:styleId="BalloonTextChar">
    <w:name w:val="Balloon Text Char"/>
    <w:basedOn w:val="DefaultParagraphFont"/>
    <w:link w:val="BalloonText"/>
    <w:semiHidden/>
    <w:rsid w:val="000522F2"/>
    <w:rPr>
      <w:rFonts w:ascii="Segoe UI" w:hAnsi="Segoe UI" w:cs="Segoe UI"/>
      <w:sz w:val="18"/>
      <w:szCs w:val="18"/>
    </w:rPr>
  </w:style>
  <w:style w:type="paragraph" w:customStyle="1" w:styleId="RollCallSymbols14pt">
    <w:name w:val="RollCallSymbols14pt"/>
    <w:basedOn w:val="Normal"/>
    <w:rsid w:val="00565298"/>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65298"/>
    <w:pPr>
      <w:tabs>
        <w:tab w:val="center" w:pos="284"/>
        <w:tab w:val="left" w:pos="426"/>
      </w:tabs>
    </w:pPr>
    <w:rPr>
      <w:snapToGrid w:val="0"/>
      <w:szCs w:val="20"/>
      <w:lang w:eastAsia="en-US"/>
    </w:rPr>
  </w:style>
  <w:style w:type="paragraph" w:customStyle="1" w:styleId="RollCallVotes">
    <w:name w:val="RollCallVotes"/>
    <w:basedOn w:val="Normal"/>
    <w:rsid w:val="00565298"/>
    <w:pPr>
      <w:spacing w:before="120" w:after="120"/>
      <w:jc w:val="center"/>
    </w:pPr>
    <w:rPr>
      <w:b/>
      <w:bCs/>
      <w:snapToGrid w:val="0"/>
      <w:sz w:val="16"/>
      <w:szCs w:val="20"/>
      <w:lang w:eastAsia="en-US"/>
    </w:rPr>
  </w:style>
  <w:style w:type="paragraph" w:customStyle="1" w:styleId="RollCallTable">
    <w:name w:val="RollCallTable"/>
    <w:basedOn w:val="Normal"/>
    <w:rsid w:val="00565298"/>
    <w:pPr>
      <w:spacing w:before="120" w:after="120"/>
    </w:pPr>
    <w:rPr>
      <w:snapToGrid w:val="0"/>
      <w:sz w:val="16"/>
      <w:szCs w:val="20"/>
      <w:lang w:eastAsia="en-US"/>
    </w:rPr>
  </w:style>
  <w:style w:type="character" w:styleId="CommentReference">
    <w:name w:val="annotation reference"/>
    <w:basedOn w:val="DefaultParagraphFont"/>
    <w:rsid w:val="00AF0131"/>
    <w:rPr>
      <w:sz w:val="16"/>
      <w:szCs w:val="16"/>
    </w:rPr>
  </w:style>
  <w:style w:type="paragraph" w:styleId="CommentText">
    <w:name w:val="annotation text"/>
    <w:basedOn w:val="Normal"/>
    <w:link w:val="CommentTextChar"/>
    <w:rsid w:val="00AF0131"/>
    <w:rPr>
      <w:sz w:val="20"/>
      <w:szCs w:val="20"/>
    </w:rPr>
  </w:style>
  <w:style w:type="character" w:customStyle="1" w:styleId="CommentTextChar">
    <w:name w:val="Comment Text Char"/>
    <w:basedOn w:val="DefaultParagraphFont"/>
    <w:link w:val="CommentText"/>
    <w:rsid w:val="00AF0131"/>
  </w:style>
  <w:style w:type="paragraph" w:styleId="CommentSubject">
    <w:name w:val="annotation subject"/>
    <w:basedOn w:val="CommentText"/>
    <w:next w:val="CommentText"/>
    <w:link w:val="CommentSubjectChar"/>
    <w:semiHidden/>
    <w:unhideWhenUsed/>
    <w:rsid w:val="00AF0131"/>
    <w:rPr>
      <w:b/>
      <w:bCs/>
    </w:rPr>
  </w:style>
  <w:style w:type="character" w:customStyle="1" w:styleId="CommentSubjectChar">
    <w:name w:val="Comment Subject Char"/>
    <w:basedOn w:val="CommentTextChar"/>
    <w:link w:val="CommentSubject"/>
    <w:semiHidden/>
    <w:rsid w:val="00AF01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F9288-C91C-46D4-9CAD-D5E69CF63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6100</Words>
  <Characters>42459</Characters>
  <Application>Microsoft Office Word</Application>
  <DocSecurity>0</DocSecurity>
  <Lines>1602</Lines>
  <Paragraphs>435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2023-11-15T11:10:00Z</dcterms:created>
  <dcterms:modified xsi:type="dcterms:W3CDTF">2023-11-15T11:10:00Z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1288324</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AD\1288324LV.docx</vt:lpwstr>
  </property>
  <property fmtid="{D5CDD505-2E9C-101B-9397-08002B2CF9AE}" pid="10" name="LastEdited with">
    <vt:lpwstr>9.16.1 Build [20230920]</vt:lpwstr>
  </property>
  <property fmtid="{D5CDD505-2E9C-101B-9397-08002B2CF9AE}" pid="11" name="PE number">
    <vt:lpwstr>752.621</vt:lpwstr>
  </property>
  <property fmtid="{D5CDD505-2E9C-101B-9397-08002B2CF9AE}" pid="12" name="SDLStudio">
    <vt:lpwstr/>
  </property>
  <property fmtid="{D5CDD505-2E9C-101B-9397-08002B2CF9AE}" pid="13" name="SendToEpades">
    <vt:lpwstr>OK - 2023/10/30 08:33</vt:lpwstr>
  </property>
  <property fmtid="{D5CDD505-2E9C-101B-9397-08002B2CF9AE}" pid="14" name="Bookout">
    <vt:lpwstr>OK - 2023/11/15 12:10</vt:lpwstr>
  </property>
</Properties>
</file>