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09C2" w:rsidRPr="001E04FD" w:rsidTr="00E34A5C">
        <w:trPr>
          <w:trHeight w:hRule="exact" w:val="1418"/>
        </w:trPr>
        <w:tc>
          <w:tcPr>
            <w:tcW w:w="6804" w:type="dxa"/>
            <w:shd w:val="clear" w:color="auto" w:fill="auto"/>
            <w:vAlign w:val="center"/>
          </w:tcPr>
          <w:p w:rsidR="00BA3E40" w:rsidRPr="001E04FD" w:rsidRDefault="00651F13" w:rsidP="00E34A5C">
            <w:pPr>
              <w:pStyle w:val="EPName"/>
            </w:pPr>
            <w:r w:rsidRPr="001E04FD">
              <w:t>Europees Parlement</w:t>
            </w:r>
          </w:p>
          <w:p w:rsidR="00BA3E40" w:rsidRPr="001E04FD" w:rsidRDefault="00651F13" w:rsidP="009B6583">
            <w:pPr>
              <w:pStyle w:val="EPTerm"/>
            </w:pPr>
            <w:r w:rsidRPr="001E04FD">
              <w:t>2019-2024</w:t>
            </w:r>
          </w:p>
        </w:tc>
        <w:tc>
          <w:tcPr>
            <w:tcW w:w="2268" w:type="dxa"/>
            <w:shd w:val="clear" w:color="auto" w:fill="auto"/>
          </w:tcPr>
          <w:p w:rsidR="00BA3E40" w:rsidRPr="001E04FD" w:rsidRDefault="00651F13" w:rsidP="00E34A5C">
            <w:pPr>
              <w:pStyle w:val="EPLogo"/>
            </w:pPr>
            <w:r w:rsidRPr="001E04F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E04FD" w:rsidRDefault="00F24D40" w:rsidP="00F24D40">
      <w:pPr>
        <w:pStyle w:val="LineTop"/>
      </w:pPr>
    </w:p>
    <w:p w:rsidR="00F24D40" w:rsidRPr="001E04FD" w:rsidRDefault="00651F13" w:rsidP="00F24D40">
      <w:pPr>
        <w:pStyle w:val="EPBody"/>
      </w:pPr>
      <w:r w:rsidRPr="001E04FD">
        <w:rPr>
          <w:rStyle w:val="HideTWBExt"/>
        </w:rPr>
        <w:t>&lt;</w:t>
      </w:r>
      <w:r w:rsidRPr="001E04FD">
        <w:rPr>
          <w:rStyle w:val="HideTWBExt"/>
          <w:i w:val="0"/>
        </w:rPr>
        <w:t>Commission</w:t>
      </w:r>
      <w:r w:rsidRPr="001E04FD">
        <w:rPr>
          <w:rStyle w:val="HideTWBExt"/>
        </w:rPr>
        <w:t>&gt;</w:t>
      </w:r>
      <w:r w:rsidRPr="001E04FD">
        <w:rPr>
          <w:rStyle w:val="HideTWBInt"/>
          <w:color w:val="auto"/>
        </w:rPr>
        <w:t>{EMPL}</w:t>
      </w:r>
      <w:r w:rsidRPr="001E04FD">
        <w:t>Commissie werkgelegenheid en sociale zaken</w:t>
      </w:r>
      <w:r w:rsidRPr="001E04FD">
        <w:rPr>
          <w:rStyle w:val="HideTWBExt"/>
        </w:rPr>
        <w:t>&lt;/</w:t>
      </w:r>
      <w:r w:rsidRPr="001E04FD">
        <w:rPr>
          <w:rStyle w:val="HideTWBExt"/>
          <w:i w:val="0"/>
        </w:rPr>
        <w:t>Commission</w:t>
      </w:r>
      <w:r w:rsidRPr="001E04FD">
        <w:rPr>
          <w:rStyle w:val="HideTWBExt"/>
        </w:rPr>
        <w:t>&gt;</w:t>
      </w:r>
    </w:p>
    <w:p w:rsidR="00F24D40" w:rsidRPr="001E04FD" w:rsidRDefault="00F24D40" w:rsidP="00F24D40">
      <w:pPr>
        <w:pStyle w:val="LineBottom"/>
      </w:pPr>
    </w:p>
    <w:p w:rsidR="00AF0131" w:rsidRPr="001E04FD" w:rsidRDefault="00651F13" w:rsidP="00AF0131">
      <w:pPr>
        <w:pStyle w:val="CoverReference"/>
      </w:pPr>
      <w:r w:rsidRPr="001E04FD">
        <w:rPr>
          <w:rStyle w:val="HideTWBExt"/>
          <w:b w:val="0"/>
        </w:rPr>
        <w:t>&lt;RefProc&gt;</w:t>
      </w:r>
      <w:r w:rsidRPr="001E04FD">
        <w:t>2023/0138</w:t>
      </w:r>
      <w:r w:rsidRPr="001E04FD">
        <w:rPr>
          <w:rStyle w:val="HideTWBExt"/>
          <w:b w:val="0"/>
        </w:rPr>
        <w:t>&lt;/RefProc&gt;&lt;RefTypeProc&gt;</w:t>
      </w:r>
      <w:r w:rsidRPr="001E04FD">
        <w:t>(COD)</w:t>
      </w:r>
      <w:r w:rsidRPr="001E04FD">
        <w:rPr>
          <w:rStyle w:val="HideTWBExt"/>
          <w:b w:val="0"/>
        </w:rPr>
        <w:t>&lt;/RefTypeProc&gt;</w:t>
      </w:r>
    </w:p>
    <w:p w:rsidR="00AF0131" w:rsidRPr="001E04FD" w:rsidRDefault="00651F13" w:rsidP="00AF0131">
      <w:pPr>
        <w:pStyle w:val="CoverDate"/>
      </w:pPr>
      <w:r w:rsidRPr="001E04FD">
        <w:rPr>
          <w:rStyle w:val="HideTWBExt"/>
        </w:rPr>
        <w:t>&lt;Date&gt;</w:t>
      </w:r>
      <w:r w:rsidRPr="001E04FD">
        <w:rPr>
          <w:rStyle w:val="HideTWBInt"/>
          <w:color w:val="auto"/>
        </w:rPr>
        <w:t>{30/10/2023}</w:t>
      </w:r>
      <w:r w:rsidRPr="001E04FD">
        <w:t>30.10.2023</w:t>
      </w:r>
      <w:r w:rsidRPr="001E04FD">
        <w:rPr>
          <w:rStyle w:val="HideTWBExt"/>
        </w:rPr>
        <w:t>&lt;/Date&gt;</w:t>
      </w:r>
    </w:p>
    <w:p w:rsidR="00AF0131" w:rsidRPr="001E04FD" w:rsidRDefault="00651F13" w:rsidP="00AF0131">
      <w:pPr>
        <w:pStyle w:val="CoverDocType24a"/>
      </w:pPr>
      <w:r w:rsidRPr="001E04FD">
        <w:rPr>
          <w:rStyle w:val="HideTWBExt"/>
          <w:b w:val="0"/>
        </w:rPr>
        <w:t>&lt;TitreType&gt;</w:t>
      </w:r>
      <w:r w:rsidRPr="001E04FD">
        <w:t>ADVIES</w:t>
      </w:r>
      <w:r w:rsidRPr="001E04FD">
        <w:rPr>
          <w:rStyle w:val="HideTWBExt"/>
          <w:b w:val="0"/>
        </w:rPr>
        <w:t>&lt;/TitreType&gt;</w:t>
      </w:r>
    </w:p>
    <w:p w:rsidR="00AF0131" w:rsidRPr="001E04FD" w:rsidRDefault="00651F13" w:rsidP="00AF0131">
      <w:pPr>
        <w:pStyle w:val="CoverNormal24a"/>
      </w:pPr>
      <w:r w:rsidRPr="001E04FD">
        <w:rPr>
          <w:rStyle w:val="HideTWBExt"/>
        </w:rPr>
        <w:t>&lt;CommissionResp&gt;</w:t>
      </w:r>
      <w:r w:rsidRPr="001E04FD">
        <w:t xml:space="preserve">van </w:t>
      </w:r>
      <w:r w:rsidRPr="001E04FD">
        <w:t>de Commissie werkgelegenheid en sociale zaken</w:t>
      </w:r>
      <w:r w:rsidRPr="001E04FD">
        <w:rPr>
          <w:rStyle w:val="HideTWBExt"/>
        </w:rPr>
        <w:t>&lt;/CommissionResp&gt;</w:t>
      </w:r>
    </w:p>
    <w:p w:rsidR="00AF0131" w:rsidRPr="001E04FD" w:rsidRDefault="00651F13" w:rsidP="00AF0131">
      <w:pPr>
        <w:pStyle w:val="CoverNormal24a"/>
      </w:pPr>
      <w:r w:rsidRPr="001E04FD">
        <w:rPr>
          <w:rStyle w:val="HideTWBExt"/>
        </w:rPr>
        <w:t>&lt;CommissionInt&gt;</w:t>
      </w:r>
      <w:r w:rsidRPr="001E04FD">
        <w:t>aan de Commissie economische en monetaire zaken</w:t>
      </w:r>
      <w:r w:rsidRPr="001E04FD">
        <w:rPr>
          <w:rStyle w:val="HideTWBExt"/>
        </w:rPr>
        <w:t>&lt;/CommissionInt&gt;</w:t>
      </w:r>
    </w:p>
    <w:p w:rsidR="00AF0131" w:rsidRPr="001E04FD" w:rsidRDefault="00651F13" w:rsidP="00AF0131">
      <w:pPr>
        <w:pStyle w:val="CoverNormal"/>
      </w:pPr>
      <w:r w:rsidRPr="001E04FD">
        <w:rPr>
          <w:rStyle w:val="HideTWBExt"/>
        </w:rPr>
        <w:t>&lt;Titre&gt;</w:t>
      </w:r>
      <w:r w:rsidRPr="001E04FD">
        <w:t>inzake het voorstel voor een verordening van het Europees Parlement en de Raad betreffende de doeltreffende</w:t>
      </w:r>
      <w:r w:rsidRPr="001E04FD">
        <w:t xml:space="preserve"> coördinatie van het economisch beleid en het multilaterale begrotingstoezicht en tot intrekking van Verordening (EG) nr. </w:t>
      </w:r>
      <w:r>
        <w:t> </w:t>
      </w:r>
      <w:r w:rsidRPr="001E04FD">
        <w:t>466/97 van de Raad</w:t>
      </w:r>
      <w:r w:rsidRPr="001E04FD">
        <w:rPr>
          <w:rStyle w:val="HideTWBExt"/>
        </w:rPr>
        <w:t>&lt;/Titre&gt;</w:t>
      </w:r>
    </w:p>
    <w:p w:rsidR="00AF0131" w:rsidRPr="001E04FD" w:rsidRDefault="00651F13" w:rsidP="00AF0131">
      <w:pPr>
        <w:pStyle w:val="CoverNormal24a"/>
      </w:pPr>
      <w:r w:rsidRPr="001E04FD">
        <w:rPr>
          <w:rStyle w:val="HideTWBExt"/>
        </w:rPr>
        <w:t>&lt;DocRef&gt;</w:t>
      </w:r>
      <w:r w:rsidRPr="001E04FD">
        <w:t>(COM(2023)0240 – C9</w:t>
      </w:r>
      <w:r w:rsidRPr="001E04FD">
        <w:noBreakHyphen/>
        <w:t>0150/2023 – 2023/0138(COD))</w:t>
      </w:r>
      <w:r w:rsidRPr="001E04FD">
        <w:rPr>
          <w:rStyle w:val="HideTWBExt"/>
        </w:rPr>
        <w:t>&lt;/DocRef&gt;</w:t>
      </w:r>
    </w:p>
    <w:p w:rsidR="00AF0131" w:rsidRPr="001E04FD" w:rsidRDefault="00651F13" w:rsidP="00AF0131">
      <w:pPr>
        <w:pStyle w:val="CoverNormal24a"/>
      </w:pPr>
      <w:r w:rsidRPr="001E04FD">
        <w:t xml:space="preserve">Rapporteur voor advies </w:t>
      </w:r>
      <w:r w:rsidRPr="001E04FD">
        <w:rPr>
          <w:snapToGrid w:val="0"/>
        </w:rPr>
        <w:t>(*)</w:t>
      </w:r>
      <w:r w:rsidRPr="001E04FD">
        <w:t xml:space="preserve">: </w:t>
      </w:r>
      <w:r w:rsidRPr="001E04FD">
        <w:rPr>
          <w:rStyle w:val="HideTWBExt"/>
        </w:rPr>
        <w:t>&lt;Depute&gt;</w:t>
      </w:r>
      <w:r w:rsidRPr="001E04FD">
        <w:t>Gabriele Bischoff</w:t>
      </w:r>
      <w:r w:rsidRPr="001E04FD">
        <w:rPr>
          <w:rStyle w:val="HideTWBExt"/>
        </w:rPr>
        <w:t>&lt;/Depute&gt;</w:t>
      </w:r>
    </w:p>
    <w:p w:rsidR="00AF0131" w:rsidRPr="001E04FD" w:rsidRDefault="00651F13" w:rsidP="00AF0131">
      <w:pPr>
        <w:pStyle w:val="CoverNormal"/>
        <w:rPr>
          <w:snapToGrid w:val="0"/>
          <w:szCs w:val="24"/>
        </w:rPr>
      </w:pPr>
      <w:r w:rsidRPr="001E04FD">
        <w:rPr>
          <w:snapToGrid w:val="0"/>
        </w:rPr>
        <w:t>(*) Procedure met medeverantwoordelijke commissies – Artikel 57 van het Reglement</w:t>
      </w:r>
    </w:p>
    <w:p w:rsidR="00AF0131" w:rsidRPr="001E04FD" w:rsidRDefault="00AF0131" w:rsidP="00AF0131">
      <w:pPr>
        <w:pStyle w:val="CoverNormal"/>
        <w:rPr>
          <w:snapToGrid w:val="0"/>
          <w:szCs w:val="24"/>
        </w:rPr>
      </w:pPr>
    </w:p>
    <w:p w:rsidR="00AF0131" w:rsidRPr="001E04FD" w:rsidRDefault="00AF0131" w:rsidP="00AF0131">
      <w:pPr>
        <w:pStyle w:val="CoverNormal"/>
        <w:rPr>
          <w:snapToGrid w:val="0"/>
          <w:szCs w:val="24"/>
        </w:rPr>
      </w:pPr>
    </w:p>
    <w:p w:rsidR="00AF0131" w:rsidRPr="001E04FD" w:rsidRDefault="00651F13" w:rsidP="00AF0131">
      <w:pPr>
        <w:tabs>
          <w:tab w:val="center" w:pos="4677"/>
        </w:tabs>
      </w:pPr>
      <w:r w:rsidRPr="001E04FD">
        <w:br w:type="page"/>
      </w:r>
      <w:r w:rsidRPr="001E04FD">
        <w:lastRenderedPageBreak/>
        <w:t>PA_Legam</w:t>
      </w:r>
    </w:p>
    <w:p w:rsidR="00AF0131" w:rsidRPr="001E04FD" w:rsidRDefault="00651F13" w:rsidP="00C56375">
      <w:pPr>
        <w:pStyle w:val="PageHeadingNotTOC"/>
      </w:pPr>
      <w:r w:rsidRPr="001E04FD">
        <w:br w:type="page"/>
      </w:r>
      <w:r w:rsidRPr="001E04FD">
        <w:lastRenderedPageBreak/>
        <w:t>AMENDEMENTEN</w:t>
      </w:r>
    </w:p>
    <w:p w:rsidR="00AF0131" w:rsidRPr="001E04FD" w:rsidRDefault="00651F13" w:rsidP="00AF0131">
      <w:pPr>
        <w:pStyle w:val="Normal12a"/>
      </w:pPr>
      <w:bookmarkStart w:id="0" w:name="IntroA"/>
      <w:r w:rsidRPr="001E04FD">
        <w:t xml:space="preserve">De Commissie werkgelegenheid en sociale zaken verzoekt de bevoegde Commissie economische en monetaire zaken het </w:t>
      </w:r>
      <w:r w:rsidRPr="001E04FD">
        <w:t>onderstaande in aanmerking te nemen:</w:t>
      </w:r>
    </w:p>
    <w:bookmarkEnd w:id="0"/>
    <w:p w:rsidR="00AF0131" w:rsidRPr="001E04FD" w:rsidRDefault="00651F13" w:rsidP="00C56375">
      <w:r w:rsidRPr="001E04FD">
        <w:rPr>
          <w:rStyle w:val="HideTWBExt"/>
          <w:b/>
        </w:rPr>
        <w:t>&lt;RepeatBlock-Amend&gt;</w:t>
      </w:r>
      <w:r w:rsidRPr="001E04FD">
        <w:rPr>
          <w:rStyle w:val="HideTWBExt"/>
        </w:rPr>
        <w:t>&lt;Amend&gt;</w:t>
      </w:r>
      <w:r w:rsidRPr="001E04FD">
        <w:t>Amendement</w:t>
      </w:r>
      <w:r w:rsidRPr="001E04FD">
        <w:tab/>
      </w:r>
      <w:r w:rsidRPr="001E04FD">
        <w:rPr>
          <w:rStyle w:val="HideTWBExt"/>
        </w:rPr>
        <w:t>&lt;NumAm&gt;</w:t>
      </w:r>
      <w:r w:rsidRPr="001E04FD">
        <w:t>1</w:t>
      </w:r>
      <w:r w:rsidRPr="001E04FD">
        <w:rPr>
          <w:rStyle w:val="HideTWBExt"/>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(2)</w:t>
            </w:r>
            <w:r w:rsidRPr="001E04FD">
              <w:tab/>
              <w:t xml:space="preserve">Het stabiliteits- en </w:t>
            </w:r>
            <w:r w:rsidRPr="001E04FD">
              <w:t>groeipact (SGP), dat aanvankelijk bestond uit Verordening (EG) nr. 1466/97 van de Raad</w:t>
            </w:r>
            <w:r w:rsidRPr="001E04FD">
              <w:rPr>
                <w:vertAlign w:val="superscript"/>
              </w:rPr>
              <w:t>19</w:t>
            </w:r>
            <w:r w:rsidRPr="001E04FD">
              <w:t>, Verordening (EG) nr. 1467/97 van de Raad van 7</w:t>
            </w:r>
            <w:r w:rsidRPr="001E04FD">
              <w:rPr>
                <w:b/>
                <w:i/>
              </w:rPr>
              <w:t xml:space="preserve"> </w:t>
            </w:r>
            <w:r w:rsidRPr="001E04FD">
              <w:t>juli 1997</w:t>
            </w:r>
            <w:r w:rsidRPr="001E04FD">
              <w:rPr>
                <w:vertAlign w:val="superscript"/>
              </w:rPr>
              <w:t>20</w:t>
            </w:r>
            <w:r w:rsidRPr="001E04FD">
              <w:t xml:space="preserve"> en de resolutie van de Europese Raad van 17</w:t>
            </w:r>
            <w:r w:rsidRPr="001E04FD">
              <w:rPr>
                <w:b/>
                <w:i/>
              </w:rPr>
              <w:t xml:space="preserve"> </w:t>
            </w:r>
            <w:r w:rsidRPr="001E04FD">
              <w:t>juni 1997 betreffende het stabiliteits- en groeipact</w:t>
            </w:r>
            <w:r w:rsidRPr="001E04FD">
              <w:rPr>
                <w:vertAlign w:val="superscript"/>
              </w:rPr>
              <w:t>21</w:t>
            </w:r>
            <w:r w:rsidRPr="001E04FD">
              <w:t>, is geba</w:t>
            </w:r>
            <w:r w:rsidRPr="001E04FD">
              <w:t>seerd op de doelstelling van gezonde en houdbare overheidsfinanciën als middel om de voorwaarden voor prijsstabiliteit en voor een sterke duurzame groei, geschraagd door financiële stabiliteit, te versterken en aldus de verwezenlijking van de doelstellinge</w:t>
            </w:r>
            <w:r w:rsidRPr="001E04FD">
              <w:t xml:space="preserve">n van de Unie voor duurzame en inclusieve groei </w:t>
            </w:r>
            <w:r w:rsidRPr="001E04FD">
              <w:rPr>
                <w:b/>
                <w:i/>
              </w:rPr>
              <w:t>en</w:t>
            </w:r>
            <w:r w:rsidRPr="001E04FD">
              <w:t xml:space="preserve"> werkgelegenheid te ondersteunen.</w:t>
            </w:r>
          </w:p>
        </w:tc>
        <w:tc>
          <w:tcPr>
            <w:tcW w:w="4876" w:type="dxa"/>
            <w:hideMark/>
          </w:tcPr>
          <w:p w:rsidR="00AF0131" w:rsidRPr="001E04FD" w:rsidRDefault="00651F13" w:rsidP="00C33FBD">
            <w:pPr>
              <w:pStyle w:val="Normal6"/>
              <w:rPr>
                <w:szCs w:val="24"/>
              </w:rPr>
            </w:pPr>
            <w:r w:rsidRPr="001E04FD">
              <w:t>(2)</w:t>
            </w:r>
            <w:r w:rsidRPr="001E04FD">
              <w:tab/>
              <w:t>Het stabiliteits- en groeipact (SGP), dat aanvankelijk bestond uit Verordening (EG) nr. 1466/97 van de Raad</w:t>
            </w:r>
            <w:r w:rsidRPr="001E04FD">
              <w:rPr>
                <w:vertAlign w:val="superscript"/>
              </w:rPr>
              <w:t>19</w:t>
            </w:r>
            <w:r w:rsidRPr="001E04FD">
              <w:t>, Verordening (EG) nr. 1467/97 van de Raad van 7</w:t>
            </w:r>
            <w:r w:rsidRPr="001E04FD">
              <w:rPr>
                <w:b/>
                <w:i/>
              </w:rPr>
              <w:t> </w:t>
            </w:r>
            <w:r w:rsidRPr="001E04FD">
              <w:t>juli 1997</w:t>
            </w:r>
            <w:r w:rsidRPr="001E04FD">
              <w:rPr>
                <w:vertAlign w:val="superscript"/>
              </w:rPr>
              <w:t>2</w:t>
            </w:r>
            <w:r w:rsidRPr="001E04FD">
              <w:rPr>
                <w:vertAlign w:val="superscript"/>
              </w:rPr>
              <w:t>0</w:t>
            </w:r>
            <w:r w:rsidRPr="001E04FD">
              <w:t xml:space="preserve"> en de resolutie van de Europese Raad van 17</w:t>
            </w:r>
            <w:r w:rsidRPr="001E04FD">
              <w:rPr>
                <w:b/>
                <w:i/>
              </w:rPr>
              <w:t> </w:t>
            </w:r>
            <w:r w:rsidRPr="001E04FD">
              <w:t>juni 1997 betreffende het stabiliteits- en groeipact</w:t>
            </w:r>
            <w:r w:rsidRPr="001E04FD">
              <w:rPr>
                <w:vertAlign w:val="superscript"/>
              </w:rPr>
              <w:t>21</w:t>
            </w:r>
            <w:r w:rsidRPr="001E04FD">
              <w:t xml:space="preserve">, is gebaseerd op de doelstelling van gezonde en houdbare overheidsfinanciën als middel om de voorwaarden voor prijsstabiliteit en voor een sterke duurzame </w:t>
            </w:r>
            <w:r w:rsidRPr="001E04FD">
              <w:t xml:space="preserve">groei, </w:t>
            </w:r>
            <w:r w:rsidRPr="001E04FD">
              <w:rPr>
                <w:b/>
                <w:i/>
              </w:rPr>
              <w:t xml:space="preserve">die bevorderlijk is voor het scheppen van werkgelegenheid en die </w:t>
            </w:r>
            <w:r w:rsidRPr="001E04FD">
              <w:t>geschraagd</w:t>
            </w:r>
            <w:r w:rsidRPr="001E04FD">
              <w:rPr>
                <w:b/>
                <w:i/>
              </w:rPr>
              <w:t xml:space="preserve"> wordt</w:t>
            </w:r>
            <w:r w:rsidRPr="001E04FD">
              <w:t xml:space="preserve"> door financiële stabiliteit, te versterken en aldus de verwezenlijking van de doelstellingen van de Unie voor duurzame en inclusieve groei </w:t>
            </w:r>
            <w:r w:rsidRPr="001E04FD">
              <w:rPr>
                <w:b/>
                <w:i/>
              </w:rPr>
              <w:t>gericht op volledige</w:t>
            </w:r>
            <w:r w:rsidRPr="001E04FD">
              <w:t xml:space="preserve"> werkgel</w:t>
            </w:r>
            <w:r w:rsidRPr="001E04FD">
              <w:t>egenheid</w:t>
            </w:r>
            <w:r w:rsidRPr="001E04FD">
              <w:rPr>
                <w:b/>
                <w:i/>
              </w:rPr>
              <w:t xml:space="preserve"> en sociale vooruitgang</w:t>
            </w:r>
            <w:r w:rsidRPr="001E04FD">
              <w:t xml:space="preserve"> te ondersteunen.</w:t>
            </w:r>
          </w:p>
        </w:tc>
      </w:tr>
      <w:tr w:rsidR="003309C2" w:rsidRPr="001E04FD" w:rsidTr="00C33FBD">
        <w:trPr>
          <w:jc w:val="center"/>
        </w:trPr>
        <w:tc>
          <w:tcPr>
            <w:tcW w:w="4876" w:type="dxa"/>
            <w:hideMark/>
          </w:tcPr>
          <w:p w:rsidR="00AF0131" w:rsidRPr="001E04FD" w:rsidRDefault="00651F13" w:rsidP="00C33FBD">
            <w:pPr>
              <w:pStyle w:val="Normal6"/>
            </w:pPr>
            <w:r w:rsidRPr="001E04FD">
              <w:t>__________________</w:t>
            </w:r>
          </w:p>
        </w:tc>
        <w:tc>
          <w:tcPr>
            <w:tcW w:w="4876" w:type="dxa"/>
            <w:hideMark/>
          </w:tcPr>
          <w:p w:rsidR="00AF0131" w:rsidRPr="001E04FD" w:rsidRDefault="00651F13" w:rsidP="00C33FBD">
            <w:pPr>
              <w:pStyle w:val="Normal6"/>
              <w:rPr>
                <w:szCs w:val="24"/>
              </w:rPr>
            </w:pPr>
            <w:r w:rsidRPr="001E04FD">
              <w:t>__________________</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19</w:t>
            </w:r>
            <w:r w:rsidRPr="001E04FD">
              <w:t xml:space="preserve"> Verordening (EG) nr. 1466/97 van de Raad van 7 juli 1997 over versterking van het toezicht op begrotingssituaties en het toezicht op en de coördinatie van het econo</w:t>
            </w:r>
            <w:r w:rsidRPr="001E04FD">
              <w:t>misch beleid (PB L 209 van 2.8.1997, blz. 1).</w:t>
            </w:r>
          </w:p>
        </w:tc>
        <w:tc>
          <w:tcPr>
            <w:tcW w:w="4876" w:type="dxa"/>
            <w:hideMark/>
          </w:tcPr>
          <w:p w:rsidR="00AF0131" w:rsidRPr="001E04FD" w:rsidRDefault="00651F13" w:rsidP="00C33FBD">
            <w:pPr>
              <w:pStyle w:val="Normal6"/>
              <w:rPr>
                <w:szCs w:val="24"/>
              </w:rPr>
            </w:pPr>
            <w:r w:rsidRPr="001E04FD">
              <w:rPr>
                <w:vertAlign w:val="superscript"/>
              </w:rPr>
              <w:t>19</w:t>
            </w:r>
            <w:r w:rsidRPr="001E04FD">
              <w:t xml:space="preserve"> Verordening (EG) nr. 1466/97 van de Raad van 7 juli 1997 over versterking van het toezicht op begrotingssituaties en het toezicht op en de coördinatie van het economisch beleid (PB L 209 van 2.8.1997, blz. 1</w:t>
            </w:r>
            <w:r w:rsidRPr="001E04FD">
              <w:t>).</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20</w:t>
            </w:r>
            <w:r w:rsidRPr="001E04FD">
              <w:t xml:space="preserve"> Verordening (EG) nr. 1467/97 van de Raad van 7 juli 1997 over de bespoediging en verduidelijking van de tenuitvoerlegging van de procedure bij buitensporige tekorten (PB L 209 van 2.8.1997, blz. 6).</w:t>
            </w:r>
          </w:p>
        </w:tc>
        <w:tc>
          <w:tcPr>
            <w:tcW w:w="4876" w:type="dxa"/>
            <w:hideMark/>
          </w:tcPr>
          <w:p w:rsidR="00AF0131" w:rsidRPr="001E04FD" w:rsidRDefault="00651F13" w:rsidP="00C33FBD">
            <w:pPr>
              <w:pStyle w:val="Normal6"/>
              <w:rPr>
                <w:szCs w:val="24"/>
              </w:rPr>
            </w:pPr>
            <w:r w:rsidRPr="001E04FD">
              <w:rPr>
                <w:vertAlign w:val="superscript"/>
              </w:rPr>
              <w:t>20</w:t>
            </w:r>
            <w:r w:rsidRPr="001E04FD">
              <w:t xml:space="preserve"> Verordening (EG) nr. 1467/97 van de Raad van 7 </w:t>
            </w:r>
            <w:r w:rsidRPr="001E04FD">
              <w:t>juli 1997 over de bespoediging en verduidelijking van de tenuitvoerlegging van de procedure bij buitensporige tekorten (PB L 209 van 2.8.1997, blz. 6).</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21</w:t>
            </w:r>
            <w:r w:rsidRPr="001E04FD">
              <w:t xml:space="preserve"> Resolutie van de Europese Raad betreffende het stabiliteits- en groeipact </w:t>
            </w:r>
            <w:r w:rsidRPr="001E04FD">
              <w:lastRenderedPageBreak/>
              <w:t xml:space="preserve">(Amsterdam, 17 juni 1997) </w:t>
            </w:r>
            <w:r w:rsidRPr="001E04FD">
              <w:t>(PB L 236 van 2.8.1997, blz. 1).</w:t>
            </w:r>
          </w:p>
        </w:tc>
        <w:tc>
          <w:tcPr>
            <w:tcW w:w="4876" w:type="dxa"/>
            <w:hideMark/>
          </w:tcPr>
          <w:p w:rsidR="00AF0131" w:rsidRPr="001E04FD" w:rsidRDefault="00651F13" w:rsidP="00C33FBD">
            <w:pPr>
              <w:pStyle w:val="Normal6"/>
              <w:rPr>
                <w:szCs w:val="24"/>
              </w:rPr>
            </w:pPr>
            <w:r w:rsidRPr="001E04FD">
              <w:rPr>
                <w:vertAlign w:val="superscript"/>
              </w:rPr>
              <w:lastRenderedPageBreak/>
              <w:t>21</w:t>
            </w:r>
            <w:r w:rsidRPr="001E04FD">
              <w:t xml:space="preserve"> Resolutie van de Europese Raad betreffende het stabiliteits- en groeipact </w:t>
            </w:r>
            <w:r w:rsidRPr="001E04FD">
              <w:lastRenderedPageBreak/>
              <w:t>(Amsterdam, 17 juni 1997) (PB L 236 van 2.8.1997, blz. 1).</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5</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(5)</w:t>
            </w:r>
            <w:r w:rsidRPr="001E04FD">
              <w:tab/>
              <w:t>Het kader voor economische governance van de Unie moet worden aangepast om beter rekening te houden met de toenemende verschillen tussen de lidstaten in begr</w:t>
            </w:r>
            <w:r w:rsidRPr="001E04FD">
              <w:t xml:space="preserve">otingssituaties, houdbaarheidsrisico’s, schuldproblemen en andere kwetsbaarheden. De krachtige beleidsreactie op de COVID-19-pandemie is bijzonder effectief gebleken bij de beperking van de economische en sociale schade van de crisis, maar de crisis heeft </w:t>
            </w:r>
            <w:r w:rsidRPr="001E04FD">
              <w:t xml:space="preserve">geleid tot een aanzienlijke stijging van de schuldquotes van overheden en de private sector, waaruit duidelijk bleek hoe belangrijk het is om schuldquotes op een geleidelijke, houdbare en </w:t>
            </w:r>
            <w:r w:rsidRPr="001E04FD">
              <w:rPr>
                <w:b/>
                <w:i/>
              </w:rPr>
              <w:t>groeivriendelijke</w:t>
            </w:r>
            <w:r w:rsidRPr="001E04FD">
              <w:t xml:space="preserve"> wijze tot prudente niveaus te verlagen en macro-ec</w:t>
            </w:r>
            <w:r w:rsidRPr="001E04FD">
              <w:t>onomische onevenwichtigheden aan te pakken</w:t>
            </w:r>
            <w:r w:rsidRPr="001E04FD">
              <w:rPr>
                <w:b/>
                <w:i/>
              </w:rPr>
              <w:t>,</w:t>
            </w:r>
            <w:r w:rsidRPr="001E04FD">
              <w:t xml:space="preserve"> en </w:t>
            </w:r>
            <w:r w:rsidRPr="001E04FD">
              <w:rPr>
                <w:b/>
                <w:i/>
              </w:rPr>
              <w:t>daarbij terdege rekening</w:t>
            </w:r>
            <w:r w:rsidRPr="001E04FD">
              <w:t xml:space="preserve"> te </w:t>
            </w:r>
            <w:r w:rsidRPr="001E04FD">
              <w:rPr>
                <w:b/>
                <w:i/>
              </w:rPr>
              <w:t>houden</w:t>
            </w:r>
            <w:r w:rsidRPr="001E04FD">
              <w:t xml:space="preserve"> met sociale en </w:t>
            </w:r>
            <w:r w:rsidRPr="001E04FD">
              <w:rPr>
                <w:b/>
                <w:i/>
              </w:rPr>
              <w:t>werkgelegenheidsdoelstellingen</w:t>
            </w:r>
            <w:r w:rsidRPr="001E04FD">
              <w:t>. Tegelijkertijd moet het kader voor economische governance van de Unie worden aangepast om een bijdrage te leveren aan de aanpak</w:t>
            </w:r>
            <w:r w:rsidRPr="001E04FD">
              <w:t xml:space="preserve"> van de problemen van de Unie op middellange en lange termijn door het verwezenlijken van een eerlijke digitale en groene transitie, onder meer door de klimaatwet</w:t>
            </w:r>
            <w:r w:rsidRPr="001E04FD">
              <w:rPr>
                <w:vertAlign w:val="superscript"/>
              </w:rPr>
              <w:t>22</w:t>
            </w:r>
            <w:r w:rsidRPr="001E04FD">
              <w:t>, energiezekerheid, een open strategische autonomie, het aanpakken van demografische verande</w:t>
            </w:r>
            <w:r w:rsidRPr="001E04FD">
              <w:t xml:space="preserve">ringen, versterking van de sociale en economische veerkracht, en de uitvoering van het strategisch kompas voor veiligheid en defensie, die allemaal in de komende jaren hervormingen en aanhoudende grote </w:t>
            </w:r>
            <w:r w:rsidRPr="001E04FD">
              <w:lastRenderedPageBreak/>
              <w:t>investeringen vergen.</w:t>
            </w:r>
          </w:p>
        </w:tc>
        <w:tc>
          <w:tcPr>
            <w:tcW w:w="4876" w:type="dxa"/>
            <w:hideMark/>
          </w:tcPr>
          <w:p w:rsidR="00AF0131" w:rsidRPr="001E04FD" w:rsidRDefault="00651F13" w:rsidP="00C33FBD">
            <w:pPr>
              <w:pStyle w:val="Normal6"/>
              <w:rPr>
                <w:szCs w:val="24"/>
              </w:rPr>
            </w:pPr>
            <w:r w:rsidRPr="001E04FD">
              <w:lastRenderedPageBreak/>
              <w:t>(5)</w:t>
            </w:r>
            <w:r w:rsidRPr="001E04FD">
              <w:tab/>
              <w:t>Het kader voor economische g</w:t>
            </w:r>
            <w:r w:rsidRPr="001E04FD">
              <w:t>overnance van de Unie moet worden aangepast om beter rekening te houden met de toenemende verschillen tussen de lidstaten in begrotingssituaties, houdbaarheidsrisico’s, schuldproblemen en andere kwetsbaarheden. De krachtige beleidsreactie op de COVID-19-pa</w:t>
            </w:r>
            <w:r w:rsidRPr="001E04FD">
              <w:t>ndemie is bijzonder effectief gebleken bij de beperking van de economische en sociale schade van de crisis, maar de crisis heeft geleid tot een aanzienlijke stijging van de schuldquotes van overheden en de private sector, waaruit duidelijk bleek hoe belang</w:t>
            </w:r>
            <w:r w:rsidRPr="001E04FD">
              <w:t>rijk het is om schuldquotes op een geleidelijke, houdbare</w:t>
            </w:r>
            <w:r w:rsidRPr="001E04FD">
              <w:rPr>
                <w:b/>
                <w:i/>
              </w:rPr>
              <w:t>, groeivriendelijke</w:t>
            </w:r>
            <w:r w:rsidRPr="001E04FD">
              <w:t xml:space="preserve"> en </w:t>
            </w:r>
            <w:r w:rsidRPr="001E04FD">
              <w:rPr>
                <w:b/>
                <w:i/>
              </w:rPr>
              <w:t>inclusieve</w:t>
            </w:r>
            <w:r w:rsidRPr="001E04FD">
              <w:t xml:space="preserve"> wijze tot prudente niveaus te verlagen en macro-economische onevenwichtigheden aan te pakken en </w:t>
            </w:r>
            <w:r w:rsidRPr="001E04FD">
              <w:rPr>
                <w:b/>
                <w:i/>
              </w:rPr>
              <w:t>de opwaartse sociale convergentie</w:t>
            </w:r>
            <w:r w:rsidRPr="001E04FD">
              <w:t xml:space="preserve"> te </w:t>
            </w:r>
            <w:r w:rsidRPr="001E04FD">
              <w:rPr>
                <w:b/>
                <w:i/>
              </w:rPr>
              <w:t>ondersteunen, terdege rekening h</w:t>
            </w:r>
            <w:r w:rsidRPr="001E04FD">
              <w:rPr>
                <w:b/>
                <w:i/>
              </w:rPr>
              <w:t>oudend</w:t>
            </w:r>
            <w:r w:rsidRPr="001E04FD">
              <w:t xml:space="preserve"> met sociale </w:t>
            </w:r>
            <w:r w:rsidRPr="001E04FD">
              <w:rPr>
                <w:b/>
                <w:i/>
              </w:rPr>
              <w:t xml:space="preserve">doelstellingen </w:t>
            </w:r>
            <w:r w:rsidRPr="001E04FD">
              <w:t xml:space="preserve">en </w:t>
            </w:r>
            <w:r w:rsidRPr="001E04FD">
              <w:rPr>
                <w:b/>
                <w:i/>
              </w:rPr>
              <w:t>doelstellingen in verband met hoogwaardige werkgelegenheid</w:t>
            </w:r>
            <w:r w:rsidRPr="001E04FD">
              <w:t>. Tegelijkertijd moet het kader voor economische governance van de Unie worden aangepast om een bijdrage te leveren aan de aanpak van de problemen van de Unie op</w:t>
            </w:r>
            <w:r w:rsidRPr="001E04FD">
              <w:t xml:space="preserve"> middellange en lange termijn door het verwezenlijken van een eerlijke digitale en groene transitie, onder meer door de klimaatwet</w:t>
            </w:r>
            <w:r w:rsidRPr="001E04FD">
              <w:rPr>
                <w:vertAlign w:val="superscript"/>
              </w:rPr>
              <w:t>22</w:t>
            </w:r>
            <w:r w:rsidRPr="001E04FD">
              <w:rPr>
                <w:b/>
                <w:i/>
              </w:rPr>
              <w:t xml:space="preserve"> en de tenuitvoerlegging van de Europese pijler van sociale rechten</w:t>
            </w:r>
            <w:r w:rsidRPr="001E04FD">
              <w:t xml:space="preserve">, energiezekerheid, een open strategische autonomie, het </w:t>
            </w:r>
            <w:r w:rsidRPr="001E04FD">
              <w:t>aanpakken van demografische veranderingen, versterking van de sociale en economische veerkracht,</w:t>
            </w:r>
            <w:r w:rsidRPr="001E04FD">
              <w:rPr>
                <w:b/>
                <w:i/>
              </w:rPr>
              <w:t xml:space="preserve"> ook door het </w:t>
            </w:r>
            <w:r w:rsidRPr="001E04FD">
              <w:rPr>
                <w:b/>
                <w:i/>
              </w:rPr>
              <w:lastRenderedPageBreak/>
              <w:t>opvoeren van sociale investeringen,</w:t>
            </w:r>
            <w:r w:rsidRPr="001E04FD">
              <w:t xml:space="preserve"> en de uitvoering van het strategisch kompas voor veiligheid en defensie, die allemaal in de komende jaren herv</w:t>
            </w:r>
            <w:r w:rsidRPr="001E04FD">
              <w:t>ormingen en aanhoudende grote investeringen vergen.</w:t>
            </w:r>
          </w:p>
        </w:tc>
      </w:tr>
      <w:tr w:rsidR="003309C2" w:rsidRPr="001E04FD" w:rsidTr="00C33FBD">
        <w:trPr>
          <w:jc w:val="center"/>
        </w:trPr>
        <w:tc>
          <w:tcPr>
            <w:tcW w:w="4876" w:type="dxa"/>
            <w:hideMark/>
          </w:tcPr>
          <w:p w:rsidR="00AF0131" w:rsidRPr="001E04FD" w:rsidRDefault="00651F13" w:rsidP="00C33FBD">
            <w:pPr>
              <w:pStyle w:val="Normal6"/>
            </w:pPr>
            <w:r w:rsidRPr="001E04FD">
              <w:lastRenderedPageBreak/>
              <w:t>__________________</w:t>
            </w:r>
          </w:p>
        </w:tc>
        <w:tc>
          <w:tcPr>
            <w:tcW w:w="4876" w:type="dxa"/>
            <w:hideMark/>
          </w:tcPr>
          <w:p w:rsidR="00AF0131" w:rsidRPr="001E04FD" w:rsidRDefault="00651F13" w:rsidP="00C33FBD">
            <w:pPr>
              <w:pStyle w:val="Normal6"/>
              <w:rPr>
                <w:szCs w:val="24"/>
              </w:rPr>
            </w:pPr>
            <w:r w:rsidRPr="001E04FD">
              <w:t>__________________</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22</w:t>
            </w:r>
            <w:r w:rsidRPr="001E04FD">
              <w:t xml:space="preserve"> In de Europese klimaatwet is vastgelegd dat de Unie als geheel in 2050 klimaatneutraal moet zijn, en worden de instellingen van de Unie en de lidstaten verplicht om hun aanpassingsvermogen te vergroten en onder meer de overheidsinvesteringen te doen die n</w:t>
            </w:r>
            <w:r w:rsidRPr="001E04FD">
              <w:t>odig zijn om de nadelige sociaal-economische effecten van klimaatverandering op de EU en haar lidstaten te verminderen, waaronder negatieve effecten op de groei en de houdbaarheid van de begroting.</w:t>
            </w:r>
          </w:p>
        </w:tc>
        <w:tc>
          <w:tcPr>
            <w:tcW w:w="4876" w:type="dxa"/>
            <w:hideMark/>
          </w:tcPr>
          <w:p w:rsidR="00AF0131" w:rsidRPr="001E04FD" w:rsidRDefault="00651F13" w:rsidP="00C33FBD">
            <w:pPr>
              <w:pStyle w:val="Normal6"/>
              <w:rPr>
                <w:szCs w:val="24"/>
              </w:rPr>
            </w:pPr>
            <w:r w:rsidRPr="001E04FD">
              <w:rPr>
                <w:vertAlign w:val="superscript"/>
              </w:rPr>
              <w:t>22</w:t>
            </w:r>
            <w:r w:rsidRPr="001E04FD">
              <w:t xml:space="preserve"> In de Europese klimaatwet is vastgelegd dat de Unie als geheel in 2050 klimaatneutraal moet zijn, en worden de instellingen van de Unie en de lidstaten verplicht om hun aanpassingsvermogen te vergroten en onder meer de overheidsinvesteringen te doen die n</w:t>
            </w:r>
            <w:r w:rsidRPr="001E04FD">
              <w:t>odig zijn om de nadelige sociaal-economische effecten van klimaatverandering op de EU en haar lidstaten te verminderen, waaronder negatieve effecten op de groei en de houdbaarheid van de begroting.</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w:t>
      </w:r>
      <w:r w:rsidRPr="001E04FD">
        <w:t>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7</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(7)</w:t>
            </w:r>
            <w:r w:rsidRPr="001E04FD">
              <w:tab/>
              <w:t xml:space="preserve">De procedure voor multilateraal toezicht als bedoeld in artikel 121, leden 2, 3 en 4, en artikel 148, lid 4, VWEU moet volgens </w:t>
            </w:r>
            <w:r w:rsidRPr="001E04FD">
              <w:t>meer gedetailleerde regels toezicht houden op het volledige scala van economische en werkgelegenheidsontwikkelingen in elk van de lidstaten en in de Unie. Dit omvat de opsporing van macro-economische onevenwichtigheden en de preventie en correctie van buit</w:t>
            </w:r>
            <w:r w:rsidRPr="001E04FD">
              <w:t>ensporige onevenwichtigheden als bedoeld in Verordeningen (EU) nr. 1174/2011</w:t>
            </w:r>
            <w:r w:rsidRPr="001E04FD">
              <w:rPr>
                <w:vertAlign w:val="superscript"/>
              </w:rPr>
              <w:t>23</w:t>
            </w:r>
            <w:r w:rsidRPr="001E04FD">
              <w:t xml:space="preserve"> en (EU) nr. 1176/2011</w:t>
            </w:r>
            <w:r w:rsidRPr="001E04FD">
              <w:rPr>
                <w:vertAlign w:val="superscript"/>
              </w:rPr>
              <w:t>24</w:t>
            </w:r>
            <w:r w:rsidRPr="001E04FD">
              <w:t xml:space="preserve"> van het Europees Parlement en de Raad. Voor het toezicht op deze economische en werkgelegenheidsontwikkelingen moeten de lidstaten informatie verstrekken</w:t>
            </w:r>
            <w:r w:rsidRPr="001E04FD">
              <w:t xml:space="preserve"> in de vorm van budgettair-structurele plannen voor de middellange termijn.</w:t>
            </w:r>
          </w:p>
        </w:tc>
        <w:tc>
          <w:tcPr>
            <w:tcW w:w="4876" w:type="dxa"/>
            <w:hideMark/>
          </w:tcPr>
          <w:p w:rsidR="00AF0131" w:rsidRPr="001E04FD" w:rsidRDefault="00651F13" w:rsidP="00C33FBD">
            <w:pPr>
              <w:pStyle w:val="Normal6"/>
              <w:rPr>
                <w:szCs w:val="24"/>
              </w:rPr>
            </w:pPr>
            <w:r w:rsidRPr="001E04FD">
              <w:t>(7)</w:t>
            </w:r>
            <w:r w:rsidRPr="001E04FD">
              <w:tab/>
              <w:t>De procedure voor multilateraal toezicht als bedoeld in artikel 121, leden 2, 3 en 4, en artikel 148, lid 4, VWEU moet volgens meer gedetailleerde regels toezicht houden op het</w:t>
            </w:r>
            <w:r w:rsidRPr="001E04FD">
              <w:t xml:space="preserve"> volledige scala van economische</w:t>
            </w:r>
            <w:r w:rsidRPr="001E04FD">
              <w:rPr>
                <w:b/>
                <w:i/>
              </w:rPr>
              <w:t>, relevante sociale</w:t>
            </w:r>
            <w:r w:rsidRPr="001E04FD">
              <w:t xml:space="preserve"> en werkgelegenheidsontwikkelingen in elk van de lidstaten en in de Unie</w:t>
            </w:r>
            <w:r w:rsidRPr="001E04FD">
              <w:rPr>
                <w:b/>
                <w:i/>
              </w:rPr>
              <w:t>, verband houdend met de kerndoelen, met inbegrip van de voortgang bij het bereiken van de nationale doelstellingen, en de daarbij be</w:t>
            </w:r>
            <w:r w:rsidRPr="001E04FD">
              <w:rPr>
                <w:b/>
                <w:i/>
              </w:rPr>
              <w:t>horende primaire en secundaire indicatoren van de Europese pijler van sociale rechten</w:t>
            </w:r>
            <w:r w:rsidRPr="001E04FD">
              <w:t>. Dit omvat de opsporing van macro-economische onevenwichtigheden en de preventie en correctie van buitensporige onevenwichtigheden als bedoeld in Verordeningen (EU) nr. 1</w:t>
            </w:r>
            <w:r w:rsidRPr="001E04FD">
              <w:t>174/2011</w:t>
            </w:r>
            <w:r w:rsidRPr="001E04FD">
              <w:rPr>
                <w:vertAlign w:val="superscript"/>
              </w:rPr>
              <w:t>23</w:t>
            </w:r>
            <w:r w:rsidRPr="001E04FD">
              <w:t xml:space="preserve"> en (EU) nr. 1176/2011</w:t>
            </w:r>
            <w:r w:rsidRPr="001E04FD">
              <w:rPr>
                <w:vertAlign w:val="superscript"/>
              </w:rPr>
              <w:t>24</w:t>
            </w:r>
            <w:r w:rsidRPr="001E04FD">
              <w:t xml:space="preserve"> van het Europees Parlement en de Raad. Voor het toezicht op </w:t>
            </w:r>
            <w:r w:rsidRPr="001E04FD">
              <w:lastRenderedPageBreak/>
              <w:t>deze economische en werkgelegenheidsontwikkelingen</w:t>
            </w:r>
            <w:r w:rsidRPr="001E04FD">
              <w:rPr>
                <w:b/>
                <w:i/>
              </w:rPr>
              <w:t xml:space="preserve"> en de ontwikkelingen op het gebied van sociale convergentie</w:t>
            </w:r>
            <w:r w:rsidRPr="001E04FD">
              <w:t xml:space="preserve"> moeten de lidstaten informatie verstrekken in de v</w:t>
            </w:r>
            <w:r w:rsidRPr="001E04FD">
              <w:t>orm van budgettair-structurele plannen voor de middellange termijn.</w:t>
            </w:r>
          </w:p>
        </w:tc>
      </w:tr>
      <w:tr w:rsidR="003309C2" w:rsidRPr="001E04FD" w:rsidTr="00C33FBD">
        <w:trPr>
          <w:jc w:val="center"/>
        </w:trPr>
        <w:tc>
          <w:tcPr>
            <w:tcW w:w="4876" w:type="dxa"/>
            <w:hideMark/>
          </w:tcPr>
          <w:p w:rsidR="00AF0131" w:rsidRPr="001E04FD" w:rsidRDefault="00651F13" w:rsidP="00C33FBD">
            <w:pPr>
              <w:pStyle w:val="Normal6"/>
            </w:pPr>
            <w:r w:rsidRPr="001E04FD">
              <w:lastRenderedPageBreak/>
              <w:t>__________________</w:t>
            </w:r>
          </w:p>
        </w:tc>
        <w:tc>
          <w:tcPr>
            <w:tcW w:w="4876" w:type="dxa"/>
            <w:hideMark/>
          </w:tcPr>
          <w:p w:rsidR="00AF0131" w:rsidRPr="001E04FD" w:rsidRDefault="00651F13" w:rsidP="00C33FBD">
            <w:pPr>
              <w:pStyle w:val="Normal6"/>
              <w:rPr>
                <w:szCs w:val="24"/>
              </w:rPr>
            </w:pPr>
            <w:r w:rsidRPr="001E04FD">
              <w:t>__________________</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23</w:t>
            </w:r>
            <w:r w:rsidRPr="001E04FD">
              <w:t xml:space="preserve"> Verordening (EU) nr. 1174/2011 van het Europees Parlement en de Raad van 16 november 2011 betreffende handhavingsmaatregelen voor de correctie va</w:t>
            </w:r>
            <w:r w:rsidRPr="001E04FD">
              <w:t>n buitensporige macro-economische onevenwichtigheden in het eurogebied (PB L 306 van 23.11.2011, blz. 8).</w:t>
            </w:r>
          </w:p>
        </w:tc>
        <w:tc>
          <w:tcPr>
            <w:tcW w:w="4876" w:type="dxa"/>
            <w:hideMark/>
          </w:tcPr>
          <w:p w:rsidR="00AF0131" w:rsidRPr="001E04FD" w:rsidRDefault="00651F13" w:rsidP="00C33FBD">
            <w:pPr>
              <w:pStyle w:val="Normal6"/>
              <w:rPr>
                <w:szCs w:val="24"/>
              </w:rPr>
            </w:pPr>
            <w:r w:rsidRPr="001E04FD">
              <w:rPr>
                <w:vertAlign w:val="superscript"/>
              </w:rPr>
              <w:t>23</w:t>
            </w:r>
            <w:r w:rsidRPr="001E04FD">
              <w:t xml:space="preserve"> Verordening (EU) nr. 1174/2011 van het Europees Parlement en de Raad van 16 november 2011 betreffende handhavingsmaatregelen voor de correctie van </w:t>
            </w:r>
            <w:r w:rsidRPr="001E04FD">
              <w:t>buitensporige macro-economische onevenwichtigheden in het eurogebied (PB L 306 van 23.11.2011, blz. 8).</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24</w:t>
            </w:r>
            <w:r w:rsidRPr="001E04FD">
              <w:t xml:space="preserve"> Verordening (EU) nr. 1176/2011 van het Europees Parlement en de Raad van 16 november 2011 betreffende de preventie en correctie van macro-economisch</w:t>
            </w:r>
            <w:r w:rsidRPr="001E04FD">
              <w:t>e onevenwichtigheden (PB L 306 van 23.11.2011, blz. 25).</w:t>
            </w:r>
          </w:p>
        </w:tc>
        <w:tc>
          <w:tcPr>
            <w:tcW w:w="4876" w:type="dxa"/>
            <w:hideMark/>
          </w:tcPr>
          <w:p w:rsidR="00AF0131" w:rsidRPr="001E04FD" w:rsidRDefault="00651F13" w:rsidP="00C33FBD">
            <w:pPr>
              <w:pStyle w:val="Normal6"/>
              <w:rPr>
                <w:szCs w:val="24"/>
              </w:rPr>
            </w:pPr>
            <w:r w:rsidRPr="001E04FD">
              <w:rPr>
                <w:vertAlign w:val="superscript"/>
              </w:rPr>
              <w:t>24</w:t>
            </w:r>
            <w:r w:rsidRPr="001E04FD">
              <w:t xml:space="preserve"> Verordening (EU) nr. 1176/2011 van het Europees Parlement en de Raad van 16 november 2011 betreffende de preventie en correctie van macro-economische onevenwichtigheden (PB L 306 van 23.11.2011, b</w:t>
            </w:r>
            <w:r w:rsidRPr="001E04FD">
              <w:t>lz. 25).</w:t>
            </w:r>
          </w:p>
        </w:tc>
      </w:tr>
    </w:tbl>
    <w:p w:rsidR="00AF0131" w:rsidRPr="001E04FD" w:rsidRDefault="00651F13" w:rsidP="00C56375">
      <w:pPr>
        <w:rPr>
          <w:rStyle w:val="HideTWBExt"/>
          <w:rFonts w:eastAsiaTheme="majorEastAsia"/>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7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(7 bis)</w:t>
            </w:r>
            <w:r w:rsidRPr="001E04FD">
              <w:rPr>
                <w:b/>
                <w:i/>
              </w:rPr>
              <w:tab/>
              <w:t xml:space="preserve">Om opwaartse sociale convergentie te </w:t>
            </w:r>
            <w:r w:rsidRPr="001E04FD">
              <w:rPr>
                <w:b/>
                <w:i/>
              </w:rPr>
              <w:t>bevorderen, wordt de procedure voor multilateraal toezicht van artikel 148, lid 4, VWEU aangevuld met een systeem voor vroegtijdige waarschuwing in het kader van het Europees semester (kader voor sociale convergentie). Binnen het kader voor sociale converg</w:t>
            </w:r>
            <w:r w:rsidRPr="001E04FD">
              <w:rPr>
                <w:b/>
                <w:i/>
              </w:rPr>
              <w:t>entie stelt de Commissie overeenkomstig artikel 148 VWEU eerst in het gezamenlijk verslag over de werkgelegenheid risico’s voor opwaartse convergentie voor de lidstaten vast op basis van de kernindicatoren van het sociaal scorebord. In de tweede fase bepaa</w:t>
            </w:r>
            <w:r w:rsidRPr="001E04FD">
              <w:rPr>
                <w:b/>
                <w:i/>
              </w:rPr>
              <w:t xml:space="preserve">lt de Commissie welke lidstaten nader onderzoek vereisen en publiceert zij de “verslagen over sociale convergentie” </w:t>
            </w:r>
            <w:r w:rsidRPr="001E04FD">
              <w:rPr>
                <w:b/>
                <w:i/>
              </w:rPr>
              <w:lastRenderedPageBreak/>
              <w:t>voor de lidstaten waarvan is vastgesteld dat zij risico’s voor opwaartse sociale convergentie lopen. De landspecifieke conclusies van de mul</w:t>
            </w:r>
            <w:r w:rsidRPr="001E04FD">
              <w:rPr>
                <w:b/>
                <w:i/>
              </w:rPr>
              <w:t>tilaterale toezichtactiviteiten op grond van het nieuwe kader moeten input leveren voor de reflectie van de Commissie over de voorstellen voor landspecifieke aanbevelingen.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5</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 xml:space="preserve">Voorstel voor een </w:t>
      </w:r>
      <w:r w:rsidRPr="001E04FD">
        <w:t>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8</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(8)</w:t>
            </w:r>
            <w:r w:rsidRPr="001E04FD">
              <w:tab/>
              <w:t xml:space="preserve">Daarom moeten gedetailleerde regels worden vastgesteld met betrekking tot de inhoud, indiening, beoordeling en monitoring van de nationale </w:t>
            </w:r>
            <w:r w:rsidRPr="001E04FD">
              <w:t>budgettair-structurele plannen voor de middellange termijn, teneinde de houdbaarheid van de schuld en duurzame en inclusieve groei in de lidstaten te bevorderen en buitensporige overheidstekorten te voorkomen door middel van planning op middellange termijn</w:t>
            </w:r>
            <w:r w:rsidRPr="001E04FD">
              <w:t>.</w:t>
            </w:r>
          </w:p>
        </w:tc>
        <w:tc>
          <w:tcPr>
            <w:tcW w:w="4876" w:type="dxa"/>
            <w:hideMark/>
          </w:tcPr>
          <w:p w:rsidR="00AF0131" w:rsidRPr="001E04FD" w:rsidRDefault="00651F13" w:rsidP="00C33FBD">
            <w:pPr>
              <w:pStyle w:val="Normal6"/>
              <w:rPr>
                <w:szCs w:val="24"/>
              </w:rPr>
            </w:pPr>
            <w:r w:rsidRPr="001E04FD">
              <w:t>(8)</w:t>
            </w:r>
            <w:r w:rsidRPr="001E04FD">
              <w:tab/>
              <w:t xml:space="preserve">Daarom moeten gedetailleerde regels worden vastgesteld met betrekking tot de inhoud, indiening, beoordeling en monitoring van de nationale budgettair-structurele plannen voor de middellange termijn, teneinde de houdbaarheid van de schuld en duurzame </w:t>
            </w:r>
            <w:r w:rsidRPr="001E04FD">
              <w:t xml:space="preserve">en inclusieve groei </w:t>
            </w:r>
            <w:r w:rsidRPr="001E04FD">
              <w:rPr>
                <w:b/>
                <w:i/>
              </w:rPr>
              <w:t xml:space="preserve">en opwaartse sociale convergentie </w:t>
            </w:r>
            <w:r w:rsidRPr="001E04FD">
              <w:t>in de lidstaten te bevorderen en buitensporige overheidstekorten te voorkomen door middel van planning op middellange termijn.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6</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 xml:space="preserve">Voorstel voor een </w:t>
      </w:r>
      <w:r w:rsidRPr="001E04FD">
        <w:t>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9</w:t>
      </w:r>
      <w:r w:rsidRPr="001E04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(9)</w:t>
            </w:r>
            <w:r w:rsidRPr="001E04FD">
              <w:tab/>
              <w:t xml:space="preserve">De nationale budgettair-structurele plannen voor de middellange termijn moeten de budgettaire, structurele hervormingen en </w:t>
            </w:r>
            <w:r w:rsidRPr="001E04FD">
              <w:t xml:space="preserve">investeringsverbintenissen van elke lidstaat samenbrengen en deze plannen moeten de hoeksteen vormen van het kader voor economische governance van de Unie. Elke lidstaat moet een </w:t>
            </w:r>
            <w:r w:rsidRPr="001E04FD">
              <w:lastRenderedPageBreak/>
              <w:t>middellangetermijnplan indienen met zijn begrotingstraject en prioritaire toe</w:t>
            </w:r>
            <w:r w:rsidRPr="001E04FD">
              <w:t>zeggingen inzake overheidsinvesteringen en hervormingen die samen zorgen voor een duurzame en geleidelijke schuldreductie en duurzame en inclusieve groei, waarbij een procyclisch begrotingsbeleid wordt vermeden, alsook bredere hervormings- en investeringsv</w:t>
            </w:r>
            <w:r w:rsidRPr="001E04FD">
              <w:t>erbintenissen, onder meer met betrekking tot de groene en de digitale transitie, de sociale en economische veerkracht en de uitvoering van de Europese pijler van sociale rechten. Tijdens de looptijd van de herstel- en veerkrachtfaciliteit</w:t>
            </w:r>
            <w:r w:rsidRPr="001E04FD">
              <w:rPr>
                <w:vertAlign w:val="superscript"/>
              </w:rPr>
              <w:t>25</w:t>
            </w:r>
            <w:r w:rsidRPr="001E04FD">
              <w:t xml:space="preserve"> moet terdege re</w:t>
            </w:r>
            <w:r w:rsidRPr="001E04FD">
              <w:t>kening worden gehouden met de in de nationale plannen voor herstel en veerkracht gedane toezeggingen.</w:t>
            </w:r>
          </w:p>
        </w:tc>
        <w:tc>
          <w:tcPr>
            <w:tcW w:w="4876" w:type="dxa"/>
            <w:hideMark/>
          </w:tcPr>
          <w:p w:rsidR="00AF0131" w:rsidRPr="001E04FD" w:rsidRDefault="00651F13" w:rsidP="00C33FBD">
            <w:pPr>
              <w:pStyle w:val="Normal6"/>
              <w:rPr>
                <w:szCs w:val="24"/>
              </w:rPr>
            </w:pPr>
            <w:r w:rsidRPr="001E04FD">
              <w:lastRenderedPageBreak/>
              <w:t>(9)</w:t>
            </w:r>
            <w:r w:rsidRPr="001E04FD">
              <w:tab/>
              <w:t xml:space="preserve">De nationale budgettair-structurele plannen voor de middellange termijn moeten de budgettaire, structurele hervormingen en investeringsverbintenissen </w:t>
            </w:r>
            <w:r w:rsidRPr="001E04FD">
              <w:t xml:space="preserve">van elke lidstaat samenbrengen en deze plannen moeten de hoeksteen vormen van het kader voor economische </w:t>
            </w:r>
            <w:r w:rsidRPr="001E04FD">
              <w:rPr>
                <w:b/>
                <w:i/>
              </w:rPr>
              <w:t xml:space="preserve">en sociale </w:t>
            </w:r>
            <w:r w:rsidRPr="001E04FD">
              <w:t xml:space="preserve">governance van de Unie. Elke lidstaat moet een </w:t>
            </w:r>
            <w:r w:rsidRPr="001E04FD">
              <w:lastRenderedPageBreak/>
              <w:t>middellangetermijnplan indienen met zijn begrotingstraject en prioritaire toezeggingen inzake</w:t>
            </w:r>
            <w:r w:rsidRPr="001E04FD">
              <w:t xml:space="preserve"> overheidsinvesteringen en hervormingen die samen zorgen voor een duurzame en geleidelijke schuldreductie en duurzame en inclusieve groei, waarbij een procyclisch begrotingsbeleid wordt vermeden, alsook bredere hervormings- en investeringsverbintenissen, o</w:t>
            </w:r>
            <w:r w:rsidRPr="001E04FD">
              <w:t>nder meer met betrekking tot de groene en de digitale transitie, de sociale en economische veerkracht en de uitvoering van de Europese pijler van sociale rechten</w:t>
            </w:r>
            <w:r w:rsidRPr="001E04FD">
              <w:rPr>
                <w:b/>
                <w:i/>
              </w:rPr>
              <w:t>, met inbegrip van de bijbehorende doelstellingen inzake werkgelegenheid, vaardigheden en armoe</w:t>
            </w:r>
            <w:r w:rsidRPr="001E04FD">
              <w:rPr>
                <w:b/>
                <w:i/>
              </w:rPr>
              <w:t>debestrijding tegen 2030</w:t>
            </w:r>
            <w:r w:rsidRPr="001E04FD">
              <w:rPr>
                <w:b/>
                <w:i/>
                <w:vertAlign w:val="superscript"/>
              </w:rPr>
              <w:t>1bis</w:t>
            </w:r>
            <w:r w:rsidRPr="001E04FD">
              <w:t>. Tijdens de looptijd van de herstel- en veerkrachtfaciliteit</w:t>
            </w:r>
            <w:r w:rsidRPr="001E04FD">
              <w:rPr>
                <w:vertAlign w:val="superscript"/>
              </w:rPr>
              <w:t>25</w:t>
            </w:r>
            <w:r w:rsidRPr="001E04FD">
              <w:t xml:space="preserve"> moet terdege rekening worden gehouden met de in de nationale plannen voor herstel en veerkracht gedane toezeggingen.</w:t>
            </w:r>
          </w:p>
        </w:tc>
      </w:tr>
      <w:tr w:rsidR="003309C2" w:rsidRPr="001E04FD" w:rsidTr="00C33FBD">
        <w:trPr>
          <w:jc w:val="center"/>
        </w:trPr>
        <w:tc>
          <w:tcPr>
            <w:tcW w:w="4876" w:type="dxa"/>
            <w:hideMark/>
          </w:tcPr>
          <w:p w:rsidR="00AF0131" w:rsidRPr="001E04FD" w:rsidRDefault="00651F13" w:rsidP="00C33FBD">
            <w:pPr>
              <w:pStyle w:val="Normal6"/>
            </w:pPr>
            <w:r w:rsidRPr="001E04FD">
              <w:lastRenderedPageBreak/>
              <w:t>__________________</w:t>
            </w:r>
          </w:p>
        </w:tc>
        <w:tc>
          <w:tcPr>
            <w:tcW w:w="4876" w:type="dxa"/>
            <w:hideMark/>
          </w:tcPr>
          <w:p w:rsidR="00AF0131" w:rsidRPr="001E04FD" w:rsidRDefault="00651F13" w:rsidP="00C33FBD">
            <w:pPr>
              <w:pStyle w:val="Normal6"/>
              <w:rPr>
                <w:szCs w:val="24"/>
              </w:rPr>
            </w:pPr>
            <w:r w:rsidRPr="001E04FD">
              <w:t>__________________</w:t>
            </w:r>
          </w:p>
        </w:tc>
      </w:tr>
      <w:tr w:rsidR="003309C2" w:rsidRPr="001E04FD" w:rsidTr="00C33FBD">
        <w:trPr>
          <w:jc w:val="center"/>
        </w:trPr>
        <w:tc>
          <w:tcPr>
            <w:tcW w:w="4876" w:type="dxa"/>
          </w:tcPr>
          <w:p w:rsidR="00AF0131" w:rsidRPr="001E04FD" w:rsidRDefault="00AF0131" w:rsidP="00C33FBD">
            <w:pPr>
              <w:pStyle w:val="Normal6"/>
              <w:rPr>
                <w:vertAlign w:val="superscript"/>
              </w:rPr>
            </w:pPr>
          </w:p>
        </w:tc>
        <w:tc>
          <w:tcPr>
            <w:tcW w:w="4876" w:type="dxa"/>
          </w:tcPr>
          <w:p w:rsidR="00AF0131" w:rsidRPr="001E04FD" w:rsidRDefault="00651F13" w:rsidP="00C33FBD">
            <w:pPr>
              <w:pStyle w:val="Normal6"/>
              <w:rPr>
                <w:vertAlign w:val="superscript"/>
              </w:rPr>
            </w:pPr>
            <w:r w:rsidRPr="001E04FD">
              <w:rPr>
                <w:b/>
                <w:i/>
                <w:vertAlign w:val="superscript"/>
              </w:rPr>
              <w:t>25bis</w:t>
            </w:r>
            <w:r w:rsidRPr="001E04FD">
              <w:rPr>
                <w:b/>
                <w:i/>
              </w:rPr>
              <w:t xml:space="preserve"> </w:t>
            </w:r>
            <w:r w:rsidRPr="001E04FD">
              <w:rPr>
                <w:b/>
                <w:i/>
              </w:rPr>
              <w:t>Mededeling van de Commissie aan het Europees Parlement, de Raad, het Europees Economisch en Sociaal Comité en het Comité van de Regio’s Het actieplan voor de Europese pijler van sociale rechten van 4 maart 2021, (COM(2021)0102).</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25</w:t>
            </w:r>
            <w:r w:rsidRPr="001E04FD">
              <w:t xml:space="preserve"> Verordening (EU) 2021/2</w:t>
            </w:r>
            <w:r w:rsidRPr="001E04FD">
              <w:t>41 van het Europees Parlement en de Raad van 12 februari 2021 tot instelling van de herstel- en veerkrachtfaciliteit (PB L 57 van 18.2.2021, blz. 17).</w:t>
            </w:r>
          </w:p>
        </w:tc>
        <w:tc>
          <w:tcPr>
            <w:tcW w:w="4876" w:type="dxa"/>
            <w:hideMark/>
          </w:tcPr>
          <w:p w:rsidR="00AF0131" w:rsidRPr="001E04FD" w:rsidRDefault="00651F13" w:rsidP="00C33FBD">
            <w:pPr>
              <w:pStyle w:val="Normal6"/>
              <w:rPr>
                <w:szCs w:val="24"/>
              </w:rPr>
            </w:pPr>
            <w:r w:rsidRPr="001E04FD">
              <w:rPr>
                <w:vertAlign w:val="superscript"/>
              </w:rPr>
              <w:t>25</w:t>
            </w:r>
            <w:r w:rsidRPr="001E04FD">
              <w:t xml:space="preserve"> Verordening (EU) 2021/241 van het Europees Parlement en de Raad van 12 februari 2021 tot instelling va</w:t>
            </w:r>
            <w:r w:rsidRPr="001E04FD">
              <w:t>n de herstel- en veerkrachtfaciliteit (PB L 57 van 18.2.2021, blz. 17).</w:t>
            </w:r>
          </w:p>
        </w:tc>
      </w:tr>
    </w:tbl>
    <w:p w:rsidR="002D23D0" w:rsidRPr="001E04FD" w:rsidRDefault="00651F13" w:rsidP="00C56375">
      <w:pPr>
        <w:rPr>
          <w:rFonts w:eastAsiaTheme="majorEastAsia"/>
        </w:rPr>
      </w:pPr>
      <w:r w:rsidRPr="001E04FD">
        <w:rPr>
          <w:rStyle w:val="HideTWBExt"/>
        </w:rPr>
        <w:t>&lt;/Amend&gt;</w:t>
      </w:r>
    </w:p>
    <w:p w:rsidR="00AF0131" w:rsidRPr="001E04FD" w:rsidRDefault="00651F13" w:rsidP="002D23D0">
      <w:pPr>
        <w:pStyle w:val="AmNumberTabs"/>
      </w:pPr>
      <w:r w:rsidRPr="001E04FD">
        <w:rPr>
          <w:rStyle w:val="HideTWBExt"/>
        </w:rPr>
        <w:t>&lt;Amend&gt;</w:t>
      </w:r>
      <w:r w:rsidRPr="001E04FD">
        <w:t>Amendement</w:t>
      </w:r>
      <w:r w:rsidRPr="001E04FD">
        <w:tab/>
      </w:r>
      <w:r w:rsidRPr="001E04FD">
        <w:tab/>
      </w:r>
      <w:r w:rsidRPr="001E04FD">
        <w:rPr>
          <w:rStyle w:val="HideTWBExt"/>
          <w:b w:val="0"/>
        </w:rPr>
        <w:t>&lt;NumAm&gt;</w:t>
      </w:r>
      <w:r w:rsidRPr="001E04FD">
        <w:t>7</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10</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(10)</w:t>
            </w:r>
            <w:r w:rsidRPr="001E04FD">
              <w:tab/>
              <w:t xml:space="preserve">De fondsen voor het cohesiebeleid worden ook gesynchroniseerd met het proces van het Europees Semester. </w:t>
            </w:r>
            <w:r w:rsidRPr="001E04FD">
              <w:lastRenderedPageBreak/>
              <w:t xml:space="preserve">Investeringen en hervormingen in het kader van het cohesiebeleid vormen het investeringsbeleid voor de lange termijn van de EU-begroting en moeten </w:t>
            </w:r>
            <w:r w:rsidRPr="001E04FD">
              <w:t>dan ook naar behoren in aanmerking worden genomen bij het opstellen van de nationale budgettair-structurele plannen voor de middellange termijn. Elke lidstaat moet ook toelichten hoe zijn nationaal budgettair-structureel plan voor de middellange termijn za</w:t>
            </w:r>
            <w:r w:rsidRPr="001E04FD">
              <w:t>l zorgen voor samenhang met de uitgaven voor EU-programma’s die volledig met inkomsten uit EU-fondsen en de desbetreffende nationale medefinanciering worden gefinancierd.</w:t>
            </w:r>
          </w:p>
        </w:tc>
        <w:tc>
          <w:tcPr>
            <w:tcW w:w="4876" w:type="dxa"/>
            <w:hideMark/>
          </w:tcPr>
          <w:p w:rsidR="00AF0131" w:rsidRPr="001E04FD" w:rsidRDefault="00651F13" w:rsidP="00C33FBD">
            <w:pPr>
              <w:pStyle w:val="Normal6"/>
              <w:rPr>
                <w:szCs w:val="24"/>
              </w:rPr>
            </w:pPr>
            <w:r w:rsidRPr="001E04FD">
              <w:lastRenderedPageBreak/>
              <w:t>(10)</w:t>
            </w:r>
            <w:r w:rsidRPr="001E04FD">
              <w:tab/>
              <w:t>De fondsen voor het cohesiebeleid worden ook gesynchroniseerd met het proces van</w:t>
            </w:r>
            <w:r w:rsidRPr="001E04FD">
              <w:t xml:space="preserve"> het Europees Semester. </w:t>
            </w:r>
            <w:r w:rsidRPr="001E04FD">
              <w:lastRenderedPageBreak/>
              <w:t xml:space="preserve">Investeringen en hervormingen in het kader van het cohesiebeleid vormen het investeringsbeleid voor de lange termijn van de EU-begroting </w:t>
            </w:r>
            <w:r w:rsidRPr="001E04FD">
              <w:rPr>
                <w:b/>
                <w:i/>
              </w:rPr>
              <w:t xml:space="preserve">ter versterking van de economische, sociale en territoriale samenhang, </w:t>
            </w:r>
            <w:r w:rsidRPr="001E04FD">
              <w:t xml:space="preserve">en moeten dan ook naar </w:t>
            </w:r>
            <w:r w:rsidRPr="001E04FD">
              <w:t>behoren in aanmerking worden genomen bij het opstellen van de nationale budgettair-structurele plannen voor de middellange termijn. Elke lidstaat moet ook toelichten hoe zijn nationaal budgettair-structureel plan voor de middellange termijn zal zorgen voor</w:t>
            </w:r>
            <w:r w:rsidRPr="001E04FD">
              <w:t xml:space="preserve"> samenhang met de uitgaven voor EU-programma’s die volledig met inkomsten uit EU-fondsen en de desbetreffende nationale medefinanciering worden gefinancierd.</w:t>
            </w:r>
          </w:p>
        </w:tc>
      </w:tr>
    </w:tbl>
    <w:p w:rsidR="00AF0131" w:rsidRPr="001E04FD" w:rsidRDefault="00651F13" w:rsidP="00C56375">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8</w:t>
      </w:r>
      <w:r w:rsidRPr="001E04FD">
        <w:rPr>
          <w:rStyle w:val="HideTWBExt"/>
          <w:b w:val="0"/>
        </w:rPr>
        <w:t>&lt;/NumAm&gt;</w:t>
      </w:r>
    </w:p>
    <w:p w:rsidR="00AF0131" w:rsidRPr="001E04FD" w:rsidRDefault="00AF0131" w:rsidP="00AF0131">
      <w:pPr>
        <w:rPr>
          <w:b/>
        </w:rPr>
      </w:pPr>
    </w:p>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13</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(13)</w:t>
            </w:r>
            <w:r w:rsidRPr="001E04FD">
              <w:tab/>
              <w:t xml:space="preserve">Om de lidstaten richtsnoeren te verstrekken bij het opstellen van hun budgettair-structureel plan voor de middellange termijn, moet de Commissie een technisch traject </w:t>
            </w:r>
            <w:r w:rsidRPr="001E04FD">
              <w:t xml:space="preserve">voorstellen op basis van de minimale begrotingsaanpassing die het schuldtraject van de lidstaat op een plausibel neerwaarts pad brengt of de schuld op een prudent niveau houdt. De Commissie moet er ook voor zorgen dat de overheidsschuldquote aan het einde </w:t>
            </w:r>
            <w:r w:rsidRPr="001E04FD">
              <w:t xml:space="preserve">van de planningshorizon onder het niveau van de overheidsschuldquote in het jaar vóór de aanvang van het technische traject is gebracht. </w:t>
            </w:r>
            <w:r w:rsidRPr="001E04FD">
              <w:rPr>
                <w:b/>
                <w:i/>
              </w:rPr>
              <w:t>De houdbaarheid van die schuldreductie moet het resultaat zijn van een passend begrotingsbeleid.</w:t>
            </w:r>
          </w:p>
        </w:tc>
        <w:tc>
          <w:tcPr>
            <w:tcW w:w="4876" w:type="dxa"/>
            <w:hideMark/>
          </w:tcPr>
          <w:p w:rsidR="00AF0131" w:rsidRPr="001E04FD" w:rsidRDefault="00651F13" w:rsidP="00C33FBD">
            <w:pPr>
              <w:pStyle w:val="Normal6"/>
              <w:rPr>
                <w:szCs w:val="24"/>
              </w:rPr>
            </w:pPr>
            <w:r w:rsidRPr="001E04FD">
              <w:t>(13)</w:t>
            </w:r>
            <w:r w:rsidRPr="001E04FD">
              <w:tab/>
              <w:t xml:space="preserve">Om de lidstaten </w:t>
            </w:r>
            <w:r w:rsidRPr="001E04FD">
              <w:t>richtsnoeren te verstrekken bij het opstellen van hun budgettair-structureel plan voor de middellange termijn, moet de Commissie een technisch traject voorstellen op basis van de minimale begrotingsaanpassing die het schuldtraject van de lidstaat op een pl</w:t>
            </w:r>
            <w:r w:rsidRPr="001E04FD">
              <w:t>ausibel neerwaarts pad brengt of de schuld op een prudent niveau houdt</w:t>
            </w:r>
            <w:r w:rsidRPr="001E04FD">
              <w:rPr>
                <w:b/>
                <w:i/>
              </w:rPr>
              <w:t>, en daarbij tevens rekening houden met de gerichte investeringen die nodig zijn om de gemeenschappelijke prioriteiten van de Unie te verwezenlijken</w:t>
            </w:r>
            <w:r w:rsidRPr="001E04FD">
              <w:t>. De Commissie moet er ook voor zorgen</w:t>
            </w:r>
            <w:r w:rsidRPr="001E04FD">
              <w:t xml:space="preserve"> dat de overheidsschuldquote aan het einde van de planningshorizon onder het niveau van de overheidsschuldquote in het jaar vóór de aanvang van het technische traject is gebracht.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C56375">
      <w:pPr>
        <w:pStyle w:val="AmNumberTabs"/>
      </w:pPr>
      <w:r w:rsidRPr="001E04FD">
        <w:rPr>
          <w:rStyle w:val="HideTWBExt"/>
          <w:b w:val="0"/>
        </w:rPr>
        <w:lastRenderedPageBreak/>
        <w:t>&lt;Amend&gt;</w:t>
      </w:r>
      <w:r w:rsidRPr="001E04FD">
        <w:t>Amendement</w:t>
      </w:r>
      <w:r w:rsidRPr="001E04FD">
        <w:tab/>
      </w:r>
      <w:r w:rsidRPr="001E04FD">
        <w:tab/>
      </w:r>
      <w:r w:rsidRPr="001E04FD">
        <w:rPr>
          <w:rStyle w:val="HideTWBExt"/>
          <w:b w:val="0"/>
        </w:rPr>
        <w:t>&lt;NumAm&gt;</w:t>
      </w:r>
      <w:r w:rsidRPr="001E04FD">
        <w:t>9</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w:t>
      </w:r>
      <w:r w:rsidRPr="001E04FD">
        <w:t>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Overweging 22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(22)</w:t>
            </w:r>
            <w:r w:rsidRPr="001E04FD">
              <w:tab/>
              <w:t xml:space="preserve">Met het oog op een meer geleidelijke schuldreductie kan de aanpassingsperiode met een maximumtermijn van drie jaar worden verlengd indien de </w:t>
            </w:r>
            <w:r w:rsidRPr="001E04FD">
              <w:t xml:space="preserve">lidstaat zijn budgettair-structureel plan voor de middellange termijn ondersteunt met een reeks verifieerbare en tijdgebonden hervormingen en investeringen die in hun geheel genomen: </w:t>
            </w:r>
            <w:r w:rsidRPr="001E04FD">
              <w:rPr>
                <w:b/>
                <w:i/>
              </w:rPr>
              <w:t>groeibevorderend zijn</w:t>
            </w:r>
            <w:r w:rsidRPr="001E04FD">
              <w:t xml:space="preserve">, de houdbaarheid van de begroting ondersteunen, de </w:t>
            </w:r>
            <w:r w:rsidRPr="001E04FD">
              <w:t>gemeenschappelijke prioriteiten van de Unie aanpakken, de relevante landspecifieke aanbevelingen die in het kader van het Europees Semester tot de lidstaat zijn gericht, en de landspecifieke investeringsprioriteiten aanpakken zonder te leiden tot bezuinigi</w:t>
            </w:r>
            <w:r w:rsidRPr="001E04FD">
              <w:t>ngen op andere nationaal gefinancierde overheidsinvesteringen gedurende de aanpassingsperiode, teneinde een macro-economisch effect van investeringen te waarborgen en te voorkomen dat andere investeringsprioriteiten worden verdrongen.</w:t>
            </w:r>
          </w:p>
        </w:tc>
        <w:tc>
          <w:tcPr>
            <w:tcW w:w="4876" w:type="dxa"/>
            <w:hideMark/>
          </w:tcPr>
          <w:p w:rsidR="00AF0131" w:rsidRPr="001E04FD" w:rsidRDefault="00651F13" w:rsidP="00C33FBD">
            <w:pPr>
              <w:pStyle w:val="Normal6"/>
              <w:rPr>
                <w:szCs w:val="24"/>
              </w:rPr>
            </w:pPr>
            <w:r w:rsidRPr="001E04FD">
              <w:t>(22)</w:t>
            </w:r>
            <w:r w:rsidRPr="001E04FD">
              <w:tab/>
              <w:t>Met het oog op e</w:t>
            </w:r>
            <w:r w:rsidRPr="001E04FD">
              <w:t>en meer geleidelijke schuldreductie kan de aanpassingsperiode met een maximumtermijn van drie jaar worden verlengd indien de lidstaat zijn budgettair-structureel plan voor de middellange termijn ondersteunt met een reeks verifieerbare en tijdgebonden hervo</w:t>
            </w:r>
            <w:r w:rsidRPr="001E04FD">
              <w:t xml:space="preserve">rmingen en investeringen die in hun geheel genomen: </w:t>
            </w:r>
            <w:r w:rsidRPr="001E04FD">
              <w:rPr>
                <w:b/>
                <w:i/>
              </w:rPr>
              <w:t>duurzame en inclusieve groei versterken, opwaartse sociale convergentie bevorderen</w:t>
            </w:r>
            <w:r w:rsidRPr="001E04FD">
              <w:t>, de houdbaarheid van de begroting ondersteunen, de gemeenschappelijke prioriteiten van de Unie aanpakken, de relevante la</w:t>
            </w:r>
            <w:r w:rsidRPr="001E04FD">
              <w:t>ndspecifieke aanbevelingen die in het kader van het Europees Semester tot de lidstaat zijn gericht, en de landspecifieke investeringsprioriteiten aanpakken zonder te leiden tot bezuinigingen op andere nationaal gefinancierde overheidsinvesteringen</w:t>
            </w:r>
            <w:r w:rsidRPr="001E04FD">
              <w:rPr>
                <w:b/>
                <w:i/>
              </w:rPr>
              <w:t>, met inb</w:t>
            </w:r>
            <w:r w:rsidRPr="001E04FD">
              <w:rPr>
                <w:b/>
                <w:i/>
              </w:rPr>
              <w:t>egrip van sociale investeringen,</w:t>
            </w:r>
            <w:r w:rsidRPr="001E04FD">
              <w:t xml:space="preserve"> gedurende de aanpassingsperiode, teneinde een macro-economisch effect van investeringen te waarborgen en te voorkomen dat andere investeringsprioriteiten worden verdrongen.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rPr>
          <w:rStyle w:val="HideTWBExt"/>
          <w:b w:val="0"/>
        </w:rPr>
        <w:t>&lt;NumAm&gt;</w:t>
      </w:r>
      <w:r w:rsidRPr="001E04FD">
        <w:t>10</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In deze verordening worden regels vastgesteld om een doeltreffende coördinatie van het economisch beleid van de </w:t>
            </w:r>
            <w:r w:rsidRPr="001E04FD">
              <w:t xml:space="preserve">lidstaten te waarborgen en aldus de verwezenlijking van de doelstellingen van </w:t>
            </w:r>
            <w:r w:rsidRPr="001E04FD">
              <w:lastRenderedPageBreak/>
              <w:t>de Unie inzake groei en werkgelegenheid te ondersteunen.</w:t>
            </w:r>
          </w:p>
        </w:tc>
        <w:tc>
          <w:tcPr>
            <w:tcW w:w="4876" w:type="dxa"/>
            <w:hideMark/>
          </w:tcPr>
          <w:p w:rsidR="00AF0131" w:rsidRPr="001E04FD" w:rsidRDefault="00651F13" w:rsidP="00C33FBD">
            <w:pPr>
              <w:pStyle w:val="Normal6"/>
              <w:rPr>
                <w:szCs w:val="24"/>
              </w:rPr>
            </w:pPr>
            <w:r w:rsidRPr="001E04FD">
              <w:lastRenderedPageBreak/>
              <w:t>In deze verordening worden regels vastgesteld om een doeltreffende coördinatie van het economisch beleid van de lidstaten</w:t>
            </w:r>
            <w:r w:rsidRPr="001E04FD">
              <w:t xml:space="preserve"> te waarborgen en aldus de verwezenlijking van de doelstellingen van </w:t>
            </w:r>
            <w:r w:rsidRPr="001E04FD">
              <w:lastRenderedPageBreak/>
              <w:t xml:space="preserve">de Unie inzake </w:t>
            </w:r>
            <w:r w:rsidRPr="001E04FD">
              <w:rPr>
                <w:b/>
                <w:i/>
              </w:rPr>
              <w:t xml:space="preserve">duurzame en inclusieve </w:t>
            </w:r>
            <w:r w:rsidRPr="001E04FD">
              <w:t>groei en</w:t>
            </w:r>
            <w:r w:rsidRPr="001E04FD">
              <w:rPr>
                <w:b/>
                <w:i/>
              </w:rPr>
              <w:t xml:space="preserve"> hoogwaardige</w:t>
            </w:r>
            <w:r w:rsidRPr="001E04FD">
              <w:t xml:space="preserve"> werkgelegenheid te ondersteunen.</w:t>
            </w:r>
          </w:p>
        </w:tc>
      </w:tr>
    </w:tbl>
    <w:p w:rsidR="00AF0131" w:rsidRPr="001E04FD" w:rsidRDefault="00651F13" w:rsidP="00AF0131">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11</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w:t>
      </w:r>
      <w:r w:rsidRPr="001E04FD">
        <w:rPr>
          <w:rStyle w:val="HideTWBExt"/>
          <w:b w:val="0"/>
        </w:rPr>
        <w:t>end&gt;</w:t>
      </w:r>
    </w:p>
    <w:p w:rsidR="00AF0131" w:rsidRPr="001E04FD" w:rsidRDefault="00651F13" w:rsidP="00AF0131">
      <w:pPr>
        <w:pStyle w:val="NormalBold"/>
      </w:pPr>
      <w:r w:rsidRPr="001E04FD">
        <w:rPr>
          <w:rStyle w:val="HideTWBExt"/>
          <w:b w:val="0"/>
        </w:rPr>
        <w:t>&lt;Article&gt;</w:t>
      </w:r>
      <w:r w:rsidRPr="001E04FD">
        <w:t>Artikel 1 – alinea 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De verordening bevat gedetailleerde regels met betrekking tot de inhoud, indiening, beoordeling en monitoring van de nationale budgettair-structurele plannen </w:t>
            </w:r>
            <w:r w:rsidRPr="001E04FD">
              <w:t>voor de middellange termijn als onderdeel van het multilateraal begrotingstoezicht door de Raad en Commissie, teneinde de houdbaarheid van de schuld</w:t>
            </w:r>
            <w:r w:rsidRPr="001E04FD">
              <w:rPr>
                <w:b/>
                <w:i/>
              </w:rPr>
              <w:t xml:space="preserve"> en</w:t>
            </w:r>
            <w:r w:rsidRPr="001E04FD">
              <w:t xml:space="preserve"> duurzame en inclusieve groei in de lidstaten te bevorderen en buitensporige overheidstekorten te voorkom</w:t>
            </w:r>
            <w:r w:rsidRPr="001E04FD">
              <w:t>en door middel van planning op middellange termijn.</w:t>
            </w:r>
          </w:p>
        </w:tc>
        <w:tc>
          <w:tcPr>
            <w:tcW w:w="4876" w:type="dxa"/>
            <w:hideMark/>
          </w:tcPr>
          <w:p w:rsidR="00AF0131" w:rsidRPr="001E04FD" w:rsidRDefault="00651F13" w:rsidP="00C33FBD">
            <w:pPr>
              <w:pStyle w:val="Normal6"/>
              <w:rPr>
                <w:szCs w:val="24"/>
              </w:rPr>
            </w:pPr>
            <w:r w:rsidRPr="001E04FD">
              <w:t>De verordening bevat gedetailleerde regels met betrekking tot de inhoud, indiening, beoordeling en monitoring van de nationale budgettair-structurele plannen voor de middellange termijn</w:t>
            </w:r>
            <w:r w:rsidRPr="001E04FD">
              <w:rPr>
                <w:b/>
                <w:i/>
              </w:rPr>
              <w:t>,</w:t>
            </w:r>
            <w:r w:rsidRPr="001E04FD">
              <w:t xml:space="preserve"> als onderdeel van</w:t>
            </w:r>
            <w:r w:rsidRPr="001E04FD">
              <w:t xml:space="preserve"> het multilateraal begrotingstoezicht door de Raad en Commissie, teneinde de houdbaarheid van de schuld</w:t>
            </w:r>
            <w:r w:rsidRPr="001E04FD">
              <w:rPr>
                <w:b/>
                <w:i/>
              </w:rPr>
              <w:t>,</w:t>
            </w:r>
            <w:r w:rsidRPr="001E04FD">
              <w:t xml:space="preserve"> duurzame en inclusieve groei </w:t>
            </w:r>
            <w:r w:rsidRPr="001E04FD">
              <w:rPr>
                <w:b/>
                <w:i/>
              </w:rPr>
              <w:t xml:space="preserve">en opwaartse sociale convergentie </w:t>
            </w:r>
            <w:r w:rsidRPr="001E04FD">
              <w:t>in de lidstaten te bevorderen en buitensporige overheidstekorten te voorkomen door midde</w:t>
            </w:r>
            <w:r w:rsidRPr="001E04FD">
              <w:t>l van planning op middellange termijn</w:t>
            </w:r>
            <w:r w:rsidRPr="001E04FD">
              <w:rPr>
                <w:b/>
                <w:i/>
              </w:rPr>
              <w:t>, met waarborging van de nodige investeringen op economisch en sociaal gebied die zijn afgestemd op de gemeenschappelijke prioriteiten van de Unie</w:t>
            </w:r>
            <w:r w:rsidRPr="001E04FD">
              <w: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C56375">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12</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w:t>
      </w:r>
      <w:r w:rsidRPr="001E04FD">
        <w:t xml:space="preserve">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3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Om te zorgen voor een nauwere coördinatie van het economisch </w:t>
            </w:r>
            <w:r w:rsidRPr="001E04FD">
              <w:rPr>
                <w:b/>
                <w:i/>
              </w:rPr>
              <w:t xml:space="preserve">beleid </w:t>
            </w:r>
            <w:r w:rsidRPr="001E04FD">
              <w:t xml:space="preserve">en </w:t>
            </w:r>
            <w:r w:rsidRPr="001E04FD">
              <w:rPr>
                <w:b/>
                <w:i/>
              </w:rPr>
              <w:t>een duurzame</w:t>
            </w:r>
            <w:r w:rsidRPr="001E04FD">
              <w:t xml:space="preserve"> convergentie van de economische en sociale prestaties van de lidstaten, oefenen de Raad en de Commissie in het kader van het Europees semester multilateraal toezicht uit overeenkomstig de doelstellingen en vereisten van het VWEU. Het multilaterale toezich</w:t>
            </w:r>
            <w:r w:rsidRPr="001E04FD">
              <w:t xml:space="preserve">t is gebaseerd op onafhankelijke </w:t>
            </w:r>
            <w:r w:rsidRPr="001E04FD">
              <w:lastRenderedPageBreak/>
              <w:t>statistieken van hoge kwaliteit die worden geproduceerd overeenkomstig de beginselen van Verordening (EG) nr. 223/2009 van het Europees Parlement en de Raad.</w:t>
            </w:r>
          </w:p>
        </w:tc>
        <w:tc>
          <w:tcPr>
            <w:tcW w:w="4876" w:type="dxa"/>
            <w:hideMark/>
          </w:tcPr>
          <w:p w:rsidR="00AF0131" w:rsidRPr="001E04FD" w:rsidRDefault="00651F13" w:rsidP="00C33FBD">
            <w:pPr>
              <w:pStyle w:val="Normal6"/>
              <w:rPr>
                <w:szCs w:val="24"/>
              </w:rPr>
            </w:pPr>
            <w:r w:rsidRPr="001E04FD">
              <w:lastRenderedPageBreak/>
              <w:t xml:space="preserve">Om te zorgen voor een nauwere coördinatie van het economisch en </w:t>
            </w:r>
            <w:r w:rsidRPr="001E04FD">
              <w:rPr>
                <w:b/>
                <w:i/>
              </w:rPr>
              <w:t>w</w:t>
            </w:r>
            <w:r w:rsidRPr="001E04FD">
              <w:rPr>
                <w:b/>
                <w:i/>
              </w:rPr>
              <w:t>erkgelegenheidsbeleid en opwaartse</w:t>
            </w:r>
            <w:r w:rsidRPr="001E04FD">
              <w:t xml:space="preserve"> convergentie van de economische en sociale prestaties van de lidstaten</w:t>
            </w:r>
            <w:r w:rsidRPr="001E04FD">
              <w:rPr>
                <w:b/>
                <w:i/>
              </w:rPr>
              <w:t xml:space="preserve"> in overeenstemming met de gemeenschappelijke prioriteiten van de Unie</w:t>
            </w:r>
            <w:r w:rsidRPr="001E04FD">
              <w:t>, oefenen de Raad en de Commissie in het kader van het Europees semester multilat</w:t>
            </w:r>
            <w:r w:rsidRPr="001E04FD">
              <w:t xml:space="preserve">eraal toezicht uit overeenkomstig </w:t>
            </w:r>
            <w:r w:rsidRPr="001E04FD">
              <w:lastRenderedPageBreak/>
              <w:t xml:space="preserve">de doelstellingen en vereisten van het VWEU. Het multilaterale toezicht is gebaseerd op onafhankelijke statistieken van hoge kwaliteit die worden geproduceerd overeenkomstig de beginselen van Verordening (EG) nr. 223/2009 </w:t>
            </w:r>
            <w:r w:rsidRPr="001E04FD">
              <w:t>van het Europees Parlement en de Raad.</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13</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3 – alinea 2 – punt b</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b)</w:t>
            </w:r>
            <w:r w:rsidRPr="001E04FD">
              <w:tab/>
            </w:r>
            <w:r w:rsidRPr="001E04FD">
              <w:t xml:space="preserve">de opstelling van en het toezicht op de uitvoering van de werkgelegenheidsrichtsnoeren waarmee de lidstaten overeenkomstig artikel 148, lid 2, VWEU rekening moeten houden, </w:t>
            </w:r>
            <w:r w:rsidRPr="001E04FD">
              <w:rPr>
                <w:b/>
                <w:i/>
              </w:rPr>
              <w:t xml:space="preserve">met inbegrip </w:t>
            </w:r>
            <w:r w:rsidRPr="001E04FD">
              <w:t>van de Europese pijler van sociale rechten, en van de daarmee verband h</w:t>
            </w:r>
            <w:r w:rsidRPr="001E04FD">
              <w:t>oudende landspecifieke aanbevelingen</w:t>
            </w:r>
            <w:r w:rsidRPr="001E04FD">
              <w:rPr>
                <w:b/>
                <w:i/>
              </w:rPr>
              <w:t>;</w:t>
            </w:r>
          </w:p>
        </w:tc>
        <w:tc>
          <w:tcPr>
            <w:tcW w:w="4876" w:type="dxa"/>
            <w:hideMark/>
          </w:tcPr>
          <w:p w:rsidR="00AF0131" w:rsidRPr="001E04FD" w:rsidRDefault="00651F13" w:rsidP="00C33FBD">
            <w:pPr>
              <w:pStyle w:val="Normal6"/>
              <w:rPr>
                <w:szCs w:val="24"/>
              </w:rPr>
            </w:pPr>
            <w:r w:rsidRPr="001E04FD">
              <w:t>b)</w:t>
            </w:r>
            <w:r w:rsidRPr="001E04FD">
              <w:tab/>
              <w:t>de opstelling van en het toezicht op de uitvoering van de werkgelegenheidsrichtsnoeren waarmee de lidstaten overeenkomstig artikel 148, lid 2, VWEU rekening moeten houden, van de Europese pijler van sociale rechten</w:t>
            </w:r>
            <w:r w:rsidRPr="001E04FD">
              <w:rPr>
                <w:b/>
                <w:i/>
              </w:rPr>
              <w:t xml:space="preserve"> </w:t>
            </w:r>
            <w:r w:rsidRPr="001E04FD">
              <w:rPr>
                <w:b/>
                <w:i/>
              </w:rPr>
              <w:t>en de kerndoelen daarvan</w:t>
            </w:r>
            <w:r w:rsidRPr="001E04FD">
              <w:t>, en van de daarmee verband houdende landspecifieke aanbevelingen</w:t>
            </w:r>
            <w:r w:rsidRPr="001E04FD">
              <w:rPr>
                <w:b/>
                <w:i/>
              </w:rPr>
              <w:t>, alsmede het sociaal scorebord en zijn kern- en secundaire indicatoren, en het kader voor sociale convergentie om risico’s op het gebied van sociale convergentie vast</w:t>
            </w:r>
            <w:r w:rsidRPr="001E04FD">
              <w:rPr>
                <w:b/>
                <w:i/>
              </w:rPr>
              <w:t xml:space="preserve"> te stellen en tegen te gaan.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14</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4 – lid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1.</w:t>
            </w:r>
            <w:r w:rsidRPr="001E04FD">
              <w:tab/>
              <w:t xml:space="preserve">Indien nodig doet de Raad naar </w:t>
            </w:r>
            <w:r w:rsidRPr="001E04FD">
              <w:t>aanleiding van de beoordeling overeenkomstig deze verordening van de budgettair-structurele plannen voor de middellange termijn, de jaarlijkse voortgangsverslagen en de sociaal-economische situatie van de betrokken lidstaten, op basis van aanbevelingen van</w:t>
            </w:r>
            <w:r w:rsidRPr="001E04FD">
              <w:t xml:space="preserve"> </w:t>
            </w:r>
            <w:r w:rsidRPr="001E04FD">
              <w:lastRenderedPageBreak/>
              <w:t>de Commissie, aanbevelingen aan deze lidstaten en maakt hij hierbij ten volle gebruik van de rechtsinstrumenten waarin de artikelen 121 en 148 VWEU en de daarmee verband houdende afgeleide wetgeving voorzien.</w:t>
            </w:r>
          </w:p>
        </w:tc>
        <w:tc>
          <w:tcPr>
            <w:tcW w:w="4876" w:type="dxa"/>
            <w:hideMark/>
          </w:tcPr>
          <w:p w:rsidR="00AF0131" w:rsidRPr="001E04FD" w:rsidRDefault="00651F13" w:rsidP="00C33FBD">
            <w:pPr>
              <w:pStyle w:val="Normal6"/>
              <w:rPr>
                <w:szCs w:val="24"/>
              </w:rPr>
            </w:pPr>
            <w:r w:rsidRPr="001E04FD">
              <w:lastRenderedPageBreak/>
              <w:t>1.</w:t>
            </w:r>
            <w:r w:rsidRPr="001E04FD">
              <w:tab/>
              <w:t>Indien nodig doet de Raad naar aanleiding v</w:t>
            </w:r>
            <w:r w:rsidRPr="001E04FD">
              <w:t xml:space="preserve">an de beoordeling overeenkomstig deze verordening van de budgettair-structurele plannen voor de middellange termijn, de jaarlijkse voortgangsverslagen en de sociaal-economische situatie van de betrokken lidstaten, op basis van aanbevelingen van </w:t>
            </w:r>
            <w:r w:rsidRPr="001E04FD">
              <w:lastRenderedPageBreak/>
              <w:t>de Commissi</w:t>
            </w:r>
            <w:r w:rsidRPr="001E04FD">
              <w:t xml:space="preserve">e, aanbevelingen aan deze lidstaten en maakt hij hierbij ten volle gebruik van de </w:t>
            </w:r>
            <w:r w:rsidRPr="001E04FD">
              <w:rPr>
                <w:b/>
                <w:i/>
              </w:rPr>
              <w:t xml:space="preserve">Europese pijler van sociale rechten en van de </w:t>
            </w:r>
            <w:r w:rsidRPr="001E04FD">
              <w:t>rechtsinstrumenten waarin de artikelen 121 en 148 VWEU en de daarmee verband houdende afgeleide wetgeving voorzien.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w:t>
      </w:r>
      <w:r w:rsidRPr="001E04FD">
        <w:rPr>
          <w:rStyle w:val="HideTWBExt"/>
          <w:b w:val="0"/>
        </w:rPr>
        <w:t>mend&gt;</w:t>
      </w:r>
      <w:r w:rsidRPr="001E04FD">
        <w:t>Amendement</w:t>
      </w:r>
      <w:r w:rsidRPr="001E04FD">
        <w:tab/>
      </w:r>
      <w:r w:rsidRPr="001E04FD">
        <w:tab/>
      </w:r>
      <w:r w:rsidRPr="001E04FD">
        <w:rPr>
          <w:rStyle w:val="HideTWBExt"/>
          <w:b w:val="0"/>
        </w:rPr>
        <w:t>&lt;NumAm&gt;</w:t>
      </w:r>
      <w:r w:rsidRPr="001E04FD">
        <w:t>15</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4 – lid 3 – punt b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b bis)</w:t>
            </w:r>
            <w:r w:rsidRPr="001E04FD">
              <w:rPr>
                <w:b/>
                <w:i/>
              </w:rPr>
              <w:tab/>
              <w:t xml:space="preserve">een aanbeveling van de Raad op basis van een </w:t>
            </w:r>
            <w:r w:rsidRPr="001E04FD">
              <w:rPr>
                <w:b/>
                <w:i/>
              </w:rPr>
              <w:t>voorstel van de Commissie overeenkomstig artikel 148, lid 4, VWEU, of aangepast aan de resultaten van het kader voor sociale convergentie;</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rPr>
          <w:rStyle w:val="HideTWBExt"/>
          <w:b w:val="0"/>
        </w:rPr>
        <w:t>&lt;NumAm&gt;</w:t>
      </w:r>
      <w:r w:rsidRPr="001E04FD">
        <w:t>16</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 xml:space="preserve">Artikel 7 </w:t>
      </w:r>
      <w:r w:rsidRPr="001E04FD">
        <w:t>– lid 1 – punt b</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b)</w:t>
            </w:r>
            <w:r w:rsidRPr="001E04FD">
              <w:tab/>
              <w:t>haar macro-economische prognoses en aannames;</w:t>
            </w:r>
          </w:p>
        </w:tc>
        <w:tc>
          <w:tcPr>
            <w:tcW w:w="4876" w:type="dxa"/>
            <w:hideMark/>
          </w:tcPr>
          <w:p w:rsidR="00AF0131" w:rsidRPr="001E04FD" w:rsidRDefault="00651F13" w:rsidP="00C33FBD">
            <w:pPr>
              <w:pStyle w:val="Normal6"/>
              <w:rPr>
                <w:szCs w:val="24"/>
              </w:rPr>
            </w:pPr>
            <w:r w:rsidRPr="001E04FD">
              <w:t>b)</w:t>
            </w:r>
            <w:r w:rsidRPr="001E04FD">
              <w:tab/>
              <w:t xml:space="preserve">haar macro-economische prognoses en aannames; </w:t>
            </w:r>
            <w:r w:rsidRPr="001E04FD">
              <w:rPr>
                <w:b/>
                <w:i/>
              </w:rPr>
              <w:t>haar prognoses en aannames met betrekking tot sociale risico’s;</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17</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11 – lid 1 – alinea 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Het nationale budgettair-structurele plan voor de middellange </w:t>
            </w:r>
            <w:r w:rsidRPr="001E04FD">
              <w:t xml:space="preserve">termijn bevat ook een beschrijving van de maatregelen van de betrokken lidstaat om gevolg te geven aan de landspecifieke aanbevelingen, met </w:t>
            </w:r>
            <w:r w:rsidRPr="001E04FD">
              <w:lastRenderedPageBreak/>
              <w:t>inbegrip van de aanbevelingen die relevant zijn voor de procedure voor macro-economische onevenwichtigheden, en indi</w:t>
            </w:r>
            <w:r w:rsidRPr="001E04FD">
              <w:t>en van toepassing, de waarschuwingen van de Commissie, of in voorkomend geval de aanbevelingen van de Raad uit hoofde van artikel 121, lid 4, VWEU.</w:t>
            </w:r>
          </w:p>
        </w:tc>
        <w:tc>
          <w:tcPr>
            <w:tcW w:w="4876" w:type="dxa"/>
            <w:hideMark/>
          </w:tcPr>
          <w:p w:rsidR="00AF0131" w:rsidRPr="001E04FD" w:rsidRDefault="00651F13" w:rsidP="00C33FBD">
            <w:pPr>
              <w:pStyle w:val="Normal6"/>
              <w:rPr>
                <w:szCs w:val="24"/>
              </w:rPr>
            </w:pPr>
            <w:r w:rsidRPr="001E04FD">
              <w:lastRenderedPageBreak/>
              <w:t>Het nationale budgettair-structurele plan voor de middellange termijn bevat ook een beschrijving van de maat</w:t>
            </w:r>
            <w:r w:rsidRPr="001E04FD">
              <w:t xml:space="preserve">regelen van de betrokken lidstaat om gevolg te geven aan de landspecifieke aanbevelingen, met </w:t>
            </w:r>
            <w:r w:rsidRPr="001E04FD">
              <w:lastRenderedPageBreak/>
              <w:t xml:space="preserve">inbegrip van de aanbevelingen die relevant zijn voor de procedure voor macro-economische onevenwichtigheden, </w:t>
            </w:r>
            <w:r w:rsidRPr="001E04FD">
              <w:rPr>
                <w:b/>
                <w:i/>
              </w:rPr>
              <w:t xml:space="preserve">alsook de uitdagingen die naar voren zijn gekomen in </w:t>
            </w:r>
            <w:r w:rsidRPr="001E04FD">
              <w:rPr>
                <w:b/>
                <w:i/>
              </w:rPr>
              <w:t xml:space="preserve">de socialeconvergentieverslagen uit hoofde van het kader voor sociale convergentie, </w:t>
            </w:r>
            <w:r w:rsidRPr="001E04FD">
              <w:t xml:space="preserve">en indien van toepassing, de waarschuwingen van de Commissie, of in voorkomend geval de aanbevelingen van de Raad uit hoofde van artikel 121, lid 4, </w:t>
            </w:r>
            <w:r w:rsidRPr="001E04FD">
              <w:rPr>
                <w:b/>
                <w:i/>
              </w:rPr>
              <w:t xml:space="preserve">en artikel 148, lid 4, </w:t>
            </w:r>
            <w:r w:rsidRPr="001E04FD">
              <w:t>VWEU.</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18</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12 – alinea 1 – punt b</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b)</w:t>
            </w:r>
            <w:r w:rsidRPr="001E04FD">
              <w:tab/>
              <w:t>verklaart hoe het zal zorgen voor investeringen</w:t>
            </w:r>
            <w:r w:rsidRPr="001E04FD">
              <w:t xml:space="preserve"> en hervormingen als antwoord op de belangrijkste uitdagingen die in het kader van het Europees Semester, in de landspecifieke aanbevelingen zijn vastgesteld, de in het kader van de procedure voor macro-economische onevenwichtigheden vastgestelde macro-eco</w:t>
            </w:r>
            <w:r w:rsidRPr="001E04FD">
              <w:t>nomische onevenwichtigheden zal corrigeren, indien van toepassing, en de in bijlage</w:t>
            </w:r>
            <w:r w:rsidRPr="001E04FD">
              <w:rPr>
                <w:b/>
                <w:i/>
              </w:rPr>
              <w:t xml:space="preserve"> </w:t>
            </w:r>
            <w:r w:rsidRPr="001E04FD">
              <w:t xml:space="preserve">VI </w:t>
            </w:r>
            <w:r w:rsidRPr="001E04FD">
              <w:rPr>
                <w:b/>
                <w:i/>
              </w:rPr>
              <w:t>bij</w:t>
            </w:r>
            <w:r w:rsidRPr="001E04FD">
              <w:t xml:space="preserve"> deze verordening bedoelde gemeenschappelijke prioriteiten van de Unie zal aanpakken, met inbegrip van de Europese Green Deal, de Europese pijler van sociale rechten en het digitale decennium, en tegelijkertijd in overeenstemming zal zijn met de geactualis</w:t>
            </w:r>
            <w:r w:rsidRPr="001E04FD">
              <w:t>eerde nationale energie- en klimaatplannen en de nationale stappenplannen voor het digitale decennium;</w:t>
            </w:r>
          </w:p>
        </w:tc>
        <w:tc>
          <w:tcPr>
            <w:tcW w:w="4876" w:type="dxa"/>
            <w:hideMark/>
          </w:tcPr>
          <w:p w:rsidR="00AF0131" w:rsidRPr="001E04FD" w:rsidRDefault="00651F13" w:rsidP="00C33FBD">
            <w:pPr>
              <w:pStyle w:val="Normal6"/>
              <w:rPr>
                <w:szCs w:val="24"/>
              </w:rPr>
            </w:pPr>
            <w:r w:rsidRPr="001E04FD">
              <w:t>b)</w:t>
            </w:r>
            <w:r w:rsidRPr="001E04FD">
              <w:tab/>
            </w:r>
            <w:r w:rsidRPr="001E04FD">
              <w:rPr>
                <w:b/>
                <w:i/>
              </w:rPr>
              <w:t xml:space="preserve">beoordeelt de lacunes in de nationale overheidsinvesteringen om de gemeenschappelijke prioriteiten te verwezenlijken; voorziet er op basis daarvan in </w:t>
            </w:r>
            <w:r w:rsidRPr="001E04FD">
              <w:rPr>
                <w:b/>
                <w:i/>
              </w:rPr>
              <w:t xml:space="preserve">dat de geplande budgettaire aanpassing de nodige sociale investeringen mogelijk maakt om de beginselen van de Europese pijler van sociale rechten uit te voeren. </w:t>
            </w:r>
            <w:r w:rsidRPr="001E04FD">
              <w:t>verklaart</w:t>
            </w:r>
            <w:r w:rsidRPr="001E04FD">
              <w:rPr>
                <w:b/>
                <w:i/>
              </w:rPr>
              <w:t xml:space="preserve"> daarnaast</w:t>
            </w:r>
            <w:r w:rsidRPr="001E04FD">
              <w:t xml:space="preserve"> hoe het zal zorgen voor investeringen en hervormingen als antwoord op de be</w:t>
            </w:r>
            <w:r w:rsidRPr="001E04FD">
              <w:t>langrijkste uitdagingen die in het kader van het Europees Semester, in de landspecifieke aanbevelingen zijn vastgesteld, de in het kader van de procedure voor macro-economische onevenwichtigheden vastgestelde macro-economische onevenwichtigheden zal corrig</w:t>
            </w:r>
            <w:r w:rsidRPr="001E04FD">
              <w:t xml:space="preserve">eren, indien van toepassing, </w:t>
            </w:r>
            <w:r w:rsidRPr="001E04FD">
              <w:rPr>
                <w:b/>
                <w:i/>
              </w:rPr>
              <w:t xml:space="preserve">de uit hoofde van het kader voor sociale convergentie vastgestelde risico’s op het gebied van sociale convergentie zal corrigeren, indien van toepassing, </w:t>
            </w:r>
            <w:r w:rsidRPr="001E04FD">
              <w:t>en de in bijlage</w:t>
            </w:r>
            <w:r w:rsidRPr="001E04FD">
              <w:rPr>
                <w:b/>
                <w:i/>
              </w:rPr>
              <w:t> </w:t>
            </w:r>
            <w:r w:rsidRPr="001E04FD">
              <w:t xml:space="preserve">VI </w:t>
            </w:r>
            <w:r w:rsidRPr="001E04FD">
              <w:rPr>
                <w:b/>
                <w:i/>
              </w:rPr>
              <w:t>van</w:t>
            </w:r>
            <w:r w:rsidRPr="001E04FD">
              <w:t xml:space="preserve"> deze verordening bedoelde gemeenschappelijke prio</w:t>
            </w:r>
            <w:r w:rsidRPr="001E04FD">
              <w:t xml:space="preserve">riteiten van de Unie zal aanpakken, met inbegrip van de Europese Green Deal, de Europese pijler </w:t>
            </w:r>
            <w:r w:rsidRPr="001E04FD">
              <w:lastRenderedPageBreak/>
              <w:t>van sociale rechten</w:t>
            </w:r>
            <w:r w:rsidRPr="001E04FD">
              <w:rPr>
                <w:b/>
                <w:i/>
              </w:rPr>
              <w:t>, waaronder de bijbehorende doelstellingen op het gebied van werkgelegenheid, onderwijs en het verminderen van armoede tegen 2030,</w:t>
            </w:r>
            <w:r w:rsidRPr="001E04FD">
              <w:t xml:space="preserve"> en het dig</w:t>
            </w:r>
            <w:r w:rsidRPr="001E04FD">
              <w:t>itale decennium, en tegelijkertijd in overeenstemming zal zijn met de geactualiseerde nationale energie- en klimaatplannen en de nationale stappenplannen voor het digitale decennium</w:t>
            </w:r>
            <w:r w:rsidRPr="001E04FD">
              <w:rPr>
                <w:b/>
                <w:i/>
              </w:rPr>
              <w:t>. Daarnaast wordt in het plan toegelicht hoe het bijdraagt tot de uitvoerin</w:t>
            </w:r>
            <w:r w:rsidRPr="001E04FD">
              <w:rPr>
                <w:b/>
                <w:i/>
              </w:rPr>
              <w:t>g van de globale richtsnoeren voor het economisch beleid van de lidstaten en tot de werkgelegenheidsrichtsnoeren overeenkomstig artikel 121, lid 2, en artikel 148, lid 2, VWEU</w:t>
            </w:r>
            <w:r w:rsidRPr="001E04FD">
              <w: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19</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w:t>
      </w:r>
      <w:r w:rsidRPr="001E04FD">
        <w:t>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12 – alinea 1 – punt d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d bis)</w:t>
            </w:r>
            <w:r w:rsidRPr="001E04FD">
              <w:rPr>
                <w:b/>
                <w:i/>
              </w:rPr>
              <w:tab/>
              <w:t xml:space="preserve">verduidelijkt hoe lokale en regionale overheden, sociale partners, maatschappelijke organisaties en andere </w:t>
            </w:r>
            <w:r w:rsidRPr="001E04FD">
              <w:rPr>
                <w:b/>
                <w:i/>
              </w:rPr>
              <w:t>relevante belanghebbenden overeenkomstig het nationale rechtskader worden geraadpleegd en hoe de inbreng van de belanghebbenden in het plan en in het uitvoeringsproces tot uiting komt; alsmede</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20</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13 – lid 2 – alinea 2 – punt iv</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iv)</w:t>
            </w:r>
            <w:r w:rsidRPr="001E04FD">
              <w:tab/>
              <w:t xml:space="preserve">pakken de tot de betrokken lidstaat gerichte relevante landspecifieke aanbevelingen, met inbegrip </w:t>
            </w:r>
            <w:r w:rsidRPr="001E04FD">
              <w:t xml:space="preserve">van, indien van toepassing, aanbevelingen die zijn </w:t>
            </w:r>
            <w:r w:rsidRPr="001E04FD">
              <w:lastRenderedPageBreak/>
              <w:t>gedaan in het kader van de procedure voor macro-economische onevenwichtigheden, aan;</w:t>
            </w:r>
          </w:p>
        </w:tc>
        <w:tc>
          <w:tcPr>
            <w:tcW w:w="4876" w:type="dxa"/>
            <w:hideMark/>
          </w:tcPr>
          <w:p w:rsidR="00AF0131" w:rsidRPr="001E04FD" w:rsidRDefault="00651F13" w:rsidP="00C33FBD">
            <w:pPr>
              <w:pStyle w:val="Normal6"/>
              <w:rPr>
                <w:szCs w:val="24"/>
              </w:rPr>
            </w:pPr>
            <w:r w:rsidRPr="001E04FD">
              <w:lastRenderedPageBreak/>
              <w:t>iv)</w:t>
            </w:r>
            <w:r w:rsidRPr="001E04FD">
              <w:tab/>
              <w:t>pakken de tot de betrokken lidstaat gerichte relevante landspecifieke aanbevelingen</w:t>
            </w:r>
            <w:r w:rsidRPr="001E04FD">
              <w:rPr>
                <w:b/>
                <w:i/>
              </w:rPr>
              <w:t xml:space="preserve"> als bedoeld in artikel 121, lid </w:t>
            </w:r>
            <w:r w:rsidRPr="001E04FD">
              <w:rPr>
                <w:b/>
                <w:i/>
              </w:rPr>
              <w:t>4, en artikel 148, lid 4, VWEU</w:t>
            </w:r>
            <w:r w:rsidRPr="001E04FD">
              <w:t xml:space="preserve">, met </w:t>
            </w:r>
            <w:r w:rsidRPr="001E04FD">
              <w:lastRenderedPageBreak/>
              <w:t>inbegrip van, indien van toepassing, aanbevelingen die zijn gedaan in het kader van de procedure voor macro-economische onevenwichtigheden</w:t>
            </w:r>
            <w:r w:rsidRPr="001E04FD">
              <w:rPr>
                <w:b/>
                <w:i/>
              </w:rPr>
              <w:t xml:space="preserve"> en uit hoofde van het kader voor sociale convergentie</w:t>
            </w:r>
            <w:r w:rsidRPr="001E04FD">
              <w:t>, aan;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21</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16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De Raad neemt, op aanbeveling van de Commissie, in de regel </w:t>
            </w:r>
            <w:r w:rsidRPr="001E04FD">
              <w:rPr>
                <w:b/>
                <w:i/>
              </w:rPr>
              <w:t>binnen vier</w:t>
            </w:r>
            <w:r w:rsidRPr="001E04FD">
              <w:t xml:space="preserve"> weken na d</w:t>
            </w:r>
            <w:r w:rsidRPr="001E04FD">
              <w:t xml:space="preserve">e vaststelling van de aanbeveling van de Commissie een aanbeveling aan waarin het netto-uitgaventraject van de betrokken lidstaat wordt vastgesteld en, indien van toepassing, de reeks hervormings- en investeringsverbintenissen die ten grondslag liggen aan </w:t>
            </w:r>
            <w:r w:rsidRPr="001E04FD">
              <w:t>een verlenging van de aanpassingsperiode die is opgenomen in het nationaal budgettair-structureel plan voor de middellange termijn van de lidstaat, wordt goedgekeurd.</w:t>
            </w:r>
          </w:p>
        </w:tc>
        <w:tc>
          <w:tcPr>
            <w:tcW w:w="4876" w:type="dxa"/>
            <w:hideMark/>
          </w:tcPr>
          <w:p w:rsidR="00AF0131" w:rsidRPr="001E04FD" w:rsidRDefault="00651F13" w:rsidP="00C33FBD">
            <w:pPr>
              <w:pStyle w:val="Normal6"/>
              <w:rPr>
                <w:szCs w:val="24"/>
              </w:rPr>
            </w:pPr>
            <w:r w:rsidRPr="001E04FD">
              <w:t>De Raad neemt, op aanbeveling van de Commissie</w:t>
            </w:r>
            <w:r w:rsidRPr="001E04FD">
              <w:rPr>
                <w:b/>
                <w:i/>
              </w:rPr>
              <w:t xml:space="preserve"> en na overleg met de overeenkomstig </w:t>
            </w:r>
            <w:r w:rsidRPr="001E04FD">
              <w:rPr>
                <w:b/>
                <w:i/>
              </w:rPr>
              <w:t>artikel 26 aangewezen relevante adviescomités</w:t>
            </w:r>
            <w:r w:rsidRPr="001E04FD">
              <w:t xml:space="preserve">, in de regel </w:t>
            </w:r>
            <w:r w:rsidRPr="001E04FD">
              <w:rPr>
                <w:b/>
                <w:i/>
              </w:rPr>
              <w:t>tussen de zes en tien</w:t>
            </w:r>
            <w:r w:rsidRPr="001E04FD">
              <w:t xml:space="preserve"> weken na de vaststelling van de aanbeveling van de Commissie een aanbeveling aan waarin het netto-uitgaventraject van de betrokken lidstaat wordt vastgesteld en, indien van to</w:t>
            </w:r>
            <w:r w:rsidRPr="001E04FD">
              <w:t>epassing, de reeks hervormings- en investeringsverbintenissen die ten grondslag liggen aan een verlenging van de aanpassingsperiode die is opgenomen in het nationaal budgettair-structureel plan voor de middellange termijn van de lidstaat, wordt goedgekeurd</w:t>
            </w:r>
            <w:r w:rsidRPr="001E04FD">
              <w: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22</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17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Indien hij van oordeel is dat het plan niet voldoet aan de </w:t>
            </w:r>
            <w:r w:rsidRPr="001E04FD">
              <w:t>vereisten van artikel 15, lid 2 en lid 3, punt a), beveelt de Raad, op aanbeveling van de Commissie, de betrokken lidstaat aan een herzien nationaal budgettair-structureel plan voor de middellange termijn in te dienen.</w:t>
            </w:r>
          </w:p>
        </w:tc>
        <w:tc>
          <w:tcPr>
            <w:tcW w:w="4876" w:type="dxa"/>
            <w:hideMark/>
          </w:tcPr>
          <w:p w:rsidR="00AF0131" w:rsidRPr="001E04FD" w:rsidRDefault="00651F13" w:rsidP="00C33FBD">
            <w:pPr>
              <w:pStyle w:val="Normal6"/>
              <w:rPr>
                <w:szCs w:val="24"/>
              </w:rPr>
            </w:pPr>
            <w:r w:rsidRPr="001E04FD">
              <w:t>Indien hij van oordeel is dat het pla</w:t>
            </w:r>
            <w:r w:rsidRPr="001E04FD">
              <w:t>n niet voldoet aan de vereisten van artikel 15, lid 2 en lid 3, punt a)</w:t>
            </w:r>
            <w:r w:rsidRPr="001E04FD">
              <w:rPr>
                <w:b/>
                <w:i/>
              </w:rPr>
              <w:t xml:space="preserve"> en b)</w:t>
            </w:r>
            <w:r w:rsidRPr="001E04FD">
              <w:t>, beveelt de Raad, op aanbeveling van de Commissie</w:t>
            </w:r>
            <w:r w:rsidRPr="001E04FD">
              <w:rPr>
                <w:b/>
                <w:i/>
              </w:rPr>
              <w:t>, en na overleg met de overeenkomstig artikel 26 aangewezen relevante adviescomités</w:t>
            </w:r>
            <w:r w:rsidRPr="001E04FD">
              <w:t>, de betrokken lidstaat aan een herzien nation</w:t>
            </w:r>
            <w:r w:rsidRPr="001E04FD">
              <w:t xml:space="preserve">aal budgettair-structureel plan voor de middellange termijn in te </w:t>
            </w:r>
            <w:r w:rsidRPr="001E04FD">
              <w:lastRenderedPageBreak/>
              <w:t>dienen.</w:t>
            </w:r>
          </w:p>
        </w:tc>
      </w:tr>
    </w:tbl>
    <w:p w:rsidR="00AF0131" w:rsidRPr="001E04FD" w:rsidRDefault="00651F13" w:rsidP="00AF0131">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23</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20 – lid 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2.</w:t>
            </w:r>
            <w:r w:rsidRPr="001E04FD">
              <w:tab/>
              <w:t>Het in lid 1 bedoelde jaarlijkse voortgangsverslag bevat met name informatie over de voortgang bij de uitvoering van het netto-uitgaventraject, de uitvoering van bredere hervormings- en investeringsverbintenissen in het kader van het Europee</w:t>
            </w:r>
            <w:r w:rsidRPr="001E04FD">
              <w:t>s Semester en, indien van toepassing, de uitvoering van de reeks hervormings- en investeringsverbintenissen die ten grondslag liggen aan een verlenging van de aanpassingsperiode.</w:t>
            </w:r>
          </w:p>
        </w:tc>
        <w:tc>
          <w:tcPr>
            <w:tcW w:w="4876" w:type="dxa"/>
            <w:hideMark/>
          </w:tcPr>
          <w:p w:rsidR="00AF0131" w:rsidRPr="001E04FD" w:rsidRDefault="00651F13" w:rsidP="00C33FBD">
            <w:pPr>
              <w:pStyle w:val="Normal6"/>
              <w:rPr>
                <w:szCs w:val="24"/>
              </w:rPr>
            </w:pPr>
            <w:r w:rsidRPr="001E04FD">
              <w:t>2.</w:t>
            </w:r>
            <w:r w:rsidRPr="001E04FD">
              <w:tab/>
              <w:t>Het in lid 1 bedoelde jaarlijkse voortgangsverslag bevat met name informat</w:t>
            </w:r>
            <w:r w:rsidRPr="001E04FD">
              <w:t>ie over de voortgang bij de uitvoering van het netto-uitgaventraject, de uitvoering van bredere hervormings- en investeringsverbintenissen in het kader van het Europees Semester</w:t>
            </w:r>
            <w:r w:rsidRPr="001E04FD">
              <w:rPr>
                <w:b/>
                <w:i/>
              </w:rPr>
              <w:t>, met inbegrip van de voortgang bij de verwezenlijking van de doelstellingen op</w:t>
            </w:r>
            <w:r w:rsidRPr="001E04FD">
              <w:rPr>
                <w:b/>
                <w:i/>
              </w:rPr>
              <w:t xml:space="preserve"> Unie- en nationaal niveau op het gebied van werkgelegenheid, opleiding en de vermindering van armoede tegen 2030, alsook de in bijlage VI genoemde gemeenschappelijke prioriteiten van de Unie</w:t>
            </w:r>
            <w:r w:rsidRPr="001E04FD">
              <w:t xml:space="preserve"> en, indien van toepassing, de uitvoering van de reeks hervorming</w:t>
            </w:r>
            <w:r w:rsidRPr="001E04FD">
              <w:t>s- en investeringsverbintenissen die ten grondslag liggen aan een verlenging van de aanpassingsperiode.</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24</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22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 xml:space="preserve">Door de </w:t>
            </w:r>
            <w:r w:rsidRPr="001E04FD">
              <w:t>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Elke in artikel 8 van Richtlijn [...]</w:t>
            </w:r>
            <w:r w:rsidRPr="001E04FD">
              <w:rPr>
                <w:vertAlign w:val="superscript"/>
              </w:rPr>
              <w:t>32</w:t>
            </w:r>
            <w:r w:rsidRPr="001E04FD">
              <w:t xml:space="preserve"> van de Raad [betreffende de nationale begrotingskaders] bedoelde nationale onafhankelijke begrotingsinstelling</w:t>
            </w:r>
            <w:r w:rsidRPr="001E04FD">
              <w:rPr>
                <w:b/>
                <w:i/>
              </w:rPr>
              <w:t xml:space="preserve"> beoordeelt of de in het in artikel 20 bedoelde voortgangsverslag gerapporteerde begrotingsresultaten in overeenstemming zijn met het netto-uitgaventraject.</w:t>
            </w:r>
            <w:r w:rsidRPr="001E04FD">
              <w:t xml:space="preserve"> </w:t>
            </w:r>
            <w:r w:rsidRPr="001E04FD">
              <w:rPr>
                <w:b/>
                <w:i/>
              </w:rPr>
              <w:t xml:space="preserve">In voorkomend geval analyseert elke nationale onafhankelijke </w:t>
            </w:r>
            <w:r w:rsidRPr="001E04FD">
              <w:rPr>
                <w:b/>
                <w:i/>
              </w:rPr>
              <w:lastRenderedPageBreak/>
              <w:t>begrotingsinstelling ook de factoren d</w:t>
            </w:r>
            <w:r w:rsidRPr="001E04FD">
              <w:rPr>
                <w:b/>
                <w:i/>
              </w:rPr>
              <w:t>ie ten grondslag liggen aan een afwijking van het netto-uitgaventraject.</w:t>
            </w:r>
          </w:p>
        </w:tc>
        <w:tc>
          <w:tcPr>
            <w:tcW w:w="4876" w:type="dxa"/>
            <w:hideMark/>
          </w:tcPr>
          <w:p w:rsidR="00AF0131" w:rsidRPr="001E04FD" w:rsidRDefault="00651F13" w:rsidP="00C33FBD">
            <w:pPr>
              <w:pStyle w:val="Normal6"/>
              <w:rPr>
                <w:szCs w:val="24"/>
              </w:rPr>
            </w:pPr>
            <w:r w:rsidRPr="001E04FD">
              <w:lastRenderedPageBreak/>
              <w:t>Elke in artikel 8 van Richtlijn [...]</w:t>
            </w:r>
            <w:r w:rsidRPr="001E04FD">
              <w:rPr>
                <w:vertAlign w:val="superscript"/>
              </w:rPr>
              <w:t>32</w:t>
            </w:r>
            <w:r w:rsidRPr="001E04FD">
              <w:t xml:space="preserve"> van de Raad [betreffende de nationale begrotingskaders] bedoelde nationale onafhankelijke begrotingsinstelling</w:t>
            </w:r>
            <w:r w:rsidRPr="001E04FD">
              <w:rPr>
                <w:b/>
                <w:i/>
              </w:rPr>
              <w: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a)</w:t>
            </w:r>
            <w:r w:rsidRPr="001E04FD">
              <w:t xml:space="preserve"> </w:t>
            </w:r>
            <w:r w:rsidRPr="001E04FD">
              <w:tab/>
            </w:r>
            <w:r w:rsidRPr="001E04FD">
              <w:rPr>
                <w:b/>
                <w:i/>
              </w:rPr>
              <w:t>beoordeelt of de in het i</w:t>
            </w:r>
            <w:r w:rsidRPr="001E04FD">
              <w:rPr>
                <w:b/>
                <w:i/>
              </w:rPr>
              <w:t>n artikel 20 van deze verordening bedoelde voortgangsverslag gerapporteerde begrotingsresultaten in overeenstemming zijn met het netto-uitgaventraject;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b)</w:t>
            </w:r>
            <w:r w:rsidRPr="001E04FD">
              <w:t xml:space="preserve"> </w:t>
            </w:r>
            <w:r w:rsidRPr="001E04FD">
              <w:tab/>
            </w:r>
            <w:r w:rsidRPr="001E04FD">
              <w:rPr>
                <w:b/>
                <w:i/>
              </w:rPr>
              <w:t xml:space="preserve">analyseert in voorkomend geval ook de factoren die ten grondslag liggen aan een afwijking van het </w:t>
            </w:r>
            <w:r w:rsidRPr="001E04FD">
              <w:rPr>
                <w:b/>
                <w:i/>
              </w:rPr>
              <w:t>netto-uitgaventraject;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 xml:space="preserve">c) </w:t>
            </w:r>
            <w:r w:rsidRPr="001E04FD">
              <w:tab/>
            </w:r>
            <w:r w:rsidRPr="001E04FD">
              <w:rPr>
                <w:b/>
                <w:i/>
              </w:rPr>
              <w:t>voert een beoordeling uit van de sociale gevolgen van beleidskeuzes op het gebied van begrotingsaanpassing</w:t>
            </w:r>
            <w:r w:rsidRPr="001E04FD">
              <w:t>.</w:t>
            </w:r>
          </w:p>
        </w:tc>
      </w:tr>
      <w:tr w:rsidR="003309C2" w:rsidRPr="001E04FD" w:rsidTr="00C33FBD">
        <w:trPr>
          <w:jc w:val="center"/>
        </w:trPr>
        <w:tc>
          <w:tcPr>
            <w:tcW w:w="4876" w:type="dxa"/>
            <w:hideMark/>
          </w:tcPr>
          <w:p w:rsidR="00AF0131" w:rsidRPr="001E04FD" w:rsidRDefault="00651F13" w:rsidP="00C33FBD">
            <w:pPr>
              <w:pStyle w:val="Normal6"/>
            </w:pPr>
            <w:r w:rsidRPr="001E04FD">
              <w:t>__________________</w:t>
            </w:r>
          </w:p>
        </w:tc>
        <w:tc>
          <w:tcPr>
            <w:tcW w:w="4876" w:type="dxa"/>
            <w:hideMark/>
          </w:tcPr>
          <w:p w:rsidR="00AF0131" w:rsidRPr="001E04FD" w:rsidRDefault="00651F13" w:rsidP="00C33FBD">
            <w:pPr>
              <w:pStyle w:val="Normal6"/>
              <w:rPr>
                <w:szCs w:val="24"/>
              </w:rPr>
            </w:pPr>
            <w:r w:rsidRPr="001E04FD">
              <w:t>__________________</w:t>
            </w:r>
          </w:p>
        </w:tc>
      </w:tr>
      <w:tr w:rsidR="003309C2" w:rsidRPr="001E04FD" w:rsidTr="00C33FBD">
        <w:trPr>
          <w:jc w:val="center"/>
        </w:trPr>
        <w:tc>
          <w:tcPr>
            <w:tcW w:w="4876" w:type="dxa"/>
            <w:hideMark/>
          </w:tcPr>
          <w:p w:rsidR="00AF0131" w:rsidRPr="001E04FD" w:rsidRDefault="00651F13" w:rsidP="00C33FBD">
            <w:pPr>
              <w:pStyle w:val="Normal6"/>
            </w:pPr>
            <w:r w:rsidRPr="001E04FD">
              <w:rPr>
                <w:vertAlign w:val="superscript"/>
              </w:rPr>
              <w:t>32</w:t>
            </w:r>
            <w:r w:rsidRPr="001E04FD">
              <w:t xml:space="preserve"> Richtlijn [...] van de Raad van […] tot wijziging van Richtlijn 2011/85/EU v</w:t>
            </w:r>
            <w:r w:rsidRPr="001E04FD">
              <w:t>an de Raad tot vaststelling van voorschriften voor de begrotingskaders van de lidstaten] (PB L … van …, blz. …).</w:t>
            </w:r>
          </w:p>
        </w:tc>
        <w:tc>
          <w:tcPr>
            <w:tcW w:w="4876" w:type="dxa"/>
            <w:hideMark/>
          </w:tcPr>
          <w:p w:rsidR="00AF0131" w:rsidRPr="001E04FD" w:rsidRDefault="00651F13" w:rsidP="00C33FBD">
            <w:pPr>
              <w:pStyle w:val="Normal6"/>
              <w:rPr>
                <w:szCs w:val="24"/>
              </w:rPr>
            </w:pPr>
            <w:r w:rsidRPr="001E04FD">
              <w:rPr>
                <w:vertAlign w:val="superscript"/>
              </w:rPr>
              <w:t>32</w:t>
            </w:r>
            <w:r w:rsidRPr="001E04FD">
              <w:t xml:space="preserve"> Richtlijn [...] van de Raad van […] tot wijziging van Richtlijn 2011/85/EU van de Raad tot vaststelling van voorschriften voor de begrotings</w:t>
            </w:r>
            <w:r w:rsidRPr="001E04FD">
              <w:t>kaders van de lidstaten] (PB L … van …, blz. …).</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25</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26 – alinea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Het Europees Parlement wordt naar behoren bij het Europees Semester betrokken teneinde de transparantie van, de eigen verantwoordelijkheid voor en de verantwoordingsplicht met betrekking tot de genomen besluiten te vergroten, in het bijzonder door middel v</w:t>
            </w:r>
            <w:r w:rsidRPr="001E04FD">
              <w:t xml:space="preserve">an een economische </w:t>
            </w:r>
            <w:r w:rsidRPr="001E04FD">
              <w:rPr>
                <w:b/>
                <w:i/>
              </w:rPr>
              <w:t>dialoog</w:t>
            </w:r>
            <w:r w:rsidRPr="001E04FD">
              <w:t xml:space="preserve">. Het Economisch en Financieel Comité, het Comité voor de economische politiek, het Comité voor de werkgelegenheid en het Comité voor sociale bescherming worden in passende gevallen in het kader van het Europees Semester </w:t>
            </w:r>
            <w:r w:rsidRPr="001E04FD">
              <w:t xml:space="preserve">geraadpleegd. Belanghebbenden, met name de sociale partners, worden in passende gevallen in het kader van het </w:t>
            </w:r>
            <w:r w:rsidRPr="001E04FD">
              <w:lastRenderedPageBreak/>
              <w:t>Europees Semester bij de belangrijkste beleidskwestie betrokken, in overeenstemming met de bepalingen van het VWEU en de nationale wettelijke en p</w:t>
            </w:r>
            <w:r w:rsidRPr="001E04FD">
              <w:t>olitieke regelingen.</w:t>
            </w:r>
          </w:p>
        </w:tc>
        <w:tc>
          <w:tcPr>
            <w:tcW w:w="4876" w:type="dxa"/>
            <w:hideMark/>
          </w:tcPr>
          <w:p w:rsidR="00AF0131" w:rsidRPr="001E04FD" w:rsidRDefault="00651F13" w:rsidP="00C33FBD">
            <w:pPr>
              <w:pStyle w:val="Normal6"/>
              <w:rPr>
                <w:szCs w:val="24"/>
              </w:rPr>
            </w:pPr>
            <w:r w:rsidRPr="001E04FD">
              <w:lastRenderedPageBreak/>
              <w:t>Het Europees Parlement wordt naar behoren bij het Europees Semester betrokken teneinde de transparantie van, de eigen verantwoordelijkheid voor en de verantwoordingsplicht met betrekking tot de genomen besluiten te vergroten, in het bi</w:t>
            </w:r>
            <w:r w:rsidRPr="001E04FD">
              <w:t xml:space="preserve">jzonder door middel van een economische </w:t>
            </w:r>
            <w:r w:rsidRPr="001E04FD">
              <w:rPr>
                <w:b/>
                <w:i/>
              </w:rPr>
              <w:t>en werkgelegenheidsdialoog en voor het vaststellen van macro-economische en sociale beleidsprioriteiten</w:t>
            </w:r>
            <w:r w:rsidRPr="001E04FD">
              <w:t>. Het Economisch en Financieel Comité, het Comité voor de economische politiek, het Comité voor de werkgelegenhei</w:t>
            </w:r>
            <w:r w:rsidRPr="001E04FD">
              <w:t xml:space="preserve">d en het Comité voor sociale bescherming worden in passende gevallen in het kader van het Europees </w:t>
            </w:r>
            <w:r w:rsidRPr="001E04FD">
              <w:lastRenderedPageBreak/>
              <w:t xml:space="preserve">Semester geraadpleegd. </w:t>
            </w:r>
            <w:r w:rsidRPr="001E04FD">
              <w:rPr>
                <w:b/>
                <w:bCs/>
                <w:i/>
                <w:iCs/>
              </w:rPr>
              <w:t>Het Europees Economisch en Sociaal Comité en het Comité van de Regio’s worden in voorkomend geval ook geraadpleegd in het kader van he</w:t>
            </w:r>
            <w:r w:rsidRPr="001E04FD">
              <w:rPr>
                <w:b/>
                <w:bCs/>
                <w:i/>
                <w:iCs/>
              </w:rPr>
              <w:t>t Europees semester.</w:t>
            </w:r>
            <w:r w:rsidRPr="001E04FD">
              <w:t xml:space="preserve"> Belanghebbenden, met name de sociale partners</w:t>
            </w:r>
            <w:r w:rsidRPr="001E04FD">
              <w:rPr>
                <w:b/>
                <w:i/>
              </w:rPr>
              <w:t xml:space="preserve"> en maatschappelijke organisaties</w:t>
            </w:r>
            <w:r w:rsidRPr="001E04FD">
              <w:t xml:space="preserve">, worden in passende gevallen in het kader van het Europees Semester bij de belangrijkste beleidskwestie betrokken, in overeenstemming met de bepalingen van </w:t>
            </w:r>
            <w:r w:rsidRPr="001E04FD">
              <w:t>het VWEU en de nationale wettelijke en politieke regelingen.</w:t>
            </w:r>
          </w:p>
        </w:tc>
      </w:tr>
    </w:tbl>
    <w:p w:rsidR="00AF0131" w:rsidRPr="001E04FD" w:rsidRDefault="00651F13" w:rsidP="00C56375">
      <w:pPr>
        <w:rPr>
          <w:rFonts w:eastAsiaTheme="majorEastAsia"/>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26</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26 – alinea 2</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 xml:space="preserve">Om </w:t>
            </w:r>
            <w:r w:rsidRPr="001E04FD">
              <w:t>de dialoog tussen de instellingen van de Unie, in het bijzonder het Europees Parlement, de Raad en de Commissie te bevorderen en te zorgen voor meer transparantie en verantwoordelijkheid, kan het Europees Parlement de voorzitter van de Raad, de Commissie e</w:t>
            </w:r>
            <w:r w:rsidRPr="001E04FD">
              <w:t>n indien nodig de voorzitter van de Europese Raad of de voorzitter van de Eurogroep in het parlement uitnodigen om de door de Commissie uitgevaardigde beleidsrichtsnoeren aan de lidstaten, de door de Europese Raad vastgestelde conclusies en de resultaten v</w:t>
            </w:r>
            <w:r w:rsidRPr="001E04FD">
              <w:t>an het in het kader van deze verordening uitgevoerde multilaterale toezicht te bespreken.</w:t>
            </w:r>
          </w:p>
        </w:tc>
        <w:tc>
          <w:tcPr>
            <w:tcW w:w="4876" w:type="dxa"/>
            <w:hideMark/>
          </w:tcPr>
          <w:p w:rsidR="00AF0131" w:rsidRPr="001E04FD" w:rsidRDefault="00651F13" w:rsidP="00C33FBD">
            <w:pPr>
              <w:pStyle w:val="Normal6"/>
              <w:rPr>
                <w:szCs w:val="24"/>
              </w:rPr>
            </w:pPr>
            <w:r w:rsidRPr="001E04FD">
              <w:t xml:space="preserve">Om de dialoog tussen de instellingen van de Unie, in het bijzonder het Europees Parlement, de Raad en de Commissie te bevorderen en te zorgen voor meer transparantie </w:t>
            </w:r>
            <w:r w:rsidRPr="001E04FD">
              <w:t>en verantwoordelijkheid, kan het Europees Parlement de voorzitter van de Raad, de Commissie en indien nodig de voorzitter van de Europese Raad of de voorzitter van de Eurogroep in het parlement uitnodigen om de door de Commissie uitgevaardigde beleidsricht</w:t>
            </w:r>
            <w:r w:rsidRPr="001E04FD">
              <w:t>snoeren aan de lidstaten, de door de Europese Raad vastgestelde conclusies en de resultaten van het in het kader van deze verordening uitgevoerde multilaterale toezicht te bespreken</w:t>
            </w:r>
            <w:r w:rsidRPr="001E04FD">
              <w:rPr>
                <w:b/>
                <w:bCs/>
                <w:i/>
                <w:iCs/>
              </w:rPr>
              <w:t>, onder meer de overeenkomstig artikel 121, lid 4 en artikel 148 VWEU opgez</w:t>
            </w:r>
            <w:r w:rsidRPr="001E04FD">
              <w:rPr>
                <w:b/>
                <w:bCs/>
                <w:i/>
                <w:iCs/>
              </w:rPr>
              <w:t>ette systemen voor vroegtijdige waarschuwing</w:t>
            </w:r>
            <w:r w:rsidRPr="001E04FD">
              <w: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27</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Artikel 26 – alinea 3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 xml:space="preserve">De </w:t>
            </w:r>
            <w:r w:rsidRPr="001E04FD">
              <w:rPr>
                <w:b/>
                <w:i/>
              </w:rPr>
              <w:t>bevoegde commissies van het Europees Parlement kunnen de Commissie verzoeken de volgende aangelegenheden te bespreken:</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a)</w:t>
            </w:r>
            <w:r w:rsidRPr="001E04FD">
              <w:rPr>
                <w:b/>
                <w:i/>
              </w:rPr>
              <w:tab/>
              <w:t xml:space="preserve">de beoordeling door de Commissie van de nationale budgettair-structurele plannen voor de middellange termijn in het kader van de </w:t>
            </w:r>
            <w:r w:rsidRPr="001E04FD">
              <w:rPr>
                <w:b/>
                <w:i/>
              </w:rPr>
              <w:t>prognoses van de overheidsschuld op middellange termijn alsmede de analyse van de houdbaarheid van de schuld;</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b)</w:t>
            </w:r>
            <w:r w:rsidRPr="001E04FD">
              <w:rPr>
                <w:b/>
                <w:i/>
              </w:rPr>
              <w:tab/>
              <w:t xml:space="preserve"> de beoordeling van de door de lidstaten in de jaarlijkse voortgangsverslagen verstrekte informatie;</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c)</w:t>
            </w:r>
            <w:r w:rsidRPr="001E04FD">
              <w:rPr>
                <w:b/>
                <w:i/>
              </w:rPr>
              <w:tab/>
              <w:t>de beoordeling van de reeks hervorm</w:t>
            </w:r>
            <w:r w:rsidRPr="001E04FD">
              <w:rPr>
                <w:b/>
                <w:i/>
              </w:rPr>
              <w:t>ings- en investeringsverbintenissen die ten grondslag liggen aan een verlenging van de aanpassingsperiode;</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d) de evaluatie van de landspecifieke aanbevelingen en de risico’s op het gebied van sociale convergentie, en de voortgang bij de uitvoering van de</w:t>
            </w:r>
            <w:r w:rsidRPr="001E04FD">
              <w:rPr>
                <w:b/>
                <w:i/>
              </w:rPr>
              <w:t xml:space="preserve"> beginselen van de Europese pijler van sociale rechten.</w:t>
            </w:r>
          </w:p>
        </w:tc>
      </w:tr>
    </w:tbl>
    <w:p w:rsidR="00AF0131" w:rsidRPr="001E04FD" w:rsidRDefault="00651F13" w:rsidP="00C56375">
      <w:pPr>
        <w:rPr>
          <w:rStyle w:val="HideTWBExt"/>
          <w:rFonts w:eastAsiaTheme="majorEastAsia"/>
          <w:b/>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28</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d</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d)</w:t>
            </w:r>
            <w:r w:rsidRPr="001E04FD">
              <w:tab/>
              <w:t xml:space="preserve">Informatie over impliciete </w:t>
            </w:r>
            <w:r w:rsidRPr="001E04FD">
              <w:rPr>
                <w:b/>
                <w:i/>
              </w:rPr>
              <w:t xml:space="preserve">uit de vergrijzing voortvloeiende </w:t>
            </w:r>
            <w:r w:rsidRPr="001E04FD">
              <w:t>verplichtingen en voorwaardelijke verplichtingen met een potentieel grote impact op de overheidsbegrotingen, zoals onder meer overheidsgaranties, oninbare leningen en uit de exploitatie van ov</w:t>
            </w:r>
            <w:r w:rsidRPr="001E04FD">
              <w:t xml:space="preserve">erheidsbedrijven voortvloeiende verplichtingen, met vermelding van de omvang ervan, potentiële uitgaven en verplichtingen die voortvloeien uit rechtszaken en, voor zover </w:t>
            </w:r>
            <w:r w:rsidRPr="001E04FD">
              <w:lastRenderedPageBreak/>
              <w:t>mogelijk, informatie over rampen- en klimaatgerelateerde verplichtingen.</w:t>
            </w:r>
          </w:p>
        </w:tc>
        <w:tc>
          <w:tcPr>
            <w:tcW w:w="4876" w:type="dxa"/>
            <w:hideMark/>
          </w:tcPr>
          <w:p w:rsidR="00AF0131" w:rsidRPr="001E04FD" w:rsidRDefault="00651F13" w:rsidP="00C33FBD">
            <w:pPr>
              <w:pStyle w:val="Normal6"/>
              <w:rPr>
                <w:szCs w:val="24"/>
              </w:rPr>
            </w:pPr>
            <w:r w:rsidRPr="001E04FD">
              <w:lastRenderedPageBreak/>
              <w:t>d)</w:t>
            </w:r>
            <w:r w:rsidRPr="001E04FD">
              <w:tab/>
              <w:t>Informatie</w:t>
            </w:r>
            <w:r w:rsidRPr="001E04FD">
              <w:t xml:space="preserve"> over impliciete verplichtingen en voorwaardelijke verplichtingen met een potentieel grote impact op de overheidsbegrotingen, zoals onder meer overheidsgaranties, oninbare leningen en uit de exploitatie van overheidsbedrijven voortvloeiende verplichtingen,</w:t>
            </w:r>
            <w:r w:rsidRPr="001E04FD">
              <w:t xml:space="preserve"> met vermelding van de omvang ervan, potentiële uitgaven en verplichtingen die voortvloeien uit rechtszaken en, voor zover mogelijk, </w:t>
            </w:r>
            <w:r w:rsidRPr="001E04FD">
              <w:lastRenderedPageBreak/>
              <w:t>informatie over rampen- en klimaatgerelateerde verplichtingen.</w:t>
            </w:r>
          </w:p>
        </w:tc>
      </w:tr>
    </w:tbl>
    <w:p w:rsidR="00AF0131" w:rsidRPr="001E04FD" w:rsidRDefault="00651F13" w:rsidP="00AF0131">
      <w:pPr>
        <w:pStyle w:val="AMNumberTabs0"/>
        <w:keepNext/>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29</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w:t>
      </w:r>
      <w:r w:rsidRPr="001E04FD">
        <w:t>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f</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f)</w:t>
            </w:r>
            <w:r w:rsidRPr="001E04FD">
              <w:tab/>
              <w:t>Indien de lidstaat gebruikmaakt van de onder punt e) bedoelde aannamen die afwijken van de veronderstellingen van</w:t>
            </w:r>
            <w:r w:rsidRPr="001E04FD">
              <w:t xml:space="preserve"> de Commissie over de aanpassingsperiode van het nationale budgettair-structurele plan voor de middellange termijn en de daaropvolgende periode van tien jaar indien geen verdere hervormingsmaatregelen worden genomen, moeten de nodige toelichtingen en motiv</w:t>
            </w:r>
            <w:r w:rsidRPr="001E04FD">
              <w:t>eringen worden gegeven op basis van deugdelijke economische argumenten voor deze verschillen.</w:t>
            </w:r>
          </w:p>
        </w:tc>
        <w:tc>
          <w:tcPr>
            <w:tcW w:w="4876" w:type="dxa"/>
            <w:hideMark/>
          </w:tcPr>
          <w:p w:rsidR="00AF0131" w:rsidRPr="001E04FD" w:rsidRDefault="00651F13" w:rsidP="00C33FBD">
            <w:pPr>
              <w:pStyle w:val="Normal6"/>
              <w:rPr>
                <w:szCs w:val="24"/>
              </w:rPr>
            </w:pPr>
            <w:r w:rsidRPr="001E04FD">
              <w:t>f)</w:t>
            </w:r>
            <w:r w:rsidRPr="001E04FD">
              <w:tab/>
              <w:t>Indien de lidstaat gebruikmaakt van de onder punt e) bedoelde aannamen die afwijken van de veronderstellingen van de Commissie over de aanpassingsperiode van h</w:t>
            </w:r>
            <w:r w:rsidRPr="001E04FD">
              <w:t>et nationale budgettair-structurele plan voor de middellange termijn en de daaropvolgende periode van tien jaar indien geen verdere hervormingsmaatregelen worden genomen, moeten de nodige toelichtingen en motiveringen worden gegeven op basis van deugdelijk</w:t>
            </w:r>
            <w:r w:rsidRPr="001E04FD">
              <w:t xml:space="preserve">e economische </w:t>
            </w:r>
            <w:r w:rsidRPr="001E04FD">
              <w:rPr>
                <w:b/>
                <w:i/>
              </w:rPr>
              <w:t xml:space="preserve">en sociale </w:t>
            </w:r>
            <w:r w:rsidRPr="001E04FD">
              <w:t>argumenten voor deze verschillen.</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30</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g</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g)</w:t>
            </w:r>
            <w:r w:rsidRPr="001E04FD">
              <w:tab/>
              <w:t>Een analyse van de wijze waarop veranderingen in de belangrijkste economische aannamen van invloed zouden zijn op de begrotings- en schuldpositie van de lidstaat.</w:t>
            </w:r>
          </w:p>
        </w:tc>
        <w:tc>
          <w:tcPr>
            <w:tcW w:w="4876" w:type="dxa"/>
            <w:hideMark/>
          </w:tcPr>
          <w:p w:rsidR="00AF0131" w:rsidRPr="001E04FD" w:rsidRDefault="00651F13" w:rsidP="00C33FBD">
            <w:pPr>
              <w:pStyle w:val="Normal6"/>
              <w:rPr>
                <w:szCs w:val="24"/>
              </w:rPr>
            </w:pPr>
            <w:r w:rsidRPr="001E04FD">
              <w:t>g)</w:t>
            </w:r>
            <w:r w:rsidRPr="001E04FD">
              <w:tab/>
              <w:t>Een analyse van de wijze waarop veranderingen in de belangrijkste economisc</w:t>
            </w:r>
            <w:r w:rsidRPr="001E04FD">
              <w:t xml:space="preserve">he </w:t>
            </w:r>
            <w:r w:rsidRPr="001E04FD">
              <w:rPr>
                <w:b/>
                <w:i/>
              </w:rPr>
              <w:t xml:space="preserve">en sociale </w:t>
            </w:r>
            <w:r w:rsidRPr="001E04FD">
              <w:t>aannamen van invloed zouden zijn op de begrotings- en schuldpositie van de lidstaat</w:t>
            </w:r>
            <w:r w:rsidRPr="001E04FD">
              <w:rPr>
                <w:b/>
                <w:i/>
              </w:rPr>
              <w:t xml:space="preserve"> en op de verwezenlijking van de nationale doelstellingen, verband houdend met de kerndoelen van de Europese pijler van sociale rechten en de primaire en secun</w:t>
            </w:r>
            <w:r w:rsidRPr="001E04FD">
              <w:rPr>
                <w:b/>
                <w:i/>
              </w:rPr>
              <w:t>daire indicatoren daarvan en de gemeenschappelijke prioriteiten van de Unie</w:t>
            </w:r>
            <w:r w:rsidRPr="001E04FD">
              <w:t>.</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lastRenderedPageBreak/>
        <w:t>&lt;Amend&gt;</w:t>
      </w:r>
      <w:r w:rsidRPr="001E04FD">
        <w:t>Amendement</w:t>
      </w:r>
      <w:r w:rsidRPr="001E04FD">
        <w:tab/>
      </w:r>
      <w:r w:rsidRPr="001E04FD">
        <w:tab/>
      </w:r>
      <w:r w:rsidRPr="001E04FD">
        <w:rPr>
          <w:rStyle w:val="HideTWBExt"/>
          <w:b w:val="0"/>
        </w:rPr>
        <w:t>&lt;NumAm&gt;</w:t>
      </w:r>
      <w:r w:rsidRPr="001E04FD">
        <w:t>31</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h</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 xml:space="preserve">Door de Commissie </w:t>
            </w:r>
            <w:r w:rsidRPr="001E04FD">
              <w:t>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h)</w:t>
            </w:r>
            <w:r w:rsidRPr="001E04FD">
              <w:tab/>
              <w:t>Indien van toepassing, de naar behoren gemotiveerde redenen (met relevante deugdelijke en verifieerbare economische argumenten) om af te wijken van het door de Commissie uitgetekende technische traject.</w:t>
            </w:r>
          </w:p>
        </w:tc>
        <w:tc>
          <w:tcPr>
            <w:tcW w:w="4876" w:type="dxa"/>
            <w:hideMark/>
          </w:tcPr>
          <w:p w:rsidR="00AF0131" w:rsidRPr="001E04FD" w:rsidRDefault="00651F13" w:rsidP="00C33FBD">
            <w:pPr>
              <w:pStyle w:val="Normal6"/>
              <w:rPr>
                <w:szCs w:val="24"/>
              </w:rPr>
            </w:pPr>
            <w:r w:rsidRPr="001E04FD">
              <w:t>h)</w:t>
            </w:r>
            <w:r w:rsidRPr="001E04FD">
              <w:tab/>
            </w:r>
            <w:r w:rsidRPr="001E04FD">
              <w:t xml:space="preserve">Indien van toepassing, de naar behoren gemotiveerde redenen (met relevante deugdelijke en verifieerbare economische </w:t>
            </w:r>
            <w:r w:rsidRPr="001E04FD">
              <w:rPr>
                <w:b/>
                <w:bCs/>
                <w:i/>
                <w:iCs/>
              </w:rPr>
              <w:t>en sociale</w:t>
            </w:r>
            <w:r w:rsidRPr="001E04FD">
              <w:t xml:space="preserve"> argumenten) om af te wijken van het door de Commissie uitgetekende technische traject.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32</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j</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j)</w:t>
            </w:r>
            <w:r w:rsidRPr="001E04FD">
              <w:tab/>
              <w:t xml:space="preserve">Totale uitgaven voor overheidsinvesteringen, alsook hervormingen en overheidsuitgaven voor </w:t>
            </w:r>
            <w:r w:rsidRPr="001E04FD">
              <w:t>de in bijlage VI bedoelde gemeenschappelijke prioriteiten van de Unie.</w:t>
            </w:r>
          </w:p>
        </w:tc>
        <w:tc>
          <w:tcPr>
            <w:tcW w:w="4876" w:type="dxa"/>
            <w:hideMark/>
          </w:tcPr>
          <w:p w:rsidR="00AF0131" w:rsidRPr="001E04FD" w:rsidRDefault="00651F13" w:rsidP="00C33FBD">
            <w:pPr>
              <w:pStyle w:val="Normal6"/>
              <w:rPr>
                <w:szCs w:val="24"/>
              </w:rPr>
            </w:pPr>
            <w:r w:rsidRPr="001E04FD">
              <w:t>j)</w:t>
            </w:r>
            <w:r w:rsidRPr="001E04FD">
              <w:tab/>
              <w:t xml:space="preserve">Totale uitgaven voor overheidsinvesteringen, alsook hervormingen en overheidsuitgaven voor </w:t>
            </w:r>
            <w:r w:rsidRPr="001E04FD">
              <w:rPr>
                <w:b/>
                <w:bCs/>
                <w:i/>
                <w:iCs/>
              </w:rPr>
              <w:t>elk van</w:t>
            </w:r>
            <w:r w:rsidRPr="001E04FD">
              <w:t xml:space="preserve"> de in bijlage VI bedoelde gemeenschappelijke prioriteiten van de Unie.</w:t>
            </w:r>
          </w:p>
        </w:tc>
      </w:tr>
    </w:tbl>
    <w:p w:rsidR="00AF0131" w:rsidRPr="001E04FD" w:rsidRDefault="00651F13" w:rsidP="00C56375">
      <w:pPr>
        <w:rPr>
          <w:rFonts w:eastAsiaTheme="majorEastAsia"/>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33</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k</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k)</w:t>
            </w:r>
            <w:r w:rsidRPr="001E04FD">
              <w:tab/>
              <w:t xml:space="preserve">Indien van toepassing, informatie over een specifieke, </w:t>
            </w:r>
            <w:r w:rsidRPr="001E04FD">
              <w:t>tijdgebonden en verifieerbare reeks hervormings- en investeringsverbintenissen die ten grondslag liggen aan een verlenging van de aanpassingsperiode overeenkomstig artikel 13, een tijdschema voor de uitvoering ervan, alsmede deugdelijke economische argumen</w:t>
            </w:r>
            <w:r w:rsidRPr="001E04FD">
              <w:t xml:space="preserve">ten dat deze reeks hervormings- en investeringsverbintenissen voldoet aan de criteria van artikel 13, </w:t>
            </w:r>
            <w:r w:rsidRPr="001E04FD">
              <w:lastRenderedPageBreak/>
              <w:t>rekening houdend met de beoordelingscriteria in bijlage VII.</w:t>
            </w:r>
          </w:p>
        </w:tc>
        <w:tc>
          <w:tcPr>
            <w:tcW w:w="4876" w:type="dxa"/>
            <w:hideMark/>
          </w:tcPr>
          <w:p w:rsidR="00AF0131" w:rsidRPr="001E04FD" w:rsidRDefault="00651F13" w:rsidP="00C33FBD">
            <w:pPr>
              <w:pStyle w:val="Normal6"/>
              <w:rPr>
                <w:szCs w:val="24"/>
              </w:rPr>
            </w:pPr>
            <w:r w:rsidRPr="001E04FD">
              <w:lastRenderedPageBreak/>
              <w:t>k)</w:t>
            </w:r>
            <w:r w:rsidRPr="001E04FD">
              <w:tab/>
            </w:r>
            <w:r w:rsidRPr="001E04FD">
              <w:t>Indien van toepassing, informatie over een specifieke, tijdgebonden en verifieerbare reeks hervormings- en investeringsverbintenissen die ten grondslag liggen aan een verlenging van de aanpassingsperiode overeenkomstig artikel 13, een tijdschema voor de ui</w:t>
            </w:r>
            <w:r w:rsidRPr="001E04FD">
              <w:t xml:space="preserve">tvoering ervan, alsmede deugdelijke economische </w:t>
            </w:r>
            <w:r w:rsidRPr="001E04FD">
              <w:rPr>
                <w:b/>
                <w:bCs/>
                <w:i/>
                <w:iCs/>
              </w:rPr>
              <w:t>en sociale</w:t>
            </w:r>
            <w:r w:rsidRPr="001E04FD">
              <w:t xml:space="preserve"> argumenten dat deze reeks hervormings- en investeringsverbintenissen voldoet aan de </w:t>
            </w:r>
            <w:r w:rsidRPr="001E04FD">
              <w:lastRenderedPageBreak/>
              <w:t>criteria van artikel 13, rekening houdend met de beoordelingscriteria in bijlage VII.</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34</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l</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l)</w:t>
            </w:r>
            <w:r w:rsidRPr="001E04FD">
              <w:tab/>
              <w:t xml:space="preserve">Een kwantificering, voor zover mogelijk, van de verwachte effecten van de onder </w:t>
            </w:r>
            <w:r w:rsidRPr="001E04FD">
              <w:t>punt k) bedoelde hervormingen en investeringen op de houdbaarheid van de begroting, de groei en de werkgelegenheid, in voorkomend geval in overeenstemming met gezamenlijk overeengekomen methoden.</w:t>
            </w:r>
          </w:p>
        </w:tc>
        <w:tc>
          <w:tcPr>
            <w:tcW w:w="4876" w:type="dxa"/>
            <w:hideMark/>
          </w:tcPr>
          <w:p w:rsidR="00AF0131" w:rsidRPr="001E04FD" w:rsidRDefault="00651F13" w:rsidP="00C33FBD">
            <w:pPr>
              <w:pStyle w:val="Normal6"/>
              <w:rPr>
                <w:szCs w:val="24"/>
              </w:rPr>
            </w:pPr>
            <w:r w:rsidRPr="001E04FD">
              <w:t>l)</w:t>
            </w:r>
            <w:r w:rsidRPr="001E04FD">
              <w:tab/>
              <w:t>Een kwantificering, voor zover mogelijk, van de verwachte</w:t>
            </w:r>
            <w:r w:rsidRPr="001E04FD">
              <w:t xml:space="preserve"> effecten van de onder punt k) bedoelde hervormingen en investeringen op de houdbaarheid van de begroting, de </w:t>
            </w:r>
            <w:r w:rsidRPr="001E04FD">
              <w:rPr>
                <w:b/>
                <w:i/>
              </w:rPr>
              <w:t xml:space="preserve">duurzame en inclusieve </w:t>
            </w:r>
            <w:r w:rsidRPr="001E04FD">
              <w:t>groei</w:t>
            </w:r>
            <w:r w:rsidRPr="001E04FD">
              <w:rPr>
                <w:b/>
                <w:i/>
              </w:rPr>
              <w:t>, het concurrentievermogen,</w:t>
            </w:r>
            <w:r w:rsidRPr="001E04FD">
              <w:t xml:space="preserve"> en de </w:t>
            </w:r>
            <w:r w:rsidRPr="001E04FD">
              <w:rPr>
                <w:b/>
                <w:i/>
              </w:rPr>
              <w:t xml:space="preserve">hoogwaardige </w:t>
            </w:r>
            <w:r w:rsidRPr="001E04FD">
              <w:t>werkgelegenheid</w:t>
            </w:r>
            <w:r w:rsidRPr="001E04FD">
              <w:rPr>
                <w:b/>
                <w:i/>
              </w:rPr>
              <w:t>, alsmede de opwaartse sociale convergentie</w:t>
            </w:r>
            <w:r w:rsidRPr="001E04FD">
              <w:t>, in voorkome</w:t>
            </w:r>
            <w:r w:rsidRPr="001E04FD">
              <w:t>nd geval in overeenstemming met gezamenlijk overeengekomen methoden.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35</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n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 xml:space="preserve">Door de Commissie </w:t>
            </w:r>
            <w:r w:rsidRPr="001E04FD">
              <w:t>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n bis)</w:t>
            </w:r>
            <w:r w:rsidRPr="001E04FD">
              <w:rPr>
                <w:b/>
                <w:i/>
              </w:rPr>
              <w:tab/>
              <w:t>Indien van toepassing, hervormingen en investeringen om de uit hoofde van het kader voor sociale convergentie vastgestelde risico’s op het gebied van sociale convergentie tegen te gaan.</w:t>
            </w:r>
          </w:p>
        </w:tc>
      </w:tr>
    </w:tbl>
    <w:p w:rsidR="00AF0131" w:rsidRPr="001E04FD" w:rsidRDefault="00651F13" w:rsidP="00C56375">
      <w:pPr>
        <w:rPr>
          <w:rFonts w:eastAsiaTheme="majorEastAsia"/>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w:t>
      </w:r>
      <w:r w:rsidRPr="001E04FD">
        <w:rPr>
          <w:rStyle w:val="HideTWBExt"/>
          <w:b w:val="0"/>
        </w:rPr>
        <w:t>umAm&gt;</w:t>
      </w:r>
      <w:r w:rsidRPr="001E04FD">
        <w:t>36</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p</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p)</w:t>
            </w:r>
            <w:r w:rsidRPr="001E04FD">
              <w:tab/>
              <w:t xml:space="preserve">Voor lidstaten met een lage overheidsschuld, maar met grote impliciete </w:t>
            </w:r>
            <w:r w:rsidRPr="001E04FD">
              <w:lastRenderedPageBreak/>
              <w:t>verplichtingen</w:t>
            </w:r>
            <w:r w:rsidRPr="001E04FD">
              <w:rPr>
                <w:b/>
                <w:i/>
              </w:rPr>
              <w:t xml:space="preserve"> als gevolg van de vergrijzing</w:t>
            </w:r>
            <w:r w:rsidRPr="001E04FD">
              <w:t>, moet bij het nationale netto-uitgaventraject en de hervormingen in de nationale budgettair-structurele plannen voor de middellange termijn terdege rekening worden gehouden met de uitdagingen op het gebied van d</w:t>
            </w:r>
            <w:r w:rsidRPr="001E04FD">
              <w:t>e houdbaarheid van de overheidsfinanciën op lange termijn.</w:t>
            </w:r>
          </w:p>
        </w:tc>
        <w:tc>
          <w:tcPr>
            <w:tcW w:w="4876" w:type="dxa"/>
            <w:hideMark/>
          </w:tcPr>
          <w:p w:rsidR="00AF0131" w:rsidRPr="001E04FD" w:rsidRDefault="00651F13" w:rsidP="00C33FBD">
            <w:pPr>
              <w:pStyle w:val="Normal6"/>
              <w:rPr>
                <w:szCs w:val="24"/>
              </w:rPr>
            </w:pPr>
            <w:r w:rsidRPr="001E04FD">
              <w:lastRenderedPageBreak/>
              <w:t>p)</w:t>
            </w:r>
            <w:r w:rsidRPr="001E04FD">
              <w:tab/>
              <w:t xml:space="preserve">Voor lidstaten met een lage overheidsschuld, maar met grote impliciete </w:t>
            </w:r>
            <w:r w:rsidRPr="001E04FD">
              <w:lastRenderedPageBreak/>
              <w:t>verplichtingen, moet bij het nationale netto-uitgaventraject en de hervormingen in de nationale budgettair-structurele plan</w:t>
            </w:r>
            <w:r w:rsidRPr="001E04FD">
              <w:t>nen voor de middellange termijn terdege rekening worden gehouden met de uitdagingen op het gebied van de houdbaarheid van de overheidsfinanciën op lange termijn</w:t>
            </w:r>
            <w:r w:rsidRPr="001E04FD">
              <w:rPr>
                <w:b/>
                <w:i/>
              </w:rPr>
              <w:t>, alsmede risico’s op het gebied van sociale convergentie, zoals blijkt uit de meest recente mon</w:t>
            </w:r>
            <w:r w:rsidRPr="001E04FD">
              <w:rPr>
                <w:b/>
                <w:i/>
              </w:rPr>
              <w:t>itoringgegevens</w:t>
            </w:r>
            <w:r w:rsidRPr="001E04FD">
              <w:t>.</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37</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 – alinea 1 – punt q</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q)</w:t>
            </w:r>
            <w:r w:rsidRPr="001E04FD">
              <w:tab/>
              <w:t>Informatie over de raadplegingen van</w:t>
            </w:r>
            <w:r w:rsidRPr="001E04FD">
              <w:t xml:space="preserve"> de sociale partners, maatschappelijke organisaties en andere relevante belanghebbenden met het oog op de voorbereiding van het plan.</w:t>
            </w:r>
          </w:p>
        </w:tc>
        <w:tc>
          <w:tcPr>
            <w:tcW w:w="4876" w:type="dxa"/>
            <w:hideMark/>
          </w:tcPr>
          <w:p w:rsidR="00AF0131" w:rsidRPr="001E04FD" w:rsidRDefault="00651F13" w:rsidP="00C33FBD">
            <w:pPr>
              <w:pStyle w:val="Normal6"/>
              <w:rPr>
                <w:szCs w:val="24"/>
              </w:rPr>
            </w:pPr>
            <w:r w:rsidRPr="001E04FD">
              <w:t>q)</w:t>
            </w:r>
            <w:r w:rsidRPr="001E04FD">
              <w:tab/>
              <w:t xml:space="preserve">Informatie over de </w:t>
            </w:r>
            <w:r w:rsidRPr="001E04FD">
              <w:rPr>
                <w:b/>
                <w:bCs/>
                <w:i/>
                <w:iCs/>
              </w:rPr>
              <w:t>doeltreffende</w:t>
            </w:r>
            <w:r w:rsidRPr="001E04FD">
              <w:t xml:space="preserve"> raadplegingen van de sociale partners, maatschappelijke organisaties en andere relevan</w:t>
            </w:r>
            <w:r w:rsidRPr="001E04FD">
              <w:t>te belanghebbenden met het oog op de voorbereiding van het plan.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38</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III – alinea 1 – punt b</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b)</w:t>
            </w:r>
            <w:r w:rsidRPr="001E04FD">
              <w:tab/>
              <w:t>Een vergelijking vanaf het begin van het nationale budgettair-structurele plan voor de middellange termijn tussen de prognoses van de belangrijkste economische variabelen die in dat plan zijn ingediend en de begrotingsresultaten voor deze va</w:t>
            </w:r>
            <w:r w:rsidRPr="001E04FD">
              <w:t>riabelen, alsmede de gevolgen voor de naleving van het door de Raad vastgestelde netto-uitgaventraject en de gevolgen voor het in dat plan gerapporteerde geplande beloop van de overheidsschuldquote.</w:t>
            </w:r>
          </w:p>
        </w:tc>
        <w:tc>
          <w:tcPr>
            <w:tcW w:w="4876" w:type="dxa"/>
            <w:hideMark/>
          </w:tcPr>
          <w:p w:rsidR="00AF0131" w:rsidRPr="001E04FD" w:rsidRDefault="00651F13" w:rsidP="00C33FBD">
            <w:pPr>
              <w:pStyle w:val="Normal6"/>
              <w:rPr>
                <w:szCs w:val="24"/>
              </w:rPr>
            </w:pPr>
            <w:r w:rsidRPr="001E04FD">
              <w:t>b)</w:t>
            </w:r>
            <w:r w:rsidRPr="001E04FD">
              <w:tab/>
              <w:t>Een vergelijking vanaf het begin van het nationale bud</w:t>
            </w:r>
            <w:r w:rsidRPr="001E04FD">
              <w:t xml:space="preserve">gettair-structurele plan voor de middellange termijn tussen de prognoses van de belangrijkste economische </w:t>
            </w:r>
            <w:r w:rsidRPr="001E04FD">
              <w:rPr>
                <w:b/>
                <w:i/>
              </w:rPr>
              <w:t xml:space="preserve">en sociale </w:t>
            </w:r>
            <w:r w:rsidRPr="001E04FD">
              <w:t>variabelen die in dat plan zijn ingediend en de begrotingsresultaten voor deze variabelen, alsmede de gevolgen voor de naleving van het doo</w:t>
            </w:r>
            <w:r w:rsidRPr="001E04FD">
              <w:t>r de Raad vastgestelde netto-uitgaventraject en de gevolgen voor het in dat plan gerapporteerde geplande beloop van de overheidsschuldquote</w:t>
            </w:r>
            <w:r w:rsidRPr="001E04FD">
              <w:rPr>
                <w:b/>
                <w:i/>
              </w:rPr>
              <w:t xml:space="preserve">, alsmede voor de mate van verwezenlijking van de nationale doelstellingen, verband </w:t>
            </w:r>
            <w:r w:rsidRPr="001E04FD">
              <w:rPr>
                <w:b/>
                <w:i/>
              </w:rPr>
              <w:lastRenderedPageBreak/>
              <w:t xml:space="preserve">houdend met de kerndoelen van de </w:t>
            </w:r>
            <w:r w:rsidRPr="001E04FD">
              <w:rPr>
                <w:b/>
                <w:i/>
              </w:rPr>
              <w:t>Europese pijler van sociale rechten</w:t>
            </w:r>
            <w:r w:rsidRPr="001E04FD">
              <w:t>.</w:t>
            </w:r>
          </w:p>
        </w:tc>
      </w:tr>
    </w:tbl>
    <w:p w:rsidR="00AF0131" w:rsidRPr="001E04FD" w:rsidRDefault="00651F13" w:rsidP="00AF0131">
      <w:r w:rsidRPr="001E04FD">
        <w:rPr>
          <w:rStyle w:val="HideTWBExt"/>
        </w:rPr>
        <w:lastRenderedPageBreak/>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39</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III – alinea 1 – punt h</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h)</w:t>
            </w:r>
            <w:r w:rsidRPr="001E04FD">
              <w:tab/>
              <w:t xml:space="preserve">De </w:t>
            </w:r>
            <w:r w:rsidRPr="001E04FD">
              <w:t>belangrijkste aannamen over de verwachte economische ontwikkelingen en de belangrijkste economische variabelen voor de volgende jaren van de aanpassingsperiode, met inbegrip van de overheidsschuldquote.</w:t>
            </w:r>
          </w:p>
        </w:tc>
        <w:tc>
          <w:tcPr>
            <w:tcW w:w="4876" w:type="dxa"/>
            <w:hideMark/>
          </w:tcPr>
          <w:p w:rsidR="00AF0131" w:rsidRPr="001E04FD" w:rsidRDefault="00651F13" w:rsidP="00C33FBD">
            <w:pPr>
              <w:pStyle w:val="Normal6"/>
              <w:rPr>
                <w:szCs w:val="24"/>
              </w:rPr>
            </w:pPr>
            <w:r w:rsidRPr="001E04FD">
              <w:t>h)</w:t>
            </w:r>
            <w:r w:rsidRPr="001E04FD">
              <w:tab/>
              <w:t>De belangrijkste aannamen over de verwachte econom</w:t>
            </w:r>
            <w:r w:rsidRPr="001E04FD">
              <w:t xml:space="preserve">ische </w:t>
            </w:r>
            <w:r w:rsidRPr="001E04FD">
              <w:rPr>
                <w:b/>
                <w:i/>
              </w:rPr>
              <w:t xml:space="preserve">en sociale </w:t>
            </w:r>
            <w:r w:rsidRPr="001E04FD">
              <w:t>ontwikkelingen en de belangrijkste economische</w:t>
            </w:r>
            <w:r w:rsidRPr="001E04FD">
              <w:rPr>
                <w:b/>
                <w:i/>
              </w:rPr>
              <w:t xml:space="preserve"> en sociale</w:t>
            </w:r>
            <w:r w:rsidRPr="001E04FD">
              <w:t xml:space="preserve"> variabelen voor de volgende jaren van de aanpassingsperiode, met inbegrip van de overheidsschuldquote.</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40</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 xml:space="preserve">Voorstel voor een </w:t>
      </w:r>
      <w:r w:rsidRPr="001E04FD">
        <w:t>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III – alinea 1 – punt l</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l)</w:t>
            </w:r>
            <w:r w:rsidRPr="001E04FD">
              <w:tab/>
              <w:t>Een analyse van de ontwikkeling van de macro-economische onevenwichtigheden die in het kader van de procedure voor macro-economi</w:t>
            </w:r>
            <w:r w:rsidRPr="001E04FD">
              <w:t>sche onevenwichtigheden zijn vastgesteld, en van de gevolgen voor die onevenwichtigheden van de uitvoering van de desbetreffende hervormingen en investeringen die in het nationale budgettair-structurele plan voor de middellange termijn overeenkomstig bijla</w:t>
            </w:r>
            <w:r w:rsidRPr="001E04FD">
              <w:t>ge</w:t>
            </w:r>
            <w:r w:rsidRPr="001E04FD">
              <w:rPr>
                <w:b/>
                <w:i/>
              </w:rPr>
              <w:t xml:space="preserve"> </w:t>
            </w:r>
            <w:r w:rsidRPr="001E04FD">
              <w:t xml:space="preserve">II, </w:t>
            </w:r>
            <w:r w:rsidRPr="001E04FD">
              <w:rPr>
                <w:b/>
                <w:i/>
              </w:rPr>
              <w:t>punt n</w:t>
            </w:r>
            <w:r w:rsidRPr="001E04FD">
              <w:t>), zijn gerapporteerd, indien van toepassing.</w:t>
            </w:r>
          </w:p>
        </w:tc>
        <w:tc>
          <w:tcPr>
            <w:tcW w:w="4876" w:type="dxa"/>
            <w:hideMark/>
          </w:tcPr>
          <w:p w:rsidR="00AF0131" w:rsidRPr="001E04FD" w:rsidRDefault="00651F13" w:rsidP="00C33FBD">
            <w:pPr>
              <w:pStyle w:val="Normal6"/>
              <w:rPr>
                <w:szCs w:val="24"/>
              </w:rPr>
            </w:pPr>
            <w:r w:rsidRPr="001E04FD">
              <w:t>l)</w:t>
            </w:r>
            <w:r w:rsidRPr="001E04FD">
              <w:tab/>
              <w:t xml:space="preserve">Een analyse van de ontwikkeling van de macro-economische onevenwichtigheden die in het kader van de procedure voor macro-economische onevenwichtigheden zijn vastgesteld, en van de </w:t>
            </w:r>
            <w:r w:rsidRPr="001E04FD">
              <w:rPr>
                <w:b/>
                <w:i/>
              </w:rPr>
              <w:t>uit hoofde van</w:t>
            </w:r>
            <w:r w:rsidRPr="001E04FD">
              <w:rPr>
                <w:b/>
                <w:i/>
              </w:rPr>
              <w:t xml:space="preserve"> het kader voor sociale convergentie vastgestelde risico’s op het gebied van sociale convergentie, alsmede van de </w:t>
            </w:r>
            <w:r w:rsidRPr="001E04FD">
              <w:t>gevolgen voor die onevenwichtigheden van de uitvoering van de desbetreffende hervormingen en investeringen die in het nationale budgettair-str</w:t>
            </w:r>
            <w:r w:rsidRPr="001E04FD">
              <w:t>ucturele plan voor de middellange termijn overeenkomstig bijlage</w:t>
            </w:r>
            <w:r w:rsidRPr="001E04FD">
              <w:rPr>
                <w:b/>
                <w:i/>
              </w:rPr>
              <w:t> </w:t>
            </w:r>
            <w:r w:rsidRPr="001E04FD">
              <w:t xml:space="preserve">II, </w:t>
            </w:r>
            <w:r w:rsidRPr="001E04FD">
              <w:rPr>
                <w:b/>
                <w:i/>
              </w:rPr>
              <w:t>punten n) en o</w:t>
            </w:r>
            <w:r w:rsidRPr="001E04FD">
              <w:t>), zijn gerapporteerd, indien van toepassing.</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41</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 xml:space="preserve">Bijlage III – </w:t>
      </w:r>
      <w:r w:rsidRPr="001E04FD">
        <w:t>alinea 1 – punt n</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n)</w:t>
            </w:r>
            <w:r w:rsidRPr="001E04FD">
              <w:tab/>
              <w:t>Informatie over ontwikkelingen op het gebied van de arbeidsmarkt, vaardigheden en het sociaal beleid, en over de uitvoering van beleidsmaatregelen die zijn genomen ter bevord</w:t>
            </w:r>
            <w:r w:rsidRPr="001E04FD">
              <w:t>ering van opwaartse sociale convergentie tussen de lidstaten in de richting van betere arbeids- en levensomstandigheden, in overeenstemming met de beginselen van de Europese pijler van sociale rechten en de werkgelegenheidsrichtsnoeren uit hoofde van artik</w:t>
            </w:r>
            <w:r w:rsidRPr="001E04FD">
              <w:t>el 148 VWEU. Dit omvat het verwachte effect van de maatregelen in verhouding tot de vooruitgang bij de verwezenlijking van de nationale doelstellingen op het gebied van werkgelegenheid, vaardigheden en armoedebestrijding tegen 2030.</w:t>
            </w:r>
          </w:p>
        </w:tc>
        <w:tc>
          <w:tcPr>
            <w:tcW w:w="4876" w:type="dxa"/>
            <w:hideMark/>
          </w:tcPr>
          <w:p w:rsidR="00AF0131" w:rsidRPr="001E04FD" w:rsidRDefault="00651F13" w:rsidP="00C33FBD">
            <w:pPr>
              <w:pStyle w:val="Normal6"/>
              <w:rPr>
                <w:szCs w:val="24"/>
              </w:rPr>
            </w:pPr>
            <w:r w:rsidRPr="001E04FD">
              <w:t>n)</w:t>
            </w:r>
            <w:r w:rsidRPr="001E04FD">
              <w:tab/>
              <w:t xml:space="preserve">Informatie over </w:t>
            </w:r>
            <w:r w:rsidRPr="001E04FD">
              <w:t>ontwikkelingen op het gebied van de arbeidsmarkt, vaardigheden en het sociaal beleid, en over de uitvoering van beleidsmaatregelen die zijn genomen ter bevordering van opwaartse sociale convergentie tussen de lidstaten in de richting van betere arbeids- en</w:t>
            </w:r>
            <w:r w:rsidRPr="001E04FD">
              <w:t xml:space="preserve"> levensomstandigheden, in overeenstemming met de beginselen van de Europese pijler van sociale rechten en de werkgelegenheidsrichtsnoeren uit hoofde van artikel 148 VWEU</w:t>
            </w:r>
            <w:r w:rsidRPr="001E04FD">
              <w:rPr>
                <w:b/>
                <w:i/>
              </w:rPr>
              <w:t xml:space="preserve"> en het kader voor sociale convergentie</w:t>
            </w:r>
            <w:r w:rsidRPr="001E04FD">
              <w:t>. Dit omvat het verwachte effect van de maatrege</w:t>
            </w:r>
            <w:r w:rsidRPr="001E04FD">
              <w:t>len in verhouding tot de vooruitgang bij de verwezenlijking van de nationale doelstellingen op het gebied van werkgelegenheid, vaardigheden en armoedebestrijding tegen 2030</w:t>
            </w:r>
            <w:r w:rsidRPr="001E04FD">
              <w:rPr>
                <w:b/>
                <w:i/>
              </w:rPr>
              <w:t xml:space="preserve">, en indien van toepassing het verwachte effect van de maatregelen om de uit hoofde </w:t>
            </w:r>
            <w:r w:rsidRPr="001E04FD">
              <w:rPr>
                <w:b/>
                <w:i/>
              </w:rPr>
              <w:t>van het kader voor sociale convergentie vastgestelde risico’s op het gebied van sociale convergentie te corrigeren</w:t>
            </w:r>
            <w:r w:rsidRPr="001E04FD">
              <w:t>.</w:t>
            </w:r>
          </w:p>
        </w:tc>
      </w:tr>
    </w:tbl>
    <w:p w:rsidR="00AF0131" w:rsidRPr="001E04FD" w:rsidRDefault="00651F13" w:rsidP="00AF0131">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42</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 xml:space="preserve">Bijlage III – alinea 1 – punt o </w:t>
      </w:r>
      <w:r w:rsidRPr="001E04FD">
        <w:t>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o bis)</w:t>
            </w:r>
            <w:r w:rsidRPr="001E04FD">
              <w:tab/>
            </w:r>
            <w:r w:rsidRPr="001E04FD">
              <w:rPr>
                <w:b/>
                <w:bCs/>
                <w:i/>
                <w:iCs/>
              </w:rPr>
              <w:t>Informatie over de raadplegingen van de sociale partners, maatschappelijke organisaties en andere relevante belanghebbenden met het oog op de voorbereiding van het verslag.</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C56375">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43</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VII – punt 2 – alinea 2 – punt 2.1 – inleidende formule</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2.1</w:t>
            </w:r>
            <w:r w:rsidRPr="001E04FD">
              <w:tab/>
            </w:r>
            <w:r w:rsidRPr="001E04FD">
              <w:t xml:space="preserve">De reeks hervormings- en investeringsverbintenissen is </w:t>
            </w:r>
            <w:r w:rsidRPr="001E04FD">
              <w:rPr>
                <w:b/>
                <w:i/>
              </w:rPr>
              <w:t>groeibevorderend</w:t>
            </w:r>
            <w:r w:rsidRPr="001E04FD">
              <w:t>.</w:t>
            </w:r>
          </w:p>
        </w:tc>
        <w:tc>
          <w:tcPr>
            <w:tcW w:w="4876" w:type="dxa"/>
            <w:hideMark/>
          </w:tcPr>
          <w:p w:rsidR="00AF0131" w:rsidRPr="001E04FD" w:rsidRDefault="00651F13" w:rsidP="00C33FBD">
            <w:pPr>
              <w:pStyle w:val="Normal6"/>
              <w:rPr>
                <w:szCs w:val="24"/>
              </w:rPr>
            </w:pPr>
            <w:r w:rsidRPr="001E04FD">
              <w:t>2.1</w:t>
            </w:r>
            <w:r w:rsidRPr="001E04FD">
              <w:tab/>
              <w:t xml:space="preserve">De reeks hervormings- en investeringsverbintenissen is </w:t>
            </w:r>
            <w:r w:rsidRPr="001E04FD">
              <w:rPr>
                <w:b/>
                <w:i/>
              </w:rPr>
              <w:t>bevorderend voor duurzame groei.</w:t>
            </w:r>
            <w:r w:rsidRPr="001E04FD">
              <w:t xml:space="preserve"> </w:t>
            </w:r>
            <w:r w:rsidRPr="001E04FD">
              <w:rPr>
                <w:b/>
                <w:i/>
              </w:rPr>
              <w:t>De reeks hervormings- en investeringsverbintenissen zal naar verwachting voldoende vooruitg</w:t>
            </w:r>
            <w:r w:rsidRPr="001E04FD">
              <w:rPr>
                <w:b/>
                <w:i/>
              </w:rPr>
              <w:t>ang bewerkstelligen bij de verwezenlijking van de nationale streefcijfers, verband houdend met de kerndoelen van de Europese pijler van sociale rechten en de daarbij behorende primaire en secundaire indicatoren.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44</w:t>
      </w:r>
      <w:r w:rsidRPr="001E04FD">
        <w:rPr>
          <w:rStyle w:val="HideTWBExt"/>
          <w:b w:val="0"/>
        </w:rPr>
        <w:t>&lt;/NumA</w:t>
      </w:r>
      <w:r w:rsidRPr="001E04FD">
        <w:rPr>
          <w:rStyle w:val="HideTWBExt"/>
          <w:b w:val="0"/>
        </w:rPr>
        <w:t>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VII – punt 2 – alinea 2 – punt 2.2 bis (nieuw)</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tcPr>
          <w:p w:rsidR="00AF0131" w:rsidRPr="001E04FD" w:rsidRDefault="00AF0131" w:rsidP="00C33FBD">
            <w:pPr>
              <w:pStyle w:val="Normal6"/>
            </w:pPr>
          </w:p>
        </w:tc>
        <w:tc>
          <w:tcPr>
            <w:tcW w:w="4876" w:type="dxa"/>
            <w:hideMark/>
          </w:tcPr>
          <w:p w:rsidR="00AF0131" w:rsidRPr="001E04FD" w:rsidRDefault="00651F13" w:rsidP="00C33FBD">
            <w:pPr>
              <w:pStyle w:val="Normal6"/>
              <w:rPr>
                <w:szCs w:val="24"/>
              </w:rPr>
            </w:pPr>
            <w:r w:rsidRPr="001E04FD">
              <w:rPr>
                <w:b/>
                <w:i/>
              </w:rPr>
              <w:t>2.2 bis</w:t>
            </w:r>
            <w:r w:rsidRPr="001E04FD">
              <w:rPr>
                <w:b/>
                <w:i/>
              </w:rPr>
              <w:tab/>
              <w:t xml:space="preserve">De reeks hervormings- en investeringsverbintenissen ondersteunt de </w:t>
            </w:r>
            <w:r w:rsidRPr="001E04FD">
              <w:rPr>
                <w:b/>
                <w:i/>
              </w:rPr>
              <w:t>opwaartse sociale convergentie;</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45</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Bijlage VII – punt 2 – alinea 2 – punt 2.4 – inleidende formule</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2.4</w:t>
            </w:r>
            <w:r w:rsidRPr="001E04FD">
              <w:tab/>
              <w:t>De reeks hervormings- en investeringsverbintenissen is in haar geheel genomen gericht op relevante landspecifieke aanbevelingen, met inbegrip van, indien van toepassing, aanbevelingen die zijn gedaan in het kader van de procedure voor macro</w:t>
            </w:r>
            <w:r w:rsidRPr="001E04FD">
              <w:t>-economische onevenwichtigheden;</w:t>
            </w:r>
          </w:p>
        </w:tc>
        <w:tc>
          <w:tcPr>
            <w:tcW w:w="4876" w:type="dxa"/>
            <w:hideMark/>
          </w:tcPr>
          <w:p w:rsidR="00AF0131" w:rsidRPr="001E04FD" w:rsidRDefault="00651F13" w:rsidP="00C33FBD">
            <w:pPr>
              <w:pStyle w:val="Normal6"/>
              <w:rPr>
                <w:szCs w:val="24"/>
              </w:rPr>
            </w:pPr>
            <w:r w:rsidRPr="001E04FD">
              <w:t>2.4</w:t>
            </w:r>
            <w:r w:rsidRPr="001E04FD">
              <w:tab/>
              <w:t>De reeks hervormings- en investeringsverbintenissen is in haar geheel genomen gericht op relevante landspecifieke aanbevelingen</w:t>
            </w:r>
            <w:r w:rsidRPr="001E04FD">
              <w:rPr>
                <w:b/>
                <w:i/>
              </w:rPr>
              <w:t xml:space="preserve"> als bedoeld in artikel 121, lid 4, en artikel 148, lid 4, VWEU</w:t>
            </w:r>
            <w:r w:rsidRPr="001E04FD">
              <w:t>, met inbegrip van, indien va</w:t>
            </w:r>
            <w:r w:rsidRPr="001E04FD">
              <w:t>n toepassing, aanbevelingen die zijn gedaan in het kader van de procedure voor macro-economische onevenwichtigheden;</w:t>
            </w:r>
          </w:p>
        </w:tc>
      </w:tr>
    </w:tbl>
    <w:p w:rsidR="00AF0131" w:rsidRPr="001E04FD" w:rsidRDefault="00651F13" w:rsidP="00C56375">
      <w:pPr>
        <w:rPr>
          <w:rStyle w:val="HideTWBExt"/>
          <w:rFonts w:ascii="Times New Roman" w:hAnsi="Times New Roman" w:cs="Times New Roman"/>
          <w:noProof w:val="0"/>
          <w:vanish w:val="0"/>
          <w:color w:val="auto"/>
          <w:sz w:val="24"/>
        </w:rPr>
      </w:pPr>
      <w:r w:rsidRPr="001E04FD">
        <w:rPr>
          <w:rStyle w:val="HideTWBExt"/>
        </w:rPr>
        <w:t>&lt;/Amend&gt;</w:t>
      </w:r>
    </w:p>
    <w:p w:rsidR="00AF0131" w:rsidRPr="001E04FD" w:rsidRDefault="00AF0131" w:rsidP="00AF0131">
      <w:pPr>
        <w:rPr>
          <w:rStyle w:val="HideTWBExt"/>
        </w:rPr>
      </w:pPr>
    </w:p>
    <w:p w:rsidR="00AF0131" w:rsidRPr="001E04FD" w:rsidRDefault="00651F13" w:rsidP="00AF0131">
      <w:pPr>
        <w:pStyle w:val="AmNumberTabs"/>
      </w:pPr>
      <w:r w:rsidRPr="001E04FD">
        <w:rPr>
          <w:rStyle w:val="HideTWBExt"/>
          <w:b w:val="0"/>
        </w:rPr>
        <w:t>&lt;Amend&gt;</w:t>
      </w:r>
      <w:r w:rsidRPr="001E04FD">
        <w:t>Amendement</w:t>
      </w:r>
      <w:r w:rsidRPr="001E04FD">
        <w:tab/>
      </w:r>
      <w:r w:rsidRPr="001E04FD">
        <w:tab/>
      </w:r>
      <w:r w:rsidRPr="001E04FD">
        <w:rPr>
          <w:rStyle w:val="HideTWBExt"/>
          <w:b w:val="0"/>
        </w:rPr>
        <w:t>&lt;NumAm&gt;</w:t>
      </w:r>
      <w:r w:rsidRPr="001E04FD">
        <w:t>46</w:t>
      </w:r>
      <w:r w:rsidRPr="001E04FD">
        <w:rPr>
          <w:rStyle w:val="HideTWBExt"/>
          <w:b w:val="0"/>
        </w:rPr>
        <w:t>&lt;/NumAm&gt;</w:t>
      </w:r>
    </w:p>
    <w:p w:rsidR="00AF0131" w:rsidRPr="001E04FD" w:rsidRDefault="00AF0131" w:rsidP="00AF0131"/>
    <w:p w:rsidR="00AF0131" w:rsidRPr="001E04FD" w:rsidRDefault="00651F13" w:rsidP="00AF0131">
      <w:pPr>
        <w:pStyle w:val="NormalBold"/>
        <w:keepNext/>
      </w:pPr>
      <w:r w:rsidRPr="001E04FD">
        <w:rPr>
          <w:rStyle w:val="HideTWBExt"/>
          <w:b w:val="0"/>
        </w:rPr>
        <w:t>&lt;DocAmend&gt;</w:t>
      </w:r>
      <w:r w:rsidRPr="001E04FD">
        <w:t>Voorstel voor een verordening</w:t>
      </w:r>
      <w:r w:rsidRPr="001E04FD">
        <w:rPr>
          <w:rStyle w:val="HideTWBExt"/>
          <w:b w:val="0"/>
        </w:rPr>
        <w:t>&lt;/DocAmend&gt;</w:t>
      </w:r>
    </w:p>
    <w:p w:rsidR="00AF0131" w:rsidRPr="001E04FD" w:rsidRDefault="00651F13" w:rsidP="00AF0131">
      <w:pPr>
        <w:pStyle w:val="NormalBold"/>
      </w:pPr>
      <w:r w:rsidRPr="001E04FD">
        <w:rPr>
          <w:rStyle w:val="HideTWBExt"/>
          <w:b w:val="0"/>
        </w:rPr>
        <w:t>&lt;Article&gt;</w:t>
      </w:r>
      <w:r w:rsidRPr="001E04FD">
        <w:t xml:space="preserve">Bijlage VII – punt 2 – alinea </w:t>
      </w:r>
      <w:r w:rsidRPr="001E04FD">
        <w:t>2 – punt 2.4 – streepje 1</w:t>
      </w:r>
      <w:r w:rsidRPr="001E0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09C2" w:rsidRPr="001E04FD" w:rsidTr="00C33FBD">
        <w:trPr>
          <w:jc w:val="center"/>
        </w:trPr>
        <w:tc>
          <w:tcPr>
            <w:tcW w:w="9752" w:type="dxa"/>
            <w:gridSpan w:val="2"/>
          </w:tcPr>
          <w:p w:rsidR="00AF0131" w:rsidRPr="001E04FD" w:rsidRDefault="00AF0131" w:rsidP="00C33FBD">
            <w:pPr>
              <w:keepNext/>
            </w:pPr>
          </w:p>
        </w:tc>
      </w:tr>
      <w:tr w:rsidR="003309C2" w:rsidRPr="001E04FD" w:rsidTr="00C33FBD">
        <w:trPr>
          <w:jc w:val="center"/>
        </w:trPr>
        <w:tc>
          <w:tcPr>
            <w:tcW w:w="4876" w:type="dxa"/>
            <w:hideMark/>
          </w:tcPr>
          <w:p w:rsidR="00AF0131" w:rsidRPr="001E04FD" w:rsidRDefault="00651F13" w:rsidP="00C33FBD">
            <w:pPr>
              <w:pStyle w:val="ColumnHeading"/>
              <w:keepNext/>
            </w:pPr>
            <w:r w:rsidRPr="001E04FD">
              <w:t>Door de Commissie voorgestelde tekst</w:t>
            </w:r>
          </w:p>
        </w:tc>
        <w:tc>
          <w:tcPr>
            <w:tcW w:w="4876" w:type="dxa"/>
            <w:hideMark/>
          </w:tcPr>
          <w:p w:rsidR="00AF0131" w:rsidRPr="001E04FD" w:rsidRDefault="00651F13" w:rsidP="00C33FBD">
            <w:pPr>
              <w:pStyle w:val="ColumnHeading"/>
              <w:keepNext/>
            </w:pPr>
            <w:r w:rsidRPr="001E04FD">
              <w:t>Amendement</w:t>
            </w:r>
          </w:p>
        </w:tc>
      </w:tr>
      <w:tr w:rsidR="003309C2" w:rsidRPr="001E04FD" w:rsidTr="00C33FBD">
        <w:trPr>
          <w:jc w:val="center"/>
        </w:trPr>
        <w:tc>
          <w:tcPr>
            <w:tcW w:w="4876" w:type="dxa"/>
            <w:hideMark/>
          </w:tcPr>
          <w:p w:rsidR="00AF0131" w:rsidRPr="001E04FD" w:rsidRDefault="00651F13" w:rsidP="00C33FBD">
            <w:pPr>
              <w:pStyle w:val="Normal6"/>
            </w:pPr>
            <w:r w:rsidRPr="001E04FD">
              <w:t>–</w:t>
            </w:r>
            <w:r w:rsidRPr="001E04FD">
              <w:tab/>
              <w:t>Van de reeks relevante hervormings- en investeringsverbintenissen die ten grondslag liggen aan de verlenging van de aanpassingsperiode wordt verwacht dat zij in haar g</w:t>
            </w:r>
            <w:r w:rsidRPr="001E04FD">
              <w:t>eheel genomen zal bijdragen tot het aanpakken van de problemen die zijn vastgesteld in de desbetreffende landspecifieke aanbevelingen, met inbegrip van de aanbevelingen die in voorkomend geval in het kader van de procedure voor macro-economische onevenwich</w:t>
            </w:r>
            <w:r w:rsidRPr="001E04FD">
              <w:t>tigheden zijn gedaan, rekening houdend met de reikwijdte en de omvang van de landspecifieke uitdagingen en de toezeggingen die zijn gedaan in het kader van de herstel- en veerkrachtplannen, indien van toepassing;</w:t>
            </w:r>
          </w:p>
        </w:tc>
        <w:tc>
          <w:tcPr>
            <w:tcW w:w="4876" w:type="dxa"/>
            <w:hideMark/>
          </w:tcPr>
          <w:p w:rsidR="00AF0131" w:rsidRPr="001E04FD" w:rsidRDefault="00651F13" w:rsidP="00C33FBD">
            <w:pPr>
              <w:pStyle w:val="Normal6"/>
              <w:rPr>
                <w:szCs w:val="24"/>
              </w:rPr>
            </w:pPr>
            <w:r w:rsidRPr="001E04FD">
              <w:t>–</w:t>
            </w:r>
            <w:r w:rsidRPr="001E04FD">
              <w:tab/>
              <w:t>Van de reeks relevante hervormings- en in</w:t>
            </w:r>
            <w:r w:rsidRPr="001E04FD">
              <w:t>vesteringsverbintenissen die ten grondslag liggen aan de verlenging van de aanpassingsperiode wordt verwacht dat zij in haar geheel genomen zal bijdragen tot het aanpakken van de problemen die zijn vastgesteld in de desbetreffende landspecifieke aanbevelin</w:t>
            </w:r>
            <w:r w:rsidRPr="001E04FD">
              <w:t>gen, met inbegrip van de aanbevelingen die in voorkomend geval in het kader van de procedure voor macro-economische onevenwichtigheden zijn gedaan</w:t>
            </w:r>
            <w:r w:rsidRPr="001E04FD">
              <w:rPr>
                <w:b/>
                <w:i/>
              </w:rPr>
              <w:t xml:space="preserve"> en met inbegrip van de aanbevelingen die zijn gedaan overeenkomstig artikel 148, lid 4, VWEU</w:t>
            </w:r>
            <w:r w:rsidRPr="001E04FD">
              <w:t>, rekening houden</w:t>
            </w:r>
            <w:r w:rsidRPr="001E04FD">
              <w:t>d met de reikwijdte en de omvang van de landspecifieke uitdagingen en de toezeggingen die zijn gedaan in het kader van de herstel- en veerkrachtplannen, indien van toepassing;</w:t>
            </w:r>
          </w:p>
        </w:tc>
      </w:tr>
    </w:tbl>
    <w:p w:rsidR="00AF0131" w:rsidRPr="001E04FD" w:rsidRDefault="00651F13" w:rsidP="00AF0131">
      <w:r w:rsidRPr="001E04FD">
        <w:rPr>
          <w:rStyle w:val="HideTWBExt"/>
        </w:rPr>
        <w:t>&lt;/Amend&gt;</w:t>
      </w:r>
      <w:r w:rsidRPr="001E04FD">
        <w:rPr>
          <w:rStyle w:val="HideTWBExt"/>
        </w:rPr>
        <w:t>&lt;/RepeatBlock-Amend&gt;</w:t>
      </w:r>
      <w:bookmarkStart w:id="1" w:name="_GoBack"/>
      <w:bookmarkEnd w:id="1"/>
      <w:r w:rsidRPr="001E04FD">
        <w:br w:type="page"/>
      </w:r>
    </w:p>
    <w:p w:rsidR="00AF0131" w:rsidRPr="001E04FD" w:rsidRDefault="00651F13" w:rsidP="00AF0131">
      <w:pPr>
        <w:pStyle w:val="PageHeadingNotTOC"/>
      </w:pPr>
      <w:bookmarkStart w:id="2" w:name="ProcPageAD"/>
      <w:r w:rsidRPr="001E04FD">
        <w:lastRenderedPageBreak/>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De</w:t>
            </w:r>
            <w:r w:rsidRPr="001E04FD">
              <w:rPr>
                <w:color w:val="000000"/>
                <w:sz w:val="20"/>
              </w:rPr>
              <w:t xml:space="preserve"> doeltreffende coördinatie van het economisch beleid en het multilaterale begrotingstoezicht en intrekking van Verordening (EG) nr. 1466/97 van de Raad</w:t>
            </w:r>
          </w:p>
        </w:tc>
      </w:tr>
      <w:tr w:rsidR="003309C2" w:rsidRPr="001E04F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COM(2023)0240 – C9-0150/2023 – 2023/0138(COD)</w:t>
            </w: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Bevoegde commissie</w:t>
            </w:r>
          </w:p>
          <w:p w:rsidR="00AF0131" w:rsidRPr="001E04FD" w:rsidRDefault="00651F13" w:rsidP="00C33FBD">
            <w:pPr>
              <w:autoSpaceDE w:val="0"/>
              <w:autoSpaceDN w:val="0"/>
              <w:adjustRightInd w:val="0"/>
              <w:rPr>
                <w:color w:val="000000"/>
                <w:sz w:val="20"/>
                <w:szCs w:val="20"/>
              </w:rPr>
            </w:pPr>
            <w:r w:rsidRPr="001E04FD">
              <w:rPr>
                <w:color w:val="000000"/>
                <w:sz w:val="20"/>
              </w:rPr>
              <w:t>       </w:t>
            </w:r>
            <w:r w:rsidRPr="001E04FD">
              <w:rPr>
                <w:color w:val="000000"/>
                <w:sz w:val="20"/>
              </w:rPr>
              <w:t>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ECON</w:t>
            </w:r>
          </w:p>
          <w:p w:rsidR="00AF0131" w:rsidRPr="001E04FD" w:rsidRDefault="00651F13" w:rsidP="00C33FBD">
            <w:pPr>
              <w:autoSpaceDE w:val="0"/>
              <w:autoSpaceDN w:val="0"/>
              <w:adjustRightInd w:val="0"/>
              <w:rPr>
                <w:color w:val="000000"/>
                <w:sz w:val="20"/>
                <w:szCs w:val="20"/>
              </w:rPr>
            </w:pPr>
            <w:r w:rsidRPr="001E04FD">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Advies uitgebracht door</w:t>
            </w:r>
          </w:p>
          <w:p w:rsidR="00AF0131" w:rsidRPr="001E04FD" w:rsidRDefault="00651F13" w:rsidP="00C33FBD">
            <w:pPr>
              <w:autoSpaceDE w:val="0"/>
              <w:autoSpaceDN w:val="0"/>
              <w:adjustRightInd w:val="0"/>
              <w:rPr>
                <w:color w:val="000000"/>
                <w:sz w:val="20"/>
                <w:szCs w:val="20"/>
              </w:rPr>
            </w:pPr>
            <w:r w:rsidRPr="001E04FD">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EMPL</w:t>
            </w:r>
          </w:p>
          <w:p w:rsidR="00AF0131" w:rsidRPr="001E04FD" w:rsidRDefault="00651F13" w:rsidP="00C33FBD">
            <w:pPr>
              <w:autoSpaceDE w:val="0"/>
              <w:autoSpaceDN w:val="0"/>
              <w:adjustRightInd w:val="0"/>
              <w:rPr>
                <w:color w:val="000000"/>
                <w:sz w:val="20"/>
                <w:szCs w:val="20"/>
              </w:rPr>
            </w:pPr>
            <w:r w:rsidRPr="001E04FD">
              <w:rPr>
                <w:color w:val="000000"/>
                <w:sz w:val="20"/>
              </w:rPr>
              <w:t>12.6.2023</w:t>
            </w:r>
          </w:p>
        </w:tc>
      </w:tr>
      <w:tr w:rsidR="003309C2" w:rsidRPr="001E04F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Medeverantwoordelijke commissies – datum bekendmaking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14.9.2023</w:t>
            </w: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Rapporteur voor advies</w:t>
            </w:r>
          </w:p>
          <w:p w:rsidR="00AF0131" w:rsidRPr="001E04FD" w:rsidRDefault="00651F13" w:rsidP="00C33FBD">
            <w:pPr>
              <w:autoSpaceDE w:val="0"/>
              <w:autoSpaceDN w:val="0"/>
              <w:adjustRightInd w:val="0"/>
              <w:rPr>
                <w:color w:val="000000"/>
                <w:sz w:val="20"/>
                <w:szCs w:val="20"/>
              </w:rPr>
            </w:pPr>
            <w:r w:rsidRPr="001E04FD">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Gabriele Bischoff</w:t>
            </w:r>
          </w:p>
          <w:p w:rsidR="00AF0131" w:rsidRPr="001E04FD" w:rsidRDefault="00651F13" w:rsidP="00C33FBD">
            <w:pPr>
              <w:autoSpaceDE w:val="0"/>
              <w:autoSpaceDN w:val="0"/>
              <w:adjustRightInd w:val="0"/>
              <w:rPr>
                <w:color w:val="000000"/>
                <w:sz w:val="20"/>
                <w:szCs w:val="20"/>
              </w:rPr>
            </w:pPr>
            <w:r w:rsidRPr="001E04FD">
              <w:rPr>
                <w:color w:val="000000"/>
                <w:sz w:val="20"/>
              </w:rPr>
              <w:t>29.6.2023</w:t>
            </w: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 xml:space="preserve">Behandeling </w:t>
            </w:r>
            <w:r w:rsidRPr="001E04FD">
              <w:rPr>
                <w:b/>
                <w:color w:val="000000"/>
                <w:sz w:val="20"/>
              </w:rPr>
              <w:t>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r>
      <w:tr w:rsidR="003309C2" w:rsidRPr="001E04F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1E04FD" w:rsidRDefault="00AF0131" w:rsidP="00C33FBD">
            <w:pPr>
              <w:autoSpaceDE w:val="0"/>
              <w:autoSpaceDN w:val="0"/>
              <w:adjustRightInd w:val="0"/>
              <w:rPr>
                <w:rFonts w:ascii="sans-serif" w:hAnsi="sans-serif" w:cs="sans-serif"/>
                <w:color w:val="000000"/>
              </w:rPr>
            </w:pP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w:t>
            </w:r>
          </w:p>
          <w:p w:rsidR="00AF0131" w:rsidRPr="001E04FD" w:rsidRDefault="00651F13" w:rsidP="00C33FBD">
            <w:pPr>
              <w:autoSpaceDE w:val="0"/>
              <w:autoSpaceDN w:val="0"/>
              <w:adjustRightInd w:val="0"/>
              <w:rPr>
                <w:color w:val="000000"/>
                <w:sz w:val="20"/>
                <w:szCs w:val="20"/>
              </w:rPr>
            </w:pPr>
            <w:r w:rsidRPr="001E04FD">
              <w:rPr>
                <w:color w:val="000000"/>
                <w:sz w:val="20"/>
              </w:rPr>
              <w:t>–:</w:t>
            </w:r>
          </w:p>
          <w:p w:rsidR="00AF0131" w:rsidRPr="001E04FD" w:rsidRDefault="00651F13" w:rsidP="00C33FBD">
            <w:pPr>
              <w:autoSpaceDE w:val="0"/>
              <w:autoSpaceDN w:val="0"/>
              <w:adjustRightInd w:val="0"/>
              <w:rPr>
                <w:color w:val="000000"/>
                <w:sz w:val="20"/>
                <w:szCs w:val="20"/>
              </w:rPr>
            </w:pPr>
            <w:r w:rsidRPr="001E04F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29</w:t>
            </w:r>
          </w:p>
          <w:p w:rsidR="00AF0131" w:rsidRPr="001E04FD" w:rsidRDefault="00651F13" w:rsidP="00C33FBD">
            <w:pPr>
              <w:autoSpaceDE w:val="0"/>
              <w:autoSpaceDN w:val="0"/>
              <w:adjustRightInd w:val="0"/>
              <w:rPr>
                <w:color w:val="000000"/>
                <w:sz w:val="20"/>
                <w:szCs w:val="20"/>
              </w:rPr>
            </w:pPr>
            <w:r w:rsidRPr="001E04FD">
              <w:rPr>
                <w:color w:val="000000"/>
                <w:sz w:val="20"/>
              </w:rPr>
              <w:t>4</w:t>
            </w:r>
          </w:p>
          <w:p w:rsidR="00AF0131" w:rsidRPr="001E04FD" w:rsidRDefault="00651F13" w:rsidP="00C33FBD">
            <w:pPr>
              <w:autoSpaceDE w:val="0"/>
              <w:autoSpaceDN w:val="0"/>
              <w:adjustRightInd w:val="0"/>
              <w:rPr>
                <w:color w:val="000000"/>
                <w:sz w:val="20"/>
                <w:szCs w:val="20"/>
              </w:rPr>
            </w:pPr>
            <w:r w:rsidRPr="001E04FD">
              <w:rPr>
                <w:color w:val="000000"/>
                <w:sz w:val="20"/>
              </w:rPr>
              <w:t>10</w:t>
            </w:r>
          </w:p>
        </w:tc>
      </w:tr>
      <w:tr w:rsidR="003309C2" w:rsidRPr="001E04FD"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 xml:space="preserve">João Albuquerque, Marc Angel, Dominique Bilde, Gabriele Bischoff, Milan Brglez, Jordi Cañas, David Casa, Ilan De </w:t>
            </w:r>
            <w:r w:rsidRPr="001E04FD">
              <w:rPr>
                <w:color w:val="000000"/>
                <w:sz w:val="20"/>
              </w:rPr>
              <w:t>Basso, Margarita de la Pisa Carrión, Özlem Demirel, Klára Dobrev, Jarosław Duda, Estrella Durá Ferrandis, Lucia Ďuriš Nicholsonová, Loucas Fourlas, Cindy Franssen, Chiara Gemma, Helmut Geuking, Elisabetta Gualmini, Alicia Homs Ginel, Agnes Jongerius, Steli</w:t>
            </w:r>
            <w:r w:rsidRPr="001E04FD">
              <w:rPr>
                <w:color w:val="000000"/>
                <w:sz w:val="20"/>
              </w:rPr>
              <w:t>os Kympouropoulos, Katrin Langensiepen, Miriam Lexmann, Elena Lizzi, Sara Matthieu, Max Orville, Kira Marie Peter-Hansen, Dragoş Pîslaru, Elżbieta Rafalska, Daniela Rondinelli, Pirkko Ruohonen-Lerner, Monica Semedo, Romana Tomc, Nikolaj Villumsen, Marianne</w:t>
            </w:r>
            <w:r w:rsidRPr="001E04FD">
              <w:rPr>
                <w:color w:val="000000"/>
                <w:sz w:val="20"/>
              </w:rPr>
              <w:t xml:space="preserve"> Vind, Maria Walsh, Tomáš Zdechovský</w:t>
            </w:r>
          </w:p>
        </w:tc>
      </w:tr>
      <w:tr w:rsidR="003309C2" w:rsidRPr="001E04F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Alexander Alexandrov Yordanov, Aurore Lalucq, Eugenia Rodríguez Palop</w:t>
            </w:r>
          </w:p>
        </w:tc>
      </w:tr>
      <w:tr w:rsidR="003309C2" w:rsidRPr="001E04FD"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b/>
                <w:bCs/>
                <w:color w:val="000000"/>
                <w:sz w:val="20"/>
                <w:szCs w:val="20"/>
              </w:rPr>
            </w:pPr>
            <w:r w:rsidRPr="001E04FD">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1E04FD" w:rsidRDefault="00651F13" w:rsidP="00C33FBD">
            <w:pPr>
              <w:autoSpaceDE w:val="0"/>
              <w:autoSpaceDN w:val="0"/>
              <w:adjustRightInd w:val="0"/>
              <w:rPr>
                <w:color w:val="000000"/>
                <w:sz w:val="20"/>
                <w:szCs w:val="20"/>
              </w:rPr>
            </w:pPr>
            <w:r w:rsidRPr="001E04FD">
              <w:rPr>
                <w:color w:val="000000"/>
                <w:sz w:val="20"/>
              </w:rPr>
              <w:t xml:space="preserve">Sirpa Pietikäinen, Caroline </w:t>
            </w:r>
            <w:r w:rsidRPr="001E04FD">
              <w:rPr>
                <w:color w:val="000000"/>
                <w:sz w:val="20"/>
              </w:rPr>
              <w:t>Roose</w:t>
            </w:r>
          </w:p>
        </w:tc>
      </w:tr>
    </w:tbl>
    <w:p w:rsidR="00AF0131" w:rsidRPr="001E04FD" w:rsidRDefault="00AF0131" w:rsidP="00AF0131"/>
    <w:bookmarkEnd w:id="2"/>
    <w:p w:rsidR="00AF0131" w:rsidRPr="001E04FD" w:rsidRDefault="00AF0131" w:rsidP="00AF0131">
      <w:pPr>
        <w:sectPr w:rsidR="00AF0131" w:rsidRPr="001E04FD" w:rsidSect="001E04F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1E04FD" w:rsidRDefault="00651F13" w:rsidP="00AF0131">
      <w:pPr>
        <w:pStyle w:val="PageHeadingNotTOC"/>
      </w:pPr>
      <w:bookmarkStart w:id="3" w:name="RollCallPageAD"/>
      <w:r w:rsidRPr="001E04FD">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9C2" w:rsidRPr="001E04FD" w:rsidTr="00C33FBD">
        <w:trPr>
          <w:cantSplit/>
        </w:trPr>
        <w:tc>
          <w:tcPr>
            <w:tcW w:w="1701" w:type="dxa"/>
            <w:shd w:val="pct10" w:color="000000" w:fill="FFFFFF"/>
            <w:vAlign w:val="center"/>
          </w:tcPr>
          <w:p w:rsidR="00AF0131" w:rsidRPr="001E04FD" w:rsidRDefault="00651F13" w:rsidP="00C33FBD">
            <w:pPr>
              <w:pStyle w:val="RollCallVotes"/>
            </w:pPr>
            <w:r w:rsidRPr="001E04FD">
              <w:t>29</w:t>
            </w:r>
          </w:p>
        </w:tc>
        <w:tc>
          <w:tcPr>
            <w:tcW w:w="7371" w:type="dxa"/>
            <w:shd w:val="pct10" w:color="000000" w:fill="FFFFFF"/>
          </w:tcPr>
          <w:p w:rsidR="00AF0131" w:rsidRPr="001E04FD" w:rsidRDefault="00651F13" w:rsidP="00C33FBD">
            <w:pPr>
              <w:pStyle w:val="RollCallSymbols14pt"/>
            </w:pPr>
            <w:r w:rsidRPr="001E04FD">
              <w:t>+</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PPE</w:t>
            </w:r>
          </w:p>
        </w:tc>
        <w:tc>
          <w:tcPr>
            <w:tcW w:w="7371" w:type="dxa"/>
            <w:shd w:val="clear" w:color="auto" w:fill="FFFFFF"/>
          </w:tcPr>
          <w:p w:rsidR="00AF0131" w:rsidRPr="001E04FD" w:rsidRDefault="00651F13" w:rsidP="00C33FBD">
            <w:pPr>
              <w:pStyle w:val="RollCallTable"/>
            </w:pPr>
            <w:r w:rsidRPr="001E04FD">
              <w:t>David Casa, Loucas Fourlas, Cindy Franssen, Stelios Kympouropoulos, Sirpa Pietikäinen, Maria Walsh</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Renew</w:t>
            </w:r>
          </w:p>
        </w:tc>
        <w:tc>
          <w:tcPr>
            <w:tcW w:w="7371" w:type="dxa"/>
            <w:shd w:val="clear" w:color="auto" w:fill="FFFFFF"/>
          </w:tcPr>
          <w:p w:rsidR="00AF0131" w:rsidRPr="001E04FD" w:rsidRDefault="00651F13" w:rsidP="00C33FBD">
            <w:pPr>
              <w:pStyle w:val="RollCallTable"/>
            </w:pPr>
            <w:r w:rsidRPr="001E04FD">
              <w:t xml:space="preserve">Jordi Cañas, Lucia Ďuriš Nicholsonová, Max Orville, </w:t>
            </w:r>
            <w:r w:rsidRPr="001E04FD">
              <w:t>Dragoş Pîslaru, Monica Semedo</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S&amp;D</w:t>
            </w:r>
          </w:p>
        </w:tc>
        <w:tc>
          <w:tcPr>
            <w:tcW w:w="7371" w:type="dxa"/>
            <w:shd w:val="clear" w:color="auto" w:fill="FFFFFF"/>
          </w:tcPr>
          <w:p w:rsidR="00AF0131" w:rsidRPr="001E04FD" w:rsidRDefault="00651F13" w:rsidP="00C33FBD">
            <w:pPr>
              <w:pStyle w:val="RollCallTable"/>
            </w:pPr>
            <w:r w:rsidRPr="001E04FD">
              <w:t>João Albuquerque, Marc Angel, Gabriele Bischoff, Milan Brglez, Klára Dobrev, Estrella Durá Ferrandis, Elisabetta Gualmini, Alicia Homs Ginel, Agnes Jongerius, Aurore Lalucq, Daniela Rondinelli, Marianne Vind</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The Left</w:t>
            </w:r>
          </w:p>
        </w:tc>
        <w:tc>
          <w:tcPr>
            <w:tcW w:w="7371" w:type="dxa"/>
            <w:shd w:val="clear" w:color="auto" w:fill="FFFFFF"/>
          </w:tcPr>
          <w:p w:rsidR="00AF0131" w:rsidRPr="001E04FD" w:rsidRDefault="00651F13" w:rsidP="00C33FBD">
            <w:pPr>
              <w:pStyle w:val="RollCallTable"/>
            </w:pPr>
            <w:r w:rsidRPr="001E04FD">
              <w:t>Eug</w:t>
            </w:r>
            <w:r w:rsidRPr="001E04FD">
              <w:t>enia Rodríguez Palop, Nikolaj Villumsen</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Verts/ALE</w:t>
            </w:r>
          </w:p>
        </w:tc>
        <w:tc>
          <w:tcPr>
            <w:tcW w:w="7371" w:type="dxa"/>
            <w:shd w:val="clear" w:color="auto" w:fill="FFFFFF"/>
          </w:tcPr>
          <w:p w:rsidR="00AF0131" w:rsidRPr="001E04FD" w:rsidRDefault="00651F13" w:rsidP="00C33FBD">
            <w:pPr>
              <w:pStyle w:val="RollCallTable"/>
            </w:pPr>
            <w:r w:rsidRPr="001E04FD">
              <w:t>Katrin Langensiepen, Sara Matthieu, Kira Marie Peter-Hansen, Caroline Roose</w:t>
            </w:r>
          </w:p>
        </w:tc>
      </w:tr>
    </w:tbl>
    <w:p w:rsidR="00AF0131" w:rsidRPr="001E04FD"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9C2" w:rsidRPr="001E04FD" w:rsidTr="00C33FBD">
        <w:trPr>
          <w:cantSplit/>
        </w:trPr>
        <w:tc>
          <w:tcPr>
            <w:tcW w:w="1701" w:type="dxa"/>
            <w:shd w:val="pct10" w:color="000000" w:fill="FFFFFF"/>
            <w:vAlign w:val="center"/>
          </w:tcPr>
          <w:p w:rsidR="00AF0131" w:rsidRPr="001E04FD" w:rsidRDefault="00651F13" w:rsidP="00C33FBD">
            <w:pPr>
              <w:pStyle w:val="RollCallVotes"/>
            </w:pPr>
            <w:r w:rsidRPr="001E04FD">
              <w:t>4</w:t>
            </w:r>
          </w:p>
        </w:tc>
        <w:tc>
          <w:tcPr>
            <w:tcW w:w="7371" w:type="dxa"/>
            <w:shd w:val="pct10" w:color="000000" w:fill="FFFFFF"/>
          </w:tcPr>
          <w:p w:rsidR="00AF0131" w:rsidRPr="001E04FD" w:rsidRDefault="00651F13" w:rsidP="00C33FBD">
            <w:pPr>
              <w:pStyle w:val="RollCallSymbols14pt"/>
            </w:pPr>
            <w:r w:rsidRPr="001E04FD">
              <w:t>-</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ECR</w:t>
            </w:r>
          </w:p>
        </w:tc>
        <w:tc>
          <w:tcPr>
            <w:tcW w:w="7371" w:type="dxa"/>
            <w:shd w:val="clear" w:color="auto" w:fill="FFFFFF"/>
          </w:tcPr>
          <w:p w:rsidR="00AF0131" w:rsidRPr="001E04FD" w:rsidRDefault="00651F13" w:rsidP="00C33FBD">
            <w:pPr>
              <w:pStyle w:val="RollCallTable"/>
            </w:pPr>
            <w:r w:rsidRPr="001E04FD">
              <w:t>Margarita de la Pisa Carrión, Elżbieta Rafalska, Pirkko Ruohonen-Lerner</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ID</w:t>
            </w:r>
          </w:p>
        </w:tc>
        <w:tc>
          <w:tcPr>
            <w:tcW w:w="7371" w:type="dxa"/>
            <w:shd w:val="clear" w:color="auto" w:fill="FFFFFF"/>
          </w:tcPr>
          <w:p w:rsidR="00AF0131" w:rsidRPr="001E04FD" w:rsidRDefault="00651F13" w:rsidP="00C33FBD">
            <w:pPr>
              <w:pStyle w:val="RollCallTable"/>
            </w:pPr>
            <w:r w:rsidRPr="001E04FD">
              <w:t>Dominique Bilde</w:t>
            </w:r>
          </w:p>
        </w:tc>
      </w:tr>
    </w:tbl>
    <w:p w:rsidR="00AF0131" w:rsidRPr="001E04FD"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309C2" w:rsidRPr="001E04FD" w:rsidTr="00C33FBD">
        <w:trPr>
          <w:cantSplit/>
        </w:trPr>
        <w:tc>
          <w:tcPr>
            <w:tcW w:w="1701" w:type="dxa"/>
            <w:shd w:val="pct10" w:color="000000" w:fill="FFFFFF"/>
            <w:vAlign w:val="center"/>
          </w:tcPr>
          <w:p w:rsidR="00AF0131" w:rsidRPr="001E04FD" w:rsidRDefault="00651F13" w:rsidP="00C33FBD">
            <w:pPr>
              <w:pStyle w:val="RollCallVotes"/>
            </w:pPr>
            <w:r w:rsidRPr="001E04FD">
              <w:t>10</w:t>
            </w:r>
          </w:p>
        </w:tc>
        <w:tc>
          <w:tcPr>
            <w:tcW w:w="7371" w:type="dxa"/>
            <w:shd w:val="pct10" w:color="000000" w:fill="FFFFFF"/>
          </w:tcPr>
          <w:p w:rsidR="00AF0131" w:rsidRPr="001E04FD" w:rsidRDefault="00651F13" w:rsidP="00C33FBD">
            <w:pPr>
              <w:pStyle w:val="RollCallSymbols14pt"/>
            </w:pPr>
            <w:r w:rsidRPr="001E04FD">
              <w:t>0</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ECR</w:t>
            </w:r>
          </w:p>
        </w:tc>
        <w:tc>
          <w:tcPr>
            <w:tcW w:w="7371" w:type="dxa"/>
            <w:shd w:val="clear" w:color="auto" w:fill="FFFFFF"/>
          </w:tcPr>
          <w:p w:rsidR="00AF0131" w:rsidRPr="001E04FD" w:rsidRDefault="00651F13" w:rsidP="00C33FBD">
            <w:pPr>
              <w:pStyle w:val="RollCallTable"/>
            </w:pPr>
            <w:r w:rsidRPr="001E04FD">
              <w:t>Chiara Gemma</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ID</w:t>
            </w:r>
          </w:p>
        </w:tc>
        <w:tc>
          <w:tcPr>
            <w:tcW w:w="7371" w:type="dxa"/>
            <w:shd w:val="clear" w:color="auto" w:fill="FFFFFF"/>
          </w:tcPr>
          <w:p w:rsidR="00AF0131" w:rsidRPr="001E04FD" w:rsidRDefault="00651F13" w:rsidP="00C33FBD">
            <w:pPr>
              <w:pStyle w:val="RollCallTable"/>
            </w:pPr>
            <w:r w:rsidRPr="001E04FD">
              <w:t>Elena Lizzi</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PPE</w:t>
            </w:r>
          </w:p>
        </w:tc>
        <w:tc>
          <w:tcPr>
            <w:tcW w:w="7371" w:type="dxa"/>
            <w:shd w:val="clear" w:color="auto" w:fill="FFFFFF"/>
          </w:tcPr>
          <w:p w:rsidR="00AF0131" w:rsidRPr="001E04FD" w:rsidRDefault="00651F13" w:rsidP="00C33FBD">
            <w:pPr>
              <w:pStyle w:val="RollCallTable"/>
            </w:pPr>
            <w:r w:rsidRPr="001E04FD">
              <w:t>Alexander Alexandrov Yordanov, Jarosław Duda, Helmut Geuking, Miriam Lexmann, Romana Tomc, Tomáš Zdechovský</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S&amp;D</w:t>
            </w:r>
          </w:p>
        </w:tc>
        <w:tc>
          <w:tcPr>
            <w:tcW w:w="7371" w:type="dxa"/>
            <w:shd w:val="clear" w:color="auto" w:fill="FFFFFF"/>
          </w:tcPr>
          <w:p w:rsidR="00AF0131" w:rsidRPr="001E04FD" w:rsidRDefault="00651F13" w:rsidP="00C33FBD">
            <w:pPr>
              <w:pStyle w:val="RollCallTable"/>
            </w:pPr>
            <w:r w:rsidRPr="001E04FD">
              <w:t>Ilan De Basso</w:t>
            </w:r>
          </w:p>
        </w:tc>
      </w:tr>
      <w:tr w:rsidR="003309C2" w:rsidRPr="001E04FD" w:rsidTr="00C33FBD">
        <w:trPr>
          <w:cantSplit/>
        </w:trPr>
        <w:tc>
          <w:tcPr>
            <w:tcW w:w="1701" w:type="dxa"/>
            <w:shd w:val="clear" w:color="auto" w:fill="FFFFFF"/>
          </w:tcPr>
          <w:p w:rsidR="00AF0131" w:rsidRPr="001E04FD" w:rsidRDefault="00651F13" w:rsidP="00C33FBD">
            <w:pPr>
              <w:pStyle w:val="RollCallTable"/>
            </w:pPr>
            <w:r w:rsidRPr="001E04FD">
              <w:t>The Left</w:t>
            </w:r>
          </w:p>
        </w:tc>
        <w:tc>
          <w:tcPr>
            <w:tcW w:w="7371" w:type="dxa"/>
            <w:shd w:val="clear" w:color="auto" w:fill="FFFFFF"/>
          </w:tcPr>
          <w:p w:rsidR="00AF0131" w:rsidRPr="001E04FD" w:rsidRDefault="00651F13" w:rsidP="00C33FBD">
            <w:pPr>
              <w:pStyle w:val="RollCallTable"/>
            </w:pPr>
            <w:r w:rsidRPr="001E04FD">
              <w:t>Özlem Demirel</w:t>
            </w:r>
          </w:p>
        </w:tc>
      </w:tr>
    </w:tbl>
    <w:p w:rsidR="00AF0131" w:rsidRPr="001E04FD" w:rsidRDefault="00AF0131" w:rsidP="00AF0131">
      <w:pPr>
        <w:pStyle w:val="Normal12a"/>
      </w:pPr>
    </w:p>
    <w:p w:rsidR="00AF0131" w:rsidRPr="001E04FD" w:rsidRDefault="00651F13" w:rsidP="00AF0131">
      <w:r w:rsidRPr="001E04FD">
        <w:t>Verklaring van de gebruikte tekens:</w:t>
      </w:r>
    </w:p>
    <w:p w:rsidR="00AF0131" w:rsidRPr="001E04FD" w:rsidRDefault="00651F13" w:rsidP="00AF0131">
      <w:pPr>
        <w:pStyle w:val="RollCallTabs"/>
      </w:pPr>
      <w:r w:rsidRPr="001E04FD">
        <w:t>+</w:t>
      </w:r>
      <w:r w:rsidRPr="001E04FD">
        <w:tab/>
        <w:t>:</w:t>
      </w:r>
      <w:r w:rsidRPr="001E04FD">
        <w:tab/>
        <w:t>voor</w:t>
      </w:r>
    </w:p>
    <w:p w:rsidR="00AF0131" w:rsidRPr="001E04FD" w:rsidRDefault="00651F13" w:rsidP="00AF0131">
      <w:pPr>
        <w:pStyle w:val="RollCallTabs"/>
      </w:pPr>
      <w:r w:rsidRPr="001E04FD">
        <w:t>-</w:t>
      </w:r>
      <w:r w:rsidRPr="001E04FD">
        <w:tab/>
        <w:t>:</w:t>
      </w:r>
      <w:r w:rsidRPr="001E04FD">
        <w:tab/>
        <w:t>tegen</w:t>
      </w:r>
    </w:p>
    <w:p w:rsidR="00AF0131" w:rsidRPr="001E04FD" w:rsidRDefault="00651F13" w:rsidP="00AF0131">
      <w:pPr>
        <w:pStyle w:val="RollCallTabs"/>
      </w:pPr>
      <w:r w:rsidRPr="001E04FD">
        <w:t>0</w:t>
      </w:r>
      <w:r w:rsidRPr="001E04FD">
        <w:tab/>
        <w:t>:</w:t>
      </w:r>
      <w:r w:rsidRPr="001E04FD">
        <w:tab/>
        <w:t>onthouding</w:t>
      </w:r>
    </w:p>
    <w:p w:rsidR="00AF0131" w:rsidRPr="001E04FD" w:rsidRDefault="00AF0131" w:rsidP="00AF0131"/>
    <w:bookmarkEnd w:id="3"/>
    <w:sectPr w:rsidR="00AF0131" w:rsidRPr="001E04FD"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E04FD" w:rsidRDefault="00651F13">
      <w:r w:rsidRPr="001E04FD">
        <w:separator/>
      </w:r>
    </w:p>
  </w:endnote>
  <w:endnote w:type="continuationSeparator" w:id="0">
    <w:p w:rsidR="00000000" w:rsidRPr="001E04FD" w:rsidRDefault="00651F13">
      <w:r w:rsidRPr="001E0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4FD" w:rsidRPr="001E04FD" w:rsidRDefault="001E04FD" w:rsidP="001E04FD">
    <w:pPr>
      <w:pStyle w:val="EPFooter"/>
    </w:pPr>
    <w:r w:rsidRPr="001E04FD">
      <w:t>PE</w:t>
    </w:r>
    <w:r w:rsidRPr="001E04FD">
      <w:rPr>
        <w:rStyle w:val="HideTWBExt"/>
      </w:rPr>
      <w:t>&lt;NoPE&gt;</w:t>
    </w:r>
    <w:r w:rsidRPr="001E04FD">
      <w:t>752.621</w:t>
    </w:r>
    <w:r w:rsidRPr="001E04FD">
      <w:rPr>
        <w:rStyle w:val="HideTWBExt"/>
      </w:rPr>
      <w:t>&lt;/NoPE&gt;&lt;Version&gt;</w:t>
    </w:r>
    <w:r w:rsidRPr="001E04FD">
      <w:t>v02-00</w:t>
    </w:r>
    <w:r w:rsidRPr="001E04FD">
      <w:rPr>
        <w:rStyle w:val="HideTWBExt"/>
      </w:rPr>
      <w:t>&lt;/Version&gt;</w:t>
    </w:r>
    <w:r w:rsidRPr="001E04FD">
      <w:tab/>
    </w:r>
    <w:r w:rsidRPr="001E04FD">
      <w:fldChar w:fldCharType="begin"/>
    </w:r>
    <w:r w:rsidRPr="001E04FD">
      <w:instrText xml:space="preserve"> PAGE  \* MERGEFORMAT </w:instrText>
    </w:r>
    <w:r w:rsidRPr="001E04FD">
      <w:fldChar w:fldCharType="separate"/>
    </w:r>
    <w:r w:rsidR="00651F13">
      <w:rPr>
        <w:noProof/>
      </w:rPr>
      <w:t>28</w:t>
    </w:r>
    <w:r w:rsidRPr="001E04FD">
      <w:fldChar w:fldCharType="end"/>
    </w:r>
    <w:r w:rsidRPr="001E04FD">
      <w:t>/</w:t>
    </w:r>
    <w:fldSimple w:instr=" NUMPAGES  \* MERGEFORMAT ">
      <w:r w:rsidR="00651F13">
        <w:rPr>
          <w:noProof/>
        </w:rPr>
        <w:t>30</w:t>
      </w:r>
    </w:fldSimple>
    <w:r w:rsidRPr="001E04FD">
      <w:tab/>
    </w:r>
    <w:r w:rsidRPr="001E04FD">
      <w:rPr>
        <w:rStyle w:val="HideTWBExt"/>
      </w:rPr>
      <w:t>&lt;PathFdR&gt;</w:t>
    </w:r>
    <w:r w:rsidRPr="001E04FD">
      <w:t>AD\1288324NL.docx</w:t>
    </w:r>
    <w:r w:rsidRPr="001E04FD">
      <w:rPr>
        <w:rStyle w:val="HideTWBExt"/>
      </w:rPr>
      <w:t>&lt;/PathFdR&gt;</w:t>
    </w:r>
  </w:p>
  <w:p w:rsidR="00AF0131" w:rsidRPr="001E04FD" w:rsidRDefault="001E04FD" w:rsidP="001E04FD">
    <w:pPr>
      <w:pStyle w:val="EPFooter2"/>
    </w:pPr>
    <w:r w:rsidRPr="001E04F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4FD" w:rsidRPr="001E04FD" w:rsidRDefault="001E04FD" w:rsidP="001E04FD">
    <w:pPr>
      <w:pStyle w:val="EPFooter"/>
    </w:pPr>
    <w:r w:rsidRPr="001E04FD">
      <w:rPr>
        <w:rStyle w:val="HideTWBExt"/>
      </w:rPr>
      <w:t>&lt;PathFdR&gt;</w:t>
    </w:r>
    <w:r w:rsidRPr="001E04FD">
      <w:t>AD\1288324NL.docx</w:t>
    </w:r>
    <w:r w:rsidRPr="001E04FD">
      <w:rPr>
        <w:rStyle w:val="HideTWBExt"/>
      </w:rPr>
      <w:t>&lt;/PathFdR&gt;</w:t>
    </w:r>
    <w:r w:rsidRPr="001E04FD">
      <w:tab/>
    </w:r>
    <w:r w:rsidRPr="001E04FD">
      <w:fldChar w:fldCharType="begin"/>
    </w:r>
    <w:r w:rsidRPr="001E04FD">
      <w:instrText xml:space="preserve"> PAGE  \* MERGEFORMAT </w:instrText>
    </w:r>
    <w:r w:rsidRPr="001E04FD">
      <w:fldChar w:fldCharType="separate"/>
    </w:r>
    <w:r w:rsidR="00651F13">
      <w:rPr>
        <w:noProof/>
      </w:rPr>
      <w:t>29</w:t>
    </w:r>
    <w:r w:rsidRPr="001E04FD">
      <w:fldChar w:fldCharType="end"/>
    </w:r>
    <w:r w:rsidRPr="001E04FD">
      <w:t>/</w:t>
    </w:r>
    <w:fldSimple w:instr=" NUMPAGES  \* MERGEFORMAT ">
      <w:r w:rsidR="00651F13">
        <w:rPr>
          <w:noProof/>
        </w:rPr>
        <w:t>30</w:t>
      </w:r>
    </w:fldSimple>
    <w:r w:rsidRPr="001E04FD">
      <w:tab/>
      <w:t>PE</w:t>
    </w:r>
    <w:r w:rsidRPr="001E04FD">
      <w:rPr>
        <w:rStyle w:val="HideTWBExt"/>
      </w:rPr>
      <w:t>&lt;NoPE&gt;</w:t>
    </w:r>
    <w:r w:rsidRPr="001E04FD">
      <w:t>752.621</w:t>
    </w:r>
    <w:r w:rsidRPr="001E04FD">
      <w:rPr>
        <w:rStyle w:val="HideTWBExt"/>
      </w:rPr>
      <w:t>&lt;/NoPE&gt;&lt;Version&gt;</w:t>
    </w:r>
    <w:r w:rsidRPr="001E04FD">
      <w:t>v02-00</w:t>
    </w:r>
    <w:r w:rsidRPr="001E04FD">
      <w:rPr>
        <w:rStyle w:val="HideTWBExt"/>
      </w:rPr>
      <w:t>&lt;/Version&gt;</w:t>
    </w:r>
  </w:p>
  <w:p w:rsidR="00AF0131" w:rsidRPr="001E04FD" w:rsidRDefault="001E04FD" w:rsidP="001E04FD">
    <w:pPr>
      <w:pStyle w:val="EPFooter2"/>
    </w:pPr>
    <w:r w:rsidRPr="001E04FD">
      <w:tab/>
    </w:r>
    <w:r w:rsidRPr="001E04F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4FD" w:rsidRPr="001E04FD" w:rsidRDefault="001E04FD" w:rsidP="001E04FD">
    <w:pPr>
      <w:pStyle w:val="EPFooter"/>
    </w:pPr>
    <w:r w:rsidRPr="001E04FD">
      <w:rPr>
        <w:rStyle w:val="HideTWBExt"/>
      </w:rPr>
      <w:t>&lt;PathFdR&gt;</w:t>
    </w:r>
    <w:r w:rsidRPr="001E04FD">
      <w:t>AD\1288324NL.docx</w:t>
    </w:r>
    <w:r w:rsidRPr="001E04FD">
      <w:rPr>
        <w:rStyle w:val="HideTWBExt"/>
      </w:rPr>
      <w:t>&lt;/PathFdR&gt;</w:t>
    </w:r>
    <w:r w:rsidRPr="001E04FD">
      <w:tab/>
    </w:r>
    <w:r w:rsidRPr="001E04FD">
      <w:tab/>
      <w:t>PE</w:t>
    </w:r>
    <w:r w:rsidRPr="001E04FD">
      <w:rPr>
        <w:rStyle w:val="HideTWBExt"/>
      </w:rPr>
      <w:t>&lt;NoPE&gt;</w:t>
    </w:r>
    <w:r w:rsidRPr="001E04FD">
      <w:t>752.621</w:t>
    </w:r>
    <w:r w:rsidRPr="001E04FD">
      <w:rPr>
        <w:rStyle w:val="HideTWBExt"/>
      </w:rPr>
      <w:t>&lt;/NoPE&gt;&lt;Version&gt;</w:t>
    </w:r>
    <w:r w:rsidRPr="001E04FD">
      <w:t>v02-00</w:t>
    </w:r>
    <w:r w:rsidRPr="001E04FD">
      <w:rPr>
        <w:rStyle w:val="HideTWBExt"/>
      </w:rPr>
      <w:t>&lt;/Version&gt;</w:t>
    </w:r>
  </w:p>
  <w:p w:rsidR="00AF0131" w:rsidRPr="001E04FD" w:rsidRDefault="001E04FD" w:rsidP="001E04FD">
    <w:pPr>
      <w:pStyle w:val="EPFooter2"/>
    </w:pPr>
    <w:r w:rsidRPr="001E04FD">
      <w:t>NL</w:t>
    </w:r>
    <w:r w:rsidRPr="001E04FD">
      <w:tab/>
    </w:r>
    <w:r w:rsidRPr="001E04FD">
      <w:rPr>
        <w:b w:val="0"/>
        <w:i/>
        <w:color w:val="C0C0C0"/>
        <w:sz w:val="22"/>
      </w:rPr>
      <w:t>In verscheidenheid verenigd</w:t>
    </w:r>
    <w:r w:rsidRPr="001E04FD">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1E04FD" w:rsidRDefault="00651F13" w:rsidP="002258E0">
    <w:pPr>
      <w:pStyle w:val="EPFooter"/>
    </w:pPr>
    <w:r w:rsidRPr="001E04FD">
      <w:rPr>
        <w:rStyle w:val="HideTWBExt"/>
      </w:rPr>
      <w:t>&lt;PathFdR&gt;</w:t>
    </w:r>
    <w:r w:rsidRPr="001E04FD">
      <w:t>AD\1288324EN.docx</w:t>
    </w:r>
    <w:r w:rsidRPr="001E04FD">
      <w:rPr>
        <w:rStyle w:val="HideTWBExt"/>
      </w:rPr>
      <w:t>&lt;/PathFdR&gt;</w:t>
    </w:r>
    <w:r w:rsidRPr="001E04FD">
      <w:tab/>
    </w:r>
    <w:r w:rsidRPr="001E04FD">
      <w:tab/>
      <w:t>PE</w:t>
    </w:r>
    <w:r w:rsidRPr="001E04FD">
      <w:rPr>
        <w:rStyle w:val="HideTWBExt"/>
      </w:rPr>
      <w:t>&lt;NoPE&gt;</w:t>
    </w:r>
    <w:r w:rsidRPr="001E04FD">
      <w:t>752.621</w:t>
    </w:r>
    <w:r w:rsidRPr="001E04FD">
      <w:rPr>
        <w:rStyle w:val="HideTWBExt"/>
      </w:rPr>
      <w:t>&lt;/NoPE&gt;&lt;Version&gt;</w:t>
    </w:r>
    <w:r w:rsidRPr="001E04FD">
      <w:t>v02-00</w:t>
    </w:r>
    <w:r w:rsidRPr="001E04FD">
      <w:rPr>
        <w:rStyle w:val="HideTWBExt"/>
      </w:rPr>
      <w:t>&lt;/Version&gt;</w:t>
    </w:r>
  </w:p>
  <w:p w:rsidR="001A7452" w:rsidRPr="001E04FD" w:rsidRDefault="00651F13" w:rsidP="002258E0">
    <w:pPr>
      <w:pStyle w:val="EPFooter2"/>
    </w:pPr>
    <w:r w:rsidRPr="001E04FD">
      <w:t>EN</w:t>
    </w:r>
    <w:r w:rsidRPr="001E04FD">
      <w:tab/>
    </w:r>
    <w:r w:rsidRPr="001E04FD">
      <w:rPr>
        <w:b w:val="0"/>
        <w:i/>
        <w:color w:val="C0C0C0"/>
        <w:sz w:val="22"/>
      </w:rPr>
      <w:t>United in diversity</w:t>
    </w:r>
    <w:r w:rsidRPr="001E04F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E04FD" w:rsidRDefault="00651F13">
      <w:r w:rsidRPr="001E04FD">
        <w:separator/>
      </w:r>
    </w:p>
  </w:footnote>
  <w:footnote w:type="continuationSeparator" w:id="0">
    <w:p w:rsidR="00000000" w:rsidRPr="001E04FD" w:rsidRDefault="00651F13">
      <w:r w:rsidRPr="001E04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13" w:rsidRDefault="00651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13" w:rsidRDefault="00651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13" w:rsidRDefault="00651F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NL"/>
    <w:docVar w:name="TXTLANGUEMIN" w:val="nl"/>
    <w:docVar w:name="TXTNRC" w:val="0150/2023"/>
    <w:docVar w:name="TXTNRCOM" w:val="(2023)0240"/>
    <w:docVar w:name="TXTNRFIRSTAM" w:val="1"/>
    <w:docVar w:name="TXTNRLASTAM" w:val="5"/>
    <w:docVar w:name="TXTNRPE" w:val="752.621"/>
    <w:docVar w:name="TXTNRPROC" w:val="2023/0138"/>
    <w:docVar w:name="TXTPEorAP" w:val="PE"/>
    <w:docVar w:name="TXTROUTE" w:val="AD\1288324NL.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04FD"/>
    <w:rsid w:val="001E3AC4"/>
    <w:rsid w:val="0020077A"/>
    <w:rsid w:val="00220500"/>
    <w:rsid w:val="002258E0"/>
    <w:rsid w:val="0023131B"/>
    <w:rsid w:val="002A67EE"/>
    <w:rsid w:val="002C26F8"/>
    <w:rsid w:val="002D23D0"/>
    <w:rsid w:val="00304EA8"/>
    <w:rsid w:val="003300D9"/>
    <w:rsid w:val="003309C2"/>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1F13"/>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E23D0"/>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nl-NL"/>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B1B0-B6DB-4EFB-8F3E-9490ECD4F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8065</Words>
  <Characters>49953</Characters>
  <Application>Microsoft Office Word</Application>
  <DocSecurity>0</DocSecurity>
  <Lines>1875</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2023-11-14T11:57:00Z</dcterms:created>
  <dcterms:modified xsi:type="dcterms:W3CDTF">2023-11-14T11:57:00Z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AD\1288324NL.docx</vt:lpwstr>
  </property>
  <property fmtid="{D5CDD505-2E9C-101B-9397-08002B2CF9AE}" pid="10" name="LastEdited with">
    <vt:lpwstr>9.16.1 Build [20230915]</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- 2023/11/14 12:57</vt:lpwstr>
  </property>
</Properties>
</file>