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A0139" w:rsidRPr="00DE6124" w:rsidTr="00E34A5C">
        <w:trPr>
          <w:trHeight w:hRule="exact" w:val="1418"/>
        </w:trPr>
        <w:tc>
          <w:tcPr>
            <w:tcW w:w="6804" w:type="dxa"/>
            <w:shd w:val="clear" w:color="auto" w:fill="auto"/>
            <w:vAlign w:val="center"/>
          </w:tcPr>
          <w:p w:rsidR="00BA3E40" w:rsidRPr="00DE6124" w:rsidRDefault="00B12D20" w:rsidP="00E34A5C">
            <w:pPr>
              <w:pStyle w:val="EPName"/>
            </w:pPr>
            <w:r w:rsidRPr="00DE6124">
              <w:t>Parlament Europejski</w:t>
            </w:r>
          </w:p>
          <w:p w:rsidR="00BA3E40" w:rsidRPr="00DE6124" w:rsidRDefault="00B12D20" w:rsidP="009B6583">
            <w:pPr>
              <w:pStyle w:val="EPTerm"/>
            </w:pPr>
            <w:r w:rsidRPr="00DE6124">
              <w:t>2019-2024</w:t>
            </w:r>
          </w:p>
        </w:tc>
        <w:tc>
          <w:tcPr>
            <w:tcW w:w="2268" w:type="dxa"/>
            <w:shd w:val="clear" w:color="auto" w:fill="auto"/>
          </w:tcPr>
          <w:p w:rsidR="00BA3E40" w:rsidRPr="00DE6124" w:rsidRDefault="00B12D20" w:rsidP="00E34A5C">
            <w:pPr>
              <w:pStyle w:val="EPLogo"/>
            </w:pPr>
            <w:r w:rsidRPr="00DE612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DE6124" w:rsidRDefault="00F24D40" w:rsidP="00F24D40">
      <w:pPr>
        <w:pStyle w:val="LineTop"/>
      </w:pPr>
    </w:p>
    <w:p w:rsidR="00F24D40" w:rsidRPr="00DE6124" w:rsidRDefault="00B12D20" w:rsidP="00F24D40">
      <w:pPr>
        <w:pStyle w:val="EPBody"/>
      </w:pPr>
      <w:r w:rsidRPr="00DE6124">
        <w:rPr>
          <w:rStyle w:val="HideTWBExt"/>
        </w:rPr>
        <w:t>&lt;</w:t>
      </w:r>
      <w:r w:rsidRPr="00DE6124">
        <w:rPr>
          <w:rStyle w:val="HideTWBExt"/>
          <w:i w:val="0"/>
        </w:rPr>
        <w:t>Commission</w:t>
      </w:r>
      <w:r w:rsidRPr="00DE6124">
        <w:rPr>
          <w:rStyle w:val="HideTWBExt"/>
        </w:rPr>
        <w:t>&gt;</w:t>
      </w:r>
      <w:r w:rsidRPr="00DE6124">
        <w:rPr>
          <w:rStyle w:val="HideTWBInt"/>
          <w:color w:val="auto"/>
        </w:rPr>
        <w:t>{EMPL}</w:t>
      </w:r>
      <w:r w:rsidRPr="00DE6124">
        <w:t>Komisja Zatrudnienia i Spraw Socjalnych</w:t>
      </w:r>
      <w:r w:rsidRPr="00DE6124">
        <w:rPr>
          <w:rStyle w:val="HideTWBExt"/>
        </w:rPr>
        <w:t>&lt;/</w:t>
      </w:r>
      <w:r w:rsidRPr="00DE6124">
        <w:rPr>
          <w:rStyle w:val="HideTWBExt"/>
          <w:i w:val="0"/>
        </w:rPr>
        <w:t>Commission</w:t>
      </w:r>
      <w:r w:rsidRPr="00DE6124">
        <w:rPr>
          <w:rStyle w:val="HideTWBExt"/>
        </w:rPr>
        <w:t>&gt;</w:t>
      </w:r>
    </w:p>
    <w:p w:rsidR="00F24D40" w:rsidRPr="00DE6124" w:rsidRDefault="00F24D40" w:rsidP="00F24D40">
      <w:pPr>
        <w:pStyle w:val="LineBottom"/>
      </w:pPr>
    </w:p>
    <w:p w:rsidR="00AF0131" w:rsidRPr="00DE6124" w:rsidRDefault="00B12D20" w:rsidP="00AF0131">
      <w:pPr>
        <w:pStyle w:val="CoverReference"/>
      </w:pPr>
      <w:r w:rsidRPr="00DE6124">
        <w:rPr>
          <w:rStyle w:val="HideTWBExt"/>
          <w:b w:val="0"/>
        </w:rPr>
        <w:t>&lt;RefProc&gt;</w:t>
      </w:r>
      <w:r w:rsidRPr="00DE6124">
        <w:t>2023/0138</w:t>
      </w:r>
      <w:r w:rsidRPr="00DE6124">
        <w:rPr>
          <w:rStyle w:val="HideTWBExt"/>
          <w:b w:val="0"/>
        </w:rPr>
        <w:t>&lt;/RefProc&gt;&lt;RefTypeProc&gt;</w:t>
      </w:r>
      <w:r w:rsidRPr="00DE6124">
        <w:t>(COD)</w:t>
      </w:r>
      <w:r w:rsidRPr="00DE6124">
        <w:rPr>
          <w:rStyle w:val="HideTWBExt"/>
          <w:b w:val="0"/>
        </w:rPr>
        <w:t>&lt;/RefTypeProc&gt;</w:t>
      </w:r>
    </w:p>
    <w:p w:rsidR="00AF0131" w:rsidRPr="00DE6124" w:rsidRDefault="00B12D20" w:rsidP="00AF0131">
      <w:pPr>
        <w:pStyle w:val="CoverDate"/>
      </w:pPr>
      <w:r w:rsidRPr="00DE6124">
        <w:rPr>
          <w:rStyle w:val="HideTWBExt"/>
        </w:rPr>
        <w:t>&lt;Date&gt;</w:t>
      </w:r>
      <w:r w:rsidRPr="00DE6124">
        <w:rPr>
          <w:rStyle w:val="HideTWBInt"/>
          <w:color w:val="auto"/>
        </w:rPr>
        <w:t>{30/10/2023}</w:t>
      </w:r>
      <w:r w:rsidRPr="00DE6124">
        <w:t>30.10.2023</w:t>
      </w:r>
      <w:r w:rsidRPr="00DE6124">
        <w:rPr>
          <w:rStyle w:val="HideTWBExt"/>
        </w:rPr>
        <w:t>&lt;/Date&gt;</w:t>
      </w:r>
    </w:p>
    <w:p w:rsidR="00AF0131" w:rsidRPr="00DE6124" w:rsidRDefault="00B12D20" w:rsidP="00AF0131">
      <w:pPr>
        <w:pStyle w:val="CoverDocType24a"/>
      </w:pPr>
      <w:r w:rsidRPr="00DE6124">
        <w:rPr>
          <w:rStyle w:val="HideTWBExt"/>
          <w:b w:val="0"/>
        </w:rPr>
        <w:t>&lt;TitreType&gt;</w:t>
      </w:r>
      <w:r w:rsidRPr="00DE6124">
        <w:t>OPINIA</w:t>
      </w:r>
      <w:r w:rsidRPr="00DE6124">
        <w:rPr>
          <w:rStyle w:val="HideTWBExt"/>
          <w:b w:val="0"/>
        </w:rPr>
        <w:t>&lt;/TitreType&gt;</w:t>
      </w:r>
    </w:p>
    <w:p w:rsidR="00AF0131" w:rsidRPr="00DE6124" w:rsidRDefault="00B12D20" w:rsidP="00AF0131">
      <w:pPr>
        <w:pStyle w:val="CoverNormal24a"/>
      </w:pPr>
      <w:r w:rsidRPr="00DE6124">
        <w:rPr>
          <w:rStyle w:val="HideTWBExt"/>
        </w:rPr>
        <w:t>&lt;CommissionResp&gt;</w:t>
      </w:r>
      <w:r w:rsidRPr="00DE6124">
        <w:t>Komisji Zatrudnienia i Spraw Socjalnych</w:t>
      </w:r>
      <w:r w:rsidRPr="00DE6124">
        <w:rPr>
          <w:rStyle w:val="HideTWBExt"/>
        </w:rPr>
        <w:t>&lt;/CommissionResp&gt;</w:t>
      </w:r>
    </w:p>
    <w:p w:rsidR="00AF0131" w:rsidRPr="00DE6124" w:rsidRDefault="00B12D20" w:rsidP="00AF0131">
      <w:pPr>
        <w:pStyle w:val="CoverNormal24a"/>
      </w:pPr>
      <w:r w:rsidRPr="00DE6124">
        <w:rPr>
          <w:rStyle w:val="HideTWBExt"/>
        </w:rPr>
        <w:t>&lt;CommissionInt&gt;</w:t>
      </w:r>
      <w:r w:rsidRPr="00DE6124">
        <w:t>dla Komisji Gospodarczej i Monetarnej</w:t>
      </w:r>
      <w:r w:rsidRPr="00DE6124">
        <w:rPr>
          <w:rStyle w:val="HideTWBExt"/>
        </w:rPr>
        <w:t>&lt;/CommissionInt&gt;</w:t>
      </w:r>
    </w:p>
    <w:p w:rsidR="00AF0131" w:rsidRPr="00DE6124" w:rsidRDefault="00B12D20" w:rsidP="00AF0131">
      <w:pPr>
        <w:pStyle w:val="CoverNormal"/>
      </w:pPr>
      <w:r w:rsidRPr="00DE6124">
        <w:rPr>
          <w:rStyle w:val="HideTWBExt"/>
        </w:rPr>
        <w:t>&lt;Titre&gt;</w:t>
      </w:r>
      <w:r w:rsidRPr="00DE6124">
        <w:t>w sprawie wniosku dotyczącego rozporządzenia Parlamentu Europejskiego i Rady w sprawie skutecznej koordynacji polityk gospo</w:t>
      </w:r>
      <w:r w:rsidRPr="00DE6124">
        <w:t>darczych i wielostronnego nadzoru budżetowego oraz uchylającego rozporządzenie Rady (WE) nr 1466/97</w:t>
      </w:r>
      <w:r w:rsidRPr="00DE6124">
        <w:rPr>
          <w:rStyle w:val="HideTWBExt"/>
        </w:rPr>
        <w:t>&lt;/Titre&gt;</w:t>
      </w:r>
    </w:p>
    <w:p w:rsidR="00AF0131" w:rsidRPr="00DE6124" w:rsidRDefault="00B12D20" w:rsidP="00AF0131">
      <w:pPr>
        <w:pStyle w:val="CoverNormal24a"/>
      </w:pPr>
      <w:r w:rsidRPr="00DE6124">
        <w:rPr>
          <w:rStyle w:val="HideTWBExt"/>
        </w:rPr>
        <w:t>&lt;DocRef&gt;</w:t>
      </w:r>
      <w:r w:rsidRPr="00DE6124">
        <w:t>(COM(2023)0240 – C9</w:t>
      </w:r>
      <w:r w:rsidRPr="00DE6124">
        <w:noBreakHyphen/>
        <w:t>0150/2023 – 2023/0138(COD))</w:t>
      </w:r>
      <w:r w:rsidRPr="00DE6124">
        <w:rPr>
          <w:rStyle w:val="HideTWBExt"/>
        </w:rPr>
        <w:t>&lt;/DocRef&gt;</w:t>
      </w:r>
    </w:p>
    <w:p w:rsidR="00AF0131" w:rsidRPr="00DE6124" w:rsidRDefault="00B12D20" w:rsidP="00AF0131">
      <w:pPr>
        <w:pStyle w:val="CoverNormal24a"/>
      </w:pPr>
      <w:r w:rsidRPr="00DE6124">
        <w:t xml:space="preserve">Sprawozdawczyni komisji opiniodawczej </w:t>
      </w:r>
      <w:r w:rsidRPr="00DE6124">
        <w:rPr>
          <w:snapToGrid w:val="0"/>
        </w:rPr>
        <w:t>(*)</w:t>
      </w:r>
      <w:r w:rsidRPr="00DE6124">
        <w:t xml:space="preserve">: </w:t>
      </w:r>
      <w:r w:rsidRPr="00DE6124">
        <w:rPr>
          <w:rStyle w:val="HideTWBExt"/>
        </w:rPr>
        <w:t>&lt;Depute&gt;</w:t>
      </w:r>
      <w:r w:rsidRPr="00DE6124">
        <w:t>Gabriele Bischoff</w:t>
      </w:r>
      <w:r w:rsidRPr="00DE6124">
        <w:rPr>
          <w:rStyle w:val="HideTWBExt"/>
        </w:rPr>
        <w:t>&lt;/Depute&gt;</w:t>
      </w:r>
    </w:p>
    <w:p w:rsidR="00AF0131" w:rsidRPr="00DE6124" w:rsidRDefault="00B12D20" w:rsidP="00AF0131">
      <w:pPr>
        <w:pStyle w:val="CoverNormal"/>
        <w:rPr>
          <w:snapToGrid w:val="0"/>
          <w:szCs w:val="24"/>
        </w:rPr>
      </w:pPr>
      <w:r w:rsidRPr="00DE6124">
        <w:rPr>
          <w:snapToGrid w:val="0"/>
        </w:rPr>
        <w:t xml:space="preserve">(*) </w:t>
      </w:r>
      <w:r w:rsidRPr="00DE6124">
        <w:rPr>
          <w:snapToGrid w:val="0"/>
        </w:rPr>
        <w:t>Zaangażowana komisja – art. 57 Regulaminu</w:t>
      </w:r>
    </w:p>
    <w:p w:rsidR="00AF0131" w:rsidRPr="00DE6124" w:rsidRDefault="00AF0131" w:rsidP="00AF0131">
      <w:pPr>
        <w:pStyle w:val="CoverNormal"/>
        <w:rPr>
          <w:snapToGrid w:val="0"/>
          <w:szCs w:val="24"/>
        </w:rPr>
      </w:pPr>
    </w:p>
    <w:p w:rsidR="00AF0131" w:rsidRPr="00DE6124" w:rsidRDefault="00AF0131" w:rsidP="00AF0131">
      <w:pPr>
        <w:pStyle w:val="CoverNormal"/>
        <w:rPr>
          <w:snapToGrid w:val="0"/>
          <w:szCs w:val="24"/>
        </w:rPr>
      </w:pPr>
    </w:p>
    <w:p w:rsidR="00AF0131" w:rsidRPr="00DE6124" w:rsidRDefault="00AF0131" w:rsidP="00AF0131">
      <w:pPr>
        <w:pStyle w:val="CoverNormal"/>
        <w:rPr>
          <w:snapToGrid w:val="0"/>
          <w:szCs w:val="24"/>
        </w:rPr>
      </w:pPr>
    </w:p>
    <w:p w:rsidR="00AF0131" w:rsidRPr="00DE6124" w:rsidRDefault="00AF0131" w:rsidP="00AF0131">
      <w:pPr>
        <w:pStyle w:val="CoverNormal"/>
        <w:rPr>
          <w:snapToGrid w:val="0"/>
          <w:szCs w:val="24"/>
        </w:rPr>
      </w:pPr>
    </w:p>
    <w:p w:rsidR="00AF0131" w:rsidRPr="00DE6124" w:rsidRDefault="00B12D20" w:rsidP="00AF0131">
      <w:pPr>
        <w:tabs>
          <w:tab w:val="center" w:pos="4677"/>
        </w:tabs>
      </w:pPr>
      <w:r w:rsidRPr="00DE6124">
        <w:br w:type="page"/>
      </w:r>
      <w:r w:rsidRPr="00DE6124">
        <w:lastRenderedPageBreak/>
        <w:t>PA_Legam</w:t>
      </w:r>
    </w:p>
    <w:p w:rsidR="00AF0131" w:rsidRPr="00DE6124" w:rsidRDefault="00B12D20" w:rsidP="00C56375">
      <w:pPr>
        <w:pStyle w:val="PageHeadingNotTOC"/>
      </w:pPr>
      <w:r w:rsidRPr="00DE6124">
        <w:br w:type="page"/>
      </w:r>
      <w:r w:rsidRPr="00DE6124">
        <w:lastRenderedPageBreak/>
        <w:t>POPRAWKI</w:t>
      </w:r>
    </w:p>
    <w:p w:rsidR="00AF0131" w:rsidRPr="00DE6124" w:rsidRDefault="00B12D20" w:rsidP="00AF0131">
      <w:pPr>
        <w:pStyle w:val="Normal12a"/>
      </w:pPr>
      <w:bookmarkStart w:id="0" w:name="IntroA"/>
      <w:r w:rsidRPr="00DE6124">
        <w:t>Komisja Zatrudnienia i Spraw Socjalnych zwraca się do Komisji Gospodarczej i Monetarnej, jako komisji przedmiotowo właściwej, o wzięcie pod uwagę co następuje:</w:t>
      </w:r>
    </w:p>
    <w:bookmarkEnd w:id="0"/>
    <w:p w:rsidR="00AF0131" w:rsidRPr="00DE6124" w:rsidRDefault="00B12D20" w:rsidP="00C56375">
      <w:r w:rsidRPr="00DE6124">
        <w:rPr>
          <w:rStyle w:val="HideTWBExt"/>
          <w:b/>
        </w:rPr>
        <w:t>&lt;RepeatBlock-Amend&gt;</w:t>
      </w:r>
      <w:r w:rsidRPr="00DE6124">
        <w:rPr>
          <w:rStyle w:val="HideTWBExt"/>
        </w:rPr>
        <w:t>&lt;Amend&gt;</w:t>
      </w:r>
      <w:r w:rsidRPr="00DE6124">
        <w:t>Poprawka</w:t>
      </w:r>
      <w:r w:rsidRPr="00DE6124">
        <w:tab/>
      </w:r>
      <w:r w:rsidRPr="00DE6124">
        <w:rPr>
          <w:rStyle w:val="HideTWBExt"/>
        </w:rPr>
        <w:t>&lt;NumAm&gt;</w:t>
      </w:r>
      <w:r w:rsidRPr="00DE6124">
        <w:t>1</w:t>
      </w:r>
      <w:r w:rsidRPr="00DE6124">
        <w:rPr>
          <w:rStyle w:val="HideTWBExt"/>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Motyw 2</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(2)</w:t>
            </w:r>
            <w:r w:rsidRPr="00DE6124">
              <w:tab/>
              <w:t>Pakt stabilności i wzrostu, który początkowo obejmował rozporządzenie Rady (WE) nr 1466/97</w:t>
            </w:r>
            <w:r w:rsidRPr="00DE6124">
              <w:rPr>
                <w:vertAlign w:val="superscript"/>
              </w:rPr>
              <w:t>19</w:t>
            </w:r>
            <w:r w:rsidRPr="00DE6124">
              <w:t xml:space="preserve">, </w:t>
            </w:r>
            <w:r w:rsidRPr="00DE6124">
              <w:t>rozporządzenie Rady (WE) nr 1467/97 z dnia 7 lipca 1997 r.</w:t>
            </w:r>
            <w:r w:rsidRPr="00DE6124">
              <w:rPr>
                <w:vertAlign w:val="superscript"/>
              </w:rPr>
              <w:t>20</w:t>
            </w:r>
            <w:r w:rsidRPr="00DE6124">
              <w:t xml:space="preserve"> oraz rezolucję Rady Europejskiej z dnia 17 czerwca 1997 r. w sprawie paktu stabilności i wzrostu</w:t>
            </w:r>
            <w:r w:rsidRPr="00DE6124">
              <w:rPr>
                <w:vertAlign w:val="superscript"/>
              </w:rPr>
              <w:t>21</w:t>
            </w:r>
            <w:r w:rsidRPr="00DE6124">
              <w:t>, opiera się na celu, jakim są zdrowe i stabilne finanse publiczne, co ma służyć wzmocnieniu waru</w:t>
            </w:r>
            <w:r w:rsidRPr="00DE6124">
              <w:t>nków zapewniających stabilność cen oraz silny zrównoważony wzrost, których fundamentem jest stabilność finansowa, pomagając równocześnie w osiągnięciu celów Unii w zakresie zrównoważonego wzrostu sprzyjającego włączeniu społecznemu</w:t>
            </w:r>
            <w:r w:rsidRPr="00DE6124">
              <w:rPr>
                <w:b/>
                <w:i/>
              </w:rPr>
              <w:t xml:space="preserve"> i </w:t>
            </w:r>
            <w:r w:rsidRPr="00DE6124">
              <w:t>zatrudnienia.</w:t>
            </w:r>
          </w:p>
        </w:tc>
        <w:tc>
          <w:tcPr>
            <w:tcW w:w="4876" w:type="dxa"/>
            <w:hideMark/>
          </w:tcPr>
          <w:p w:rsidR="00AF0131" w:rsidRPr="00DE6124" w:rsidRDefault="00B12D20" w:rsidP="00C33FBD">
            <w:pPr>
              <w:pStyle w:val="Normal6"/>
              <w:rPr>
                <w:szCs w:val="24"/>
              </w:rPr>
            </w:pPr>
            <w:r w:rsidRPr="00DE6124">
              <w:t>(2)</w:t>
            </w:r>
            <w:r w:rsidRPr="00DE6124">
              <w:tab/>
              <w:t>Pakt</w:t>
            </w:r>
            <w:r w:rsidRPr="00DE6124">
              <w:t xml:space="preserve"> stabilności i wzrostu, który początkowo obejmował rozporządzenie Rady (WE) nr 1466/97</w:t>
            </w:r>
            <w:r w:rsidRPr="00DE6124">
              <w:rPr>
                <w:vertAlign w:val="superscript"/>
              </w:rPr>
              <w:t>19</w:t>
            </w:r>
            <w:r w:rsidRPr="00DE6124">
              <w:t>, rozporządzenie Rady (WE) nr 1467/97 z dnia 7 lipca 1997 r.</w:t>
            </w:r>
            <w:r w:rsidRPr="00DE6124">
              <w:rPr>
                <w:vertAlign w:val="superscript"/>
              </w:rPr>
              <w:t>20</w:t>
            </w:r>
            <w:r w:rsidRPr="00DE6124">
              <w:t xml:space="preserve"> oraz rezolucję Rady Europejskiej z dnia 17 czerwca 1997 r. w sprawie paktu stabilności i wzrostu</w:t>
            </w:r>
            <w:r w:rsidRPr="00DE6124">
              <w:rPr>
                <w:vertAlign w:val="superscript"/>
              </w:rPr>
              <w:t>21</w:t>
            </w:r>
            <w:r w:rsidRPr="00DE6124">
              <w:t>, opier</w:t>
            </w:r>
            <w:r w:rsidRPr="00DE6124">
              <w:t>a się na celu, jakim są zdrowe i stabilne finanse publiczne, co ma służyć wzmocnieniu warunków zapewniających stabilność cen oraz silny</w:t>
            </w:r>
            <w:r w:rsidRPr="00DE6124">
              <w:rPr>
                <w:b/>
                <w:i/>
              </w:rPr>
              <w:t>, sprzyjający tworzeniu miejsc pracy</w:t>
            </w:r>
            <w:r w:rsidRPr="00DE6124">
              <w:t xml:space="preserve"> zrównoważony wzrost, których fundamentem jest stabilność finansowa, pomagając równoc</w:t>
            </w:r>
            <w:r w:rsidRPr="00DE6124">
              <w:t>ześnie w osiągnięciu celów Unii w zakresie zrównoważonego wzrostu sprzyjającego włączeniu społecznemu</w:t>
            </w:r>
            <w:r w:rsidRPr="00DE6124">
              <w:rPr>
                <w:b/>
                <w:i/>
              </w:rPr>
              <w:t>, zmierzającego do pełnego</w:t>
            </w:r>
            <w:r w:rsidRPr="00DE6124">
              <w:t xml:space="preserve"> zatrudnienia </w:t>
            </w:r>
            <w:r w:rsidRPr="00DE6124">
              <w:rPr>
                <w:b/>
                <w:i/>
              </w:rPr>
              <w:t>i postępu społecznego</w:t>
            </w:r>
            <w:r w:rsidRPr="00DE6124">
              <w:t>.</w:t>
            </w:r>
          </w:p>
        </w:tc>
      </w:tr>
      <w:tr w:rsidR="00AA0139" w:rsidRPr="00DE6124" w:rsidTr="00C33FBD">
        <w:trPr>
          <w:jc w:val="center"/>
        </w:trPr>
        <w:tc>
          <w:tcPr>
            <w:tcW w:w="4876" w:type="dxa"/>
            <w:hideMark/>
          </w:tcPr>
          <w:p w:rsidR="00AF0131" w:rsidRPr="00DE6124" w:rsidRDefault="00B12D20" w:rsidP="00C33FBD">
            <w:pPr>
              <w:pStyle w:val="Normal6"/>
            </w:pPr>
            <w:r w:rsidRPr="00DE6124">
              <w:t>__________________</w:t>
            </w:r>
          </w:p>
        </w:tc>
        <w:tc>
          <w:tcPr>
            <w:tcW w:w="4876" w:type="dxa"/>
            <w:hideMark/>
          </w:tcPr>
          <w:p w:rsidR="00AF0131" w:rsidRPr="00DE6124" w:rsidRDefault="00B12D20" w:rsidP="00C33FBD">
            <w:pPr>
              <w:pStyle w:val="Normal6"/>
              <w:rPr>
                <w:szCs w:val="24"/>
              </w:rPr>
            </w:pPr>
            <w:r w:rsidRPr="00DE6124">
              <w:t>__________________</w:t>
            </w:r>
          </w:p>
        </w:tc>
      </w:tr>
      <w:tr w:rsidR="00AA0139" w:rsidRPr="00DE6124" w:rsidTr="00C33FBD">
        <w:trPr>
          <w:jc w:val="center"/>
        </w:trPr>
        <w:tc>
          <w:tcPr>
            <w:tcW w:w="4876" w:type="dxa"/>
            <w:hideMark/>
          </w:tcPr>
          <w:p w:rsidR="00AF0131" w:rsidRPr="00DE6124" w:rsidRDefault="00B12D20" w:rsidP="00C33FBD">
            <w:pPr>
              <w:pStyle w:val="Normal6"/>
            </w:pPr>
            <w:r w:rsidRPr="00DE6124">
              <w:rPr>
                <w:vertAlign w:val="superscript"/>
              </w:rPr>
              <w:t>19</w:t>
            </w:r>
            <w:r w:rsidRPr="00DE6124">
              <w:t xml:space="preserve"> Rozporządzenie Rady nr 1466/97/WE z dnia 7 lipca </w:t>
            </w:r>
            <w:r w:rsidRPr="00DE6124">
              <w:t>1997 r. w sprawie wzmocnienia nadzoru pozycji budżetowych oraz nadzoru i koordynacji polityk gospodarczych (Dz.U. L 209 z 2.8.1997, s. 1).</w:t>
            </w:r>
          </w:p>
        </w:tc>
        <w:tc>
          <w:tcPr>
            <w:tcW w:w="4876" w:type="dxa"/>
            <w:hideMark/>
          </w:tcPr>
          <w:p w:rsidR="00AF0131" w:rsidRPr="00DE6124" w:rsidRDefault="00B12D20" w:rsidP="00C33FBD">
            <w:pPr>
              <w:pStyle w:val="Normal6"/>
              <w:rPr>
                <w:szCs w:val="24"/>
              </w:rPr>
            </w:pPr>
            <w:r w:rsidRPr="00DE6124">
              <w:rPr>
                <w:vertAlign w:val="superscript"/>
              </w:rPr>
              <w:t>19</w:t>
            </w:r>
            <w:r w:rsidRPr="00DE6124">
              <w:t xml:space="preserve"> Rozporządzenie Rady nr 1466/97/WE z dnia 7 lipca 1997 r. w sprawie wzmocnienia nadzoru pozycji budżetowych oraz na</w:t>
            </w:r>
            <w:r w:rsidRPr="00DE6124">
              <w:t>dzoru i koordynacji polityk gospodarczych (Dz.U. L 209 z 2.8.1997, s. 1).</w:t>
            </w:r>
          </w:p>
        </w:tc>
      </w:tr>
      <w:tr w:rsidR="00AA0139" w:rsidRPr="00DE6124" w:rsidTr="00C33FBD">
        <w:trPr>
          <w:jc w:val="center"/>
        </w:trPr>
        <w:tc>
          <w:tcPr>
            <w:tcW w:w="4876" w:type="dxa"/>
            <w:hideMark/>
          </w:tcPr>
          <w:p w:rsidR="00AF0131" w:rsidRPr="00DE6124" w:rsidRDefault="00B12D20" w:rsidP="00C33FBD">
            <w:pPr>
              <w:pStyle w:val="Normal6"/>
            </w:pPr>
            <w:r w:rsidRPr="00DE6124">
              <w:rPr>
                <w:vertAlign w:val="superscript"/>
              </w:rPr>
              <w:t>20</w:t>
            </w:r>
            <w:r w:rsidRPr="00DE6124">
              <w:t xml:space="preserve"> Rozporządzenie Rady (WE) nr 1467/97 z dnia 7 lipca 1997 r. w sprawie przyspieszenia i wyjaśnienia procedury nadmiernego deficytu (Dz.U. L 209 z 2.8.1997, s. 6).</w:t>
            </w:r>
          </w:p>
        </w:tc>
        <w:tc>
          <w:tcPr>
            <w:tcW w:w="4876" w:type="dxa"/>
            <w:hideMark/>
          </w:tcPr>
          <w:p w:rsidR="00AF0131" w:rsidRPr="00DE6124" w:rsidRDefault="00B12D20" w:rsidP="00C33FBD">
            <w:pPr>
              <w:pStyle w:val="Normal6"/>
              <w:rPr>
                <w:szCs w:val="24"/>
              </w:rPr>
            </w:pPr>
            <w:r w:rsidRPr="00DE6124">
              <w:rPr>
                <w:vertAlign w:val="superscript"/>
              </w:rPr>
              <w:t>20</w:t>
            </w:r>
            <w:r w:rsidRPr="00DE6124">
              <w:t xml:space="preserve"> Rozporządzenie</w:t>
            </w:r>
            <w:r w:rsidRPr="00DE6124">
              <w:t xml:space="preserve"> Rady (WE) nr 1467/97 z dnia 7 lipca 1997 r. w sprawie przyspieszenia i wyjaśnienia procedury nadmiernego deficytu (Dz.U. L 209 z 2.8.1997, s. 6).</w:t>
            </w:r>
          </w:p>
        </w:tc>
      </w:tr>
      <w:tr w:rsidR="00AA0139" w:rsidRPr="00DE6124" w:rsidTr="00C33FBD">
        <w:trPr>
          <w:jc w:val="center"/>
        </w:trPr>
        <w:tc>
          <w:tcPr>
            <w:tcW w:w="4876" w:type="dxa"/>
            <w:hideMark/>
          </w:tcPr>
          <w:p w:rsidR="00AF0131" w:rsidRPr="00DE6124" w:rsidRDefault="00B12D20" w:rsidP="00C33FBD">
            <w:pPr>
              <w:pStyle w:val="Normal6"/>
            </w:pPr>
            <w:r w:rsidRPr="00DE6124">
              <w:rPr>
                <w:vertAlign w:val="superscript"/>
              </w:rPr>
              <w:t>21</w:t>
            </w:r>
            <w:r w:rsidRPr="00DE6124">
              <w:t xml:space="preserve"> Rezolucja Rady Europejskiej w sprawie paktu stabilności i wzrostu, Amsterdam, z dnia 17 czerwca 1997 r. (</w:t>
            </w:r>
            <w:r w:rsidRPr="00DE6124">
              <w:t xml:space="preserve">Dz.U. C 236 </w:t>
            </w:r>
            <w:r w:rsidRPr="00DE6124">
              <w:lastRenderedPageBreak/>
              <w:t>z 2.8.1997, s. 1).</w:t>
            </w:r>
          </w:p>
        </w:tc>
        <w:tc>
          <w:tcPr>
            <w:tcW w:w="4876" w:type="dxa"/>
            <w:hideMark/>
          </w:tcPr>
          <w:p w:rsidR="00AF0131" w:rsidRPr="00DE6124" w:rsidRDefault="00B12D20" w:rsidP="00C33FBD">
            <w:pPr>
              <w:pStyle w:val="Normal6"/>
              <w:rPr>
                <w:szCs w:val="24"/>
              </w:rPr>
            </w:pPr>
            <w:r w:rsidRPr="00DE6124">
              <w:rPr>
                <w:vertAlign w:val="superscript"/>
              </w:rPr>
              <w:lastRenderedPageBreak/>
              <w:t>21</w:t>
            </w:r>
            <w:r w:rsidRPr="00DE6124">
              <w:t xml:space="preserve"> Rezolucja Rady Europejskiej w sprawie paktu stabilności i wzrostu, Amsterdam, z dnia 17 czerwca 1997 r. (Dz.U. C 236 </w:t>
            </w:r>
            <w:r w:rsidRPr="00DE6124">
              <w:lastRenderedPageBreak/>
              <w:t>z 2.8.1997, s. 1).</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lastRenderedPageBreak/>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2</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 xml:space="preserve">Wniosek dotyczący </w:t>
      </w:r>
      <w:r w:rsidRPr="00DE6124">
        <w:t>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Motyw 5</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(5)</w:t>
            </w:r>
            <w:r w:rsidRPr="00DE6124">
              <w:tab/>
              <w:t>Ramy zarządzania gospodarczego Unii powinny zostać dostosowane, aby lepiej uwzględniały coraz większe różnice między poszczególnymi państwami członkowskimi</w:t>
            </w:r>
            <w:r w:rsidRPr="00DE6124">
              <w:t>, jeśli chodzi o sytuację fiskalną, wyzwania związane z długiem publicznym i inne słabe punkty. Zdecydowana reakcja polityczna na pandemię COVID-19 okazała się bardzo skuteczna w łagodzeniu szkód gospodarczych i społecznych wynikających z kryzysu, ale kryz</w:t>
            </w:r>
            <w:r w:rsidRPr="00DE6124">
              <w:t>ys ten doprowadził do znacznego wzrostu wskaźników zadłużenia sektora publicznego i prywatnego, w związku z czym ważne jest stopniowe, trwałe i sprzyjające wzrostowi gospodarczemu obniżenie wskaźników zadłużenia do ostrożnych poziomów oraz wyeliminowanie z</w:t>
            </w:r>
            <w:r w:rsidRPr="00DE6124">
              <w:t xml:space="preserve">akłóceń równowagi makroekonomicznej </w:t>
            </w:r>
            <w:r w:rsidRPr="00DE6124">
              <w:rPr>
                <w:b/>
                <w:i/>
              </w:rPr>
              <w:t>przy</w:t>
            </w:r>
            <w:r w:rsidRPr="00DE6124">
              <w:t xml:space="preserve"> należytym </w:t>
            </w:r>
            <w:r w:rsidRPr="00DE6124">
              <w:rPr>
                <w:b/>
                <w:i/>
              </w:rPr>
              <w:t>uwzględnieniu</w:t>
            </w:r>
            <w:r w:rsidRPr="00DE6124">
              <w:t xml:space="preserve"> celów w zakresie zatrudnienia i celów społecznych. Jednocześnie ramy zarządzania gospodarczego Unii należy dostosować, aby pomóc w sprostaniu średnio- i długoterminowym wyzwaniom stojącym prz</w:t>
            </w:r>
            <w:r w:rsidRPr="00DE6124">
              <w:t>ed Unią, w tym w realizacji sprawiedliwej transformacji cyfrowej i ekologicznej między innymi przez prawo o klimacie</w:t>
            </w:r>
            <w:r w:rsidRPr="00DE6124">
              <w:rPr>
                <w:vertAlign w:val="superscript"/>
              </w:rPr>
              <w:t>22</w:t>
            </w:r>
            <w:r w:rsidRPr="00DE6124">
              <w:t>, zapewnienie bezpieczeństwa energetycznego, otwartą strategiczną autonomię, przeciwdziałanie zmianom demograficznym, wzmocnienie odpornoś</w:t>
            </w:r>
            <w:r w:rsidRPr="00DE6124">
              <w:t xml:space="preserve">ci społecznej i gospodarczej oraz wdrożenie strategicznego kompasu na rzecz bezpieczeństwa i obrony – wszystkie one wymagają reform i trwałego wysokiego </w:t>
            </w:r>
            <w:r w:rsidRPr="00DE6124">
              <w:lastRenderedPageBreak/>
              <w:t>poziomu inwestycji w nadchodzących latach.</w:t>
            </w:r>
          </w:p>
        </w:tc>
        <w:tc>
          <w:tcPr>
            <w:tcW w:w="4876" w:type="dxa"/>
            <w:hideMark/>
          </w:tcPr>
          <w:p w:rsidR="00AF0131" w:rsidRPr="00DE6124" w:rsidRDefault="00B12D20" w:rsidP="00C33FBD">
            <w:pPr>
              <w:pStyle w:val="Normal6"/>
              <w:rPr>
                <w:szCs w:val="24"/>
              </w:rPr>
            </w:pPr>
            <w:r w:rsidRPr="00DE6124">
              <w:lastRenderedPageBreak/>
              <w:t>(5)</w:t>
            </w:r>
            <w:r w:rsidRPr="00DE6124">
              <w:tab/>
              <w:t>Ramy zarządzania gospodarczego Unii powinny zostać dosto</w:t>
            </w:r>
            <w:r w:rsidRPr="00DE6124">
              <w:t>sowane, aby lepiej uwzględniały coraz większe różnice między poszczególnymi państwami członkowskimi, jeśli chodzi o sytuację fiskalną, wyzwania związane z długiem publicznym i inne słabe punkty. Zdecydowana reakcja polityczna na pandemię COVID-19 okazała s</w:t>
            </w:r>
            <w:r w:rsidRPr="00DE6124">
              <w:t>ię bardzo skuteczna w łagodzeniu szkód gospodarczych i społecznych wynikających z kryzysu, ale kryzys ten doprowadził do znacznego wzrostu wskaźników zadłużenia sektora publicznego i prywatnego, w związku z czym ważne jest stopniowe, trwałe i sprzyjające w</w:t>
            </w:r>
            <w:r w:rsidRPr="00DE6124">
              <w:t>zrostowi gospodarczemu</w:t>
            </w:r>
            <w:r w:rsidRPr="00DE6124">
              <w:rPr>
                <w:b/>
                <w:i/>
              </w:rPr>
              <w:t xml:space="preserve"> i włączeniu społecznemu</w:t>
            </w:r>
            <w:r w:rsidRPr="00DE6124">
              <w:t xml:space="preserve"> obniżenie wskaźników zadłużenia do ostrożnych poziomów oraz wyeliminowanie zakłóceń równowagi makroekonomicznej</w:t>
            </w:r>
            <w:r w:rsidRPr="00DE6124">
              <w:rPr>
                <w:b/>
                <w:i/>
              </w:rPr>
              <w:t>, a także wspieranie pozytywnej konwergencji społecznej, z</w:t>
            </w:r>
            <w:r w:rsidRPr="00DE6124">
              <w:t xml:space="preserve"> należytym </w:t>
            </w:r>
            <w:r w:rsidRPr="00DE6124">
              <w:rPr>
                <w:b/>
                <w:i/>
              </w:rPr>
              <w:t>uwzględnieniem</w:t>
            </w:r>
            <w:r w:rsidRPr="00DE6124">
              <w:t xml:space="preserve"> celów w zakres</w:t>
            </w:r>
            <w:r w:rsidRPr="00DE6124">
              <w:t xml:space="preserve">ie </w:t>
            </w:r>
            <w:r w:rsidRPr="00DE6124">
              <w:rPr>
                <w:b/>
                <w:i/>
              </w:rPr>
              <w:t>wysokiej jakości</w:t>
            </w:r>
            <w:r w:rsidRPr="00DE6124">
              <w:t xml:space="preserve"> zatrudnienia i celów społecznych. Jednocześnie ramy zarządzania gospodarczego Unii należy dostosować, aby pomóc w sprostaniu średnio- i długoterminowym wyzwaniom stojącym przed Unią, w tym w realizacji sprawiedliwej transformacji cyfrow</w:t>
            </w:r>
            <w:r w:rsidRPr="00DE6124">
              <w:t>ej i ekologicznej między innymi przez prawo o klimacie</w:t>
            </w:r>
            <w:r w:rsidRPr="00DE6124">
              <w:rPr>
                <w:vertAlign w:val="superscript"/>
              </w:rPr>
              <w:t>22</w:t>
            </w:r>
            <w:r w:rsidRPr="00DE6124">
              <w:t xml:space="preserve"> </w:t>
            </w:r>
            <w:r w:rsidRPr="00DE6124">
              <w:rPr>
                <w:b/>
                <w:i/>
              </w:rPr>
              <w:t>i wdrożenie Europejskiego filaru praw socjalnych</w:t>
            </w:r>
            <w:r w:rsidRPr="00DE6124">
              <w:t>, zapewnienie bezpieczeństwa energetycznego, otwartą strategiczną autonomię, przeciwdziałanie zmianom demograficznym, wzmocnienie odporności społecznej</w:t>
            </w:r>
            <w:r w:rsidRPr="00DE6124">
              <w:t xml:space="preserve"> i gospodarczej</w:t>
            </w:r>
            <w:r w:rsidRPr="00DE6124">
              <w:rPr>
                <w:b/>
                <w:i/>
              </w:rPr>
              <w:t xml:space="preserve">, w </w:t>
            </w:r>
            <w:r w:rsidRPr="00DE6124">
              <w:rPr>
                <w:b/>
                <w:i/>
              </w:rPr>
              <w:lastRenderedPageBreak/>
              <w:t>tym przez zwiększenie inwestycji społecznych,</w:t>
            </w:r>
            <w:r w:rsidRPr="00DE6124">
              <w:t xml:space="preserve"> oraz wdrożenie strategicznego kompasu na rzec</w:t>
            </w:r>
            <w:bookmarkStart w:id="1" w:name="_GoBack"/>
            <w:bookmarkEnd w:id="1"/>
            <w:r w:rsidRPr="00DE6124">
              <w:t>z bezpieczeństwa i obrony – wszystkie one wymagają reform i trwałego wysokiego poziomu inwestycji w nadchodzących latach.</w:t>
            </w:r>
          </w:p>
        </w:tc>
      </w:tr>
      <w:tr w:rsidR="00AA0139" w:rsidRPr="00DE6124" w:rsidTr="00C33FBD">
        <w:trPr>
          <w:jc w:val="center"/>
        </w:trPr>
        <w:tc>
          <w:tcPr>
            <w:tcW w:w="4876" w:type="dxa"/>
            <w:hideMark/>
          </w:tcPr>
          <w:p w:rsidR="00AF0131" w:rsidRPr="00DE6124" w:rsidRDefault="00B12D20" w:rsidP="00C33FBD">
            <w:pPr>
              <w:pStyle w:val="Normal6"/>
            </w:pPr>
            <w:r w:rsidRPr="00DE6124">
              <w:lastRenderedPageBreak/>
              <w:t>__________________</w:t>
            </w:r>
          </w:p>
        </w:tc>
        <w:tc>
          <w:tcPr>
            <w:tcW w:w="4876" w:type="dxa"/>
            <w:hideMark/>
          </w:tcPr>
          <w:p w:rsidR="00AF0131" w:rsidRPr="00DE6124" w:rsidRDefault="00B12D20" w:rsidP="00C33FBD">
            <w:pPr>
              <w:pStyle w:val="Normal6"/>
              <w:rPr>
                <w:szCs w:val="24"/>
              </w:rPr>
            </w:pPr>
            <w:r w:rsidRPr="00DE6124">
              <w:t>__________________</w:t>
            </w:r>
          </w:p>
        </w:tc>
      </w:tr>
      <w:tr w:rsidR="00AA0139" w:rsidRPr="00DE6124" w:rsidTr="00C33FBD">
        <w:trPr>
          <w:jc w:val="center"/>
        </w:trPr>
        <w:tc>
          <w:tcPr>
            <w:tcW w:w="4876" w:type="dxa"/>
            <w:hideMark/>
          </w:tcPr>
          <w:p w:rsidR="00AF0131" w:rsidRPr="00DE6124" w:rsidRDefault="00B12D20" w:rsidP="00C33FBD">
            <w:pPr>
              <w:pStyle w:val="Normal6"/>
            </w:pPr>
            <w:r w:rsidRPr="00DE6124">
              <w:rPr>
                <w:vertAlign w:val="superscript"/>
              </w:rPr>
              <w:t>22</w:t>
            </w:r>
            <w:r w:rsidRPr="00DE6124">
              <w:t xml:space="preserve"> Europejskie prawo o klimacie ustanawia ogólnounijny cel neutralności klimatycznej do 2050 r. oraz zobowiązuje instytucje Unii i państwa członkowskie do postępów w zwiększaniu zdolności przystosowawczych, co wymaga znacznych inwestycj</w:t>
            </w:r>
            <w:r w:rsidRPr="00DE6124">
              <w:t>i publicznych w celu ograniczenia negatywnych społeczno-gospodarczych skutków zmiany klimatu dla UE i jej państw członkowskich, w tym negatywnego wpływu na wzrost gospodarczy i stabilność fiskalną.</w:t>
            </w:r>
          </w:p>
        </w:tc>
        <w:tc>
          <w:tcPr>
            <w:tcW w:w="4876" w:type="dxa"/>
            <w:hideMark/>
          </w:tcPr>
          <w:p w:rsidR="00AF0131" w:rsidRPr="00DE6124" w:rsidRDefault="00B12D20" w:rsidP="00C33FBD">
            <w:pPr>
              <w:pStyle w:val="Normal6"/>
              <w:rPr>
                <w:szCs w:val="24"/>
              </w:rPr>
            </w:pPr>
            <w:r w:rsidRPr="00DE6124">
              <w:rPr>
                <w:vertAlign w:val="superscript"/>
              </w:rPr>
              <w:t>22</w:t>
            </w:r>
            <w:r w:rsidRPr="00DE6124">
              <w:t xml:space="preserve"> Europejskie prawo o klimacie ustanawia ogólnounijny cel</w:t>
            </w:r>
            <w:r w:rsidRPr="00DE6124">
              <w:t xml:space="preserve"> neutralności klimatycznej do 2050 r. oraz zobowiązuje instytucje Unii i państwa członkowskie do postępów w zwiększaniu zdolności przystosowawczych, co wymaga znacznych inwestycji publicznych w celu ograniczenia negatywnych społeczno-gospodarczych skutków </w:t>
            </w:r>
            <w:r w:rsidRPr="00DE6124">
              <w:t>zmiany klimatu dla UE i jej państw członkowskich, w tym negatywnego wpływu na wzrost gospodarczy i stabilność fiskalną.</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3</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Motyw 7</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 xml:space="preserve">Tekst </w:t>
            </w:r>
            <w:r w:rsidRPr="00DE6124">
              <w:t>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(7)</w:t>
            </w:r>
            <w:r w:rsidRPr="00DE6124">
              <w:tab/>
              <w:t xml:space="preserve">W ramach procedury wielostronnego nadzoru określonej w art. 121 ust. 2, 3 i 4 oraz art. 148 ust. 4 TFUE należy nadzorować, zgodnie z bardziej szczegółowymi przepisami, pełen zakres zmian w sferze gospodarki </w:t>
            </w:r>
            <w:r w:rsidRPr="00DE6124">
              <w:rPr>
                <w:b/>
                <w:i/>
              </w:rPr>
              <w:t>i </w:t>
            </w:r>
            <w:r w:rsidRPr="00DE6124">
              <w:t>zatrudn</w:t>
            </w:r>
            <w:r w:rsidRPr="00DE6124">
              <w:t>ienia w każdym z państw członkowskich i w Unii. Obejmuje to wykrywanie zakłóceń równowagi makroekonomicznej oraz zapobieganie nadmiernym zakłóceniom równowagi i ich korygowanie zgodnie z rozporządzeniami Parlamentu Europejskiego i Rady (UE) nr 1174/2011</w:t>
            </w:r>
            <w:r w:rsidRPr="00DE6124">
              <w:rPr>
                <w:vertAlign w:val="superscript"/>
              </w:rPr>
              <w:t>23</w:t>
            </w:r>
            <w:r w:rsidRPr="00DE6124">
              <w:t xml:space="preserve"> </w:t>
            </w:r>
            <w:r w:rsidRPr="00DE6124">
              <w:t>i (UE) nr 1176/2011</w:t>
            </w:r>
            <w:r w:rsidRPr="00DE6124">
              <w:rPr>
                <w:vertAlign w:val="superscript"/>
              </w:rPr>
              <w:t>24</w:t>
            </w:r>
            <w:r w:rsidRPr="00DE6124">
              <w:t xml:space="preserve">. Na potrzeby monitorowania takich zmian w gospodarce </w:t>
            </w:r>
            <w:r w:rsidRPr="00DE6124">
              <w:rPr>
                <w:b/>
                <w:i/>
              </w:rPr>
              <w:t>i</w:t>
            </w:r>
            <w:r w:rsidRPr="00DE6124">
              <w:t xml:space="preserve"> zatrudnieniu państwa członkowskie powinny przedstawiać informacje w formie średniookresowych </w:t>
            </w:r>
            <w:r w:rsidRPr="00DE6124">
              <w:lastRenderedPageBreak/>
              <w:t>planów fiskalno-strukturalnych.</w:t>
            </w:r>
          </w:p>
        </w:tc>
        <w:tc>
          <w:tcPr>
            <w:tcW w:w="4876" w:type="dxa"/>
            <w:hideMark/>
          </w:tcPr>
          <w:p w:rsidR="00AF0131" w:rsidRPr="00DE6124" w:rsidRDefault="00B12D20" w:rsidP="00C33FBD">
            <w:pPr>
              <w:pStyle w:val="Normal6"/>
              <w:rPr>
                <w:szCs w:val="24"/>
              </w:rPr>
            </w:pPr>
            <w:r w:rsidRPr="00DE6124">
              <w:lastRenderedPageBreak/>
              <w:t>(7)</w:t>
            </w:r>
            <w:r w:rsidRPr="00DE6124">
              <w:tab/>
              <w:t>W ramach procedury wielostronnego nadzoru określon</w:t>
            </w:r>
            <w:r w:rsidRPr="00DE6124">
              <w:t>ej w art. 121 ust. 2, 3 i 4 oraz art. 148 ust. 4 TFUE należy nadzorować, zgodnie z bardziej szczegółowymi przepisami, pełen zakres zmian w sferze gospodarki</w:t>
            </w:r>
            <w:r w:rsidRPr="00DE6124">
              <w:rPr>
                <w:b/>
                <w:i/>
              </w:rPr>
              <w:t>,</w:t>
            </w:r>
            <w:r w:rsidRPr="00DE6124">
              <w:t xml:space="preserve"> zatrudnienia</w:t>
            </w:r>
            <w:r w:rsidRPr="00DE6124">
              <w:rPr>
                <w:b/>
                <w:i/>
              </w:rPr>
              <w:t xml:space="preserve"> oraz odnośnych zmian społecznych</w:t>
            </w:r>
            <w:r w:rsidRPr="00DE6124">
              <w:t xml:space="preserve"> w każdym z państw członkowskich i w Unii</w:t>
            </w:r>
            <w:r w:rsidRPr="00DE6124">
              <w:rPr>
                <w:b/>
                <w:i/>
              </w:rPr>
              <w:t>, w powiązan</w:t>
            </w:r>
            <w:r w:rsidRPr="00DE6124">
              <w:rPr>
                <w:b/>
                <w:i/>
              </w:rPr>
              <w:t>iu z głównymi celami, łącznie z postępami w realizacji celów krajowych, oraz dotyczącymi ich wskaźnikami głównymi i drugorzędnymi Europejskiego filaru praw socjalnych</w:t>
            </w:r>
            <w:r w:rsidRPr="00DE6124">
              <w:t>. Obejmuje to wykrywanie zakłóceń równowagi makroekonomicznej oraz zapobieganie nadmiernym</w:t>
            </w:r>
            <w:r w:rsidRPr="00DE6124">
              <w:t xml:space="preserve"> zakłóceniom równowagi i ich korygowanie zgodnie z rozporządzeniami Parlamentu </w:t>
            </w:r>
            <w:r w:rsidRPr="00DE6124">
              <w:lastRenderedPageBreak/>
              <w:t>Europejskiego i Rady (UE) nr 1174/2011</w:t>
            </w:r>
            <w:r w:rsidRPr="00DE6124">
              <w:rPr>
                <w:vertAlign w:val="superscript"/>
              </w:rPr>
              <w:t>23</w:t>
            </w:r>
            <w:r w:rsidRPr="00DE6124">
              <w:t xml:space="preserve"> i (UE) nr 1176/2011</w:t>
            </w:r>
            <w:r w:rsidRPr="00DE6124">
              <w:rPr>
                <w:vertAlign w:val="superscript"/>
              </w:rPr>
              <w:t>24</w:t>
            </w:r>
            <w:r w:rsidRPr="00DE6124">
              <w:t>. Na potrzeby monitorowania takich zmian w gospodarce</w:t>
            </w:r>
            <w:r w:rsidRPr="00DE6124">
              <w:rPr>
                <w:b/>
                <w:i/>
              </w:rPr>
              <w:t>,</w:t>
            </w:r>
            <w:r w:rsidRPr="00DE6124">
              <w:t xml:space="preserve"> zatrudnieniu </w:t>
            </w:r>
            <w:r w:rsidRPr="00DE6124">
              <w:rPr>
                <w:b/>
                <w:i/>
              </w:rPr>
              <w:t>oraz konwergencji społecznej</w:t>
            </w:r>
            <w:r w:rsidRPr="00DE6124">
              <w:t xml:space="preserve"> państwa członkowsk</w:t>
            </w:r>
            <w:r w:rsidRPr="00DE6124">
              <w:t>ie powinny przedstawiać informacje w formie średniookresowych planów fiskalno-strukturalnych.</w:t>
            </w:r>
          </w:p>
        </w:tc>
      </w:tr>
      <w:tr w:rsidR="00AA0139" w:rsidRPr="00DE6124" w:rsidTr="00C33FBD">
        <w:trPr>
          <w:jc w:val="center"/>
        </w:trPr>
        <w:tc>
          <w:tcPr>
            <w:tcW w:w="4876" w:type="dxa"/>
            <w:hideMark/>
          </w:tcPr>
          <w:p w:rsidR="00AF0131" w:rsidRPr="00DE6124" w:rsidRDefault="00B12D20" w:rsidP="00C33FBD">
            <w:pPr>
              <w:pStyle w:val="Normal6"/>
            </w:pPr>
            <w:r w:rsidRPr="00DE6124">
              <w:lastRenderedPageBreak/>
              <w:t>__________________</w:t>
            </w:r>
          </w:p>
        </w:tc>
        <w:tc>
          <w:tcPr>
            <w:tcW w:w="4876" w:type="dxa"/>
            <w:hideMark/>
          </w:tcPr>
          <w:p w:rsidR="00AF0131" w:rsidRPr="00DE6124" w:rsidRDefault="00B12D20" w:rsidP="00C33FBD">
            <w:pPr>
              <w:pStyle w:val="Normal6"/>
              <w:rPr>
                <w:szCs w:val="24"/>
              </w:rPr>
            </w:pPr>
            <w:r w:rsidRPr="00DE6124">
              <w:t>__________________</w:t>
            </w:r>
          </w:p>
        </w:tc>
      </w:tr>
      <w:tr w:rsidR="00AA0139" w:rsidRPr="00DE6124" w:rsidTr="00C33FBD">
        <w:trPr>
          <w:jc w:val="center"/>
        </w:trPr>
        <w:tc>
          <w:tcPr>
            <w:tcW w:w="4876" w:type="dxa"/>
            <w:hideMark/>
          </w:tcPr>
          <w:p w:rsidR="00AF0131" w:rsidRPr="00DE6124" w:rsidRDefault="00B12D20" w:rsidP="00C33FBD">
            <w:pPr>
              <w:pStyle w:val="Normal6"/>
            </w:pPr>
            <w:r w:rsidRPr="00DE6124">
              <w:rPr>
                <w:vertAlign w:val="superscript"/>
              </w:rPr>
              <w:t>23</w:t>
            </w:r>
            <w:r w:rsidRPr="00DE6124">
              <w:t xml:space="preserve"> Rozporządzenie Parlamentu Europejskiego i Rady (UE) nr 1174/2011z dnia 16 listopada 2011 r. w sprawie środków egzekwowa</w:t>
            </w:r>
            <w:r w:rsidRPr="00DE6124">
              <w:t>nia korekty nadmiernych zakłóceń równowagi makroekonomicznej w strefie euro (Dz.U. L 306 z 23.11.2011, s. 8).</w:t>
            </w:r>
          </w:p>
        </w:tc>
        <w:tc>
          <w:tcPr>
            <w:tcW w:w="4876" w:type="dxa"/>
            <w:hideMark/>
          </w:tcPr>
          <w:p w:rsidR="00AF0131" w:rsidRPr="00DE6124" w:rsidRDefault="00B12D20" w:rsidP="00C33FBD">
            <w:pPr>
              <w:pStyle w:val="Normal6"/>
              <w:rPr>
                <w:szCs w:val="24"/>
              </w:rPr>
            </w:pPr>
            <w:r w:rsidRPr="00DE6124">
              <w:rPr>
                <w:vertAlign w:val="superscript"/>
              </w:rPr>
              <w:t>23</w:t>
            </w:r>
            <w:r w:rsidRPr="00DE6124">
              <w:t xml:space="preserve"> Rozporządzenie Parlamentu Europejskiego i Rady (UE) nr 1174/2011z dnia 16 listopada 2011 r. w sprawie środków egzekwowania korekty nadmiernych </w:t>
            </w:r>
            <w:r w:rsidRPr="00DE6124">
              <w:t>zakłóceń równowagi makroekonomicznej w strefie euro (Dz.U. L 306 z 23.11.2011, s. 8).</w:t>
            </w:r>
          </w:p>
        </w:tc>
      </w:tr>
      <w:tr w:rsidR="00AA0139" w:rsidRPr="00DE6124" w:rsidTr="00C33FBD">
        <w:trPr>
          <w:jc w:val="center"/>
        </w:trPr>
        <w:tc>
          <w:tcPr>
            <w:tcW w:w="4876" w:type="dxa"/>
            <w:hideMark/>
          </w:tcPr>
          <w:p w:rsidR="00AF0131" w:rsidRPr="00DE6124" w:rsidRDefault="00B12D20" w:rsidP="00C33FBD">
            <w:pPr>
              <w:pStyle w:val="Normal6"/>
            </w:pPr>
            <w:r w:rsidRPr="00DE6124">
              <w:rPr>
                <w:vertAlign w:val="superscript"/>
              </w:rPr>
              <w:t>24</w:t>
            </w:r>
            <w:r w:rsidRPr="00DE6124">
              <w:t xml:space="preserve"> Rozporządzenie Parlamentu Europejskiego i Rady (UE) nr 1176/2011 z dnia 16 listopada 2011 r. w sprawie zapobiegania zakłóceniom równowagi makroekonomicznej i ich kory</w:t>
            </w:r>
            <w:r w:rsidRPr="00DE6124">
              <w:t>gowania (Dz.U. L 306 z 23.11.2011, s. 25).</w:t>
            </w:r>
          </w:p>
        </w:tc>
        <w:tc>
          <w:tcPr>
            <w:tcW w:w="4876" w:type="dxa"/>
            <w:hideMark/>
          </w:tcPr>
          <w:p w:rsidR="00AF0131" w:rsidRPr="00DE6124" w:rsidRDefault="00B12D20" w:rsidP="00C33FBD">
            <w:pPr>
              <w:pStyle w:val="Normal6"/>
              <w:rPr>
                <w:szCs w:val="24"/>
              </w:rPr>
            </w:pPr>
            <w:r w:rsidRPr="00DE6124">
              <w:rPr>
                <w:vertAlign w:val="superscript"/>
              </w:rPr>
              <w:t>24</w:t>
            </w:r>
            <w:r w:rsidRPr="00DE6124">
              <w:t xml:space="preserve"> Rozporządzenie Parlamentu Europejskiego i Rady (UE) nr 1176/2011 z dnia 16 listopada 2011 r. w sprawie zapobiegania zakłóceniom równowagi makroekonomicznej i ich korygowania (Dz.U. L 306 z 23.11.2011, s. 25).</w:t>
            </w:r>
          </w:p>
        </w:tc>
      </w:tr>
    </w:tbl>
    <w:p w:rsidR="00AF0131" w:rsidRPr="00DE6124" w:rsidRDefault="00B12D20" w:rsidP="00C56375">
      <w:pPr>
        <w:rPr>
          <w:rStyle w:val="HideTWBExt"/>
          <w:rFonts w:eastAsiaTheme="majorEastAsia"/>
        </w:rPr>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4</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Motyw 7 a (nowy)</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tcPr>
          <w:p w:rsidR="00AF0131" w:rsidRPr="00DE6124" w:rsidRDefault="00AF0131" w:rsidP="00C33FBD">
            <w:pPr>
              <w:pStyle w:val="Normal6"/>
            </w:pPr>
          </w:p>
        </w:tc>
        <w:tc>
          <w:tcPr>
            <w:tcW w:w="4876" w:type="dxa"/>
            <w:hideMark/>
          </w:tcPr>
          <w:p w:rsidR="00AF0131" w:rsidRPr="00DE6124" w:rsidRDefault="00B12D20" w:rsidP="00C33FBD">
            <w:pPr>
              <w:pStyle w:val="Normal6"/>
              <w:rPr>
                <w:szCs w:val="24"/>
              </w:rPr>
            </w:pPr>
            <w:r w:rsidRPr="00DE6124">
              <w:rPr>
                <w:b/>
                <w:i/>
              </w:rPr>
              <w:t>(7a)</w:t>
            </w:r>
            <w:r w:rsidRPr="00DE6124">
              <w:rPr>
                <w:b/>
                <w:i/>
              </w:rPr>
              <w:tab/>
              <w:t xml:space="preserve">W celu wspierania pozytywnej konwergencji społecznej procedurę </w:t>
            </w:r>
            <w:r w:rsidRPr="00DE6124">
              <w:rPr>
                <w:b/>
                <w:i/>
              </w:rPr>
              <w:t>wielostronnego nadzoru określoną w art. 148 ust. 4 TFUE uzupełnia się systemem wczesnego ostrzegania w ramach europejskiego semestru (ramy konwergencji społecznej). W ramach konwergencji społecznej Komisja – zgodnie z art. 148 TFUE – we wspólnym sprawozdan</w:t>
            </w:r>
            <w:r w:rsidRPr="00DE6124">
              <w:rPr>
                <w:b/>
                <w:i/>
              </w:rPr>
              <w:t xml:space="preserve">iu o zatrudnieniu określa najpierw na podstawie wskaźników podstawowych zawartych w tablicy wskaźników społecznych zagrożenia dla pozytywnej konwergencji państw członkowskich. Na drugim etapie Komisja </w:t>
            </w:r>
            <w:r w:rsidRPr="00DE6124">
              <w:rPr>
                <w:b/>
                <w:i/>
              </w:rPr>
              <w:lastRenderedPageBreak/>
              <w:t>wskazuje państwa członkowskie, w przypadku których wyma</w:t>
            </w:r>
            <w:r w:rsidRPr="00DE6124">
              <w:rPr>
                <w:b/>
                <w:i/>
              </w:rPr>
              <w:t>gana jest dodatkowa analiza, i publikuje sprawozdania na temat konwergencji społecznej dotyczące państw członkowskich, w których pozytywna konwergencja społeczna jest zagrożona. Wnioski dotyczące poszczególnych krajów wynikające z działań w zakresie wielos</w:t>
            </w:r>
            <w:r w:rsidRPr="00DE6124">
              <w:rPr>
                <w:b/>
                <w:i/>
              </w:rPr>
              <w:t>tronnego nadzoru prowadzonych w nowych ramach powinny stanowić wkład w refleksję Komisji nad propozycjami zaleceń dla poszczególnych krajów.</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lastRenderedPageBreak/>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5</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Motyw 8</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(8)</w:t>
            </w:r>
            <w:r w:rsidRPr="00DE6124">
              <w:tab/>
            </w:r>
            <w:r w:rsidRPr="00DE6124">
              <w:t xml:space="preserve">Należy zatem ustanowić szczegółowe przepisy dotyczące treści krajowych średniookresowych planów fiskalno-strukturalnych, sposobu ich przedkładania, oceny i monitorowania w celu wspierania stabilności długu </w:t>
            </w:r>
            <w:r w:rsidRPr="00DE6124">
              <w:rPr>
                <w:b/>
                <w:i/>
              </w:rPr>
              <w:t>oraz</w:t>
            </w:r>
            <w:r w:rsidRPr="00DE6124">
              <w:t xml:space="preserve"> zrównoważonego wzrostu gospodarczego sprzyjaj</w:t>
            </w:r>
            <w:r w:rsidRPr="00DE6124">
              <w:t>ącego włączeniu społecznemu w państwach członkowskich, a także zapobiegania występowaniu nadmiernych deficytów sektora instytucji rządowych i samorządowych poprzez średniookresowe planowanie.</w:t>
            </w:r>
          </w:p>
        </w:tc>
        <w:tc>
          <w:tcPr>
            <w:tcW w:w="4876" w:type="dxa"/>
            <w:hideMark/>
          </w:tcPr>
          <w:p w:rsidR="00AF0131" w:rsidRPr="00DE6124" w:rsidRDefault="00B12D20" w:rsidP="00C33FBD">
            <w:pPr>
              <w:pStyle w:val="Normal6"/>
              <w:rPr>
                <w:szCs w:val="24"/>
              </w:rPr>
            </w:pPr>
            <w:r w:rsidRPr="00DE6124">
              <w:t>(8)</w:t>
            </w:r>
            <w:r w:rsidRPr="00DE6124">
              <w:tab/>
              <w:t>Należy zatem ustanowić szczegółowe przepisy dotyczące treści</w:t>
            </w:r>
            <w:r w:rsidRPr="00DE6124">
              <w:t xml:space="preserve"> krajowych średniookresowych planów fiskalno-strukturalnych, sposobu ich przedkładania, oceny i monitorowania w celu wspierania stabilności długu</w:t>
            </w:r>
            <w:r w:rsidRPr="00DE6124">
              <w:rPr>
                <w:b/>
                <w:i/>
              </w:rPr>
              <w:t>,</w:t>
            </w:r>
            <w:r w:rsidRPr="00DE6124">
              <w:t xml:space="preserve"> zrównoważonego wzrostu gospodarczego sprzyjającego włączeniu społecznemu </w:t>
            </w:r>
            <w:r w:rsidRPr="00DE6124">
              <w:rPr>
                <w:b/>
                <w:i/>
              </w:rPr>
              <w:t>oraz pozytywnej konwergencji społecz</w:t>
            </w:r>
            <w:r w:rsidRPr="00DE6124">
              <w:rPr>
                <w:b/>
                <w:i/>
              </w:rPr>
              <w:t>nej</w:t>
            </w:r>
            <w:r w:rsidRPr="00DE6124">
              <w:t xml:space="preserve"> w państwach członkowskich, a także zapobiegania występowaniu nadmiernych deficytów sektora instytucji rządowych i samorządowych poprzez średniookresowe planowanie.</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6</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w:t>
      </w:r>
      <w:r w:rsidRPr="00DE6124">
        <w:rPr>
          <w:rStyle w:val="HideTWBExt"/>
          <w:b w:val="0"/>
        </w:rPr>
        <w:t>/DocAmend&gt;</w:t>
      </w:r>
    </w:p>
    <w:p w:rsidR="00AF0131" w:rsidRPr="00DE6124" w:rsidRDefault="00B12D20" w:rsidP="00AF0131">
      <w:pPr>
        <w:pStyle w:val="NormalBold"/>
      </w:pPr>
      <w:r w:rsidRPr="00DE6124">
        <w:rPr>
          <w:rStyle w:val="HideTWBExt"/>
          <w:b w:val="0"/>
        </w:rPr>
        <w:t>&lt;Article&gt;</w:t>
      </w:r>
      <w:r w:rsidRPr="00DE6124">
        <w:t>Motyw 9</w:t>
      </w:r>
      <w:r w:rsidRPr="00DE612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(9)</w:t>
            </w:r>
            <w:r w:rsidRPr="00DE6124">
              <w:tab/>
              <w:t>Fundamentem Ram zarządzania gospodarczego Unii powinny być krajowe średniookresowe plany fiskalno-</w:t>
            </w:r>
            <w:r w:rsidRPr="00DE6124">
              <w:lastRenderedPageBreak/>
              <w:t xml:space="preserve">strukturalne, w których powinny być zawarte zobowiązania poszczególnych </w:t>
            </w:r>
            <w:r w:rsidRPr="00DE6124">
              <w:t>państw członkowskich dotyczące budżetu, reform strukturalnych i inwestycji. Każde państwo członkowskie powinno przedstawić plan średniookresowy określający trajektorie fiskalne, a także zobowiązania dotyczące inwestycji publicznych i reform o priorytetowym</w:t>
            </w:r>
            <w:r w:rsidRPr="00DE6124">
              <w:t xml:space="preserve"> znaczeniu, które łącznie zapewnią trwałą i stopniową redukcję zadłużenia oraz zrównoważony wzrost gospodarczy sprzyjający włączeniu społecznemu i unikanie procyklicznej polityki fiskalnej, a także zobowiązania dotyczące szerzej zakrojonych reform i inwest</w:t>
            </w:r>
            <w:r w:rsidRPr="00DE6124">
              <w:t>ycji, w tym w zakresie zielonej i cyfrowej transformacji, odporności społecznej i gospodarczej oraz wdrażania Europejskiego filaru praw socjalnych. W okresie funkcjonowania Instrumentu na rzecz Odbudowy i Zwiększania Odporności</w:t>
            </w:r>
            <w:r w:rsidRPr="00DE6124">
              <w:rPr>
                <w:vertAlign w:val="superscript"/>
              </w:rPr>
              <w:t>25</w:t>
            </w:r>
            <w:r w:rsidRPr="00DE6124">
              <w:t xml:space="preserve"> należy odpowiednio uwzględ</w:t>
            </w:r>
            <w:r w:rsidRPr="00DE6124">
              <w:t>niać zobowiązania podjęte w ramach krajowych planów odbudowy i zwiększania odporności.</w:t>
            </w:r>
          </w:p>
        </w:tc>
        <w:tc>
          <w:tcPr>
            <w:tcW w:w="4876" w:type="dxa"/>
            <w:hideMark/>
          </w:tcPr>
          <w:p w:rsidR="00AF0131" w:rsidRPr="00DE6124" w:rsidRDefault="00B12D20" w:rsidP="00C33FBD">
            <w:pPr>
              <w:pStyle w:val="Normal6"/>
              <w:rPr>
                <w:szCs w:val="24"/>
              </w:rPr>
            </w:pPr>
            <w:r w:rsidRPr="00DE6124">
              <w:lastRenderedPageBreak/>
              <w:t>(9)</w:t>
            </w:r>
            <w:r w:rsidRPr="00DE6124">
              <w:tab/>
              <w:t xml:space="preserve">Fundamentem ram zarządzania gospodarczego </w:t>
            </w:r>
            <w:r w:rsidRPr="00DE6124">
              <w:rPr>
                <w:b/>
                <w:i/>
              </w:rPr>
              <w:t>i społecznego</w:t>
            </w:r>
            <w:r w:rsidRPr="00DE6124">
              <w:t xml:space="preserve"> Unii powinny być krajowe średniookresowe </w:t>
            </w:r>
            <w:r w:rsidRPr="00DE6124">
              <w:lastRenderedPageBreak/>
              <w:t>plany fiskalno-strukturalne, w których powinny być zawarte zobowiązania poszczególnych państw członkowskich dotyczące budżetu, reform strukturalnych i inwestycji. Każde państwo członkowskie powinno przedstawić plan</w:t>
            </w:r>
            <w:r w:rsidRPr="00DE6124">
              <w:t xml:space="preserve"> średniookresowy określający trajektorie fiskalne, a także zobowiązania dotyczące inwestycji publicznych i reform o priorytetowym znaczeniu, które łącznie zapewnią trwałą i stopniową redukcję zadłużenia oraz zrównoważony wzrost gospodarczy sprzyjający włąc</w:t>
            </w:r>
            <w:r w:rsidRPr="00DE6124">
              <w:t>zeniu społecznemu i unikanie procyklicznej polityki fiskalnej, a także zobowiązania dotyczące szerzej zakrojonych reform i inwestycji, w tym w zakresie zielonej i cyfrowej transformacji, odporności społecznej i gospodarczej oraz wdrażania Europejskiego fil</w:t>
            </w:r>
            <w:r w:rsidRPr="00DE6124">
              <w:t>aru praw socjalnych</w:t>
            </w:r>
            <w:r w:rsidRPr="00DE6124">
              <w:rPr>
                <w:b/>
                <w:i/>
              </w:rPr>
              <w:t>, w tym powiązanych celów dotyczących zatrudnienia, umiejętności i ograniczania ubóstwa do 2030 r.</w:t>
            </w:r>
            <w:r w:rsidRPr="00DE6124">
              <w:rPr>
                <w:b/>
                <w:i/>
                <w:vertAlign w:val="superscript"/>
              </w:rPr>
              <w:t>1a</w:t>
            </w:r>
            <w:r w:rsidRPr="00DE6124">
              <w:t xml:space="preserve"> W okresie funkcjonowania Instrumentu na rzecz Odbudowy i Zwiększania Odporności</w:t>
            </w:r>
            <w:r w:rsidRPr="00DE6124">
              <w:rPr>
                <w:vertAlign w:val="superscript"/>
              </w:rPr>
              <w:t>25</w:t>
            </w:r>
            <w:r w:rsidRPr="00DE6124">
              <w:t xml:space="preserve"> należy odpowiednio uwzględniać zobowiązania podjęte w </w:t>
            </w:r>
            <w:r w:rsidRPr="00DE6124">
              <w:t>ramach krajowych planów odbudowy i zwiększania odporności.</w:t>
            </w:r>
          </w:p>
        </w:tc>
      </w:tr>
      <w:tr w:rsidR="00AA0139" w:rsidRPr="00DE6124" w:rsidTr="00C33FBD">
        <w:trPr>
          <w:jc w:val="center"/>
        </w:trPr>
        <w:tc>
          <w:tcPr>
            <w:tcW w:w="4876" w:type="dxa"/>
            <w:hideMark/>
          </w:tcPr>
          <w:p w:rsidR="00AF0131" w:rsidRPr="00DE6124" w:rsidRDefault="00B12D20" w:rsidP="00C33FBD">
            <w:pPr>
              <w:pStyle w:val="Normal6"/>
            </w:pPr>
            <w:r w:rsidRPr="00DE6124">
              <w:lastRenderedPageBreak/>
              <w:t>__________________</w:t>
            </w:r>
          </w:p>
        </w:tc>
        <w:tc>
          <w:tcPr>
            <w:tcW w:w="4876" w:type="dxa"/>
            <w:hideMark/>
          </w:tcPr>
          <w:p w:rsidR="00AF0131" w:rsidRPr="00DE6124" w:rsidRDefault="00B12D20" w:rsidP="00C33FBD">
            <w:pPr>
              <w:pStyle w:val="Normal6"/>
              <w:rPr>
                <w:szCs w:val="24"/>
              </w:rPr>
            </w:pPr>
            <w:r w:rsidRPr="00DE6124">
              <w:t>__________________</w:t>
            </w:r>
          </w:p>
        </w:tc>
      </w:tr>
      <w:tr w:rsidR="00AA0139" w:rsidRPr="00DE6124" w:rsidTr="00C33FBD">
        <w:trPr>
          <w:jc w:val="center"/>
        </w:trPr>
        <w:tc>
          <w:tcPr>
            <w:tcW w:w="4876" w:type="dxa"/>
          </w:tcPr>
          <w:p w:rsidR="00AF0131" w:rsidRPr="00DE6124" w:rsidRDefault="00AF0131" w:rsidP="00C33FBD">
            <w:pPr>
              <w:pStyle w:val="Normal6"/>
              <w:rPr>
                <w:vertAlign w:val="superscript"/>
              </w:rPr>
            </w:pPr>
          </w:p>
        </w:tc>
        <w:tc>
          <w:tcPr>
            <w:tcW w:w="4876" w:type="dxa"/>
          </w:tcPr>
          <w:p w:rsidR="00AF0131" w:rsidRPr="00DE6124" w:rsidRDefault="00B12D20" w:rsidP="00C33FBD">
            <w:pPr>
              <w:pStyle w:val="Normal6"/>
              <w:rPr>
                <w:vertAlign w:val="superscript"/>
              </w:rPr>
            </w:pPr>
            <w:r w:rsidRPr="00DE6124">
              <w:rPr>
                <w:vertAlign w:val="superscript"/>
              </w:rPr>
              <w:t>25a</w:t>
            </w:r>
            <w:r w:rsidRPr="00DE6124">
              <w:rPr>
                <w:b/>
                <w:i/>
              </w:rPr>
              <w:t xml:space="preserve"> Komunikat Komisji z 4 marca 2021 r. do Parlamentu Europejskiego, Rady, Europejskiego Komitetu Ekonomiczno-Społecznego i Komitetu Regionów pt. „Plan dzia</w:t>
            </w:r>
            <w:r w:rsidRPr="00DE6124">
              <w:rPr>
                <w:b/>
                <w:i/>
              </w:rPr>
              <w:t>łania na rzecz Europejskiego filaru praw socjalnych” (COM(2021)0102).</w:t>
            </w:r>
          </w:p>
        </w:tc>
      </w:tr>
      <w:tr w:rsidR="00AA0139" w:rsidRPr="00DE6124" w:rsidTr="00C33FBD">
        <w:trPr>
          <w:jc w:val="center"/>
        </w:trPr>
        <w:tc>
          <w:tcPr>
            <w:tcW w:w="4876" w:type="dxa"/>
            <w:hideMark/>
          </w:tcPr>
          <w:p w:rsidR="00AF0131" w:rsidRPr="00DE6124" w:rsidRDefault="00B12D20" w:rsidP="00C33FBD">
            <w:pPr>
              <w:pStyle w:val="Normal6"/>
            </w:pPr>
            <w:r w:rsidRPr="00DE6124">
              <w:rPr>
                <w:vertAlign w:val="superscript"/>
              </w:rPr>
              <w:t>25</w:t>
            </w:r>
            <w:r w:rsidRPr="00DE6124">
              <w:t xml:space="preserve"> Rozporządzenie Parlamentu Europejskiego i Rady (UE) 2021/241 z dnia 12 lutego 2021 r. ustanawiające Instrument na rzecz Odbudowy i Zwiększania Odporności (Dz.U. L 57 z 18.2.2021, s. </w:t>
            </w:r>
            <w:r w:rsidRPr="00DE6124">
              <w:t>17).</w:t>
            </w:r>
          </w:p>
        </w:tc>
        <w:tc>
          <w:tcPr>
            <w:tcW w:w="4876" w:type="dxa"/>
            <w:hideMark/>
          </w:tcPr>
          <w:p w:rsidR="00AF0131" w:rsidRPr="00DE6124" w:rsidRDefault="00B12D20" w:rsidP="00C33FBD">
            <w:pPr>
              <w:pStyle w:val="Normal6"/>
              <w:rPr>
                <w:szCs w:val="24"/>
              </w:rPr>
            </w:pPr>
            <w:r w:rsidRPr="00DE6124">
              <w:rPr>
                <w:vertAlign w:val="superscript"/>
              </w:rPr>
              <w:t>25</w:t>
            </w:r>
            <w:r w:rsidRPr="00DE6124">
              <w:t xml:space="preserve"> Rozporządzenie Parlamentu Europejskiego i Rady (UE) 2021/241 z dnia 12 lutego 2021 r. ustanawiające Instrument na rzecz Odbudowy i Zwiększania Odporności (Dz.U. L 57 z 18.2.2021, s. 17).</w:t>
            </w:r>
          </w:p>
        </w:tc>
      </w:tr>
    </w:tbl>
    <w:p w:rsidR="002D23D0" w:rsidRPr="00DE6124" w:rsidRDefault="00B12D20" w:rsidP="00C56375">
      <w:pPr>
        <w:rPr>
          <w:rFonts w:eastAsiaTheme="majorEastAsia"/>
        </w:rPr>
      </w:pPr>
      <w:r w:rsidRPr="00DE6124">
        <w:rPr>
          <w:rStyle w:val="HideTWBExt"/>
        </w:rPr>
        <w:t>&lt;/Amend&gt;</w:t>
      </w:r>
    </w:p>
    <w:p w:rsidR="00AF0131" w:rsidRPr="00DE6124" w:rsidRDefault="00B12D20" w:rsidP="002D23D0">
      <w:pPr>
        <w:pStyle w:val="AmNumberTabs"/>
      </w:pPr>
      <w:r w:rsidRPr="00DE6124">
        <w:rPr>
          <w:rStyle w:val="HideTWBExt"/>
        </w:rPr>
        <w:t>&lt;Amend&gt;</w:t>
      </w:r>
      <w:r w:rsidRPr="00DE6124">
        <w:t>Poprawka</w:t>
      </w:r>
      <w:r w:rsidRPr="00DE6124">
        <w:tab/>
      </w:r>
      <w:r w:rsidRPr="00DE6124">
        <w:tab/>
      </w:r>
      <w:r w:rsidRPr="00DE6124">
        <w:rPr>
          <w:rStyle w:val="HideTWBExt"/>
          <w:b w:val="0"/>
        </w:rPr>
        <w:t>&lt;NumAm&gt;</w:t>
      </w:r>
      <w:r w:rsidRPr="00DE6124">
        <w:t>7</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Motyw 10</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(10)</w:t>
            </w:r>
            <w:r w:rsidRPr="00DE6124">
              <w:tab/>
              <w:t>Fundusze polityki spójności są również zsynchronizowane z procesem europejskiego semestru. Inwestycje i reformy w ramach polityki spójn</w:t>
            </w:r>
            <w:r w:rsidRPr="00DE6124">
              <w:t>ości, będące elementem długoterminowej polityki inwestycyjnej budżetu UE, powinny także zostać należycie uwzględnione przy opracowywaniu krajowych średniookresowych planów fiskalno-strukturalnych. Każde państwo członkowskie powinno również wyjaśnić, w jaki</w:t>
            </w:r>
            <w:r w:rsidRPr="00DE6124">
              <w:t xml:space="preserve"> sposób jego krajowy średniookresowy plan fiskalno-strukturalny zapewni spójność z wydatkami na programy UE w pełni kompensowanymi dochodami z funduszy unijnych i odpowiednim współfinansowaniem krajowym.</w:t>
            </w:r>
          </w:p>
        </w:tc>
        <w:tc>
          <w:tcPr>
            <w:tcW w:w="4876" w:type="dxa"/>
            <w:hideMark/>
          </w:tcPr>
          <w:p w:rsidR="00AF0131" w:rsidRPr="00DE6124" w:rsidRDefault="00B12D20" w:rsidP="00C33FBD">
            <w:pPr>
              <w:pStyle w:val="Normal6"/>
              <w:rPr>
                <w:szCs w:val="24"/>
              </w:rPr>
            </w:pPr>
            <w:r w:rsidRPr="00DE6124">
              <w:t>(10)</w:t>
            </w:r>
            <w:r w:rsidRPr="00DE6124">
              <w:tab/>
              <w:t>Fundusze polityki spójności są również zsynchro</w:t>
            </w:r>
            <w:r w:rsidRPr="00DE6124">
              <w:t xml:space="preserve">nizowane z procesem europejskiego semestru. Inwestycje i reformy w ramach polityki spójności, będące elementem długoterminowej polityki inwestycyjnej budżetu UE </w:t>
            </w:r>
            <w:r w:rsidRPr="00DE6124">
              <w:rPr>
                <w:b/>
                <w:i/>
              </w:rPr>
              <w:t>wzmacniającej spójność gospodarczą, społeczną i terytorialną</w:t>
            </w:r>
            <w:r w:rsidRPr="00DE6124">
              <w:t>, powinny także zostać należycie uw</w:t>
            </w:r>
            <w:r w:rsidRPr="00DE6124">
              <w:t>zględnione przy opracowywaniu krajowych średniookresowych planów fiskalno-strukturalnych. Każde państwo członkowskie powinno również wyjaśnić, w jaki sposób jego krajowy średniookresowy plan fiskalno-strukturalny zapewni spójność z wydatkami na programy UE</w:t>
            </w:r>
            <w:r w:rsidRPr="00DE6124">
              <w:t xml:space="preserve"> w pełni kompensowanymi dochodami z funduszy unijnych i odpowiednim współfinansowaniem krajowym.</w:t>
            </w:r>
          </w:p>
        </w:tc>
      </w:tr>
    </w:tbl>
    <w:p w:rsidR="00AF0131" w:rsidRPr="00DE6124" w:rsidRDefault="00B12D20" w:rsidP="00C56375">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8</w:t>
      </w:r>
      <w:r w:rsidRPr="00DE6124">
        <w:rPr>
          <w:rStyle w:val="HideTWBExt"/>
          <w:b w:val="0"/>
        </w:rPr>
        <w:t>&lt;/NumAm&gt;</w:t>
      </w:r>
    </w:p>
    <w:p w:rsidR="00AF0131" w:rsidRPr="00DE6124" w:rsidRDefault="00AF0131" w:rsidP="00AF0131">
      <w:pPr>
        <w:rPr>
          <w:b/>
        </w:rPr>
      </w:pPr>
    </w:p>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Motyw 13</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 xml:space="preserve">Tekst proponowany przez </w:t>
            </w:r>
            <w:r w:rsidRPr="00DE6124">
              <w:t>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(13)</w:t>
            </w:r>
            <w:r w:rsidRPr="00DE6124">
              <w:tab/>
              <w:t>Aby zapewnić państwom członkowskim wytyczne przy opracowywaniu ich średniookresowych planów fiskalno-strukturalnych, Komisja powinna przedstawić trajektorię techniczną opartą na minimalnym dostosowaniu fiskalnym, które zapewni osiągn</w:t>
            </w:r>
            <w:r w:rsidRPr="00DE6124">
              <w:t xml:space="preserve">ięcie akceptowalnej tendencji spadkowej trajektorii długu państwa członkowskiego albo pozostawanie długu na ostrożnym poziomie. Komisja powinna również zapewnić, aby wskaźnik długu publicznego na koniec okresu planowania spadł poniżej </w:t>
            </w:r>
            <w:r w:rsidRPr="00DE6124">
              <w:lastRenderedPageBreak/>
              <w:t>poziomu z roku poprze</w:t>
            </w:r>
            <w:r w:rsidRPr="00DE6124">
              <w:t xml:space="preserve">dzającego rozpoczęcie trajektorii technicznej. </w:t>
            </w:r>
            <w:r w:rsidRPr="00DE6124">
              <w:rPr>
                <w:b/>
                <w:i/>
              </w:rPr>
              <w:t>Trwałość tej redukcji długu powinna wynikać z odpowiedniej polityki fiskalnej.</w:t>
            </w:r>
          </w:p>
        </w:tc>
        <w:tc>
          <w:tcPr>
            <w:tcW w:w="4876" w:type="dxa"/>
            <w:hideMark/>
          </w:tcPr>
          <w:p w:rsidR="00AF0131" w:rsidRPr="00DE6124" w:rsidRDefault="00B12D20" w:rsidP="00C33FBD">
            <w:pPr>
              <w:pStyle w:val="Normal6"/>
              <w:rPr>
                <w:szCs w:val="24"/>
              </w:rPr>
            </w:pPr>
            <w:r w:rsidRPr="00DE6124">
              <w:lastRenderedPageBreak/>
              <w:t>(13)</w:t>
            </w:r>
            <w:r w:rsidRPr="00DE6124">
              <w:tab/>
              <w:t xml:space="preserve">Aby zapewnić państwom członkowskim wytyczne przy opracowywaniu ich średniookresowych planów fiskalno-strukturalnych, Komisja </w:t>
            </w:r>
            <w:r w:rsidRPr="00DE6124">
              <w:t>powinna przedstawić trajektorię techniczną opartą na minimalnym dostosowaniu fiskalnym, które zapewni osiągnięcie akceptowalnej tendencji spadkowej trajektorii długu państwa członkowskiego albo pozostawanie długu na ostrożnym poziomie</w:t>
            </w:r>
            <w:r w:rsidRPr="00DE6124">
              <w:rPr>
                <w:b/>
                <w:i/>
              </w:rPr>
              <w:t>, przy jednoczesnym uw</w:t>
            </w:r>
            <w:r w:rsidRPr="00DE6124">
              <w:rPr>
                <w:b/>
                <w:i/>
              </w:rPr>
              <w:t xml:space="preserve">zględnieniu ukierunkowanych inwestycji potrzebnych do realizacji </w:t>
            </w:r>
            <w:r w:rsidRPr="00DE6124">
              <w:rPr>
                <w:b/>
                <w:i/>
              </w:rPr>
              <w:lastRenderedPageBreak/>
              <w:t>wspólnych priorytetów Unii</w:t>
            </w:r>
            <w:r w:rsidRPr="00DE6124">
              <w:t>. Komisja powinna również zapewnić, aby wskaźnik długu publicznego na koniec okresu planowania spadł poniżej poziomu z roku poprzedzającego rozpoczęcie trajektorii t</w:t>
            </w:r>
            <w:r w:rsidRPr="00DE6124">
              <w:t>echnicznej.</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lastRenderedPageBreak/>
        <w:t>&lt;/Amend&gt;</w:t>
      </w:r>
    </w:p>
    <w:p w:rsidR="00AF0131" w:rsidRPr="00DE6124" w:rsidRDefault="00B12D20" w:rsidP="00C56375">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9</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Motyw 22</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(22)</w:t>
            </w:r>
            <w:r w:rsidRPr="00DE6124">
              <w:tab/>
              <w:t xml:space="preserve">Aby zapewnić łagodniejszą redukcję zadłużenia, okres dostosowania </w:t>
            </w:r>
            <w:r w:rsidRPr="00DE6124">
              <w:t xml:space="preserve">może zostać przedłużony o maksymalnie 3 lata, pod warunkiem że państwo członkowskie uzasadni swój średniookresowy plan fiskalno-strukturalny pakietem weryfikowalnych i terminowych reform i inwestycji, które łącznie: </w:t>
            </w:r>
            <w:r w:rsidRPr="00DE6124">
              <w:rPr>
                <w:b/>
                <w:i/>
              </w:rPr>
              <w:t>pobudzają wzrost gospodarczy</w:t>
            </w:r>
            <w:r w:rsidRPr="00DE6124">
              <w:t xml:space="preserve">, wspierają </w:t>
            </w:r>
            <w:r w:rsidRPr="00DE6124">
              <w:t xml:space="preserve">stabilność fiskalną, uwzględniają wspólne priorytety Unii, odpowiednie zalecenia dla poszczególnych krajów skierowane do państwa członkowskiego w ramach europejskiego semestru, jak również priorytety inwestycyjne poszczególnych krajów bez dokonywania cięć </w:t>
            </w:r>
            <w:r w:rsidRPr="00DE6124">
              <w:t>innych inwestycji publicznych finansowanych ze środków krajowych w okresie dostosowania, aby zapewnić makroekonomiczny wpływ inwestycji i uniknąć wypierania innych priorytetów inwestycyjnych.</w:t>
            </w:r>
          </w:p>
        </w:tc>
        <w:tc>
          <w:tcPr>
            <w:tcW w:w="4876" w:type="dxa"/>
            <w:hideMark/>
          </w:tcPr>
          <w:p w:rsidR="00AF0131" w:rsidRPr="00DE6124" w:rsidRDefault="00B12D20" w:rsidP="00C33FBD">
            <w:pPr>
              <w:pStyle w:val="Normal6"/>
              <w:rPr>
                <w:szCs w:val="24"/>
              </w:rPr>
            </w:pPr>
            <w:r w:rsidRPr="00DE6124">
              <w:t>(22)</w:t>
            </w:r>
            <w:r w:rsidRPr="00DE6124">
              <w:tab/>
              <w:t>Aby zapewnić łagodniejszą redukcję zadłużenia, okres dostos</w:t>
            </w:r>
            <w:r w:rsidRPr="00DE6124">
              <w:t xml:space="preserve">owania może zostać przedłużony o maksymalnie 3 lata, pod warunkiem że państwo członkowskie uzasadni swój średniookresowy plan fiskalno-strukturalny pakietem weryfikowalnych i terminowych reform i inwestycji, które łącznie: </w:t>
            </w:r>
            <w:r w:rsidRPr="00DE6124">
              <w:rPr>
                <w:b/>
                <w:i/>
              </w:rPr>
              <w:t>stymulują zrównoważony wzrost spr</w:t>
            </w:r>
            <w:r w:rsidRPr="00DE6124">
              <w:rPr>
                <w:b/>
                <w:i/>
              </w:rPr>
              <w:t>zyjający włączeniu społecznemu, sprzyjają pozytywnej konwergencji społecznej</w:t>
            </w:r>
            <w:r w:rsidRPr="00DE6124">
              <w:t>, wspierają stabilność fiskalną, uwzględniają wspólne priorytety Unii, odpowiednie zalecenia dla poszczególnych krajów skierowane do państwa członkowskiego w ramach europejskiego s</w:t>
            </w:r>
            <w:r w:rsidRPr="00DE6124">
              <w:t>emestru, jak również priorytety inwestycyjne poszczególnych krajów bez dokonywania cięć innych inwestycji publicznych finansowanych ze środków krajowych</w:t>
            </w:r>
            <w:r w:rsidRPr="00DE6124">
              <w:rPr>
                <w:b/>
                <w:i/>
              </w:rPr>
              <w:t>, w tym inwestycji społecznych,</w:t>
            </w:r>
            <w:r w:rsidRPr="00DE6124">
              <w:t xml:space="preserve"> w okresie dostosowania, aby zapewnić makroekonomiczny wpływ inwestycji i</w:t>
            </w:r>
            <w:r w:rsidRPr="00DE6124">
              <w:t> uniknąć wypierania innych priorytetów inwestycyjnych.</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rPr>
          <w:rStyle w:val="HideTWBExt"/>
          <w:b w:val="0"/>
        </w:rPr>
        <w:t>&lt;NumAm&gt;</w:t>
      </w:r>
      <w:r w:rsidRPr="00DE6124">
        <w:t>10</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Artykuł 1 – akapit 1</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 xml:space="preserve">W niniejszym </w:t>
            </w:r>
            <w:r w:rsidRPr="00DE6124">
              <w:t>rozporządzeniu określa się przepisy zapewniające skuteczną koordynację polityk gospodarczych państw członkowskich, wspierając tym samym osiągnięcie celów Unii w zakresie zrównoważonego wzrostu gospodarczego i zatrudnienia.</w:t>
            </w:r>
          </w:p>
        </w:tc>
        <w:tc>
          <w:tcPr>
            <w:tcW w:w="4876" w:type="dxa"/>
            <w:hideMark/>
          </w:tcPr>
          <w:p w:rsidR="00AF0131" w:rsidRPr="00DE6124" w:rsidRDefault="00B12D20" w:rsidP="00C33FBD">
            <w:pPr>
              <w:pStyle w:val="Normal6"/>
              <w:rPr>
                <w:szCs w:val="24"/>
              </w:rPr>
            </w:pPr>
            <w:r w:rsidRPr="00DE6124">
              <w:t>W niniejszym rozporządzeniu okreś</w:t>
            </w:r>
            <w:r w:rsidRPr="00DE6124">
              <w:t xml:space="preserve">la się przepisy zapewniające skuteczną koordynację polityk gospodarczych państw członkowskich, wspierając tym samym osiągnięcie celów Unii w zakresie zrównoważonego wzrostu gospodarczego </w:t>
            </w:r>
            <w:r w:rsidRPr="00DE6124">
              <w:rPr>
                <w:b/>
                <w:i/>
              </w:rPr>
              <w:t>sprzyjającego włączeniu społecznemu</w:t>
            </w:r>
            <w:r w:rsidRPr="00DE6124">
              <w:t xml:space="preserve"> i </w:t>
            </w:r>
            <w:r w:rsidRPr="00DE6124">
              <w:rPr>
                <w:b/>
                <w:i/>
              </w:rPr>
              <w:t>wysokiej jakości</w:t>
            </w:r>
            <w:r w:rsidRPr="00DE6124">
              <w:t xml:space="preserve"> zatrudnienia.</w:t>
            </w:r>
          </w:p>
        </w:tc>
      </w:tr>
    </w:tbl>
    <w:p w:rsidR="00AF0131" w:rsidRPr="00DE6124" w:rsidRDefault="00B12D20" w:rsidP="00AF0131">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11</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Artykuł 1 – akapit 2</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Przewidziano w nim szczegółowe zasady dotyczące treści krajowych średniookresowych planów fiskalno-strukturalnych, sposobu ich przedkładania, oceny i monitorowania w ramach wielostronnego nadzoru budżetowego prowadzonego przez Radę i Komisję w celu promowa</w:t>
            </w:r>
            <w:r w:rsidRPr="00DE6124">
              <w:t xml:space="preserve">nia stabilności długu </w:t>
            </w:r>
            <w:r w:rsidRPr="00DE6124">
              <w:rPr>
                <w:b/>
                <w:i/>
              </w:rPr>
              <w:t>oraz</w:t>
            </w:r>
            <w:r w:rsidRPr="00DE6124">
              <w:t xml:space="preserve"> zrównoważonego wzrostu gospodarczego sprzyjającego włączeniu społecznemu w państwach członkowskich, a także zapobiegania nadmiernym deficytom sektora instytucji rządowych i samorządowych poprzez średniookresowe planowanie.</w:t>
            </w:r>
          </w:p>
        </w:tc>
        <w:tc>
          <w:tcPr>
            <w:tcW w:w="4876" w:type="dxa"/>
            <w:hideMark/>
          </w:tcPr>
          <w:p w:rsidR="00AF0131" w:rsidRPr="00DE6124" w:rsidRDefault="00B12D20" w:rsidP="00C33FBD">
            <w:pPr>
              <w:pStyle w:val="Normal6"/>
              <w:rPr>
                <w:szCs w:val="24"/>
              </w:rPr>
            </w:pPr>
            <w:r w:rsidRPr="00DE6124">
              <w:t>Przewi</w:t>
            </w:r>
            <w:r w:rsidRPr="00DE6124">
              <w:t>dziano w nim szczegółowe zasady dotyczące treści krajowych średniookresowych planów fiskalno-strukturalnych, sposobu ich przedkładania, oceny i monitorowania w ramach wielostronnego nadzoru gospodarczego i budżetowego prowadzonego przez Radę i Komisję w ce</w:t>
            </w:r>
            <w:r w:rsidRPr="00DE6124">
              <w:t>lu promowania stabilności długu</w:t>
            </w:r>
            <w:r w:rsidRPr="00DE6124">
              <w:rPr>
                <w:b/>
                <w:i/>
              </w:rPr>
              <w:t>,</w:t>
            </w:r>
            <w:r w:rsidRPr="00DE6124">
              <w:t xml:space="preserve"> zrównoważonego wzrostu gospodarczego sprzyjającego włączeniu społecznemu </w:t>
            </w:r>
            <w:r w:rsidRPr="00DE6124">
              <w:rPr>
                <w:b/>
                <w:i/>
              </w:rPr>
              <w:t>i pozytywnej konwergencji społecznej</w:t>
            </w:r>
            <w:r w:rsidRPr="00DE6124">
              <w:t xml:space="preserve"> w państwach członkowskich, a także zapobiegania nadmiernym deficytom sektora instytucji rządowych i samorządowych</w:t>
            </w:r>
            <w:r w:rsidRPr="00DE6124">
              <w:t xml:space="preserve"> poprzez średniookresowe planowanie</w:t>
            </w:r>
            <w:r w:rsidRPr="00DE6124">
              <w:rPr>
                <w:b/>
                <w:i/>
              </w:rPr>
              <w:t>, przy jednoczesnym zapewnieniu ukierunkowanych inwestycji gospodarczych i społecznych zgodnie ze wspólnymi priorytetami Unii</w:t>
            </w:r>
            <w:r w:rsidRPr="00DE6124">
              <w:t>.</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t>&lt;/Amend&gt;</w:t>
      </w:r>
    </w:p>
    <w:p w:rsidR="00AF0131" w:rsidRPr="00DE6124" w:rsidRDefault="00B12D20" w:rsidP="00C56375">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12</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w:t>
      </w:r>
      <w:r w:rsidRPr="00DE6124">
        <w:rPr>
          <w:rStyle w:val="HideTWBExt"/>
          <w:b w:val="0"/>
        </w:rPr>
        <w:t>mend&gt;</w:t>
      </w:r>
    </w:p>
    <w:p w:rsidR="00AF0131" w:rsidRPr="00DE6124" w:rsidRDefault="00B12D20" w:rsidP="00AF0131">
      <w:pPr>
        <w:pStyle w:val="NormalBold"/>
      </w:pPr>
      <w:r w:rsidRPr="00DE6124">
        <w:rPr>
          <w:rStyle w:val="HideTWBExt"/>
          <w:b w:val="0"/>
        </w:rPr>
        <w:t>&lt;Article&gt;</w:t>
      </w:r>
      <w:r w:rsidRPr="00DE6124">
        <w:t>Artykuł 3 – akapit 1</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Aby zapewnić ściślejszą koordynację polityk gospodarczych i </w:t>
            </w:r>
            <w:r w:rsidRPr="00DE6124">
              <w:rPr>
                <w:b/>
                <w:i/>
              </w:rPr>
              <w:t>trwałą</w:t>
            </w:r>
            <w:r w:rsidRPr="00DE6124">
              <w:t xml:space="preserve"> konwergencję wyników gospodarczych i społecznych państw członkowskich, Rada i Komisja prowadzą wielostronny nadzór w ramach europejskiego semestru zgodnie z celami i wymogami określonymi w TFUE. Wielostronny nadzór opiera się na niezależnych danych statys</w:t>
            </w:r>
            <w:r w:rsidRPr="00DE6124">
              <w:t>tycznych o wysokiej jakości tworzonych zgodnie z zasadami określonymi w rozporządzeniu Parlamentu Europejskiego i Rady (WE) nr 223/2009.</w:t>
            </w:r>
          </w:p>
        </w:tc>
        <w:tc>
          <w:tcPr>
            <w:tcW w:w="4876" w:type="dxa"/>
            <w:hideMark/>
          </w:tcPr>
          <w:p w:rsidR="00AF0131" w:rsidRPr="00DE6124" w:rsidRDefault="00B12D20" w:rsidP="00C33FBD">
            <w:pPr>
              <w:pStyle w:val="Normal6"/>
              <w:rPr>
                <w:szCs w:val="24"/>
              </w:rPr>
            </w:pPr>
            <w:r w:rsidRPr="00DE6124">
              <w:t xml:space="preserve">Aby zapewnić ściślejszą koordynację polityk gospodarczych </w:t>
            </w:r>
            <w:r w:rsidRPr="00DE6124">
              <w:rPr>
                <w:b/>
                <w:i/>
              </w:rPr>
              <w:t>i polityki zatrudnienia</w:t>
            </w:r>
            <w:r w:rsidRPr="00DE6124">
              <w:t xml:space="preserve"> oraz </w:t>
            </w:r>
            <w:r w:rsidRPr="00DE6124">
              <w:rPr>
                <w:b/>
                <w:i/>
              </w:rPr>
              <w:t>pozytywną</w:t>
            </w:r>
            <w:r w:rsidRPr="00DE6124">
              <w:t xml:space="preserve"> konwergencję wyników g</w:t>
            </w:r>
            <w:r w:rsidRPr="00DE6124">
              <w:t xml:space="preserve">ospodarczych i społecznych państw członkowskich </w:t>
            </w:r>
            <w:r w:rsidRPr="00DE6124">
              <w:rPr>
                <w:b/>
                <w:i/>
              </w:rPr>
              <w:t>zgodnie ze wspólnymi priorytetami Unii</w:t>
            </w:r>
            <w:r w:rsidRPr="00DE6124">
              <w:t>, Rada i Komisja prowadzą wielostronny nadzór w ramach europejskiego semestru zgodnie z celami i wymogami określonymi w TFUE. Wielostronny nadzór opiera się na niezależny</w:t>
            </w:r>
            <w:r w:rsidRPr="00DE6124">
              <w:t>ch danych statystycznych o wysokiej jakości tworzonych zgodnie z zasadami określonymi w rozporządzeniu Parlamentu Europejskiego i Rady (WE) nr 223/2009.</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13</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Artykuł 3 – akapit 2 – litera b</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b)</w:t>
            </w:r>
            <w:r w:rsidRPr="00DE6124">
              <w:tab/>
              <w:t xml:space="preserve">formułowanie wytycznych dotyczących polityki zatrudnienia, które mają być uwzględniane przez państwa członkowskie zgodnie z art. 148 ust. 2 TFUE, </w:t>
            </w:r>
            <w:r w:rsidRPr="00DE6124">
              <w:rPr>
                <w:b/>
                <w:i/>
              </w:rPr>
              <w:t>w tym</w:t>
            </w:r>
            <w:r w:rsidRPr="00DE6124">
              <w:t xml:space="preserve"> Europe</w:t>
            </w:r>
            <w:r w:rsidRPr="00DE6124">
              <w:t>jskiego filaru praw socjalnych, oraz powiązanych zaleceń dla poszczególnych krajów, a także nadzór nad wdrażaniem tych wytycznych i zaleceń;</w:t>
            </w:r>
          </w:p>
        </w:tc>
        <w:tc>
          <w:tcPr>
            <w:tcW w:w="4876" w:type="dxa"/>
            <w:hideMark/>
          </w:tcPr>
          <w:p w:rsidR="00AF0131" w:rsidRPr="00DE6124" w:rsidRDefault="00B12D20" w:rsidP="00C33FBD">
            <w:pPr>
              <w:pStyle w:val="Normal6"/>
              <w:rPr>
                <w:szCs w:val="24"/>
              </w:rPr>
            </w:pPr>
            <w:r w:rsidRPr="00DE6124">
              <w:t>b)</w:t>
            </w:r>
            <w:r w:rsidRPr="00DE6124">
              <w:tab/>
              <w:t>formułowanie wytycznych dotyczących polityki zatrudnienia, które mają być uwzględniane przez państwa członkowski</w:t>
            </w:r>
            <w:r w:rsidRPr="00DE6124">
              <w:t xml:space="preserve">e zgodnie z art. 148 ust. 2 TFUE, Europejskiego filaru praw socjalnych </w:t>
            </w:r>
            <w:r w:rsidRPr="00DE6124">
              <w:rPr>
                <w:b/>
                <w:i/>
              </w:rPr>
              <w:t>i jego głównych celów</w:t>
            </w:r>
            <w:r w:rsidRPr="00DE6124">
              <w:t xml:space="preserve"> oraz powiązanych zaleceń dla poszczególnych krajów, </w:t>
            </w:r>
            <w:r w:rsidRPr="00DE6124">
              <w:rPr>
                <w:b/>
                <w:i/>
              </w:rPr>
              <w:t>jak również tablicy wskaźników społecznych i jej wskaźników głównych i drugorzędnych oraz ram konwergencji społ</w:t>
            </w:r>
            <w:r w:rsidRPr="00DE6124">
              <w:rPr>
                <w:b/>
                <w:i/>
              </w:rPr>
              <w:t>ecznej, aby zapobiegać zagrożeniom dla konwergencji społecznej i je wykrywać,</w:t>
            </w:r>
            <w:r w:rsidRPr="00DE6124">
              <w:t xml:space="preserve"> a także nadzór nad wdrażaniem tych wytycznych i zaleceń;</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14</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 xml:space="preserve">Artykuł 4 – </w:t>
      </w:r>
      <w:r w:rsidRPr="00DE6124">
        <w:t>ustęp 1</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1.</w:t>
            </w:r>
            <w:r w:rsidRPr="00DE6124">
              <w:tab/>
              <w:t>W razie potrzeby, po dokonaniu zgodnie z niniejszym rozporządzeniem oceny średniookresowych planów fiskalno-strukturalnych, rocznych sprawozdań z postępów oraz sytuacji społeczno-gospodarczej</w:t>
            </w:r>
            <w:r w:rsidRPr="00DE6124">
              <w:t xml:space="preserve"> danych państw członkowskich, Rada kieruje zalecenia do tych państw członkowskich, na podstawie zaleceń Komisji, wykorzystując w pełni instrumenty prawne przewidziane w art. 121 i 148 TFUE oraz w powiązanym prawodawstwie wtórnym.</w:t>
            </w:r>
          </w:p>
        </w:tc>
        <w:tc>
          <w:tcPr>
            <w:tcW w:w="4876" w:type="dxa"/>
            <w:hideMark/>
          </w:tcPr>
          <w:p w:rsidR="00AF0131" w:rsidRPr="00DE6124" w:rsidRDefault="00B12D20" w:rsidP="00C33FBD">
            <w:pPr>
              <w:pStyle w:val="Normal6"/>
              <w:rPr>
                <w:szCs w:val="24"/>
              </w:rPr>
            </w:pPr>
            <w:r w:rsidRPr="00DE6124">
              <w:t>1.</w:t>
            </w:r>
            <w:r w:rsidRPr="00DE6124">
              <w:tab/>
              <w:t>W razie potrzeby, po do</w:t>
            </w:r>
            <w:r w:rsidRPr="00DE6124">
              <w:t>konaniu zgodnie z niniejszym rozporządzeniem oceny średniookresowych planów fiskalno-strukturalnych, rocznych sprawozdań z postępów oraz sytuacji społeczno-gospodarczej danych państw członkowskich, Rada kieruje zalecenia do tych państw członkowskich, na po</w:t>
            </w:r>
            <w:r w:rsidRPr="00DE6124">
              <w:t xml:space="preserve">dstawie zaleceń Komisji, wykorzystując w pełni </w:t>
            </w:r>
            <w:r w:rsidRPr="00DE6124">
              <w:rPr>
                <w:b/>
                <w:i/>
              </w:rPr>
              <w:t>Europejski filar praw socjalnych i</w:t>
            </w:r>
            <w:r w:rsidRPr="00DE6124">
              <w:t xml:space="preserve"> instrumenty prawne przewidziane w art. 121 i 148 TFUE oraz w powiązanym prawodawstwie wtórnym.</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15</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 xml:space="preserve">Wniosek dotyczący </w:t>
      </w:r>
      <w:r w:rsidRPr="00DE6124">
        <w:t>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Artykuł 4 – ustęp 3 – litera b a (nowa)</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tcPr>
          <w:p w:rsidR="00AF0131" w:rsidRPr="00DE6124" w:rsidRDefault="00AF0131" w:rsidP="00C33FBD">
            <w:pPr>
              <w:pStyle w:val="Normal6"/>
            </w:pPr>
          </w:p>
        </w:tc>
        <w:tc>
          <w:tcPr>
            <w:tcW w:w="4876" w:type="dxa"/>
            <w:hideMark/>
          </w:tcPr>
          <w:p w:rsidR="00AF0131" w:rsidRPr="00DE6124" w:rsidRDefault="00B12D20" w:rsidP="00C33FBD">
            <w:pPr>
              <w:pStyle w:val="Normal6"/>
              <w:rPr>
                <w:szCs w:val="24"/>
              </w:rPr>
            </w:pPr>
            <w:r w:rsidRPr="00DE6124">
              <w:rPr>
                <w:b/>
                <w:i/>
              </w:rPr>
              <w:t>ba)</w:t>
            </w:r>
            <w:r w:rsidRPr="00DE6124">
              <w:rPr>
                <w:b/>
                <w:i/>
              </w:rPr>
              <w:tab/>
              <w:t>otrzymania zalecenia od Rady na podstawie wniosku Komisji zgodnie z art. 148 ust. 4 TFUE lub odzwierciedlającego wyniki ra</w:t>
            </w:r>
            <w:r w:rsidRPr="00DE6124">
              <w:rPr>
                <w:b/>
                <w:i/>
              </w:rPr>
              <w:t>m konwergencji społecznej;</w:t>
            </w:r>
          </w:p>
        </w:tc>
      </w:tr>
    </w:tbl>
    <w:p w:rsidR="00AF0131" w:rsidRPr="00DE6124" w:rsidRDefault="00B12D20" w:rsidP="00AF0131">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rPr>
          <w:rStyle w:val="HideTWBExt"/>
          <w:b w:val="0"/>
        </w:rPr>
        <w:t>&lt;NumAm&gt;</w:t>
      </w:r>
      <w:r w:rsidRPr="00DE6124">
        <w:t>16</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Artykuł 7 – ustęp 1 – litera b</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b)</w:t>
            </w:r>
            <w:r w:rsidRPr="00DE6124">
              <w:tab/>
              <w:t xml:space="preserve">własną prognozę makroekonomiczną </w:t>
            </w:r>
            <w:r w:rsidRPr="00DE6124">
              <w:t>i założenia makroekonomiczne;</w:t>
            </w:r>
          </w:p>
        </w:tc>
        <w:tc>
          <w:tcPr>
            <w:tcW w:w="4876" w:type="dxa"/>
            <w:hideMark/>
          </w:tcPr>
          <w:p w:rsidR="00AF0131" w:rsidRPr="00DE6124" w:rsidRDefault="00B12D20" w:rsidP="00C33FBD">
            <w:pPr>
              <w:pStyle w:val="Normal6"/>
              <w:rPr>
                <w:szCs w:val="24"/>
              </w:rPr>
            </w:pPr>
            <w:r w:rsidRPr="00DE6124">
              <w:t>b)</w:t>
            </w:r>
            <w:r w:rsidRPr="00DE6124">
              <w:tab/>
              <w:t xml:space="preserve">własną prognozę makroekonomiczną i założenia makroekonomiczne; </w:t>
            </w:r>
            <w:r w:rsidRPr="00DE6124">
              <w:rPr>
                <w:b/>
                <w:i/>
              </w:rPr>
              <w:t>własną prognozę i założenia dotyczące ryzyka społecznego;</w:t>
            </w:r>
          </w:p>
        </w:tc>
      </w:tr>
    </w:tbl>
    <w:p w:rsidR="00AF0131" w:rsidRPr="00DE6124" w:rsidRDefault="00B12D20" w:rsidP="00AF0131">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17</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Artykuł 11 – ustęp 1 – akapit 2</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 xml:space="preserve">Krajowy średniookresowy plan fiskalno-strukturalny zawiera również opis działań danego państwa członkowskiego mających na celu uwzględnienie zaleceń dla </w:t>
            </w:r>
            <w:r w:rsidRPr="00DE6124">
              <w:t>poszczególnych krajów, w tym zaleceń istotnych dla procedury dotyczącej zakłóceń równowagi makroekonomicznej, oraz ewentualnych ostrzeżeń Komisji lub ewentualnych zaleceń Rady wydanych zgodnie z art. 121 ust. 4 TFUE.</w:t>
            </w:r>
          </w:p>
        </w:tc>
        <w:tc>
          <w:tcPr>
            <w:tcW w:w="4876" w:type="dxa"/>
            <w:hideMark/>
          </w:tcPr>
          <w:p w:rsidR="00AF0131" w:rsidRPr="00DE6124" w:rsidRDefault="00B12D20" w:rsidP="00C33FBD">
            <w:pPr>
              <w:pStyle w:val="Normal6"/>
              <w:rPr>
                <w:szCs w:val="24"/>
              </w:rPr>
            </w:pPr>
            <w:r w:rsidRPr="00DE6124">
              <w:t>Krajowy średniookresowy plan fiskalno-s</w:t>
            </w:r>
            <w:r w:rsidRPr="00DE6124">
              <w:t xml:space="preserve">trukturalny zawiera również opis działań danego państwa członkowskiego mających na celu uwzględnienie zaleceń dla poszczególnych krajów, w tym zaleceń istotnych dla procedury dotyczącej zakłóceń równowagi makroekonomicznej, </w:t>
            </w:r>
            <w:r w:rsidRPr="00DE6124">
              <w:rPr>
                <w:b/>
                <w:i/>
              </w:rPr>
              <w:t>a także wyzwań wskazanych w spra</w:t>
            </w:r>
            <w:r w:rsidRPr="00DE6124">
              <w:rPr>
                <w:b/>
                <w:i/>
              </w:rPr>
              <w:t>wozdaniach na temat konwergencji społecznej stwierdzonych na podstawie ram konwergencji społecznej,</w:t>
            </w:r>
            <w:r w:rsidRPr="00DE6124">
              <w:t xml:space="preserve"> oraz ewentualnych ostrzeżeń Komisji lub ewentualnych zaleceń Rady wydanych zgodnie z art. 121 ust. 4 TFUE</w:t>
            </w:r>
            <w:r w:rsidRPr="00DE6124">
              <w:rPr>
                <w:b/>
                <w:i/>
              </w:rPr>
              <w:t xml:space="preserve"> i art. 148 ust. 4 TFUE</w:t>
            </w:r>
            <w:r w:rsidRPr="00DE6124">
              <w:t>.</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18</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Artykuł 12 – akapit 1 – litera b</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b)</w:t>
            </w:r>
            <w:r w:rsidRPr="00DE6124">
              <w:tab/>
              <w:t>wyjaśnia, w jaki sposób przyczyni się do zapewnienia realizacji inwestycji i reform</w:t>
            </w:r>
            <w:r w:rsidRPr="00DE6124">
              <w:t xml:space="preserve"> odpowiadających na główne wyzwania zidentyfikowane w zaleceniach dla poszczególnych krajów w ramach europejskiego semestru, w stosownych przypadkach koryguje zakłócenia równowagi makroekonomicznej stwierdzone w ramach procedury dotyczącej zakłóceń równowa</w:t>
            </w:r>
            <w:r w:rsidRPr="00DE6124">
              <w:t>gi makroekonomicznej oraz uwzględnia wspólne priorytety Unii, o których mowa w załączniku VI do niniejszego rozporządzenia, w tym Europejski Zielony Ład, Europejski filar praw socjalnych i cyfrową dekadę, a jednocześnie jest spójny ze zaktualizowanymi kraj</w:t>
            </w:r>
            <w:r w:rsidRPr="00DE6124">
              <w:t>owymi planami w dziedzinie energii i klimatu oraz krajowymi planami działania dotyczącymi cyfrowej dekady;</w:t>
            </w:r>
          </w:p>
        </w:tc>
        <w:tc>
          <w:tcPr>
            <w:tcW w:w="4876" w:type="dxa"/>
            <w:hideMark/>
          </w:tcPr>
          <w:p w:rsidR="00AF0131" w:rsidRPr="00DE6124" w:rsidRDefault="00B12D20" w:rsidP="00C33FBD">
            <w:pPr>
              <w:pStyle w:val="Normal6"/>
              <w:rPr>
                <w:szCs w:val="24"/>
              </w:rPr>
            </w:pPr>
            <w:r w:rsidRPr="00DE6124">
              <w:t>b)</w:t>
            </w:r>
            <w:r w:rsidRPr="00DE6124">
              <w:tab/>
            </w:r>
            <w:r w:rsidRPr="00DE6124">
              <w:rPr>
                <w:b/>
                <w:i/>
              </w:rPr>
              <w:t>analizuje krajowe luki w inwestycjach publicznych w celu osiągnięcia wspólnych priorytetów; na tej podstawie zapewnia, aby planowana korekta budże</w:t>
            </w:r>
            <w:r w:rsidRPr="00DE6124">
              <w:rPr>
                <w:b/>
                <w:i/>
              </w:rPr>
              <w:t xml:space="preserve">towa umożliwiała inwestycje społeczne niezbędne do wdrożenia zasad Europejskiego filaru praw socjalnych; </w:t>
            </w:r>
            <w:r w:rsidRPr="00DE6124">
              <w:rPr>
                <w:b/>
                <w:bCs/>
                <w:i/>
                <w:iCs/>
              </w:rPr>
              <w:t>ponadto</w:t>
            </w:r>
            <w:r w:rsidRPr="00DE6124">
              <w:t xml:space="preserve"> wyjaśnia, w jaki sposób przyczyni się do zapewnienia realizacji inwestycji i reform odpowiadających na główne wyzwania zidentyfikowane w zalece</w:t>
            </w:r>
            <w:r w:rsidRPr="00DE6124">
              <w:t>niach dla poszczególnych krajów w ramach europejskiego semestru, w stosownych przypadkach koryguje zakłócenia równowagi makroekonomicznej stwierdzone w ramach procedury dotyczącej zakłóceń równowagi makroekonomicznej</w:t>
            </w:r>
            <w:r w:rsidRPr="00DE6124">
              <w:rPr>
                <w:b/>
                <w:i/>
              </w:rPr>
              <w:t>, w stosownych przypadkach koryguje stwi</w:t>
            </w:r>
            <w:r w:rsidRPr="00DE6124">
              <w:rPr>
                <w:b/>
                <w:i/>
              </w:rPr>
              <w:t>erdzone w ramach konwergencji społecznej zagrożenia dla konwergencji społecznej</w:t>
            </w:r>
            <w:r w:rsidRPr="00DE6124">
              <w:t xml:space="preserve"> </w:t>
            </w:r>
            <w:r w:rsidRPr="00DE6124">
              <w:lastRenderedPageBreak/>
              <w:t>oraz uwzględnia wspólne priorytety Unii, o których mowa w załączniku VI do niniejszego rozporządzenia, w tym Europejski Zielony Ład, Europejski filar praw socjalnych</w:t>
            </w:r>
            <w:r w:rsidRPr="00DE6124">
              <w:rPr>
                <w:b/>
                <w:i/>
              </w:rPr>
              <w:t>, łącznie z</w:t>
            </w:r>
            <w:r w:rsidRPr="00DE6124">
              <w:rPr>
                <w:b/>
                <w:i/>
              </w:rPr>
              <w:t xml:space="preserve"> powiązanymi celami dotyczącymi zatrudnienia, szkoleń i ograniczania ubóstwa do 2030 r.,</w:t>
            </w:r>
            <w:r w:rsidRPr="00DE6124">
              <w:t xml:space="preserve"> i cyfrową dekadę, a jednocześnie jest spójny ze zaktualizowanymi krajowymi planami w dziedzinie energii i klimatu oraz krajowymi planami działania dotyczącymi cyfrowej</w:t>
            </w:r>
            <w:r w:rsidRPr="00DE6124">
              <w:t xml:space="preserve"> dekady;</w:t>
            </w:r>
            <w:r w:rsidRPr="00DE6124">
              <w:rPr>
                <w:b/>
                <w:i/>
              </w:rPr>
              <w:t xml:space="preserve"> poza tym wyjaśnia, w jaki sposób przyczyni się do wdrożenia ogólnych wytycznych polityki gospodarczej państw członkowskich oraz wytycznych dotyczących zatrudnienia zgodnie z art. 121 ust. 2 i art. 148 ust. 2 TFUE;</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lastRenderedPageBreak/>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19</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Artykuł 12 – akapit 1 – litera d a (nowa)</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tcPr>
          <w:p w:rsidR="00AF0131" w:rsidRPr="00DE6124" w:rsidRDefault="00AF0131" w:rsidP="00C33FBD">
            <w:pPr>
              <w:pStyle w:val="Normal6"/>
            </w:pPr>
          </w:p>
        </w:tc>
        <w:tc>
          <w:tcPr>
            <w:tcW w:w="4876" w:type="dxa"/>
            <w:hideMark/>
          </w:tcPr>
          <w:p w:rsidR="00AF0131" w:rsidRPr="00DE6124" w:rsidRDefault="00B12D20" w:rsidP="00C33FBD">
            <w:pPr>
              <w:pStyle w:val="Normal6"/>
              <w:rPr>
                <w:szCs w:val="24"/>
              </w:rPr>
            </w:pPr>
            <w:r w:rsidRPr="00DE6124">
              <w:rPr>
                <w:b/>
                <w:i/>
              </w:rPr>
              <w:t>da)</w:t>
            </w:r>
            <w:r w:rsidRPr="00DE6124">
              <w:rPr>
                <w:b/>
                <w:i/>
              </w:rPr>
              <w:tab/>
              <w:t xml:space="preserve">wyjaśnia proces konsultacji, przeprowadzonych zgodnie z krajowymi </w:t>
            </w:r>
            <w:r w:rsidRPr="00DE6124">
              <w:rPr>
                <w:b/>
                <w:i/>
              </w:rPr>
              <w:t>uregulowaniami, z władzami lokalnymi i regionalnymi, partnerami społecznymi, organizacjami społeczeństwa obywatelskiego i innymi odpowiednimi zainteresowanymi stronami, jak również sposób odzwierciedlenia w planie i w procesie wdrażania wkładu zainteresowa</w:t>
            </w:r>
            <w:r w:rsidRPr="00DE6124">
              <w:rPr>
                <w:b/>
                <w:i/>
              </w:rPr>
              <w:t>nych stron; oraz</w:t>
            </w:r>
          </w:p>
        </w:tc>
      </w:tr>
    </w:tbl>
    <w:p w:rsidR="00AF0131" w:rsidRPr="00DE6124" w:rsidRDefault="00B12D20" w:rsidP="00AF0131">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20</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Artykuł 13 – ustęp 2 – akapit 2 – podpunkt i v</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(iv)</w:t>
            </w:r>
            <w:r w:rsidRPr="00DE6124">
              <w:tab/>
              <w:t xml:space="preserve">uwzględnianie </w:t>
            </w:r>
            <w:r w:rsidRPr="00DE6124">
              <w:t xml:space="preserve">odpowiednich zaleceń dla poszczególnych krajów </w:t>
            </w:r>
            <w:r w:rsidRPr="00DE6124">
              <w:lastRenderedPageBreak/>
              <w:t>skierowanych do danego państwa członkowskiego, w tym, w stosownych przypadkach, zaleceń wydanych w ramach procedury dotyczącej zakłóceń równowagi makroekonomicznej;</w:t>
            </w:r>
          </w:p>
        </w:tc>
        <w:tc>
          <w:tcPr>
            <w:tcW w:w="4876" w:type="dxa"/>
            <w:hideMark/>
          </w:tcPr>
          <w:p w:rsidR="00AF0131" w:rsidRPr="00DE6124" w:rsidRDefault="00B12D20" w:rsidP="00C33FBD">
            <w:pPr>
              <w:pStyle w:val="Normal6"/>
              <w:rPr>
                <w:szCs w:val="24"/>
              </w:rPr>
            </w:pPr>
            <w:r w:rsidRPr="00DE6124">
              <w:lastRenderedPageBreak/>
              <w:t>(iv)</w:t>
            </w:r>
            <w:r w:rsidRPr="00DE6124">
              <w:tab/>
              <w:t xml:space="preserve">uwzględnianie odpowiednich zaleceń dla </w:t>
            </w:r>
            <w:r w:rsidRPr="00DE6124">
              <w:t xml:space="preserve">poszczególnych krajów </w:t>
            </w:r>
            <w:r w:rsidRPr="00DE6124">
              <w:lastRenderedPageBreak/>
              <w:t>skierowanych do danego państwa członkowskiego</w:t>
            </w:r>
            <w:r w:rsidRPr="00DE6124">
              <w:rPr>
                <w:b/>
                <w:i/>
              </w:rPr>
              <w:t xml:space="preserve"> na podstawie art. 121 ust. 4 i art. 148 ust. 4 TFUE</w:t>
            </w:r>
            <w:r w:rsidRPr="00DE6124">
              <w:t>, w tym, w stosownych przypadkach, zaleceń wydanych w ramach procedury dotyczącej zakłóceń równowagi makroekonomicznej</w:t>
            </w:r>
            <w:r w:rsidRPr="00DE6124">
              <w:rPr>
                <w:b/>
                <w:i/>
              </w:rPr>
              <w:t xml:space="preserve"> oraz na podstawie </w:t>
            </w:r>
            <w:r w:rsidRPr="00DE6124">
              <w:rPr>
                <w:b/>
                <w:i/>
              </w:rPr>
              <w:t>ram konwergencji społecznej</w:t>
            </w:r>
            <w:r w:rsidRPr="00DE6124">
              <w:t>;</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lastRenderedPageBreak/>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21</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Artykuł 16 – akapit 1</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Rada, na zalecenie Komisji, przyjmuje zalecenie wyznaczające ścieżkę wydatków netto danego państwa członkowskiego oraz, w stosownych przypadkach, zatwierdzające zobowiązania dotyczące pakietu reform i inwestycji, które stanowią podstawę przedłużenia okresu</w:t>
            </w:r>
            <w:r w:rsidRPr="00DE6124">
              <w:t xml:space="preserve"> dostosowania przewidzianego w krajowym średniookresowym planie fiskalno-strukturalnym, co do zasady </w:t>
            </w:r>
            <w:r w:rsidRPr="00DE6124">
              <w:rPr>
                <w:b/>
                <w:i/>
              </w:rPr>
              <w:t>w terminie czterech</w:t>
            </w:r>
            <w:r w:rsidRPr="00DE6124">
              <w:t xml:space="preserve"> tygodni od przyjęcia zalecenia Komisji.</w:t>
            </w:r>
          </w:p>
        </w:tc>
        <w:tc>
          <w:tcPr>
            <w:tcW w:w="4876" w:type="dxa"/>
            <w:hideMark/>
          </w:tcPr>
          <w:p w:rsidR="00AF0131" w:rsidRPr="00DE6124" w:rsidRDefault="00B12D20" w:rsidP="00C33FBD">
            <w:pPr>
              <w:pStyle w:val="Normal6"/>
              <w:rPr>
                <w:szCs w:val="24"/>
              </w:rPr>
            </w:pPr>
            <w:r w:rsidRPr="00DE6124">
              <w:t xml:space="preserve">Rada, na zalecenie Komisji </w:t>
            </w:r>
            <w:r w:rsidRPr="00DE6124">
              <w:rPr>
                <w:b/>
                <w:i/>
              </w:rPr>
              <w:t xml:space="preserve">i po konsultacji z odpowiednimi komitetami doradczymi wskazanymi </w:t>
            </w:r>
            <w:r w:rsidRPr="00DE6124">
              <w:rPr>
                <w:b/>
                <w:i/>
              </w:rPr>
              <w:t>zgodnie z art. 26</w:t>
            </w:r>
            <w:r w:rsidRPr="00DE6124">
              <w:t>, przyjmuje zalecenie wyznaczające ścieżkę wydatków netto danego państwa członkowskiego oraz, w stosownych przypadkach, zatwierdzające zobowiązania dotyczące pakietu reform i inwestycji, które stanowią podstawę przedłużenia okresu dostosow</w:t>
            </w:r>
            <w:r w:rsidRPr="00DE6124">
              <w:t xml:space="preserve">ania przewidzianego w krajowym średniookresowym planie fiskalno-strukturalnym, co do zasady </w:t>
            </w:r>
            <w:r w:rsidRPr="00DE6124">
              <w:rPr>
                <w:b/>
                <w:i/>
              </w:rPr>
              <w:t>od sześciu do dziesięciu</w:t>
            </w:r>
            <w:r w:rsidRPr="00DE6124">
              <w:t xml:space="preserve"> tygodni od przyjęcia zalecenia Komisji.</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22</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Artykuł 17 – akapit 1</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 xml:space="preserve">Jeżeli Rada uzna, że plan nie spełnia wymogów określonych w art. 15 ust. 2 i art. 15 ust. 3 lit. a), zaleca danemu państwu członkowskiemu, w oparciu o zalecenie Komisji, </w:t>
            </w:r>
            <w:r w:rsidRPr="00DE6124">
              <w:t>przedłożenie zmienionego krajowego średniookresowego planu fiskalno-</w:t>
            </w:r>
            <w:r w:rsidRPr="00DE6124">
              <w:lastRenderedPageBreak/>
              <w:t>strukturalnego.</w:t>
            </w:r>
          </w:p>
        </w:tc>
        <w:tc>
          <w:tcPr>
            <w:tcW w:w="4876" w:type="dxa"/>
            <w:hideMark/>
          </w:tcPr>
          <w:p w:rsidR="00AF0131" w:rsidRPr="00DE6124" w:rsidRDefault="00B12D20" w:rsidP="00C33FBD">
            <w:pPr>
              <w:pStyle w:val="Normal6"/>
              <w:rPr>
                <w:szCs w:val="24"/>
              </w:rPr>
            </w:pPr>
            <w:r w:rsidRPr="00DE6124">
              <w:lastRenderedPageBreak/>
              <w:t>Jeżeli Rada uzna, że plan nie spełnia wymogów określonych w art. 15 ust. 2 i art. 15 ust. 3 lit. a)</w:t>
            </w:r>
            <w:r w:rsidRPr="00DE6124">
              <w:rPr>
                <w:b/>
                <w:i/>
              </w:rPr>
              <w:t xml:space="preserve"> i b)</w:t>
            </w:r>
            <w:r w:rsidRPr="00DE6124">
              <w:t>, zaleca danemu państwu członkowskiemu, w oparciu o zalecenie Komisj</w:t>
            </w:r>
            <w:r w:rsidRPr="00DE6124">
              <w:t xml:space="preserve">i </w:t>
            </w:r>
            <w:r w:rsidRPr="00DE6124">
              <w:rPr>
                <w:b/>
                <w:i/>
              </w:rPr>
              <w:t>i po konsultacji z odpowiednimi komitetami doradczymi wskazanymi zgodnie z art. 26</w:t>
            </w:r>
            <w:r w:rsidRPr="00DE6124">
              <w:t xml:space="preserve">, przedłożenie zmienionego krajowego </w:t>
            </w:r>
            <w:r w:rsidRPr="00DE6124">
              <w:lastRenderedPageBreak/>
              <w:t>średniookresowego planu fiskalno-strukturalnego.</w:t>
            </w:r>
          </w:p>
        </w:tc>
      </w:tr>
    </w:tbl>
    <w:p w:rsidR="00AF0131" w:rsidRPr="00DE6124" w:rsidRDefault="00B12D20" w:rsidP="00AF0131">
      <w:r w:rsidRPr="00DE6124">
        <w:rPr>
          <w:rStyle w:val="HideTWBExt"/>
        </w:rPr>
        <w:lastRenderedPageBreak/>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23</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 xml:space="preserve">Wniosek dotyczący </w:t>
      </w:r>
      <w:r w:rsidRPr="00DE6124">
        <w:t>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Artykuł 20 – ustęp 2</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2.</w:t>
            </w:r>
            <w:r w:rsidRPr="00DE6124">
              <w:tab/>
              <w:t xml:space="preserve">Roczne sprawozdanie z postępów, o którym mowa w ust. 1, zawiera w szczególności informacje na temat postępów w realizacji ścieżki wydatków </w:t>
            </w:r>
            <w:r w:rsidRPr="00DE6124">
              <w:t>netto, wykonania zobowiązań dotyczących szerzej zakrojonych reform i inwestycji w kontekście europejskiego semestru oraz, w stosownych przypadkach, postępów w spełnianiu zobowiązań dotyczących pakietu reform i inwestycji, które stanowią podstawę przedłużen</w:t>
            </w:r>
            <w:r w:rsidRPr="00DE6124">
              <w:t>ia okresu dostosowania.</w:t>
            </w:r>
          </w:p>
        </w:tc>
        <w:tc>
          <w:tcPr>
            <w:tcW w:w="4876" w:type="dxa"/>
            <w:hideMark/>
          </w:tcPr>
          <w:p w:rsidR="00AF0131" w:rsidRPr="00DE6124" w:rsidRDefault="00B12D20" w:rsidP="00C33FBD">
            <w:pPr>
              <w:pStyle w:val="Normal6"/>
              <w:rPr>
                <w:szCs w:val="24"/>
              </w:rPr>
            </w:pPr>
            <w:r w:rsidRPr="00DE6124">
              <w:t>2.</w:t>
            </w:r>
            <w:r w:rsidRPr="00DE6124">
              <w:tab/>
              <w:t>Roczne sprawozdanie z postępów, o którym mowa w ust. 1, zawiera w szczególności informacje na temat postępów w realizacji ścieżki wydatków netto, wykonania zobowiązań dotyczących szerzej zakrojonych reform i inwestycji w kontekśc</w:t>
            </w:r>
            <w:r w:rsidRPr="00DE6124">
              <w:t>ie europejskiego semestru</w:t>
            </w:r>
            <w:r w:rsidRPr="00DE6124">
              <w:rPr>
                <w:b/>
                <w:i/>
              </w:rPr>
              <w:t>, w tym postępów w realizacji unijnych i krajowych celów dotyczących zatrudnienia, szkoleń i ograniczania ubóstwa do 2030 r., a także wspólnych priorytetów Unii, o których mowa w załączniku VI,</w:t>
            </w:r>
            <w:r w:rsidRPr="00DE6124">
              <w:t xml:space="preserve"> oraz, w stosownych przypadkach, postę</w:t>
            </w:r>
            <w:r w:rsidRPr="00DE6124">
              <w:t>pów w spełnianiu zobowiązań dotyczących pakietu reform i inwestycji, które stanowią podstawę przedłużenia okresu dostosowania.</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24</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 xml:space="preserve">Artykuł 22 – akapit </w:t>
      </w:r>
      <w:r w:rsidRPr="00DE6124">
        <w:t>1</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Każda krajowa niezależna instytucja fiskalna, o której mowa w art. 8 dyrektywy Rady [...]</w:t>
            </w:r>
            <w:r w:rsidRPr="00DE6124">
              <w:rPr>
                <w:vertAlign w:val="superscript"/>
              </w:rPr>
              <w:t>32</w:t>
            </w:r>
            <w:r w:rsidRPr="00DE6124">
              <w:t xml:space="preserve"> [w sprawie krajowych ram budżetowych], przedstawia ocenę zgodności danych dotyczących wyników budżetu przedstawionych w sprawozdaniu z postępów, o którym mowa w art. 20, ze ścieżką wydatków netto. W stosownych przypadkach każda krajowa niezależna instytuc</w:t>
            </w:r>
            <w:r w:rsidRPr="00DE6124">
              <w:t xml:space="preserve">ja fiskalna analizuje również czynniki leżące u podstaw odchylenia od </w:t>
            </w:r>
            <w:r w:rsidRPr="00DE6124">
              <w:lastRenderedPageBreak/>
              <w:t>ścieżki wydatków netto.</w:t>
            </w:r>
          </w:p>
        </w:tc>
        <w:tc>
          <w:tcPr>
            <w:tcW w:w="4876" w:type="dxa"/>
            <w:hideMark/>
          </w:tcPr>
          <w:p w:rsidR="00AF0131" w:rsidRPr="00DE6124" w:rsidRDefault="00B12D20" w:rsidP="00C33FBD">
            <w:pPr>
              <w:pStyle w:val="Normal6"/>
              <w:rPr>
                <w:szCs w:val="24"/>
              </w:rPr>
            </w:pPr>
            <w:r w:rsidRPr="00DE6124">
              <w:lastRenderedPageBreak/>
              <w:t>Każda krajowa niezależna instytucja fiskalna, o której mowa w art. 8 dyrektywy Rady [...]</w:t>
            </w:r>
            <w:r w:rsidRPr="00DE6124">
              <w:rPr>
                <w:vertAlign w:val="superscript"/>
              </w:rPr>
              <w:t>32</w:t>
            </w:r>
            <w:r w:rsidRPr="00DE6124">
              <w:t xml:space="preserve"> [w sprawie krajowych ram budżetowych]</w:t>
            </w:r>
            <w:r w:rsidRPr="00DE6124">
              <w:rPr>
                <w:b/>
                <w:i/>
              </w:rPr>
              <w:t>:</w:t>
            </w:r>
          </w:p>
        </w:tc>
      </w:tr>
      <w:tr w:rsidR="00AA0139" w:rsidRPr="00DE6124" w:rsidTr="00C33FBD">
        <w:trPr>
          <w:jc w:val="center"/>
        </w:trPr>
        <w:tc>
          <w:tcPr>
            <w:tcW w:w="4876" w:type="dxa"/>
          </w:tcPr>
          <w:p w:rsidR="00AF0131" w:rsidRPr="00DE6124" w:rsidRDefault="00AF0131" w:rsidP="00C33FBD">
            <w:pPr>
              <w:pStyle w:val="Normal6"/>
            </w:pPr>
          </w:p>
        </w:tc>
        <w:tc>
          <w:tcPr>
            <w:tcW w:w="4876" w:type="dxa"/>
            <w:hideMark/>
          </w:tcPr>
          <w:p w:rsidR="00AF0131" w:rsidRPr="00DE6124" w:rsidRDefault="00B12D20" w:rsidP="00C33FBD">
            <w:pPr>
              <w:pStyle w:val="Normal6"/>
              <w:rPr>
                <w:szCs w:val="24"/>
              </w:rPr>
            </w:pPr>
            <w:r w:rsidRPr="00DE6124">
              <w:rPr>
                <w:b/>
                <w:i/>
              </w:rPr>
              <w:t>a)</w:t>
            </w:r>
            <w:r w:rsidRPr="00DE6124">
              <w:t xml:space="preserve"> </w:t>
            </w:r>
            <w:r w:rsidRPr="00DE6124">
              <w:tab/>
              <w:t>przedstawia ocenę zgodnoś</w:t>
            </w:r>
            <w:r w:rsidRPr="00DE6124">
              <w:t>ci danych dotyczących wyników budżetu przedstawionych w sprawozdaniu z postępów, o którym mowa w art. 20, ze ścieżką wydatków netto</w:t>
            </w:r>
            <w:r w:rsidRPr="00DE6124">
              <w:rPr>
                <w:b/>
                <w:i/>
              </w:rPr>
              <w:t>;</w:t>
            </w:r>
          </w:p>
        </w:tc>
      </w:tr>
      <w:tr w:rsidR="00AA0139" w:rsidRPr="00DE6124" w:rsidTr="00C33FBD">
        <w:trPr>
          <w:jc w:val="center"/>
        </w:trPr>
        <w:tc>
          <w:tcPr>
            <w:tcW w:w="4876" w:type="dxa"/>
          </w:tcPr>
          <w:p w:rsidR="00AF0131" w:rsidRPr="00DE6124" w:rsidRDefault="00AF0131" w:rsidP="00C33FBD">
            <w:pPr>
              <w:pStyle w:val="Normal6"/>
            </w:pPr>
          </w:p>
        </w:tc>
        <w:tc>
          <w:tcPr>
            <w:tcW w:w="4876" w:type="dxa"/>
            <w:hideMark/>
          </w:tcPr>
          <w:p w:rsidR="00AF0131" w:rsidRPr="00DE6124" w:rsidRDefault="00B12D20" w:rsidP="00C33FBD">
            <w:pPr>
              <w:pStyle w:val="Normal6"/>
              <w:rPr>
                <w:szCs w:val="24"/>
              </w:rPr>
            </w:pPr>
            <w:r w:rsidRPr="00DE6124">
              <w:rPr>
                <w:b/>
                <w:i/>
              </w:rPr>
              <w:t>b)</w:t>
            </w:r>
            <w:r w:rsidRPr="00DE6124">
              <w:t xml:space="preserve"> </w:t>
            </w:r>
            <w:r w:rsidRPr="00DE6124">
              <w:tab/>
              <w:t xml:space="preserve">w stosownych przypadkach każda krajowa niezależna instytucja fiskalna analizuje również czynniki leżące u podstaw </w:t>
            </w:r>
            <w:r w:rsidRPr="00DE6124">
              <w:t>odchylenia od ścieżki wydatków netto</w:t>
            </w:r>
            <w:r w:rsidRPr="00DE6124">
              <w:rPr>
                <w:b/>
                <w:i/>
              </w:rPr>
              <w:t>;</w:t>
            </w:r>
          </w:p>
        </w:tc>
      </w:tr>
      <w:tr w:rsidR="00AA0139" w:rsidRPr="00DE6124" w:rsidTr="00C33FBD">
        <w:trPr>
          <w:jc w:val="center"/>
        </w:trPr>
        <w:tc>
          <w:tcPr>
            <w:tcW w:w="4876" w:type="dxa"/>
          </w:tcPr>
          <w:p w:rsidR="00AF0131" w:rsidRPr="00DE6124" w:rsidRDefault="00AF0131" w:rsidP="00C33FBD">
            <w:pPr>
              <w:pStyle w:val="Normal6"/>
            </w:pPr>
          </w:p>
        </w:tc>
        <w:tc>
          <w:tcPr>
            <w:tcW w:w="4876" w:type="dxa"/>
            <w:hideMark/>
          </w:tcPr>
          <w:p w:rsidR="00AF0131" w:rsidRPr="00DE6124" w:rsidRDefault="00B12D20" w:rsidP="00C33FBD">
            <w:pPr>
              <w:pStyle w:val="Normal6"/>
              <w:rPr>
                <w:szCs w:val="24"/>
              </w:rPr>
            </w:pPr>
            <w:r w:rsidRPr="00DE6124">
              <w:rPr>
                <w:b/>
                <w:i/>
              </w:rPr>
              <w:t xml:space="preserve">c) </w:t>
            </w:r>
            <w:r w:rsidRPr="00DE6124">
              <w:tab/>
            </w:r>
            <w:r w:rsidRPr="00DE6124">
              <w:rPr>
                <w:b/>
                <w:i/>
              </w:rPr>
              <w:t>przedstawia ocenę społecznych skutków decyzji związanych z polityką dostosowania fiskalnego</w:t>
            </w:r>
            <w:r w:rsidRPr="00DE6124">
              <w:t>.</w:t>
            </w:r>
          </w:p>
        </w:tc>
      </w:tr>
      <w:tr w:rsidR="00AA0139" w:rsidRPr="00DE6124" w:rsidTr="00C33FBD">
        <w:trPr>
          <w:jc w:val="center"/>
        </w:trPr>
        <w:tc>
          <w:tcPr>
            <w:tcW w:w="4876" w:type="dxa"/>
            <w:hideMark/>
          </w:tcPr>
          <w:p w:rsidR="00AF0131" w:rsidRPr="00DE6124" w:rsidRDefault="00B12D20" w:rsidP="00C33FBD">
            <w:pPr>
              <w:pStyle w:val="Normal6"/>
            </w:pPr>
            <w:r w:rsidRPr="00DE6124">
              <w:t>__________________</w:t>
            </w:r>
          </w:p>
        </w:tc>
        <w:tc>
          <w:tcPr>
            <w:tcW w:w="4876" w:type="dxa"/>
            <w:hideMark/>
          </w:tcPr>
          <w:p w:rsidR="00AF0131" w:rsidRPr="00DE6124" w:rsidRDefault="00B12D20" w:rsidP="00C33FBD">
            <w:pPr>
              <w:pStyle w:val="Normal6"/>
              <w:rPr>
                <w:szCs w:val="24"/>
              </w:rPr>
            </w:pPr>
            <w:r w:rsidRPr="00DE6124">
              <w:t>__________________</w:t>
            </w:r>
          </w:p>
        </w:tc>
      </w:tr>
      <w:tr w:rsidR="00AA0139" w:rsidRPr="00DE6124" w:rsidTr="00C33FBD">
        <w:trPr>
          <w:jc w:val="center"/>
        </w:trPr>
        <w:tc>
          <w:tcPr>
            <w:tcW w:w="4876" w:type="dxa"/>
            <w:hideMark/>
          </w:tcPr>
          <w:p w:rsidR="00AF0131" w:rsidRPr="00DE6124" w:rsidRDefault="00B12D20" w:rsidP="00C33FBD">
            <w:pPr>
              <w:pStyle w:val="Normal6"/>
            </w:pPr>
            <w:r w:rsidRPr="00DE6124">
              <w:rPr>
                <w:vertAlign w:val="superscript"/>
              </w:rPr>
              <w:t>32</w:t>
            </w:r>
            <w:r w:rsidRPr="00DE6124">
              <w:t xml:space="preserve"> Dyrektywa Rady […] z dnia […] [zmieniająca dyrektywę Rady 2011/85/UE w sprawie wymogów dla ram budżetowych państw członkowskich] (Dz.U. … z …, s….).</w:t>
            </w:r>
          </w:p>
        </w:tc>
        <w:tc>
          <w:tcPr>
            <w:tcW w:w="4876" w:type="dxa"/>
            <w:hideMark/>
          </w:tcPr>
          <w:p w:rsidR="00AF0131" w:rsidRPr="00DE6124" w:rsidRDefault="00B12D20" w:rsidP="00C33FBD">
            <w:pPr>
              <w:pStyle w:val="Normal6"/>
              <w:rPr>
                <w:szCs w:val="24"/>
              </w:rPr>
            </w:pPr>
            <w:r w:rsidRPr="00DE6124">
              <w:rPr>
                <w:vertAlign w:val="superscript"/>
              </w:rPr>
              <w:t>32</w:t>
            </w:r>
            <w:r w:rsidRPr="00DE6124">
              <w:t xml:space="preserve"> Dyrektywa Rady […] z dnia […] [zmieniająca dyrektywę Rady 2011/85/UE w sprawie wymogów dla ram budżetow</w:t>
            </w:r>
            <w:r w:rsidRPr="00DE6124">
              <w:t>ych państw członkowskich] (Dz.U. … z …, s….).</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25</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Artykuł 26 – akapit 1</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Parlament Europejski jest</w:t>
            </w:r>
            <w:r w:rsidRPr="00DE6124">
              <w:t xml:space="preserve"> należycie włączony w europejski semestr, w szczególności w drodze dialogu gospodarczego, w celu zwiększenia przejrzystości podejmowania decyzji, odpowiedzialności za te decyzje i ich rozliczalności. W razie potrzeby w ramach europejskiego semestru przepro</w:t>
            </w:r>
            <w:r w:rsidRPr="00DE6124">
              <w:t>wadzane są konsultacje z Komitetem Ekonomiczno-Finansowym, Komitetem Polityki Gospodarczej, Komitetem ds. Zatrudnienia i Komitetem Ochrony Socjalnej. W stosownych przypadkach w europejski semestr włączane są również zainteresowane podmioty, zwłaszcza partn</w:t>
            </w:r>
            <w:r w:rsidRPr="00DE6124">
              <w:t xml:space="preserve">erzy społeczni, w odniesieniu do głównych spraw politycznych, zgodnie </w:t>
            </w:r>
            <w:r w:rsidRPr="00DE6124">
              <w:lastRenderedPageBreak/>
              <w:t>z postanowieniami TFUE oraz krajowymi systemami prawnym i politycznymi.</w:t>
            </w:r>
          </w:p>
        </w:tc>
        <w:tc>
          <w:tcPr>
            <w:tcW w:w="4876" w:type="dxa"/>
            <w:hideMark/>
          </w:tcPr>
          <w:p w:rsidR="00AF0131" w:rsidRPr="00DE6124" w:rsidRDefault="00B12D20" w:rsidP="00C33FBD">
            <w:pPr>
              <w:pStyle w:val="Normal6"/>
              <w:rPr>
                <w:szCs w:val="24"/>
              </w:rPr>
            </w:pPr>
            <w:r w:rsidRPr="00DE6124">
              <w:lastRenderedPageBreak/>
              <w:t xml:space="preserve">Parlament Europejski jest należycie włączony w europejski semestr, w szczególności w drodze dialogu gospodarczego </w:t>
            </w:r>
            <w:r w:rsidRPr="00DE6124">
              <w:rPr>
                <w:b/>
                <w:i/>
              </w:rPr>
              <w:t>i dialogu na temat zatrudnienia</w:t>
            </w:r>
            <w:r w:rsidRPr="00DE6124">
              <w:t>, w celu zwiększenia przejrzystości podejmowania decyzji, odpowiedzialności za te decyzje i ich rozliczalności</w:t>
            </w:r>
            <w:r w:rsidRPr="00DE6124">
              <w:rPr>
                <w:b/>
                <w:i/>
              </w:rPr>
              <w:t>, a także przejrzystości ustalania priorytetów makroekonomicznych i priorytetów polityki społecznej, odpowiedzialno</w:t>
            </w:r>
            <w:r w:rsidRPr="00DE6124">
              <w:rPr>
                <w:b/>
                <w:i/>
              </w:rPr>
              <w:t>ści za nie i ich rozliczalności</w:t>
            </w:r>
            <w:r w:rsidRPr="00DE6124">
              <w:t xml:space="preserve">. W razie potrzeby w ramach europejskiego semestru przeprowadzane są konsultacje z Komitetem Ekonomiczno-Finansowym, Komitetem Polityki Gospodarczej, Komitetem ds. Zatrudnienia i Komitetem </w:t>
            </w:r>
            <w:r w:rsidRPr="00DE6124">
              <w:lastRenderedPageBreak/>
              <w:t xml:space="preserve">Ochrony Socjalnej. </w:t>
            </w:r>
            <w:r w:rsidRPr="00DE6124">
              <w:rPr>
                <w:b/>
                <w:i/>
              </w:rPr>
              <w:t>W toku europejski</w:t>
            </w:r>
            <w:r w:rsidRPr="00DE6124">
              <w:rPr>
                <w:b/>
                <w:i/>
              </w:rPr>
              <w:t>ego semestru zasięga się również w stosownych przypadkach opinii Europejskiego Komitetu Ekonomiczno-Społecznego i Komitetu Regionów.</w:t>
            </w:r>
            <w:r w:rsidRPr="00DE6124">
              <w:t xml:space="preserve"> W stosownych przypadkach w europejski semestr włączane są również zainteresowane podmioty, zwłaszcza partnerzy społeczni i </w:t>
            </w:r>
            <w:r w:rsidRPr="00DE6124">
              <w:t>organizacje społeczeństwa obywatelskiego, w odniesieniu do głównych spraw politycznych, zgodnie z postanowieniami TFUE oraz krajowymi systemami prawnym i politycznymi.</w:t>
            </w:r>
          </w:p>
        </w:tc>
      </w:tr>
    </w:tbl>
    <w:p w:rsidR="00AF0131" w:rsidRPr="00DE6124" w:rsidRDefault="00B12D20" w:rsidP="00C56375">
      <w:pPr>
        <w:rPr>
          <w:rFonts w:eastAsiaTheme="majorEastAsia"/>
        </w:rPr>
      </w:pPr>
      <w:r w:rsidRPr="00DE6124">
        <w:rPr>
          <w:rStyle w:val="HideTWBExt"/>
        </w:rPr>
        <w:lastRenderedPageBreak/>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26</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Artykuł 26 – akapit 2</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W celu zacieśnienia dialogu między instytucjami Unii, w szczególności Parlamentem Europejskim, Radą i Komisją, oraz zapewnienia przejrzystości i rozliczalności</w:t>
            </w:r>
            <w:r w:rsidRPr="00DE6124">
              <w:t xml:space="preserve"> Parlament Europejski może zaprosić przewodniczącego Rady, Komisji, a w razie potrzeby również przewodniczącego Rady Europejskiej lub przewodniczącego Eurogrupy do stawienia się przed Parlamentem Europejskim w celu omówienia wytycznych politycznych dla pań</w:t>
            </w:r>
            <w:r w:rsidRPr="00DE6124">
              <w:t>stw członkowskich wydanych przez Komisję, konkluzji Rady Europejskiej oraz rezultatów wielostronnego nadzoru prowadzonego na podstawie niniejszego rozporządzenia.</w:t>
            </w:r>
          </w:p>
        </w:tc>
        <w:tc>
          <w:tcPr>
            <w:tcW w:w="4876" w:type="dxa"/>
            <w:hideMark/>
          </w:tcPr>
          <w:p w:rsidR="00AF0131" w:rsidRPr="00DE6124" w:rsidRDefault="00B12D20" w:rsidP="00C33FBD">
            <w:pPr>
              <w:pStyle w:val="Normal6"/>
              <w:rPr>
                <w:szCs w:val="24"/>
              </w:rPr>
            </w:pPr>
            <w:r w:rsidRPr="00DE6124">
              <w:t>W celu zacieśnienia dialogu między instytucjami Unii, w szczególności Parlamentem Europejskim</w:t>
            </w:r>
            <w:r w:rsidRPr="00DE6124">
              <w:t>, Radą i Komisją, oraz zapewnienia przejrzystości i rozliczalności Parlament Europejski może zaprosić przewodniczącego Rady, Komisji, a w razie potrzeby również przewodniczącego Rady Europejskiej lub przewodniczącego Eurogrupy do stawienia się przed Parlam</w:t>
            </w:r>
            <w:r w:rsidRPr="00DE6124">
              <w:t>entem Europejskim w celu omówienia wytycznych politycznych dla państw członkowskich wydanych przez Komisję, konkluzji Rady Europejskiej oraz rezultatów wielostronnego nadzoru prowadzonego na podstawie niniejszego rozporządzenia</w:t>
            </w:r>
            <w:r w:rsidRPr="00DE6124">
              <w:rPr>
                <w:b/>
                <w:i/>
              </w:rPr>
              <w:t>, w tym systemów wczesnego os</w:t>
            </w:r>
            <w:r w:rsidRPr="00DE6124">
              <w:rPr>
                <w:b/>
                <w:i/>
              </w:rPr>
              <w:t>trzegania ustanowionych na podstawie art. 121 ust. 4 i art. 148 TFUE</w:t>
            </w:r>
            <w:r w:rsidRPr="00DE6124">
              <w:t>.</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27</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Artykuł 26 – akapit 3 a (nowy)</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tcPr>
          <w:p w:rsidR="00AF0131" w:rsidRPr="00DE6124" w:rsidRDefault="00AF0131" w:rsidP="00C33FBD">
            <w:pPr>
              <w:pStyle w:val="Normal6"/>
            </w:pPr>
          </w:p>
        </w:tc>
        <w:tc>
          <w:tcPr>
            <w:tcW w:w="4876" w:type="dxa"/>
            <w:hideMark/>
          </w:tcPr>
          <w:p w:rsidR="00AF0131" w:rsidRPr="00DE6124" w:rsidRDefault="00B12D20" w:rsidP="00C33FBD">
            <w:pPr>
              <w:pStyle w:val="Normal6"/>
              <w:rPr>
                <w:szCs w:val="24"/>
              </w:rPr>
            </w:pPr>
            <w:r w:rsidRPr="00DE6124">
              <w:rPr>
                <w:b/>
                <w:i/>
              </w:rPr>
              <w:t>Właściwe komisje Parlamentu Europejskiego mogą zapraszać Komisję w celu omówienia następujących spraw:</w:t>
            </w:r>
          </w:p>
        </w:tc>
      </w:tr>
      <w:tr w:rsidR="00AA0139" w:rsidRPr="00DE6124" w:rsidTr="00C33FBD">
        <w:trPr>
          <w:jc w:val="center"/>
        </w:trPr>
        <w:tc>
          <w:tcPr>
            <w:tcW w:w="4876" w:type="dxa"/>
          </w:tcPr>
          <w:p w:rsidR="00AF0131" w:rsidRPr="00DE6124" w:rsidRDefault="00AF0131" w:rsidP="00C33FBD">
            <w:pPr>
              <w:pStyle w:val="Normal6"/>
            </w:pPr>
          </w:p>
        </w:tc>
        <w:tc>
          <w:tcPr>
            <w:tcW w:w="4876" w:type="dxa"/>
            <w:hideMark/>
          </w:tcPr>
          <w:p w:rsidR="00AF0131" w:rsidRPr="00DE6124" w:rsidRDefault="00B12D20" w:rsidP="00C33FBD">
            <w:pPr>
              <w:pStyle w:val="Normal6"/>
              <w:rPr>
                <w:szCs w:val="24"/>
              </w:rPr>
            </w:pPr>
            <w:r w:rsidRPr="00DE6124">
              <w:rPr>
                <w:b/>
                <w:i/>
              </w:rPr>
              <w:t>a)</w:t>
            </w:r>
            <w:r w:rsidRPr="00DE6124">
              <w:rPr>
                <w:b/>
                <w:i/>
              </w:rPr>
              <w:tab/>
              <w:t xml:space="preserve">przeprowadzona przez Komisję ocena krajowych średniookresowych planów fiskalno-strukturalnych w ramach średniookresowej prognozy długu </w:t>
            </w:r>
            <w:r w:rsidRPr="00DE6124">
              <w:rPr>
                <w:b/>
                <w:i/>
              </w:rPr>
              <w:t>publicznego oraz analiza zdolności obsługi zadłużenia;</w:t>
            </w:r>
          </w:p>
        </w:tc>
      </w:tr>
      <w:tr w:rsidR="00AA0139" w:rsidRPr="00DE6124" w:rsidTr="00C33FBD">
        <w:trPr>
          <w:jc w:val="center"/>
        </w:trPr>
        <w:tc>
          <w:tcPr>
            <w:tcW w:w="4876" w:type="dxa"/>
          </w:tcPr>
          <w:p w:rsidR="00AF0131" w:rsidRPr="00DE6124" w:rsidRDefault="00AF0131" w:rsidP="00C33FBD">
            <w:pPr>
              <w:pStyle w:val="Normal6"/>
            </w:pPr>
          </w:p>
        </w:tc>
        <w:tc>
          <w:tcPr>
            <w:tcW w:w="4876" w:type="dxa"/>
            <w:hideMark/>
          </w:tcPr>
          <w:p w:rsidR="00AF0131" w:rsidRPr="00DE6124" w:rsidRDefault="00B12D20" w:rsidP="00C33FBD">
            <w:pPr>
              <w:pStyle w:val="Normal6"/>
              <w:rPr>
                <w:szCs w:val="24"/>
              </w:rPr>
            </w:pPr>
            <w:r w:rsidRPr="00DE6124">
              <w:rPr>
                <w:b/>
                <w:i/>
              </w:rPr>
              <w:t>b)</w:t>
            </w:r>
            <w:r w:rsidRPr="00DE6124">
              <w:rPr>
                <w:b/>
                <w:i/>
              </w:rPr>
              <w:tab/>
              <w:t xml:space="preserve"> ocena informacji przedstawianych przez państwa członkowskie w rocznych sprawozdaniach z postępów;</w:t>
            </w:r>
          </w:p>
        </w:tc>
      </w:tr>
      <w:tr w:rsidR="00AA0139" w:rsidRPr="00DE6124" w:rsidTr="00C33FBD">
        <w:trPr>
          <w:jc w:val="center"/>
        </w:trPr>
        <w:tc>
          <w:tcPr>
            <w:tcW w:w="4876" w:type="dxa"/>
          </w:tcPr>
          <w:p w:rsidR="00AF0131" w:rsidRPr="00DE6124" w:rsidRDefault="00AF0131" w:rsidP="00C33FBD">
            <w:pPr>
              <w:pStyle w:val="Normal6"/>
            </w:pPr>
          </w:p>
        </w:tc>
        <w:tc>
          <w:tcPr>
            <w:tcW w:w="4876" w:type="dxa"/>
            <w:hideMark/>
          </w:tcPr>
          <w:p w:rsidR="00AF0131" w:rsidRPr="00DE6124" w:rsidRDefault="00B12D20" w:rsidP="00C33FBD">
            <w:pPr>
              <w:pStyle w:val="Normal6"/>
              <w:rPr>
                <w:szCs w:val="24"/>
              </w:rPr>
            </w:pPr>
            <w:r w:rsidRPr="00DE6124">
              <w:rPr>
                <w:b/>
                <w:i/>
              </w:rPr>
              <w:t>c)</w:t>
            </w:r>
            <w:r w:rsidRPr="00DE6124">
              <w:rPr>
                <w:b/>
                <w:i/>
              </w:rPr>
              <w:tab/>
              <w:t>ocena zobowiązań dotyczących pakietu reform i inwestycji, które stanowią podstawę przedłużen</w:t>
            </w:r>
            <w:r w:rsidRPr="00DE6124">
              <w:rPr>
                <w:b/>
                <w:i/>
              </w:rPr>
              <w:t>ia okresu dostosowania;</w:t>
            </w:r>
          </w:p>
        </w:tc>
      </w:tr>
      <w:tr w:rsidR="00AA0139" w:rsidRPr="00DE6124" w:rsidTr="00C33FBD">
        <w:trPr>
          <w:jc w:val="center"/>
        </w:trPr>
        <w:tc>
          <w:tcPr>
            <w:tcW w:w="4876" w:type="dxa"/>
          </w:tcPr>
          <w:p w:rsidR="00AF0131" w:rsidRPr="00DE6124" w:rsidRDefault="00AF0131" w:rsidP="00C33FBD">
            <w:pPr>
              <w:pStyle w:val="Normal6"/>
            </w:pPr>
          </w:p>
        </w:tc>
        <w:tc>
          <w:tcPr>
            <w:tcW w:w="4876" w:type="dxa"/>
            <w:hideMark/>
          </w:tcPr>
          <w:p w:rsidR="00AF0131" w:rsidRPr="00DE6124" w:rsidRDefault="00B12D20" w:rsidP="00C33FBD">
            <w:pPr>
              <w:pStyle w:val="Normal6"/>
              <w:rPr>
                <w:szCs w:val="24"/>
              </w:rPr>
            </w:pPr>
            <w:r w:rsidRPr="00DE6124">
              <w:rPr>
                <w:b/>
                <w:i/>
              </w:rPr>
              <w:t>d) analiza zaleceń dla poszczególnych krajów i zagrożeń dla konwergencji społecznej oraz postępy we wdrażaniu zasad Europejskiego filaru praw socjalnych.</w:t>
            </w:r>
          </w:p>
        </w:tc>
      </w:tr>
    </w:tbl>
    <w:p w:rsidR="00AF0131" w:rsidRPr="00DE6124" w:rsidRDefault="00B12D20" w:rsidP="00C56375">
      <w:pPr>
        <w:rPr>
          <w:rStyle w:val="HideTWBExt"/>
          <w:rFonts w:eastAsiaTheme="majorEastAsia"/>
          <w:b/>
        </w:rPr>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28</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 xml:space="preserve">Wniosek dotyczący </w:t>
      </w:r>
      <w:r w:rsidRPr="00DE6124">
        <w:t>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Załącznik II – akapit 1 – litera d</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d)</w:t>
            </w:r>
            <w:r w:rsidRPr="00DE6124">
              <w:tab/>
              <w:t xml:space="preserve">informacje dotyczące zobowiązań ukrytych </w:t>
            </w:r>
            <w:r w:rsidRPr="00DE6124">
              <w:rPr>
                <w:b/>
                <w:i/>
              </w:rPr>
              <w:t>związanych ze starzeniem się społeczeństwa</w:t>
            </w:r>
            <w:r w:rsidRPr="00DE6124">
              <w:t xml:space="preserve"> oraz zobowiązań warunkowych o potencjalnie istotnym wpływie na budżety publiczne, w tym na temat gwarancji rządowych, kredytów i pożyczek zagrożonych, zobowiązań wynikających z działalności przedsiębiorstw publicznych, oraz informacje o ich zakresie, pote</w:t>
            </w:r>
            <w:r w:rsidRPr="00DE6124">
              <w:t xml:space="preserve">ncjalnych wydatków i zobowiązań wynikających ze spraw sądowych, a także, w miarę możliwości, informacje na temat </w:t>
            </w:r>
            <w:r w:rsidRPr="00DE6124">
              <w:lastRenderedPageBreak/>
              <w:t xml:space="preserve">zobowiązań warunkowych związanych z klęskami żywiołowymi i klimatem; </w:t>
            </w:r>
          </w:p>
        </w:tc>
        <w:tc>
          <w:tcPr>
            <w:tcW w:w="4876" w:type="dxa"/>
            <w:hideMark/>
          </w:tcPr>
          <w:p w:rsidR="00AF0131" w:rsidRPr="00DE6124" w:rsidRDefault="00B12D20" w:rsidP="00C33FBD">
            <w:pPr>
              <w:pStyle w:val="Normal6"/>
              <w:rPr>
                <w:szCs w:val="24"/>
              </w:rPr>
            </w:pPr>
            <w:r w:rsidRPr="00DE6124">
              <w:lastRenderedPageBreak/>
              <w:t>d)</w:t>
            </w:r>
            <w:r w:rsidRPr="00DE6124">
              <w:tab/>
              <w:t>informacje dotyczące zobowiązań ukrytych oraz zobowiązań warunkowych o</w:t>
            </w:r>
            <w:r w:rsidRPr="00DE6124">
              <w:t> potencjalnie istotnym wpływie na budżety publiczne, w tym na temat gwarancji rządowych, kredytów i pożyczek zagrożonych, zobowiązań wynikających z działalności przedsiębiorstw publicznych, oraz informacje o ich zakresie, potencjalnych wydatków i zobowiąza</w:t>
            </w:r>
            <w:r w:rsidRPr="00DE6124">
              <w:t>ń wynikających ze spraw sądowych, a także, w miarę możliwości, informacje na temat zobowiązań warunkowych związanych z klęskami żywiołowymi i klimatem;</w:t>
            </w:r>
          </w:p>
        </w:tc>
      </w:tr>
    </w:tbl>
    <w:p w:rsidR="00AF0131" w:rsidRPr="00DE6124" w:rsidRDefault="00B12D20" w:rsidP="00AF0131">
      <w:pPr>
        <w:pStyle w:val="AMNumberTabs0"/>
        <w:keepNext/>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29</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Załącznik II – akapit 1 – litera f</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f)</w:t>
            </w:r>
            <w:r w:rsidRPr="00DE6124">
              <w:tab/>
              <w:t>jeżeli państwo członkowskie stosuje założenia, o których mowa w lit. e) i które – w przypadku braku dodatkowych środków budżetowych – różnią się od założeń</w:t>
            </w:r>
            <w:r w:rsidRPr="00DE6124">
              <w:t xml:space="preserve"> Komisji dla okresu dostosowania związanego z krajowym średniookresowym planem fiskalno-strukturalnym i okresu kolejnych 10 lat, należyte wyjaśnienia i uzasadnienia tych różnic oparte na solidnych argumentach ekonomicznych;</w:t>
            </w:r>
          </w:p>
        </w:tc>
        <w:tc>
          <w:tcPr>
            <w:tcW w:w="4876" w:type="dxa"/>
            <w:hideMark/>
          </w:tcPr>
          <w:p w:rsidR="00AF0131" w:rsidRPr="00DE6124" w:rsidRDefault="00B12D20" w:rsidP="00C33FBD">
            <w:pPr>
              <w:pStyle w:val="Normal6"/>
              <w:rPr>
                <w:szCs w:val="24"/>
              </w:rPr>
            </w:pPr>
            <w:r w:rsidRPr="00DE6124">
              <w:t>f)</w:t>
            </w:r>
            <w:r w:rsidRPr="00DE6124">
              <w:tab/>
              <w:t>jeżeli państwo członkowskie s</w:t>
            </w:r>
            <w:r w:rsidRPr="00DE6124">
              <w:t>tosuje założenia, o których mowa w lit. e) i które – w przypadku braku dodatkowych środków budżetowych – różnią się od założeń Komisji dla okresu dostosowania związanego z krajowym średniookresowym planem fiskalno-strukturalnym i okresu kolejnych 10 lat, n</w:t>
            </w:r>
            <w:r w:rsidRPr="00DE6124">
              <w:t>ależyte wyjaśnienia i uzasadnienia tych różnic oparte na solidnych argumentach ekonomicznych</w:t>
            </w:r>
            <w:r w:rsidRPr="00DE6124">
              <w:rPr>
                <w:b/>
                <w:i/>
              </w:rPr>
              <w:t xml:space="preserve"> i społecznych</w:t>
            </w:r>
            <w:r w:rsidRPr="00DE6124">
              <w:t>;</w:t>
            </w:r>
          </w:p>
        </w:tc>
      </w:tr>
    </w:tbl>
    <w:p w:rsidR="00AF0131" w:rsidRPr="00DE6124" w:rsidRDefault="00B12D20" w:rsidP="00AF0131">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30</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Załącznik II – akapit 1 – litera g</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g)</w:t>
            </w:r>
            <w:r w:rsidRPr="00DE6124">
              <w:tab/>
              <w:t>analizę, w jaki sposób zmiany głównych założeń ekonomicznych mogą wpłynąć na sytuację budżetową i sytuację w zakresie zadłużenia państwa członkowskiego;</w:t>
            </w:r>
          </w:p>
        </w:tc>
        <w:tc>
          <w:tcPr>
            <w:tcW w:w="4876" w:type="dxa"/>
            <w:hideMark/>
          </w:tcPr>
          <w:p w:rsidR="00AF0131" w:rsidRPr="00DE6124" w:rsidRDefault="00B12D20" w:rsidP="00C33FBD">
            <w:pPr>
              <w:pStyle w:val="Normal6"/>
              <w:rPr>
                <w:szCs w:val="24"/>
              </w:rPr>
            </w:pPr>
            <w:r w:rsidRPr="00DE6124">
              <w:t>g)</w:t>
            </w:r>
            <w:r w:rsidRPr="00DE6124">
              <w:tab/>
              <w:t>analizę, w jaki sposób zmiany głównych zał</w:t>
            </w:r>
            <w:r w:rsidRPr="00DE6124">
              <w:t xml:space="preserve">ożeń ekonomicznych </w:t>
            </w:r>
            <w:r w:rsidRPr="00DE6124">
              <w:rPr>
                <w:b/>
                <w:i/>
              </w:rPr>
              <w:t>i społecznych</w:t>
            </w:r>
            <w:r w:rsidRPr="00DE6124">
              <w:t xml:space="preserve"> mogą wpłynąć na sytuację budżetową i sytuację w zakresie zadłużenia państwa członkowskiego</w:t>
            </w:r>
            <w:r w:rsidRPr="00DE6124">
              <w:rPr>
                <w:b/>
                <w:i/>
              </w:rPr>
              <w:t>, a także na osiągnięcie celów krajowych, w powiązaniu z głównymi celami Europejskiego filaru praw socjalnych i ich wskaźnikami główn</w:t>
            </w:r>
            <w:r w:rsidRPr="00DE6124">
              <w:rPr>
                <w:b/>
                <w:i/>
              </w:rPr>
              <w:t>ymi i drugorzędnymi oraz wspólnymi priorytetami Unii</w:t>
            </w:r>
            <w:r w:rsidRPr="00DE6124">
              <w:t>;</w:t>
            </w:r>
          </w:p>
        </w:tc>
      </w:tr>
    </w:tbl>
    <w:p w:rsidR="00AF0131" w:rsidRPr="00DE6124" w:rsidRDefault="00B12D20" w:rsidP="00AF0131">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31</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lastRenderedPageBreak/>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Załącznik II – akapit 1 – litera h</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h)</w:t>
            </w:r>
            <w:r w:rsidRPr="00DE6124">
              <w:tab/>
              <w:t>w</w:t>
            </w:r>
            <w:r w:rsidRPr="00DE6124">
              <w:t xml:space="preserve"> stosownych przypadkach należycie uzasadnione przyczyny (obejmujące odpowiednie solidne i weryfikowalne argumenty ekonomiczne) odejścia od trajektorii technicznej przedstawionej przez Komisję;</w:t>
            </w:r>
          </w:p>
        </w:tc>
        <w:tc>
          <w:tcPr>
            <w:tcW w:w="4876" w:type="dxa"/>
            <w:hideMark/>
          </w:tcPr>
          <w:p w:rsidR="00AF0131" w:rsidRPr="00DE6124" w:rsidRDefault="00B12D20" w:rsidP="00C33FBD">
            <w:pPr>
              <w:pStyle w:val="Normal6"/>
              <w:rPr>
                <w:szCs w:val="24"/>
              </w:rPr>
            </w:pPr>
            <w:r w:rsidRPr="00DE6124">
              <w:t>h)</w:t>
            </w:r>
            <w:r w:rsidRPr="00DE6124">
              <w:tab/>
              <w:t>w stosownych przypadkach należycie uzasadnione przyczyny (ob</w:t>
            </w:r>
            <w:r w:rsidRPr="00DE6124">
              <w:t>ejmujące odpowiednie solidne i weryfikowalne argumenty ekonomiczne</w:t>
            </w:r>
            <w:r w:rsidRPr="00DE6124">
              <w:rPr>
                <w:b/>
                <w:i/>
              </w:rPr>
              <w:t xml:space="preserve"> i społeczne</w:t>
            </w:r>
            <w:r w:rsidRPr="00DE6124">
              <w:t>) odejścia od trajektorii technicznej przedstawionej przez Komisję;</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32</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Załącznik II – akapit 1 – litera j</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j)</w:t>
            </w:r>
            <w:r w:rsidRPr="00DE6124">
              <w:tab/>
              <w:t xml:space="preserve">łączne wydatki na inwestycje publiczne, jak również wydatki na reformy i inwestycje publiczne uwzględniające </w:t>
            </w:r>
            <w:r w:rsidRPr="00DE6124">
              <w:rPr>
                <w:b/>
                <w:bCs/>
                <w:i/>
                <w:iCs/>
              </w:rPr>
              <w:t>wspólne priorytety</w:t>
            </w:r>
            <w:r w:rsidRPr="00DE6124">
              <w:t xml:space="preserve"> Unii, o których mowa w załączniku VI</w:t>
            </w:r>
            <w:r w:rsidRPr="00DE6124">
              <w:t>;</w:t>
            </w:r>
          </w:p>
        </w:tc>
        <w:tc>
          <w:tcPr>
            <w:tcW w:w="4876" w:type="dxa"/>
            <w:hideMark/>
          </w:tcPr>
          <w:p w:rsidR="00AF0131" w:rsidRPr="00DE6124" w:rsidRDefault="00B12D20" w:rsidP="00C33FBD">
            <w:pPr>
              <w:pStyle w:val="Normal6"/>
              <w:rPr>
                <w:szCs w:val="24"/>
              </w:rPr>
            </w:pPr>
            <w:r w:rsidRPr="00DE6124">
              <w:t>j)</w:t>
            </w:r>
            <w:r w:rsidRPr="00DE6124">
              <w:tab/>
              <w:t xml:space="preserve">łączne wydatki na inwestycje publiczne, jak również wydatki na reformy i inwestycje publiczne uwzględniające </w:t>
            </w:r>
            <w:r w:rsidRPr="00DE6124">
              <w:rPr>
                <w:b/>
                <w:i/>
              </w:rPr>
              <w:t>każdy ze wspólnych priorytetów</w:t>
            </w:r>
            <w:r w:rsidRPr="00DE6124">
              <w:t xml:space="preserve"> Unii, o których mowa w załączniku VI;</w:t>
            </w:r>
          </w:p>
        </w:tc>
      </w:tr>
    </w:tbl>
    <w:p w:rsidR="00AF0131" w:rsidRPr="00DE6124" w:rsidRDefault="00B12D20" w:rsidP="00C56375">
      <w:pPr>
        <w:rPr>
          <w:rFonts w:eastAsiaTheme="majorEastAsia"/>
        </w:rPr>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33</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w:t>
      </w:r>
      <w:r w:rsidRPr="00DE6124">
        <w:t xml:space="preserve">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Załącznik II – akapit 1 – litera k</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k)</w:t>
            </w:r>
            <w:r w:rsidRPr="00DE6124">
              <w:tab/>
              <w:t>w stosownych przypadkach informacje dotyczące konkretnych, terminowych i weryfikowalnych zobowiązań dotyczących pakietu reform i</w:t>
            </w:r>
            <w:r w:rsidRPr="00DE6124">
              <w:t> inwestycji, które stanowią podstawę przedłużenia okresu dostosowania na podstawie art. 13, harmonogram ich realizacji, jak również solidne argumenty ekonomiczne świadczące o tym, że przedmiotowe zobowiązania dotyczące pakietu reform i inwestycji spełniają</w:t>
            </w:r>
            <w:r w:rsidRPr="00DE6124">
              <w:t xml:space="preserve"> kryteria określone w art. 13, przy uwzględnieniu kryteriów oceny </w:t>
            </w:r>
            <w:r w:rsidRPr="00DE6124">
              <w:lastRenderedPageBreak/>
              <w:t>określonych w załączniku VII;</w:t>
            </w:r>
          </w:p>
        </w:tc>
        <w:tc>
          <w:tcPr>
            <w:tcW w:w="4876" w:type="dxa"/>
            <w:hideMark/>
          </w:tcPr>
          <w:p w:rsidR="00AF0131" w:rsidRPr="00DE6124" w:rsidRDefault="00B12D20" w:rsidP="00C33FBD">
            <w:pPr>
              <w:pStyle w:val="Normal6"/>
              <w:rPr>
                <w:szCs w:val="24"/>
              </w:rPr>
            </w:pPr>
            <w:r w:rsidRPr="00DE6124">
              <w:lastRenderedPageBreak/>
              <w:t>k)</w:t>
            </w:r>
            <w:r w:rsidRPr="00DE6124">
              <w:tab/>
            </w:r>
            <w:r w:rsidRPr="00DE6124">
              <w:t>w stosownych przypadkach informacje dotyczące konkretnych, terminowych i weryfikowalnych zobowiązań dotyczących pakietu reform i inwestycji, które stanowią podstawę przedłużenia okresu dostosowania na podstawie art. 13, harmonogram ich realizacji, jak równ</w:t>
            </w:r>
            <w:r w:rsidRPr="00DE6124">
              <w:t xml:space="preserve">ież solidne argumenty ekonomiczne </w:t>
            </w:r>
            <w:r w:rsidRPr="00DE6124">
              <w:rPr>
                <w:b/>
                <w:i/>
              </w:rPr>
              <w:t>i społeczne</w:t>
            </w:r>
            <w:r w:rsidRPr="00DE6124">
              <w:t xml:space="preserve"> świadczące o tym, że przedmiotowe zobowiązania dotyczące pakietu reform i inwestycji spełniają kryteria określone w art. 13, przy uwzględnieniu kryteriów oceny </w:t>
            </w:r>
            <w:r w:rsidRPr="00DE6124">
              <w:lastRenderedPageBreak/>
              <w:t>określonych w załączniku VII;</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lastRenderedPageBreak/>
        <w:t>&lt;/Amend&gt;</w:t>
      </w:r>
    </w:p>
    <w:p w:rsidR="00AF0131" w:rsidRPr="00DE6124" w:rsidRDefault="00B12D20" w:rsidP="00AF0131">
      <w:pPr>
        <w:pStyle w:val="AmNumberTabs"/>
      </w:pPr>
      <w:r w:rsidRPr="00DE6124">
        <w:rPr>
          <w:rStyle w:val="HideTWBExt"/>
          <w:b w:val="0"/>
        </w:rPr>
        <w:t>&lt;Amend&gt;</w:t>
      </w:r>
      <w:r w:rsidRPr="00DE6124">
        <w:t>Pop</w:t>
      </w:r>
      <w:r w:rsidRPr="00DE6124">
        <w:t>rawka</w:t>
      </w:r>
      <w:r w:rsidRPr="00DE6124">
        <w:tab/>
      </w:r>
      <w:r w:rsidRPr="00DE6124">
        <w:tab/>
      </w:r>
      <w:r w:rsidRPr="00DE6124">
        <w:rPr>
          <w:rStyle w:val="HideTWBExt"/>
          <w:b w:val="0"/>
        </w:rPr>
        <w:t>&lt;NumAm&gt;</w:t>
      </w:r>
      <w:r w:rsidRPr="00DE6124">
        <w:t>34</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Załącznik II – akapit 1 – litera l</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l)</w:t>
            </w:r>
            <w:r w:rsidRPr="00DE6124">
              <w:tab/>
              <w:t xml:space="preserve">możliwie najdokładniejsze określenie ilościowe spodziewanego wpływu reform </w:t>
            </w:r>
            <w:r w:rsidRPr="00DE6124">
              <w:t>i inwestycji, o których mowa w lit. k), na stabilność fiskalną, wzrost i zatrudnienie, w stosownych przypadkach zgodnie z powszechnie przyjętą metodyką;</w:t>
            </w:r>
          </w:p>
        </w:tc>
        <w:tc>
          <w:tcPr>
            <w:tcW w:w="4876" w:type="dxa"/>
            <w:hideMark/>
          </w:tcPr>
          <w:p w:rsidR="00AF0131" w:rsidRPr="00DE6124" w:rsidRDefault="00B12D20" w:rsidP="00C33FBD">
            <w:pPr>
              <w:pStyle w:val="Normal6"/>
              <w:rPr>
                <w:szCs w:val="24"/>
              </w:rPr>
            </w:pPr>
            <w:r w:rsidRPr="00DE6124">
              <w:t>l)</w:t>
            </w:r>
            <w:r w:rsidRPr="00DE6124">
              <w:tab/>
              <w:t>możliwie najdokładniejsze określenie ilościowe spodziewanego wpływu reform i inwestycji, o których m</w:t>
            </w:r>
            <w:r w:rsidRPr="00DE6124">
              <w:t xml:space="preserve">owa w lit. k), na stabilność fiskalną, </w:t>
            </w:r>
            <w:r w:rsidRPr="00DE6124">
              <w:rPr>
                <w:b/>
                <w:i/>
              </w:rPr>
              <w:t>zrównoważony</w:t>
            </w:r>
            <w:r w:rsidRPr="00DE6124">
              <w:t xml:space="preserve"> wzrost</w:t>
            </w:r>
            <w:r w:rsidRPr="00DE6124">
              <w:rPr>
                <w:b/>
                <w:i/>
              </w:rPr>
              <w:t xml:space="preserve"> sprzyjający włączeniu społecznemu oraz konkurencyjność</w:t>
            </w:r>
            <w:r w:rsidRPr="00DE6124">
              <w:t xml:space="preserve"> i </w:t>
            </w:r>
            <w:r w:rsidRPr="00DE6124">
              <w:rPr>
                <w:b/>
                <w:i/>
              </w:rPr>
              <w:t>wysokiej jakości</w:t>
            </w:r>
            <w:r w:rsidRPr="00DE6124">
              <w:t xml:space="preserve"> zatrudnienie, </w:t>
            </w:r>
            <w:r w:rsidRPr="00DE6124">
              <w:rPr>
                <w:b/>
                <w:i/>
              </w:rPr>
              <w:t>a także pozytywną konwergencję społeczną,</w:t>
            </w:r>
            <w:r w:rsidRPr="00DE6124">
              <w:t xml:space="preserve"> w stosownych przypadkach zgodnie z powszechnie przyjętą metodyką;</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35</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Załącznik II – akapit 1 – litera n a (nowa)</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tcPr>
          <w:p w:rsidR="00AF0131" w:rsidRPr="00DE6124" w:rsidRDefault="00AF0131" w:rsidP="00C33FBD">
            <w:pPr>
              <w:pStyle w:val="Normal6"/>
            </w:pPr>
          </w:p>
        </w:tc>
        <w:tc>
          <w:tcPr>
            <w:tcW w:w="4876" w:type="dxa"/>
            <w:hideMark/>
          </w:tcPr>
          <w:p w:rsidR="00AF0131" w:rsidRPr="00DE6124" w:rsidRDefault="00B12D20" w:rsidP="00C33FBD">
            <w:pPr>
              <w:pStyle w:val="Normal6"/>
              <w:rPr>
                <w:szCs w:val="24"/>
              </w:rPr>
            </w:pPr>
            <w:r w:rsidRPr="00DE6124">
              <w:rPr>
                <w:b/>
                <w:i/>
              </w:rPr>
              <w:t>na)</w:t>
            </w:r>
            <w:r w:rsidRPr="00DE6124">
              <w:rPr>
                <w:b/>
                <w:i/>
              </w:rPr>
              <w:tab/>
              <w:t>w stosownych przypadkach reformy i inwestycje</w:t>
            </w:r>
            <w:r w:rsidRPr="00DE6124">
              <w:rPr>
                <w:b/>
                <w:i/>
              </w:rPr>
              <w:t xml:space="preserve"> służące korygowaniu zagrożeń dla konwergencji społecznej stwierdzonych na podstawie ram konwergencji społecznej;</w:t>
            </w:r>
          </w:p>
        </w:tc>
      </w:tr>
    </w:tbl>
    <w:p w:rsidR="00AF0131" w:rsidRPr="00DE6124" w:rsidRDefault="00B12D20" w:rsidP="00C56375">
      <w:pPr>
        <w:rPr>
          <w:rFonts w:eastAsiaTheme="majorEastAsia"/>
        </w:rPr>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36</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 xml:space="preserve">Załącznik II – akapit 1 – litera </w:t>
      </w:r>
      <w:r w:rsidRPr="00DE6124">
        <w:t>p</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p)</w:t>
            </w:r>
            <w:r w:rsidRPr="00DE6124">
              <w:tab/>
              <w:t xml:space="preserve">w przypadku państw członkowskich, w których skala wyzwań związanych z długiem publicznym jest niewielka, ale które mają duże </w:t>
            </w:r>
            <w:r w:rsidRPr="00DE6124">
              <w:lastRenderedPageBreak/>
              <w:t xml:space="preserve">zobowiązania ukryte </w:t>
            </w:r>
            <w:r w:rsidRPr="00DE6124">
              <w:rPr>
                <w:b/>
                <w:i/>
              </w:rPr>
              <w:t>wynikające ze starzenia się społeczeństwa</w:t>
            </w:r>
            <w:r w:rsidRPr="00DE6124">
              <w:t xml:space="preserve">, </w:t>
            </w:r>
            <w:r w:rsidRPr="00DE6124">
              <w:t>trajektoria krajowych wydatków netto i reformy ujęte w krajowych średniookresowych planach fiskalno-strukturalnych powinny uwzględniać w należyty sposób wyzwania związane z finansami publicznymi w zakresie długookresowej stabilności fiskalnej;</w:t>
            </w:r>
          </w:p>
        </w:tc>
        <w:tc>
          <w:tcPr>
            <w:tcW w:w="4876" w:type="dxa"/>
            <w:hideMark/>
          </w:tcPr>
          <w:p w:rsidR="00AF0131" w:rsidRPr="00DE6124" w:rsidRDefault="00B12D20" w:rsidP="00C33FBD">
            <w:pPr>
              <w:pStyle w:val="Normal6"/>
              <w:rPr>
                <w:szCs w:val="24"/>
              </w:rPr>
            </w:pPr>
            <w:r w:rsidRPr="00DE6124">
              <w:lastRenderedPageBreak/>
              <w:t>p)</w:t>
            </w:r>
            <w:r w:rsidRPr="00DE6124">
              <w:tab/>
              <w:t>w przypad</w:t>
            </w:r>
            <w:r w:rsidRPr="00DE6124">
              <w:t xml:space="preserve">ku państw członkowskich, w których skala wyzwań związanych z długiem publicznym jest niewielka, ale które mają duże </w:t>
            </w:r>
            <w:r w:rsidRPr="00DE6124">
              <w:lastRenderedPageBreak/>
              <w:t>zobowiązania ukryte, trajektoria krajowych wydatków netto i reformy ujęte w krajowych średniookresowych planach fiskalno-strukturalnych powi</w:t>
            </w:r>
            <w:r w:rsidRPr="00DE6124">
              <w:t>nny uwzględniać w należyty sposób wyzwania związane z finansami publicznymi w zakresie długookresowej stabilności fiskalnej</w:t>
            </w:r>
            <w:r w:rsidRPr="00DE6124">
              <w:rPr>
                <w:b/>
                <w:i/>
              </w:rPr>
              <w:t>, a także zagrożenia dla konwergencji społecznej stwierdzone podczas najnowszego monitorowania</w:t>
            </w:r>
            <w:r w:rsidRPr="00DE6124">
              <w:t>;</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lastRenderedPageBreak/>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37</w:t>
      </w:r>
      <w:r w:rsidRPr="00DE6124">
        <w:rPr>
          <w:rStyle w:val="HideTWBExt"/>
          <w:b w:val="0"/>
        </w:rPr>
        <w:t>&lt;</w:t>
      </w:r>
      <w:r w:rsidRPr="00DE6124">
        <w:rPr>
          <w:rStyle w:val="HideTWBExt"/>
          <w:b w:val="0"/>
        </w:rPr>
        <w: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Załącznik II – akapit 1 – litera q</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q)</w:t>
            </w:r>
            <w:r w:rsidRPr="00DE6124">
              <w:tab/>
              <w:t xml:space="preserve">informacje na temat konsultacji z partnerami społecznymi, organizacjami społeczeństwa </w:t>
            </w:r>
            <w:r w:rsidRPr="00DE6124">
              <w:t>obywatelskiego i innymi odpowiednimi zainteresowanymi stronami w celu opracowania planu.</w:t>
            </w:r>
          </w:p>
        </w:tc>
        <w:tc>
          <w:tcPr>
            <w:tcW w:w="4876" w:type="dxa"/>
            <w:hideMark/>
          </w:tcPr>
          <w:p w:rsidR="00AF0131" w:rsidRPr="00DE6124" w:rsidRDefault="00B12D20" w:rsidP="00C33FBD">
            <w:pPr>
              <w:pStyle w:val="Normal6"/>
              <w:rPr>
                <w:szCs w:val="24"/>
              </w:rPr>
            </w:pPr>
            <w:r w:rsidRPr="00DE6124">
              <w:t>q)</w:t>
            </w:r>
            <w:r w:rsidRPr="00DE6124">
              <w:tab/>
              <w:t xml:space="preserve">informacje na temat </w:t>
            </w:r>
            <w:r w:rsidRPr="00DE6124">
              <w:rPr>
                <w:b/>
                <w:i/>
              </w:rPr>
              <w:t>skutecznych</w:t>
            </w:r>
            <w:r w:rsidRPr="00DE6124">
              <w:t xml:space="preserve"> konsultacji z partnerami społecznymi, organizacjami społeczeństwa obywatelskiego i innymi odpowiednimi zainteresowanymi stronami w celu opracowania planu.</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38</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Załącznik III – akapit 1 – litera b</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b)</w:t>
            </w:r>
            <w:r w:rsidRPr="00DE6124">
              <w:tab/>
              <w:t>porównanie – od początku krajowego średniookresowego planu fiskalno-strukturalnego – prognoz dotyczących głównych zmiennych ekonomicznych przedłożonych w </w:t>
            </w:r>
            <w:r w:rsidRPr="00DE6124">
              <w:t>tym planie z danymi dotyczącymi wyniku tych zmiennych, jak również wpływ na przestrzeganie ścieżki wydatków netto określonej przez Radę oraz na prognozowaną ścieżkę wskaźnika długu publicznego przedstawioną w tym planie;</w:t>
            </w:r>
          </w:p>
        </w:tc>
        <w:tc>
          <w:tcPr>
            <w:tcW w:w="4876" w:type="dxa"/>
            <w:hideMark/>
          </w:tcPr>
          <w:p w:rsidR="00AF0131" w:rsidRPr="00DE6124" w:rsidRDefault="00B12D20" w:rsidP="00C33FBD">
            <w:pPr>
              <w:pStyle w:val="Normal6"/>
              <w:rPr>
                <w:szCs w:val="24"/>
              </w:rPr>
            </w:pPr>
            <w:r w:rsidRPr="00DE6124">
              <w:t>b)</w:t>
            </w:r>
            <w:r w:rsidRPr="00DE6124">
              <w:tab/>
              <w:t>porównanie – od początku krajowe</w:t>
            </w:r>
            <w:r w:rsidRPr="00DE6124">
              <w:t xml:space="preserve">go średniookresowego planu fiskalno-strukturalnego – prognoz dotyczących głównych zmiennych ekonomicznych </w:t>
            </w:r>
            <w:r w:rsidRPr="00DE6124">
              <w:rPr>
                <w:b/>
                <w:i/>
              </w:rPr>
              <w:t>i społecznych</w:t>
            </w:r>
            <w:r w:rsidRPr="00DE6124">
              <w:t xml:space="preserve"> przedłożonych w tym planie z danymi dotyczącymi wyniku tych zmiennych, jak również wpływ na przestrzeganie ścieżki wydatków netto określ</w:t>
            </w:r>
            <w:r w:rsidRPr="00DE6124">
              <w:t>onej przez Radę oraz na prognozowaną ścieżkę wskaźnika długu publicznego przedstawioną w tym planie</w:t>
            </w:r>
            <w:r w:rsidRPr="00DE6124">
              <w:rPr>
                <w:b/>
                <w:i/>
              </w:rPr>
              <w:t xml:space="preserve">, a także dotrzymanie realizacji celów krajowych, w powiązaniu z głównymi celami Europejskiego filaru </w:t>
            </w:r>
            <w:r w:rsidRPr="00DE6124">
              <w:rPr>
                <w:b/>
                <w:i/>
              </w:rPr>
              <w:lastRenderedPageBreak/>
              <w:t>praw socjalnych</w:t>
            </w:r>
            <w:r w:rsidRPr="00DE6124">
              <w:t>;</w:t>
            </w:r>
          </w:p>
        </w:tc>
      </w:tr>
    </w:tbl>
    <w:p w:rsidR="00AF0131" w:rsidRPr="00DE6124" w:rsidRDefault="00B12D20" w:rsidP="00AF0131">
      <w:r w:rsidRPr="00DE6124">
        <w:rPr>
          <w:rStyle w:val="HideTWBExt"/>
        </w:rPr>
        <w:lastRenderedPageBreak/>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39</w:t>
      </w:r>
      <w:r w:rsidRPr="00DE6124">
        <w:rPr>
          <w:rStyle w:val="HideTWBExt"/>
          <w:b w:val="0"/>
        </w:rPr>
        <w:t>&lt;/</w:t>
      </w:r>
      <w:r w:rsidRPr="00DE6124">
        <w:rPr>
          <w:rStyle w:val="HideTWBExt"/>
          <w:b w:val="0"/>
        </w:rPr>
        <w: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Załącznik III – akapit 1 – litera h</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h)</w:t>
            </w:r>
            <w:r w:rsidRPr="00DE6124">
              <w:tab/>
              <w:t xml:space="preserve">główne założenia dotyczące spodziewanego rozwoju sytuacji gospodarczej i głównych zmiennych </w:t>
            </w:r>
            <w:r w:rsidRPr="00DE6124">
              <w:t>ekonomicznych, w tym wskaźnika długu publicznego, w odniesieniu do kolejnych lat okresu dostosowania;</w:t>
            </w:r>
          </w:p>
        </w:tc>
        <w:tc>
          <w:tcPr>
            <w:tcW w:w="4876" w:type="dxa"/>
            <w:hideMark/>
          </w:tcPr>
          <w:p w:rsidR="00AF0131" w:rsidRPr="00DE6124" w:rsidRDefault="00B12D20" w:rsidP="00C33FBD">
            <w:pPr>
              <w:pStyle w:val="Normal6"/>
              <w:rPr>
                <w:szCs w:val="24"/>
              </w:rPr>
            </w:pPr>
            <w:r w:rsidRPr="00DE6124">
              <w:t>h)</w:t>
            </w:r>
            <w:r w:rsidRPr="00DE6124">
              <w:tab/>
              <w:t xml:space="preserve">główne założenia dotyczące spodziewanego rozwoju sytuacji gospodarczej </w:t>
            </w:r>
            <w:r w:rsidRPr="00DE6124">
              <w:rPr>
                <w:b/>
                <w:i/>
              </w:rPr>
              <w:t>i społeczne</w:t>
            </w:r>
            <w:r w:rsidRPr="00DE6124">
              <w:t xml:space="preserve">j oraz głównych zmiennych ekonomicznych </w:t>
            </w:r>
            <w:r w:rsidRPr="00DE6124">
              <w:rPr>
                <w:b/>
                <w:i/>
              </w:rPr>
              <w:t>i społecznych</w:t>
            </w:r>
            <w:r w:rsidRPr="00DE6124">
              <w:t xml:space="preserve">, w tym </w:t>
            </w:r>
            <w:r w:rsidRPr="00DE6124">
              <w:t>wskaźnika długu publicznego, w odniesieniu do kolejnych lat okresu dostosowania;</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40</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Załącznik III – akapit 1 – litera l</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 xml:space="preserve">Tekst proponowany </w:t>
            </w:r>
            <w:r w:rsidRPr="00DE6124">
              <w:t>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l)</w:t>
            </w:r>
            <w:r w:rsidRPr="00DE6124">
              <w:tab/>
              <w:t>analizę zmian zakłóceń równowagi makroekonomicznej stwierdzonych w ramach procedury dotyczącej zakłóceń równowagi makroekonomicznej i, w stosownych przypadkach, wpływu, jaki będzie miało na te zakłócenia wdrażanie odpowiednich re</w:t>
            </w:r>
            <w:r w:rsidRPr="00DE6124">
              <w:t>form i inwestycji zgłoszonych w krajowym średniookresowym planie fiskalno-strukturalnym zgodnie z lit. n) załącznika II;</w:t>
            </w:r>
          </w:p>
        </w:tc>
        <w:tc>
          <w:tcPr>
            <w:tcW w:w="4876" w:type="dxa"/>
            <w:hideMark/>
          </w:tcPr>
          <w:p w:rsidR="00AF0131" w:rsidRPr="00DE6124" w:rsidRDefault="00B12D20" w:rsidP="00C33FBD">
            <w:pPr>
              <w:pStyle w:val="Normal6"/>
              <w:rPr>
                <w:szCs w:val="24"/>
              </w:rPr>
            </w:pPr>
            <w:r w:rsidRPr="00DE6124">
              <w:t>l)</w:t>
            </w:r>
            <w:r w:rsidRPr="00DE6124">
              <w:tab/>
              <w:t xml:space="preserve">analizę zmian zakłóceń równowagi makroekonomicznej stwierdzonych w ramach procedury dotyczącej zakłóceń równowagi makroekonomicznej </w:t>
            </w:r>
            <w:r w:rsidRPr="00DE6124">
              <w:rPr>
                <w:b/>
                <w:i/>
              </w:rPr>
              <w:t>oraz zagrożeń dla konwergencji społecznej stwierdzonych na podstawie ram konwergencji społecznej</w:t>
            </w:r>
            <w:r w:rsidRPr="00DE6124">
              <w:t xml:space="preserve"> i, w stosownych przypadkach, wpływu, jaki będzie miało na te zakłócenia wdrażanie odpowiednich reform i inwestycji zgłoszonych w krajowym średniookresowym plan</w:t>
            </w:r>
            <w:r w:rsidRPr="00DE6124">
              <w:t xml:space="preserve">ie fiskalno-strukturalnym zgodnie z lit. n) </w:t>
            </w:r>
            <w:r w:rsidRPr="00DE6124">
              <w:rPr>
                <w:b/>
                <w:i/>
              </w:rPr>
              <w:t>i o)</w:t>
            </w:r>
            <w:r w:rsidRPr="00DE6124">
              <w:t xml:space="preserve"> załącznika II;</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41</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Załącznik III – akapit 1 – litera n</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n)</w:t>
            </w:r>
            <w:r w:rsidRPr="00DE6124">
              <w:tab/>
              <w:t>informacje dotyczące zmian w zakresie rynku pracy, umiejętności i polityki społecznej, oraz na temat wdrażania środków z zakresu polityki, które służą promowaniu pozytywnej konwergencji społecznej wśród państw członkowskich, aby zapewnić lepsz</w:t>
            </w:r>
            <w:r w:rsidRPr="00DE6124">
              <w:t>e warunki pracy i życia, zgodnie z zasadami Europejskiego filaru praw socjalnych i wytycznymi dotyczącymi polityki zatrudnienia, o których mowa w art. 148 TFUE.  Obejmują one spodziewany wpływ środków na postęp w osiąganiu krajowych celów na 2030 r. dotycz</w:t>
            </w:r>
            <w:r w:rsidRPr="00DE6124">
              <w:t>ących zatrudnienia, umiejętności i ograniczania ubóstwa;</w:t>
            </w:r>
          </w:p>
        </w:tc>
        <w:tc>
          <w:tcPr>
            <w:tcW w:w="4876" w:type="dxa"/>
            <w:hideMark/>
          </w:tcPr>
          <w:p w:rsidR="00AF0131" w:rsidRPr="00DE6124" w:rsidRDefault="00B12D20" w:rsidP="00C33FBD">
            <w:pPr>
              <w:pStyle w:val="Normal6"/>
              <w:rPr>
                <w:szCs w:val="24"/>
              </w:rPr>
            </w:pPr>
            <w:r w:rsidRPr="00DE6124">
              <w:t>n)</w:t>
            </w:r>
            <w:r w:rsidRPr="00DE6124">
              <w:tab/>
              <w:t>informacje dotyczące zmian w zakresie rynku pracy, umiejętności i polityki społecznej, oraz na temat wdrażania środków z zakresu polityki, które służą promowaniu pozytywnej konwergencji społecznej</w:t>
            </w:r>
            <w:r w:rsidRPr="00DE6124">
              <w:t xml:space="preserve"> wśród państw członkowskich, aby zapewnić lepsze warunki pracy i życia, zgodnie z zasadami Europejskiego filaru praw socjalnych i wytycznymi dotyczącymi polityki zatrudnienia, o których mowa w art. 148 TFUE</w:t>
            </w:r>
            <w:r w:rsidRPr="00DE6124">
              <w:rPr>
                <w:b/>
                <w:i/>
              </w:rPr>
              <w:t>, oraz ramami konwergencji społecznej</w:t>
            </w:r>
            <w:r w:rsidRPr="00DE6124">
              <w:t>. Obejmują on</w:t>
            </w:r>
            <w:r w:rsidRPr="00DE6124">
              <w:t xml:space="preserve">e spodziewany wpływ środków na postęp w osiąganiu krajowych celów na 2030 r. dotyczących zatrudnienia, umiejętności i ograniczania ubóstwa </w:t>
            </w:r>
            <w:r w:rsidRPr="00DE6124">
              <w:rPr>
                <w:b/>
                <w:i/>
              </w:rPr>
              <w:t xml:space="preserve">oraz, w stosownych przypadkach, spodziewany wpływ środków mających na celu korygowanie zagrożeń dla konwergencji </w:t>
            </w:r>
            <w:r w:rsidRPr="00DE6124">
              <w:rPr>
                <w:b/>
                <w:i/>
              </w:rPr>
              <w:t>społecznej stwierdzonych na podstawie ram konwergencji społecznej</w:t>
            </w:r>
            <w:r w:rsidRPr="00DE6124">
              <w:t>.</w:t>
            </w:r>
          </w:p>
        </w:tc>
      </w:tr>
    </w:tbl>
    <w:p w:rsidR="00AF0131" w:rsidRPr="00DE6124" w:rsidRDefault="00B12D20" w:rsidP="00AF0131">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42</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Załącznik III – akapit 1 – litera o a (nowa)</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w:t>
            </w:r>
            <w:r w:rsidRPr="00DE6124">
              <w:t xml:space="preserve">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AF0131" w:rsidP="00C33FBD">
            <w:pPr>
              <w:pStyle w:val="Normal6"/>
            </w:pPr>
          </w:p>
        </w:tc>
        <w:tc>
          <w:tcPr>
            <w:tcW w:w="4876" w:type="dxa"/>
            <w:hideMark/>
          </w:tcPr>
          <w:p w:rsidR="00AF0131" w:rsidRPr="00DE6124" w:rsidRDefault="00B12D20" w:rsidP="00C33FBD">
            <w:pPr>
              <w:pStyle w:val="Normal6"/>
              <w:rPr>
                <w:szCs w:val="24"/>
              </w:rPr>
            </w:pPr>
            <w:r w:rsidRPr="00DE6124">
              <w:rPr>
                <w:b/>
                <w:i/>
              </w:rPr>
              <w:t>oa)</w:t>
            </w:r>
            <w:r w:rsidRPr="00DE6124">
              <w:tab/>
            </w:r>
            <w:r w:rsidRPr="00DE6124">
              <w:rPr>
                <w:b/>
                <w:i/>
              </w:rPr>
              <w:t>informacje na temat konsultacji z partnerami społecznymi, organizacjami społeczeństwa obywatelskiego i innymi odpowiednimi zainteresowanymi stronami w celu opracowania sprawozdania</w:t>
            </w:r>
            <w:r w:rsidRPr="00DE6124">
              <w:t>.</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t>&lt;/Amend&gt;</w:t>
      </w:r>
    </w:p>
    <w:p w:rsidR="00AF0131" w:rsidRPr="00DE6124" w:rsidRDefault="00B12D20" w:rsidP="00C56375">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43</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Załącznik VII – punkt 2 – akapit 2 – punkt 2.1 – wprowadzenie</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2.1</w:t>
            </w:r>
            <w:r w:rsidRPr="00DE6124">
              <w:tab/>
              <w:t xml:space="preserve">Zobowiązania dotyczące pakietu </w:t>
            </w:r>
            <w:r w:rsidRPr="00DE6124">
              <w:lastRenderedPageBreak/>
              <w:t xml:space="preserve">reform i inwestycji pobudzają wzrost </w:t>
            </w:r>
            <w:r w:rsidRPr="00DE6124">
              <w:t>gospodarczy;</w:t>
            </w:r>
          </w:p>
        </w:tc>
        <w:tc>
          <w:tcPr>
            <w:tcW w:w="4876" w:type="dxa"/>
            <w:hideMark/>
          </w:tcPr>
          <w:p w:rsidR="00AF0131" w:rsidRPr="00DE6124" w:rsidRDefault="00B12D20" w:rsidP="00C33FBD">
            <w:pPr>
              <w:pStyle w:val="Normal6"/>
              <w:rPr>
                <w:szCs w:val="24"/>
              </w:rPr>
            </w:pPr>
            <w:r w:rsidRPr="00DE6124">
              <w:lastRenderedPageBreak/>
              <w:t>2.1</w:t>
            </w:r>
            <w:r w:rsidRPr="00DE6124">
              <w:tab/>
              <w:t xml:space="preserve">Zobowiązania dotyczące pakietu </w:t>
            </w:r>
            <w:r w:rsidRPr="00DE6124">
              <w:lastRenderedPageBreak/>
              <w:t xml:space="preserve">reform i inwestycji pobudzają </w:t>
            </w:r>
            <w:r w:rsidRPr="00DE6124">
              <w:rPr>
                <w:b/>
                <w:i/>
              </w:rPr>
              <w:t>zrównoważony</w:t>
            </w:r>
            <w:r w:rsidRPr="00DE6124">
              <w:t xml:space="preserve"> wzrost gospodarczy. </w:t>
            </w:r>
            <w:r w:rsidRPr="00DE6124">
              <w:rPr>
                <w:b/>
                <w:i/>
              </w:rPr>
              <w:t>Oczekuje się, że zobowiązania dotyczące pakietu reform i inwestycji będą się wiązać z wystarczającymi postępami w realizacji celów krajowych, w p</w:t>
            </w:r>
            <w:r w:rsidRPr="00DE6124">
              <w:rPr>
                <w:b/>
                <w:i/>
              </w:rPr>
              <w:t>owiązaniu z głównymi celami Europejskiego filaru praw socjalnych oraz ich głównymi i drugorzędnymi wskaźnikami.</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lastRenderedPageBreak/>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44</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Wniosek dotyczący 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 xml:space="preserve">Załącznik VII – punkt 2 – akapit 2 </w:t>
      </w:r>
      <w:r w:rsidRPr="00DE6124">
        <w:t>– punkt 2.2 a (nowy)</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tcPr>
          <w:p w:rsidR="00AF0131" w:rsidRPr="00DE6124" w:rsidRDefault="00AF0131" w:rsidP="00C33FBD">
            <w:pPr>
              <w:pStyle w:val="Normal6"/>
            </w:pPr>
          </w:p>
        </w:tc>
        <w:tc>
          <w:tcPr>
            <w:tcW w:w="4876" w:type="dxa"/>
            <w:hideMark/>
          </w:tcPr>
          <w:p w:rsidR="00AF0131" w:rsidRPr="00DE6124" w:rsidRDefault="00B12D20" w:rsidP="00C33FBD">
            <w:pPr>
              <w:pStyle w:val="Normal6"/>
              <w:rPr>
                <w:szCs w:val="24"/>
              </w:rPr>
            </w:pPr>
            <w:r w:rsidRPr="00DE6124">
              <w:rPr>
                <w:b/>
                <w:i/>
              </w:rPr>
              <w:t>2.2a</w:t>
            </w:r>
            <w:r w:rsidRPr="00DE6124">
              <w:rPr>
                <w:b/>
                <w:i/>
              </w:rPr>
              <w:tab/>
              <w:t>Zobowiązania dotyczące pakietu reform i inwestycji wspierają pozytywną konwergencję społeczną;</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t>&lt;/Amend&gt;</w:t>
      </w: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45</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 xml:space="preserve">Wniosek dotyczący </w:t>
      </w:r>
      <w:r w:rsidRPr="00DE6124">
        <w:t>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Załącznik VII – punkt 2 – akapit 2 – punkt 2.4 – wprowadzenie</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2.4</w:t>
            </w:r>
            <w:r w:rsidRPr="00DE6124">
              <w:tab/>
              <w:t>Zobowiązania dotyczące pakietu reform i inwestycji uwzględniają łącznie odpowiednie zalecenia dla pos</w:t>
            </w:r>
            <w:r w:rsidRPr="00DE6124">
              <w:t>zczególnych krajów, w tym, w stosownych przypadkach, zalecenia wydane w ramach procedury dotyczącej zakłóceń równowagi makroekonomicznej.</w:t>
            </w:r>
          </w:p>
        </w:tc>
        <w:tc>
          <w:tcPr>
            <w:tcW w:w="4876" w:type="dxa"/>
            <w:hideMark/>
          </w:tcPr>
          <w:p w:rsidR="00AF0131" w:rsidRPr="00DE6124" w:rsidRDefault="00B12D20" w:rsidP="00C33FBD">
            <w:pPr>
              <w:pStyle w:val="Normal6"/>
              <w:rPr>
                <w:szCs w:val="24"/>
              </w:rPr>
            </w:pPr>
            <w:r w:rsidRPr="00DE6124">
              <w:t>2.4</w:t>
            </w:r>
            <w:r w:rsidRPr="00DE6124">
              <w:tab/>
              <w:t>Zobowiązania dotyczące pakietu reform i inwestycji uwzględniają łącznie odpowiednie zalecenia dla poszczególnych k</w:t>
            </w:r>
            <w:r w:rsidRPr="00DE6124">
              <w:t xml:space="preserve">rajów </w:t>
            </w:r>
            <w:r w:rsidRPr="00DE6124">
              <w:rPr>
                <w:b/>
                <w:i/>
              </w:rPr>
              <w:t>na podstawie art. 121 ust. 4 i art. 148 ust. 4 TFUE</w:t>
            </w:r>
            <w:r w:rsidRPr="00DE6124">
              <w:t>, w tym, w stosownych przypadkach, zalecenia wydane w ramach procedury dotyczącej zakłóceń równowagi makroekonomicznej.</w:t>
            </w:r>
          </w:p>
        </w:tc>
      </w:tr>
    </w:tbl>
    <w:p w:rsidR="00AF0131" w:rsidRPr="00DE6124" w:rsidRDefault="00B12D20" w:rsidP="00C56375">
      <w:pPr>
        <w:rPr>
          <w:rStyle w:val="HideTWBExt"/>
          <w:rFonts w:ascii="Times New Roman" w:hAnsi="Times New Roman" w:cs="Times New Roman"/>
          <w:noProof w:val="0"/>
          <w:vanish w:val="0"/>
          <w:color w:val="auto"/>
          <w:sz w:val="24"/>
        </w:rPr>
      </w:pPr>
      <w:r w:rsidRPr="00DE6124">
        <w:rPr>
          <w:rStyle w:val="HideTWBExt"/>
        </w:rPr>
        <w:t>&lt;/Amend&gt;</w:t>
      </w:r>
    </w:p>
    <w:p w:rsidR="00AF0131" w:rsidRPr="00DE6124" w:rsidRDefault="00AF0131" w:rsidP="00AF0131">
      <w:pPr>
        <w:rPr>
          <w:rStyle w:val="HideTWBExt"/>
        </w:rPr>
      </w:pPr>
    </w:p>
    <w:p w:rsidR="00AF0131" w:rsidRPr="00DE6124" w:rsidRDefault="00B12D20" w:rsidP="00AF0131">
      <w:pPr>
        <w:pStyle w:val="AmNumberTabs"/>
      </w:pPr>
      <w:r w:rsidRPr="00DE6124">
        <w:rPr>
          <w:rStyle w:val="HideTWBExt"/>
          <w:b w:val="0"/>
        </w:rPr>
        <w:t>&lt;Amend&gt;</w:t>
      </w:r>
      <w:r w:rsidRPr="00DE6124">
        <w:t>Poprawka</w:t>
      </w:r>
      <w:r w:rsidRPr="00DE6124">
        <w:tab/>
      </w:r>
      <w:r w:rsidRPr="00DE6124">
        <w:tab/>
      </w:r>
      <w:r w:rsidRPr="00DE6124">
        <w:rPr>
          <w:rStyle w:val="HideTWBExt"/>
          <w:b w:val="0"/>
        </w:rPr>
        <w:t>&lt;NumAm&gt;</w:t>
      </w:r>
      <w:r w:rsidRPr="00DE6124">
        <w:t>46</w:t>
      </w:r>
      <w:r w:rsidRPr="00DE6124">
        <w:rPr>
          <w:rStyle w:val="HideTWBExt"/>
          <w:b w:val="0"/>
        </w:rPr>
        <w:t>&lt;/NumAm&gt;</w:t>
      </w:r>
    </w:p>
    <w:p w:rsidR="00AF0131" w:rsidRPr="00DE6124" w:rsidRDefault="00AF0131" w:rsidP="00AF0131"/>
    <w:p w:rsidR="00AF0131" w:rsidRPr="00DE6124" w:rsidRDefault="00B12D20" w:rsidP="00AF0131">
      <w:pPr>
        <w:pStyle w:val="NormalBold"/>
        <w:keepNext/>
      </w:pPr>
      <w:r w:rsidRPr="00DE6124">
        <w:rPr>
          <w:rStyle w:val="HideTWBExt"/>
          <w:b w:val="0"/>
        </w:rPr>
        <w:t>&lt;DocAmend&gt;</w:t>
      </w:r>
      <w:r w:rsidRPr="00DE6124">
        <w:t xml:space="preserve">Wniosek dotyczący </w:t>
      </w:r>
      <w:r w:rsidRPr="00DE6124">
        <w:t>rozporządzenia</w:t>
      </w:r>
      <w:r w:rsidRPr="00DE6124">
        <w:rPr>
          <w:rStyle w:val="HideTWBExt"/>
          <w:b w:val="0"/>
        </w:rPr>
        <w:t>&lt;/DocAmend&gt;</w:t>
      </w:r>
    </w:p>
    <w:p w:rsidR="00AF0131" w:rsidRPr="00DE6124" w:rsidRDefault="00B12D20" w:rsidP="00AF0131">
      <w:pPr>
        <w:pStyle w:val="NormalBold"/>
      </w:pPr>
      <w:r w:rsidRPr="00DE6124">
        <w:rPr>
          <w:rStyle w:val="HideTWBExt"/>
          <w:b w:val="0"/>
        </w:rPr>
        <w:t>&lt;Article&gt;</w:t>
      </w:r>
      <w:r w:rsidRPr="00DE6124">
        <w:t>Załącznik VII – punkt 2 – akapit 2 – punkt 2.4 – tiret 1</w:t>
      </w:r>
      <w:r w:rsidRPr="00DE612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0139" w:rsidRPr="00DE6124" w:rsidTr="00C33FBD">
        <w:trPr>
          <w:jc w:val="center"/>
        </w:trPr>
        <w:tc>
          <w:tcPr>
            <w:tcW w:w="9752" w:type="dxa"/>
            <w:gridSpan w:val="2"/>
          </w:tcPr>
          <w:p w:rsidR="00AF0131" w:rsidRPr="00DE6124" w:rsidRDefault="00AF0131" w:rsidP="00C33FBD">
            <w:pPr>
              <w:keepNext/>
            </w:pPr>
          </w:p>
        </w:tc>
      </w:tr>
      <w:tr w:rsidR="00AA0139" w:rsidRPr="00DE6124" w:rsidTr="00C33FBD">
        <w:trPr>
          <w:jc w:val="center"/>
        </w:trPr>
        <w:tc>
          <w:tcPr>
            <w:tcW w:w="4876" w:type="dxa"/>
            <w:hideMark/>
          </w:tcPr>
          <w:p w:rsidR="00AF0131" w:rsidRPr="00DE6124" w:rsidRDefault="00B12D20" w:rsidP="00C33FBD">
            <w:pPr>
              <w:pStyle w:val="ColumnHeading"/>
              <w:keepNext/>
            </w:pPr>
            <w:r w:rsidRPr="00DE6124">
              <w:t>Tekst proponowany przez Komisję</w:t>
            </w:r>
          </w:p>
        </w:tc>
        <w:tc>
          <w:tcPr>
            <w:tcW w:w="4876" w:type="dxa"/>
            <w:hideMark/>
          </w:tcPr>
          <w:p w:rsidR="00AF0131" w:rsidRPr="00DE6124" w:rsidRDefault="00B12D20" w:rsidP="00C33FBD">
            <w:pPr>
              <w:pStyle w:val="ColumnHeading"/>
              <w:keepNext/>
            </w:pPr>
            <w:r w:rsidRPr="00DE6124">
              <w:t>Poprawka</w:t>
            </w:r>
          </w:p>
        </w:tc>
      </w:tr>
      <w:tr w:rsidR="00AA0139" w:rsidRPr="00DE6124" w:rsidTr="00C33FBD">
        <w:trPr>
          <w:jc w:val="center"/>
        </w:trPr>
        <w:tc>
          <w:tcPr>
            <w:tcW w:w="4876" w:type="dxa"/>
            <w:hideMark/>
          </w:tcPr>
          <w:p w:rsidR="00AF0131" w:rsidRPr="00DE6124" w:rsidRDefault="00B12D20" w:rsidP="00C33FBD">
            <w:pPr>
              <w:pStyle w:val="Normal6"/>
            </w:pPr>
            <w:r w:rsidRPr="00DE6124">
              <w:t>–</w:t>
            </w:r>
            <w:r w:rsidRPr="00DE6124">
              <w:tab/>
              <w:t xml:space="preserve">Oczekuje się, że zobowiązania dotyczące pakietu stosownych reform i inwestycji, które stanowią podstawę </w:t>
            </w:r>
            <w:r w:rsidRPr="00DE6124">
              <w:t>przedłużenia okresu dostosowania, odpowiedzą łącznie na główne wyzwania zidentyfikowane w odpowiednich zaleceniach dla poszczególnych krajów, w tym, w stosownych przypadkach, w zaleceniach wydanych w ramach procedury dotyczącej zakłóceń równowagi makroekon</w:t>
            </w:r>
            <w:r w:rsidRPr="00DE6124">
              <w:t>omicznej, z uwzględnieniem zakresu i skali wyzwań specyficznych dla poszczególnych państw i, w stosownych przypadkach, zobowiązań podjętych w planach odbudowy i zwiększania odporności.</w:t>
            </w:r>
          </w:p>
        </w:tc>
        <w:tc>
          <w:tcPr>
            <w:tcW w:w="4876" w:type="dxa"/>
            <w:hideMark/>
          </w:tcPr>
          <w:p w:rsidR="00AF0131" w:rsidRPr="00DE6124" w:rsidRDefault="00B12D20" w:rsidP="00C33FBD">
            <w:pPr>
              <w:pStyle w:val="Normal6"/>
              <w:rPr>
                <w:szCs w:val="24"/>
              </w:rPr>
            </w:pPr>
            <w:r w:rsidRPr="00DE6124">
              <w:t>–</w:t>
            </w:r>
            <w:r w:rsidRPr="00DE6124">
              <w:tab/>
              <w:t>Oczekuje się, że zobowiązania dotyczące pakietu stosownych reform i i</w:t>
            </w:r>
            <w:r w:rsidRPr="00DE6124">
              <w:t>nwestycji, które stanowią podstawę przedłużenia okresu dostosowania, odpowiedzą łącznie na główne wyzwania zidentyfikowane w odpowiednich zaleceniach dla poszczególnych krajów, w tym, w stosownych przypadkach, w zaleceniach wydanych w ramach procedury doty</w:t>
            </w:r>
            <w:r w:rsidRPr="00DE6124">
              <w:t xml:space="preserve">czącej zakłóceń równowagi makroekonomicznej </w:t>
            </w:r>
            <w:r w:rsidRPr="00DE6124">
              <w:rPr>
                <w:b/>
                <w:i/>
              </w:rPr>
              <w:t>i zaleceniach wydanych na podstawie art. 148 ust. 4 TFUE</w:t>
            </w:r>
            <w:r w:rsidRPr="00DE6124">
              <w:t>, z uwzględnieniem zakresu i skali wyzwań specyficznych dla poszczególnych państw i, w stosownych przypadkach, zobowiązań podjętych w planach odbudowy i zwi</w:t>
            </w:r>
            <w:r w:rsidRPr="00DE6124">
              <w:t>ększania odporności.</w:t>
            </w:r>
          </w:p>
        </w:tc>
      </w:tr>
    </w:tbl>
    <w:p w:rsidR="00AF0131" w:rsidRPr="00DE6124" w:rsidRDefault="00B12D20" w:rsidP="00AF0131">
      <w:pPr>
        <w:rPr>
          <w:rStyle w:val="HideTWBExt"/>
        </w:rPr>
      </w:pPr>
      <w:r w:rsidRPr="00DE6124">
        <w:rPr>
          <w:rStyle w:val="HideTWBExt"/>
        </w:rPr>
        <w:t>&lt;/Amend&gt;</w:t>
      </w:r>
    </w:p>
    <w:p w:rsidR="00AF0131" w:rsidRPr="00DE6124" w:rsidRDefault="00B12D20" w:rsidP="00AF0131">
      <w:pPr>
        <w:rPr>
          <w:rStyle w:val="HideTWBExt"/>
          <w:szCs w:val="20"/>
        </w:rPr>
      </w:pPr>
      <w:r w:rsidRPr="00DE6124">
        <w:rPr>
          <w:rStyle w:val="HideTWBExt"/>
        </w:rPr>
        <w:t>&lt;/RepeatBlock-Amend&gt;</w:t>
      </w:r>
    </w:p>
    <w:p w:rsidR="00AF0131" w:rsidRPr="00DE6124" w:rsidRDefault="00B12D20" w:rsidP="00AF0131">
      <w:r w:rsidRPr="00DE6124">
        <w:br w:type="page"/>
      </w:r>
    </w:p>
    <w:p w:rsidR="00AF0131" w:rsidRPr="00DE6124" w:rsidRDefault="00B12D20" w:rsidP="00AF0131">
      <w:pPr>
        <w:pStyle w:val="PageHeadingNotTOC"/>
      </w:pPr>
      <w:bookmarkStart w:id="2" w:name="ProcPageAD"/>
      <w:r w:rsidRPr="00DE6124">
        <w:lastRenderedPageBreak/>
        <w:t>PROCEDURA W KOMISJI OPINIODAWCZEJ</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A0139" w:rsidRPr="00DE6124"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DE6124" w:rsidRDefault="00B12D20" w:rsidP="00C33FBD">
            <w:pPr>
              <w:autoSpaceDE w:val="0"/>
              <w:autoSpaceDN w:val="0"/>
              <w:adjustRightInd w:val="0"/>
              <w:rPr>
                <w:b/>
                <w:bCs/>
                <w:color w:val="000000"/>
                <w:sz w:val="20"/>
                <w:szCs w:val="20"/>
              </w:rPr>
            </w:pPr>
            <w:r w:rsidRPr="00DE6124">
              <w:rPr>
                <w:b/>
                <w:color w:val="000000"/>
                <w:sz w:val="20"/>
              </w:rPr>
              <w:t>Tytuł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DE6124" w:rsidRDefault="00B12D20" w:rsidP="00C33FBD">
            <w:pPr>
              <w:autoSpaceDE w:val="0"/>
              <w:autoSpaceDN w:val="0"/>
              <w:adjustRightInd w:val="0"/>
              <w:rPr>
                <w:color w:val="000000"/>
                <w:sz w:val="20"/>
                <w:szCs w:val="20"/>
              </w:rPr>
            </w:pPr>
            <w:r w:rsidRPr="00DE6124">
              <w:rPr>
                <w:color w:val="000000"/>
                <w:sz w:val="20"/>
              </w:rPr>
              <w:t>Skuteczna koordynacja polityk gospodarczych i wielostronnego nadzoru budżetowego oraz uchylenie rozporządzenia Rady (WE) nr 1466/97</w:t>
            </w:r>
          </w:p>
        </w:tc>
      </w:tr>
      <w:tr w:rsidR="00AA0139" w:rsidRPr="00DE6124"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DE6124" w:rsidRDefault="00B12D20" w:rsidP="00C33FBD">
            <w:pPr>
              <w:autoSpaceDE w:val="0"/>
              <w:autoSpaceDN w:val="0"/>
              <w:adjustRightInd w:val="0"/>
              <w:rPr>
                <w:b/>
                <w:bCs/>
                <w:color w:val="000000"/>
                <w:sz w:val="20"/>
                <w:szCs w:val="20"/>
              </w:rPr>
            </w:pPr>
            <w:r w:rsidRPr="00DE6124">
              <w:rPr>
                <w:b/>
                <w:color w:val="000000"/>
                <w:sz w:val="20"/>
              </w:rPr>
              <w:t>Odsyłacze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DE6124" w:rsidRDefault="00B12D20" w:rsidP="00C33FBD">
            <w:pPr>
              <w:autoSpaceDE w:val="0"/>
              <w:autoSpaceDN w:val="0"/>
              <w:adjustRightInd w:val="0"/>
              <w:rPr>
                <w:color w:val="000000"/>
                <w:sz w:val="20"/>
                <w:szCs w:val="20"/>
              </w:rPr>
            </w:pPr>
            <w:r w:rsidRPr="00DE6124">
              <w:rPr>
                <w:color w:val="000000"/>
                <w:sz w:val="20"/>
              </w:rPr>
              <w:t xml:space="preserve">COM(2023)0240 – </w:t>
            </w:r>
            <w:r w:rsidRPr="00DE6124">
              <w:rPr>
                <w:color w:val="000000"/>
                <w:sz w:val="20"/>
              </w:rPr>
              <w:t>C9-0150/2023 – 2023/0138(COD)</w:t>
            </w:r>
          </w:p>
        </w:tc>
      </w:tr>
      <w:tr w:rsidR="00AA0139" w:rsidRPr="00DE6124"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DE6124" w:rsidRDefault="00B12D20" w:rsidP="00C33FBD">
            <w:pPr>
              <w:autoSpaceDE w:val="0"/>
              <w:autoSpaceDN w:val="0"/>
              <w:adjustRightInd w:val="0"/>
              <w:rPr>
                <w:b/>
                <w:bCs/>
                <w:color w:val="000000"/>
                <w:sz w:val="20"/>
                <w:szCs w:val="20"/>
              </w:rPr>
            </w:pPr>
            <w:r w:rsidRPr="00DE6124">
              <w:rPr>
                <w:b/>
                <w:color w:val="000000"/>
                <w:sz w:val="20"/>
              </w:rPr>
              <w:t>Komisja przedmiotowo właściwa</w:t>
            </w:r>
          </w:p>
          <w:p w:rsidR="00AF0131" w:rsidRPr="00DE6124" w:rsidRDefault="00B12D20" w:rsidP="00C33FBD">
            <w:pPr>
              <w:autoSpaceDE w:val="0"/>
              <w:autoSpaceDN w:val="0"/>
              <w:adjustRightInd w:val="0"/>
              <w:rPr>
                <w:color w:val="000000"/>
                <w:sz w:val="20"/>
                <w:szCs w:val="20"/>
              </w:rPr>
            </w:pPr>
            <w:r w:rsidRPr="00DE6124">
              <w:rPr>
                <w:color w:val="000000"/>
                <w:sz w:val="20"/>
              </w:rPr>
              <w:t>       Data ogłoszenia na posiedzeniu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DE6124" w:rsidRDefault="00B12D20" w:rsidP="00C33FBD">
            <w:pPr>
              <w:autoSpaceDE w:val="0"/>
              <w:autoSpaceDN w:val="0"/>
              <w:adjustRightInd w:val="0"/>
              <w:rPr>
                <w:color w:val="000000"/>
                <w:sz w:val="20"/>
                <w:szCs w:val="20"/>
              </w:rPr>
            </w:pPr>
            <w:r w:rsidRPr="00DE6124">
              <w:rPr>
                <w:color w:val="000000"/>
                <w:sz w:val="20"/>
              </w:rPr>
              <w:t>ECON</w:t>
            </w:r>
          </w:p>
          <w:p w:rsidR="00AF0131" w:rsidRPr="00DE6124" w:rsidRDefault="00B12D20" w:rsidP="00C33FBD">
            <w:pPr>
              <w:autoSpaceDE w:val="0"/>
              <w:autoSpaceDN w:val="0"/>
              <w:adjustRightInd w:val="0"/>
              <w:rPr>
                <w:color w:val="000000"/>
                <w:sz w:val="20"/>
                <w:szCs w:val="20"/>
              </w:rPr>
            </w:pPr>
            <w:r w:rsidRPr="00DE6124">
              <w:rPr>
                <w:color w:val="000000"/>
                <w:sz w:val="20"/>
              </w:rPr>
              <w:t>12.6.2023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DE6124"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DE6124"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DE6124" w:rsidRDefault="00AF0131" w:rsidP="00C33FBD">
            <w:pPr>
              <w:autoSpaceDE w:val="0"/>
              <w:autoSpaceDN w:val="0"/>
              <w:adjustRightInd w:val="0"/>
              <w:rPr>
                <w:rFonts w:ascii="sans-serif" w:hAnsi="sans-serif" w:cs="sans-serif"/>
                <w:color w:val="000000"/>
              </w:rPr>
            </w:pPr>
          </w:p>
        </w:tc>
      </w:tr>
      <w:tr w:rsidR="00AA0139" w:rsidRPr="00DE6124"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DE6124" w:rsidRDefault="00B12D20" w:rsidP="00C33FBD">
            <w:pPr>
              <w:autoSpaceDE w:val="0"/>
              <w:autoSpaceDN w:val="0"/>
              <w:adjustRightInd w:val="0"/>
              <w:rPr>
                <w:b/>
                <w:bCs/>
                <w:color w:val="000000"/>
                <w:sz w:val="20"/>
                <w:szCs w:val="20"/>
              </w:rPr>
            </w:pPr>
            <w:r w:rsidRPr="00DE6124">
              <w:rPr>
                <w:b/>
                <w:color w:val="000000"/>
                <w:sz w:val="20"/>
              </w:rPr>
              <w:t>Opinia wydana przez</w:t>
            </w:r>
          </w:p>
          <w:p w:rsidR="00AF0131" w:rsidRPr="00DE6124" w:rsidRDefault="00B12D20" w:rsidP="00C33FBD">
            <w:pPr>
              <w:autoSpaceDE w:val="0"/>
              <w:autoSpaceDN w:val="0"/>
              <w:adjustRightInd w:val="0"/>
              <w:rPr>
                <w:color w:val="000000"/>
                <w:sz w:val="20"/>
                <w:szCs w:val="20"/>
              </w:rPr>
            </w:pPr>
            <w:r w:rsidRPr="00DE6124">
              <w:rPr>
                <w:color w:val="000000"/>
                <w:sz w:val="20"/>
              </w:rPr>
              <w:t>       Data ogłoszenia na posiedzeniu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DE6124" w:rsidRDefault="00B12D20" w:rsidP="00C33FBD">
            <w:pPr>
              <w:autoSpaceDE w:val="0"/>
              <w:autoSpaceDN w:val="0"/>
              <w:adjustRightInd w:val="0"/>
              <w:rPr>
                <w:color w:val="000000"/>
                <w:sz w:val="20"/>
                <w:szCs w:val="20"/>
              </w:rPr>
            </w:pPr>
            <w:r w:rsidRPr="00DE6124">
              <w:rPr>
                <w:color w:val="000000"/>
                <w:sz w:val="20"/>
              </w:rPr>
              <w:t>EMPL</w:t>
            </w:r>
          </w:p>
          <w:p w:rsidR="00AF0131" w:rsidRPr="00DE6124" w:rsidRDefault="00B12D20" w:rsidP="00C33FBD">
            <w:pPr>
              <w:autoSpaceDE w:val="0"/>
              <w:autoSpaceDN w:val="0"/>
              <w:adjustRightInd w:val="0"/>
              <w:rPr>
                <w:color w:val="000000"/>
                <w:sz w:val="20"/>
                <w:szCs w:val="20"/>
              </w:rPr>
            </w:pPr>
            <w:r w:rsidRPr="00DE6124">
              <w:rPr>
                <w:color w:val="000000"/>
                <w:sz w:val="20"/>
              </w:rPr>
              <w:t>12.6.2023</w:t>
            </w:r>
          </w:p>
        </w:tc>
      </w:tr>
      <w:tr w:rsidR="00AA0139" w:rsidRPr="00DE6124"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DE6124" w:rsidRDefault="00B12D20" w:rsidP="00C33FBD">
            <w:pPr>
              <w:autoSpaceDE w:val="0"/>
              <w:autoSpaceDN w:val="0"/>
              <w:adjustRightInd w:val="0"/>
              <w:rPr>
                <w:b/>
                <w:bCs/>
                <w:color w:val="000000"/>
                <w:sz w:val="20"/>
                <w:szCs w:val="20"/>
              </w:rPr>
            </w:pPr>
            <w:r w:rsidRPr="00DE6124">
              <w:rPr>
                <w:b/>
                <w:color w:val="000000"/>
                <w:sz w:val="20"/>
              </w:rPr>
              <w:t>Zaangażowane komisje - Data ogłoszenia na posiedzeniu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DE6124" w:rsidRDefault="00B12D20" w:rsidP="00C33FBD">
            <w:pPr>
              <w:autoSpaceDE w:val="0"/>
              <w:autoSpaceDN w:val="0"/>
              <w:adjustRightInd w:val="0"/>
              <w:rPr>
                <w:color w:val="000000"/>
                <w:sz w:val="20"/>
                <w:szCs w:val="20"/>
              </w:rPr>
            </w:pPr>
            <w:r w:rsidRPr="00DE6124">
              <w:rPr>
                <w:color w:val="000000"/>
                <w:sz w:val="20"/>
              </w:rPr>
              <w:t>14.9.2023</w:t>
            </w:r>
          </w:p>
        </w:tc>
      </w:tr>
      <w:tr w:rsidR="00AA0139" w:rsidRPr="00DE6124"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DE6124" w:rsidRDefault="00B12D20" w:rsidP="00C33FBD">
            <w:pPr>
              <w:autoSpaceDE w:val="0"/>
              <w:autoSpaceDN w:val="0"/>
              <w:adjustRightInd w:val="0"/>
              <w:rPr>
                <w:b/>
                <w:bCs/>
                <w:color w:val="000000"/>
                <w:sz w:val="20"/>
                <w:szCs w:val="20"/>
              </w:rPr>
            </w:pPr>
            <w:r w:rsidRPr="00DE6124">
              <w:rPr>
                <w:b/>
                <w:color w:val="000000"/>
                <w:sz w:val="20"/>
              </w:rPr>
              <w:t>Sprawozdawczyni komisji opiniodawczej</w:t>
            </w:r>
          </w:p>
          <w:p w:rsidR="00AF0131" w:rsidRPr="00DE6124" w:rsidRDefault="00B12D20" w:rsidP="00C33FBD">
            <w:pPr>
              <w:autoSpaceDE w:val="0"/>
              <w:autoSpaceDN w:val="0"/>
              <w:adjustRightInd w:val="0"/>
              <w:rPr>
                <w:color w:val="000000"/>
                <w:sz w:val="20"/>
                <w:szCs w:val="20"/>
              </w:rPr>
            </w:pPr>
            <w:r w:rsidRPr="00DE6124">
              <w:rPr>
                <w:color w:val="000000"/>
                <w:sz w:val="20"/>
              </w:rPr>
              <w:t>       Data powołania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DE6124" w:rsidRDefault="00B12D20" w:rsidP="00C33FBD">
            <w:pPr>
              <w:autoSpaceDE w:val="0"/>
              <w:autoSpaceDN w:val="0"/>
              <w:adjustRightInd w:val="0"/>
              <w:rPr>
                <w:color w:val="000000"/>
                <w:sz w:val="20"/>
                <w:szCs w:val="20"/>
              </w:rPr>
            </w:pPr>
            <w:r w:rsidRPr="00DE6124">
              <w:rPr>
                <w:color w:val="000000"/>
                <w:sz w:val="20"/>
              </w:rPr>
              <w:t>Gabriele Bischoff</w:t>
            </w:r>
          </w:p>
          <w:p w:rsidR="00AF0131" w:rsidRPr="00DE6124" w:rsidRDefault="00B12D20" w:rsidP="00C33FBD">
            <w:pPr>
              <w:autoSpaceDE w:val="0"/>
              <w:autoSpaceDN w:val="0"/>
              <w:adjustRightInd w:val="0"/>
              <w:rPr>
                <w:color w:val="000000"/>
                <w:sz w:val="20"/>
                <w:szCs w:val="20"/>
              </w:rPr>
            </w:pPr>
            <w:r w:rsidRPr="00DE6124">
              <w:rPr>
                <w:color w:val="000000"/>
                <w:sz w:val="20"/>
              </w:rPr>
              <w:t>29.6.2023</w:t>
            </w:r>
          </w:p>
        </w:tc>
      </w:tr>
      <w:tr w:rsidR="00AA0139" w:rsidRPr="00DE6124"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DE6124" w:rsidRDefault="00B12D20" w:rsidP="00C33FBD">
            <w:pPr>
              <w:autoSpaceDE w:val="0"/>
              <w:autoSpaceDN w:val="0"/>
              <w:adjustRightInd w:val="0"/>
              <w:rPr>
                <w:b/>
                <w:bCs/>
                <w:color w:val="000000"/>
                <w:sz w:val="20"/>
                <w:szCs w:val="20"/>
              </w:rPr>
            </w:pPr>
            <w:r w:rsidRPr="00DE6124">
              <w:rPr>
                <w:b/>
                <w:color w:val="000000"/>
                <w:sz w:val="20"/>
              </w:rPr>
              <w:t>Rozpatrzenie w komisji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DE6124" w:rsidRDefault="00B12D20" w:rsidP="00C33FBD">
            <w:pPr>
              <w:autoSpaceDE w:val="0"/>
              <w:autoSpaceDN w:val="0"/>
              <w:adjustRightInd w:val="0"/>
              <w:rPr>
                <w:color w:val="000000"/>
                <w:sz w:val="20"/>
                <w:szCs w:val="20"/>
              </w:rPr>
            </w:pPr>
            <w:r w:rsidRPr="00DE6124">
              <w:rPr>
                <w:color w:val="000000"/>
                <w:sz w:val="20"/>
              </w:rPr>
              <w:t>2.10.2023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DE6124"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DE6124"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DE6124" w:rsidRDefault="00AF0131" w:rsidP="00C33FBD">
            <w:pPr>
              <w:autoSpaceDE w:val="0"/>
              <w:autoSpaceDN w:val="0"/>
              <w:adjustRightInd w:val="0"/>
              <w:rPr>
                <w:rFonts w:ascii="sans-serif" w:hAnsi="sans-serif" w:cs="sans-serif"/>
                <w:color w:val="000000"/>
              </w:rPr>
            </w:pPr>
          </w:p>
        </w:tc>
      </w:tr>
      <w:tr w:rsidR="00AA0139" w:rsidRPr="00DE6124"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DE6124" w:rsidRDefault="00B12D20" w:rsidP="00C33FBD">
            <w:pPr>
              <w:autoSpaceDE w:val="0"/>
              <w:autoSpaceDN w:val="0"/>
              <w:adjustRightInd w:val="0"/>
              <w:rPr>
                <w:b/>
                <w:bCs/>
                <w:color w:val="000000"/>
                <w:sz w:val="20"/>
                <w:szCs w:val="20"/>
              </w:rPr>
            </w:pPr>
            <w:r w:rsidRPr="00DE6124">
              <w:rPr>
                <w:b/>
                <w:color w:val="000000"/>
                <w:sz w:val="20"/>
              </w:rPr>
              <w:t>Data przyjęcia</w:t>
            </w:r>
          </w:p>
        </w:tc>
        <w:tc>
          <w:tcPr>
            <w:tcW w:w="1530" w:type="dxa"/>
            <w:tcBorders>
              <w:top w:val="nil"/>
              <w:left w:val="nil"/>
              <w:bottom w:val="single" w:sz="8" w:space="0" w:color="000000"/>
              <w:right w:val="nil"/>
            </w:tcBorders>
            <w:tcMar>
              <w:top w:w="79" w:type="dxa"/>
              <w:left w:w="79" w:type="dxa"/>
              <w:bottom w:w="79" w:type="dxa"/>
              <w:right w:w="79" w:type="dxa"/>
            </w:tcMar>
          </w:tcPr>
          <w:p w:rsidR="00AF0131" w:rsidRPr="00DE6124" w:rsidRDefault="00B12D20" w:rsidP="00C33FBD">
            <w:pPr>
              <w:autoSpaceDE w:val="0"/>
              <w:autoSpaceDN w:val="0"/>
              <w:adjustRightInd w:val="0"/>
              <w:rPr>
                <w:color w:val="000000"/>
                <w:sz w:val="20"/>
                <w:szCs w:val="20"/>
              </w:rPr>
            </w:pPr>
            <w:r w:rsidRPr="00DE6124">
              <w:rPr>
                <w:color w:val="000000"/>
                <w:sz w:val="20"/>
              </w:rPr>
              <w:t>25.10.2023</w:t>
            </w:r>
          </w:p>
        </w:tc>
        <w:tc>
          <w:tcPr>
            <w:tcW w:w="1474" w:type="dxa"/>
            <w:tcBorders>
              <w:top w:val="nil"/>
              <w:left w:val="nil"/>
              <w:bottom w:val="single" w:sz="8" w:space="0" w:color="000000"/>
              <w:right w:val="nil"/>
            </w:tcBorders>
            <w:tcMar>
              <w:top w:w="79" w:type="dxa"/>
              <w:left w:w="79" w:type="dxa"/>
              <w:bottom w:w="79" w:type="dxa"/>
              <w:right w:w="79" w:type="dxa"/>
            </w:tcMar>
          </w:tcPr>
          <w:p w:rsidR="00AF0131" w:rsidRPr="00DE6124" w:rsidRDefault="00AF0131" w:rsidP="00C33FB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AF0131" w:rsidRPr="00DE6124" w:rsidRDefault="00AF0131" w:rsidP="00C33FB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F0131" w:rsidRPr="00DE6124" w:rsidRDefault="00AF0131" w:rsidP="00C33FBD">
            <w:pPr>
              <w:autoSpaceDE w:val="0"/>
              <w:autoSpaceDN w:val="0"/>
              <w:adjustRightInd w:val="0"/>
              <w:rPr>
                <w:rFonts w:ascii="sans-serif" w:hAnsi="sans-serif" w:cs="sans-serif"/>
                <w:color w:val="000000"/>
              </w:rPr>
            </w:pPr>
          </w:p>
        </w:tc>
      </w:tr>
      <w:tr w:rsidR="00AA0139" w:rsidRPr="00DE6124"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DE6124" w:rsidRDefault="00B12D20" w:rsidP="00C33FBD">
            <w:pPr>
              <w:autoSpaceDE w:val="0"/>
              <w:autoSpaceDN w:val="0"/>
              <w:adjustRightInd w:val="0"/>
              <w:rPr>
                <w:b/>
                <w:bCs/>
                <w:color w:val="000000"/>
                <w:sz w:val="20"/>
                <w:szCs w:val="20"/>
              </w:rPr>
            </w:pPr>
            <w:r w:rsidRPr="00DE6124">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DE6124" w:rsidRDefault="00B12D20" w:rsidP="00C33FBD">
            <w:pPr>
              <w:autoSpaceDE w:val="0"/>
              <w:autoSpaceDN w:val="0"/>
              <w:adjustRightInd w:val="0"/>
              <w:rPr>
                <w:color w:val="000000"/>
                <w:sz w:val="20"/>
                <w:szCs w:val="20"/>
              </w:rPr>
            </w:pPr>
            <w:r w:rsidRPr="00DE6124">
              <w:rPr>
                <w:color w:val="000000"/>
                <w:sz w:val="20"/>
              </w:rPr>
              <w:t>+:</w:t>
            </w:r>
          </w:p>
          <w:p w:rsidR="00AF0131" w:rsidRPr="00DE6124" w:rsidRDefault="00B12D20" w:rsidP="00C33FBD">
            <w:pPr>
              <w:autoSpaceDE w:val="0"/>
              <w:autoSpaceDN w:val="0"/>
              <w:adjustRightInd w:val="0"/>
              <w:rPr>
                <w:color w:val="000000"/>
                <w:sz w:val="20"/>
                <w:szCs w:val="20"/>
              </w:rPr>
            </w:pPr>
            <w:r w:rsidRPr="00DE6124">
              <w:rPr>
                <w:color w:val="000000"/>
                <w:sz w:val="20"/>
              </w:rPr>
              <w:t>–:</w:t>
            </w:r>
          </w:p>
          <w:p w:rsidR="00AF0131" w:rsidRPr="00DE6124" w:rsidRDefault="00B12D20" w:rsidP="00C33FBD">
            <w:pPr>
              <w:autoSpaceDE w:val="0"/>
              <w:autoSpaceDN w:val="0"/>
              <w:adjustRightInd w:val="0"/>
              <w:rPr>
                <w:color w:val="000000"/>
                <w:sz w:val="20"/>
                <w:szCs w:val="20"/>
              </w:rPr>
            </w:pPr>
            <w:r w:rsidRPr="00DE612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DE6124" w:rsidRDefault="00B12D20" w:rsidP="00C33FBD">
            <w:pPr>
              <w:autoSpaceDE w:val="0"/>
              <w:autoSpaceDN w:val="0"/>
              <w:adjustRightInd w:val="0"/>
              <w:rPr>
                <w:color w:val="000000"/>
                <w:sz w:val="20"/>
                <w:szCs w:val="20"/>
              </w:rPr>
            </w:pPr>
            <w:r w:rsidRPr="00DE6124">
              <w:rPr>
                <w:color w:val="000000"/>
                <w:sz w:val="20"/>
              </w:rPr>
              <w:t>29</w:t>
            </w:r>
          </w:p>
          <w:p w:rsidR="00AF0131" w:rsidRPr="00DE6124" w:rsidRDefault="00B12D20" w:rsidP="00C33FBD">
            <w:pPr>
              <w:autoSpaceDE w:val="0"/>
              <w:autoSpaceDN w:val="0"/>
              <w:adjustRightInd w:val="0"/>
              <w:rPr>
                <w:color w:val="000000"/>
                <w:sz w:val="20"/>
                <w:szCs w:val="20"/>
              </w:rPr>
            </w:pPr>
            <w:r w:rsidRPr="00DE6124">
              <w:rPr>
                <w:color w:val="000000"/>
                <w:sz w:val="20"/>
              </w:rPr>
              <w:t>4</w:t>
            </w:r>
          </w:p>
          <w:p w:rsidR="00AF0131" w:rsidRPr="00DE6124" w:rsidRDefault="00B12D20" w:rsidP="00C33FBD">
            <w:pPr>
              <w:autoSpaceDE w:val="0"/>
              <w:autoSpaceDN w:val="0"/>
              <w:adjustRightInd w:val="0"/>
              <w:rPr>
                <w:color w:val="000000"/>
                <w:sz w:val="20"/>
                <w:szCs w:val="20"/>
              </w:rPr>
            </w:pPr>
            <w:r w:rsidRPr="00DE6124">
              <w:rPr>
                <w:color w:val="000000"/>
                <w:sz w:val="20"/>
              </w:rPr>
              <w:t>10</w:t>
            </w:r>
          </w:p>
        </w:tc>
      </w:tr>
      <w:tr w:rsidR="00AA0139" w:rsidRPr="00DE6124"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DE6124" w:rsidRDefault="00B12D20" w:rsidP="00C33FBD">
            <w:pPr>
              <w:autoSpaceDE w:val="0"/>
              <w:autoSpaceDN w:val="0"/>
              <w:adjustRightInd w:val="0"/>
              <w:rPr>
                <w:b/>
                <w:bCs/>
                <w:color w:val="000000"/>
                <w:sz w:val="20"/>
                <w:szCs w:val="20"/>
              </w:rPr>
            </w:pPr>
            <w:r w:rsidRPr="00DE6124">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DE6124" w:rsidRDefault="00B12D20" w:rsidP="00C33FBD">
            <w:pPr>
              <w:autoSpaceDE w:val="0"/>
              <w:autoSpaceDN w:val="0"/>
              <w:adjustRightInd w:val="0"/>
              <w:rPr>
                <w:color w:val="000000"/>
                <w:sz w:val="20"/>
                <w:szCs w:val="20"/>
              </w:rPr>
            </w:pPr>
            <w:r w:rsidRPr="00DE6124">
              <w:rPr>
                <w:color w:val="000000"/>
                <w:sz w:val="20"/>
              </w:rPr>
              <w:t xml:space="preserve">João </w:t>
            </w:r>
            <w:r w:rsidRPr="00DE6124">
              <w:rPr>
                <w:color w:val="000000"/>
                <w:sz w:val="20"/>
              </w:rPr>
              <w:t xml:space="preserve">Albuquerque, Marc Angel, Dominique Bilde, Gabriele Bischoff, Milan Brglez, Jordi Cañas, David Casa, Ilan De Basso, Margarita de la Pisa Carrión, Özlem Demirel, Klára Dobrev, Jarosław Duda, Estrella Durá Ferrandis, Lucia Ďuriš Nicholsonová, Loucas Fourlas, </w:t>
            </w:r>
            <w:r w:rsidRPr="00DE6124">
              <w:rPr>
                <w:color w:val="000000"/>
                <w:sz w:val="20"/>
              </w:rPr>
              <w:t>Cindy Franssen, Chiara Gemma, Helmut Geuking, Elisabetta Gualmini, Alicia Homs Ginel, Agnes Jongerius, Stelios Kympouropoulos, Katrin Langensiepen, Miriam Lexmann, Elena Lizzi, Sara Matthieu, Max Orville, Kira Marie Peter-Hansen, Dragoş Pîslaru, Elżbieta R</w:t>
            </w:r>
            <w:r w:rsidRPr="00DE6124">
              <w:rPr>
                <w:color w:val="000000"/>
                <w:sz w:val="20"/>
              </w:rPr>
              <w:t>afalska, Daniela Rondinelli, Pirkko Ruohonen-Lerner, Monica Semedo, Romana Tomc, Nikolaj Villumsen, Marianne Vind, Maria Walsh, Tomáš Zdechovský</w:t>
            </w:r>
          </w:p>
        </w:tc>
      </w:tr>
      <w:tr w:rsidR="00AA0139" w:rsidRPr="00DE6124"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DE6124" w:rsidRDefault="00B12D20" w:rsidP="00C33FBD">
            <w:pPr>
              <w:autoSpaceDE w:val="0"/>
              <w:autoSpaceDN w:val="0"/>
              <w:adjustRightInd w:val="0"/>
              <w:rPr>
                <w:b/>
                <w:bCs/>
                <w:color w:val="000000"/>
                <w:sz w:val="20"/>
                <w:szCs w:val="20"/>
              </w:rPr>
            </w:pPr>
            <w:r w:rsidRPr="00DE6124">
              <w:rPr>
                <w:b/>
                <w:color w:val="000000"/>
                <w:sz w:val="20"/>
              </w:rPr>
              <w:t>Zastępcy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DE6124" w:rsidRDefault="00B12D20" w:rsidP="00C33FBD">
            <w:pPr>
              <w:autoSpaceDE w:val="0"/>
              <w:autoSpaceDN w:val="0"/>
              <w:adjustRightInd w:val="0"/>
              <w:rPr>
                <w:color w:val="000000"/>
                <w:sz w:val="20"/>
                <w:szCs w:val="20"/>
              </w:rPr>
            </w:pPr>
            <w:r w:rsidRPr="00DE6124">
              <w:rPr>
                <w:color w:val="000000"/>
                <w:sz w:val="20"/>
              </w:rPr>
              <w:t>Alexander Alexandrov Yordanov, Aurore Lalucq, Eugenia Rodríguez P</w:t>
            </w:r>
            <w:r w:rsidRPr="00DE6124">
              <w:rPr>
                <w:color w:val="000000"/>
                <w:sz w:val="20"/>
              </w:rPr>
              <w:t>alop</w:t>
            </w:r>
          </w:p>
        </w:tc>
      </w:tr>
      <w:tr w:rsidR="00AA0139" w:rsidRPr="00DE6124"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DE6124" w:rsidRDefault="00B12D20" w:rsidP="00C33FBD">
            <w:pPr>
              <w:autoSpaceDE w:val="0"/>
              <w:autoSpaceDN w:val="0"/>
              <w:adjustRightInd w:val="0"/>
              <w:rPr>
                <w:b/>
                <w:bCs/>
                <w:color w:val="000000"/>
                <w:sz w:val="20"/>
                <w:szCs w:val="20"/>
              </w:rPr>
            </w:pPr>
            <w:r w:rsidRPr="00DE6124">
              <w:rPr>
                <w:b/>
                <w:color w:val="000000"/>
                <w:sz w:val="20"/>
              </w:rPr>
              <w:t>Zastępcy (art. 209 ust. 7)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DE6124" w:rsidRDefault="00B12D20" w:rsidP="00C33FBD">
            <w:pPr>
              <w:autoSpaceDE w:val="0"/>
              <w:autoSpaceDN w:val="0"/>
              <w:adjustRightInd w:val="0"/>
              <w:rPr>
                <w:color w:val="000000"/>
                <w:sz w:val="20"/>
                <w:szCs w:val="20"/>
              </w:rPr>
            </w:pPr>
            <w:r w:rsidRPr="00DE6124">
              <w:rPr>
                <w:color w:val="000000"/>
                <w:sz w:val="20"/>
              </w:rPr>
              <w:t>Sirpa Pietikäinen, Caroline Roose</w:t>
            </w:r>
          </w:p>
        </w:tc>
      </w:tr>
    </w:tbl>
    <w:p w:rsidR="00AF0131" w:rsidRPr="00DE6124" w:rsidRDefault="00AF0131" w:rsidP="00AF0131"/>
    <w:bookmarkEnd w:id="2"/>
    <w:p w:rsidR="00AF0131" w:rsidRPr="00DE6124" w:rsidRDefault="00AF0131" w:rsidP="00AF0131">
      <w:pPr>
        <w:sectPr w:rsidR="00AF0131" w:rsidRPr="00DE6124" w:rsidSect="00DB1A9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AF0131" w:rsidRPr="00DE6124" w:rsidRDefault="00B12D20" w:rsidP="00AF0131">
      <w:pPr>
        <w:pStyle w:val="PageHeadingNotTOC"/>
      </w:pPr>
      <w:bookmarkStart w:id="3" w:name="RollCallPageAD"/>
      <w:r w:rsidRPr="00DE6124">
        <w:lastRenderedPageBreak/>
        <w:t>GŁOSOWANIE KOŃCOWE W FORMIE GŁOSOWANIA IMIENNEGO 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A0139" w:rsidRPr="00DE6124" w:rsidTr="00C33FBD">
        <w:trPr>
          <w:cantSplit/>
        </w:trPr>
        <w:tc>
          <w:tcPr>
            <w:tcW w:w="1701" w:type="dxa"/>
            <w:shd w:val="pct10" w:color="000000" w:fill="FFFFFF"/>
            <w:vAlign w:val="center"/>
          </w:tcPr>
          <w:p w:rsidR="00AF0131" w:rsidRPr="00DE6124" w:rsidRDefault="00B12D20" w:rsidP="00C33FBD">
            <w:pPr>
              <w:pStyle w:val="RollCallVotes"/>
            </w:pPr>
            <w:r w:rsidRPr="00DE6124">
              <w:t>29</w:t>
            </w:r>
          </w:p>
        </w:tc>
        <w:tc>
          <w:tcPr>
            <w:tcW w:w="7371" w:type="dxa"/>
            <w:shd w:val="pct10" w:color="000000" w:fill="FFFFFF"/>
          </w:tcPr>
          <w:p w:rsidR="00AF0131" w:rsidRPr="00DE6124" w:rsidRDefault="00B12D20" w:rsidP="00C33FBD">
            <w:pPr>
              <w:pStyle w:val="RollCallSymbols14pt"/>
            </w:pPr>
            <w:r w:rsidRPr="00DE6124">
              <w:t>+</w:t>
            </w:r>
          </w:p>
        </w:tc>
      </w:tr>
      <w:tr w:rsidR="00AA0139" w:rsidRPr="00DE6124" w:rsidTr="00C33FBD">
        <w:trPr>
          <w:cantSplit/>
        </w:trPr>
        <w:tc>
          <w:tcPr>
            <w:tcW w:w="1701" w:type="dxa"/>
            <w:shd w:val="clear" w:color="auto" w:fill="FFFFFF"/>
          </w:tcPr>
          <w:p w:rsidR="00AF0131" w:rsidRPr="00DE6124" w:rsidRDefault="00B12D20" w:rsidP="00C33FBD">
            <w:pPr>
              <w:pStyle w:val="RollCallTable"/>
            </w:pPr>
            <w:r w:rsidRPr="00DE6124">
              <w:t>PPE</w:t>
            </w:r>
          </w:p>
        </w:tc>
        <w:tc>
          <w:tcPr>
            <w:tcW w:w="7371" w:type="dxa"/>
            <w:shd w:val="clear" w:color="auto" w:fill="FFFFFF"/>
          </w:tcPr>
          <w:p w:rsidR="00AF0131" w:rsidRPr="00DE6124" w:rsidRDefault="00B12D20" w:rsidP="00C33FBD">
            <w:pPr>
              <w:pStyle w:val="RollCallTable"/>
            </w:pPr>
            <w:r w:rsidRPr="00DE6124">
              <w:t xml:space="preserve">David Casa, Loucas Fourlas, Cindy Franssen, Stelios </w:t>
            </w:r>
            <w:r w:rsidRPr="00DE6124">
              <w:t>Kympouropoulos, Sirpa Pietikäinen, Maria Walsh</w:t>
            </w:r>
          </w:p>
        </w:tc>
      </w:tr>
      <w:tr w:rsidR="00AA0139" w:rsidRPr="00DE6124" w:rsidTr="00C33FBD">
        <w:trPr>
          <w:cantSplit/>
        </w:trPr>
        <w:tc>
          <w:tcPr>
            <w:tcW w:w="1701" w:type="dxa"/>
            <w:shd w:val="clear" w:color="auto" w:fill="FFFFFF"/>
          </w:tcPr>
          <w:p w:rsidR="00AF0131" w:rsidRPr="00DE6124" w:rsidRDefault="00B12D20" w:rsidP="00C33FBD">
            <w:pPr>
              <w:pStyle w:val="RollCallTable"/>
            </w:pPr>
            <w:r w:rsidRPr="00DE6124">
              <w:t>Renew</w:t>
            </w:r>
          </w:p>
        </w:tc>
        <w:tc>
          <w:tcPr>
            <w:tcW w:w="7371" w:type="dxa"/>
            <w:shd w:val="clear" w:color="auto" w:fill="FFFFFF"/>
          </w:tcPr>
          <w:p w:rsidR="00AF0131" w:rsidRPr="00DE6124" w:rsidRDefault="00B12D20" w:rsidP="00C33FBD">
            <w:pPr>
              <w:pStyle w:val="RollCallTable"/>
            </w:pPr>
            <w:r w:rsidRPr="00DE6124">
              <w:t>Jordi Cañas, Lucia Ďuriš Nicholsonová, Max Orville, Dragoş Pîslaru, Monica Semedo</w:t>
            </w:r>
          </w:p>
        </w:tc>
      </w:tr>
      <w:tr w:rsidR="00AA0139" w:rsidRPr="00DE6124" w:rsidTr="00C33FBD">
        <w:trPr>
          <w:cantSplit/>
        </w:trPr>
        <w:tc>
          <w:tcPr>
            <w:tcW w:w="1701" w:type="dxa"/>
            <w:shd w:val="clear" w:color="auto" w:fill="FFFFFF"/>
          </w:tcPr>
          <w:p w:rsidR="00AF0131" w:rsidRPr="00DE6124" w:rsidRDefault="00B12D20" w:rsidP="00C33FBD">
            <w:pPr>
              <w:pStyle w:val="RollCallTable"/>
            </w:pPr>
            <w:r w:rsidRPr="00DE6124">
              <w:t>S&amp;D</w:t>
            </w:r>
          </w:p>
        </w:tc>
        <w:tc>
          <w:tcPr>
            <w:tcW w:w="7371" w:type="dxa"/>
            <w:shd w:val="clear" w:color="auto" w:fill="FFFFFF"/>
          </w:tcPr>
          <w:p w:rsidR="00AF0131" w:rsidRPr="00DE6124" w:rsidRDefault="00B12D20" w:rsidP="00C33FBD">
            <w:pPr>
              <w:pStyle w:val="RollCallTable"/>
            </w:pPr>
            <w:r w:rsidRPr="00DE6124">
              <w:t>João Albuquerque, Marc Angel, Gabriele Bischoff, Milan Brglez, Klára Dobrev, Estrella Durá Ferrandis, Elisabetta Gu</w:t>
            </w:r>
            <w:r w:rsidRPr="00DE6124">
              <w:t>almini, Alicia Homs Ginel, Agnes Jongerius, Aurore Lalucq, Daniela Rondinelli, Marianne Vind</w:t>
            </w:r>
          </w:p>
        </w:tc>
      </w:tr>
      <w:tr w:rsidR="00AA0139" w:rsidRPr="00DE6124" w:rsidTr="00C33FBD">
        <w:trPr>
          <w:cantSplit/>
        </w:trPr>
        <w:tc>
          <w:tcPr>
            <w:tcW w:w="1701" w:type="dxa"/>
            <w:shd w:val="clear" w:color="auto" w:fill="FFFFFF"/>
          </w:tcPr>
          <w:p w:rsidR="00AF0131" w:rsidRPr="00DE6124" w:rsidRDefault="00B12D20" w:rsidP="00C33FBD">
            <w:pPr>
              <w:pStyle w:val="RollCallTable"/>
            </w:pPr>
            <w:r w:rsidRPr="00DE6124">
              <w:t>The Left</w:t>
            </w:r>
          </w:p>
        </w:tc>
        <w:tc>
          <w:tcPr>
            <w:tcW w:w="7371" w:type="dxa"/>
            <w:shd w:val="clear" w:color="auto" w:fill="FFFFFF"/>
          </w:tcPr>
          <w:p w:rsidR="00AF0131" w:rsidRPr="00DE6124" w:rsidRDefault="00B12D20" w:rsidP="00C33FBD">
            <w:pPr>
              <w:pStyle w:val="RollCallTable"/>
            </w:pPr>
            <w:r w:rsidRPr="00DE6124">
              <w:t>Eugenia Rodríguez Palop, Nikolaj Villumsen</w:t>
            </w:r>
          </w:p>
        </w:tc>
      </w:tr>
      <w:tr w:rsidR="00AA0139" w:rsidRPr="00DE6124" w:rsidTr="00C33FBD">
        <w:trPr>
          <w:cantSplit/>
        </w:trPr>
        <w:tc>
          <w:tcPr>
            <w:tcW w:w="1701" w:type="dxa"/>
            <w:shd w:val="clear" w:color="auto" w:fill="FFFFFF"/>
          </w:tcPr>
          <w:p w:rsidR="00AF0131" w:rsidRPr="00DE6124" w:rsidRDefault="00B12D20" w:rsidP="00C33FBD">
            <w:pPr>
              <w:pStyle w:val="RollCallTable"/>
            </w:pPr>
            <w:r w:rsidRPr="00DE6124">
              <w:t>Verts/ALE</w:t>
            </w:r>
          </w:p>
        </w:tc>
        <w:tc>
          <w:tcPr>
            <w:tcW w:w="7371" w:type="dxa"/>
            <w:shd w:val="clear" w:color="auto" w:fill="FFFFFF"/>
          </w:tcPr>
          <w:p w:rsidR="00AF0131" w:rsidRPr="00DE6124" w:rsidRDefault="00B12D20" w:rsidP="00C33FBD">
            <w:pPr>
              <w:pStyle w:val="RollCallTable"/>
            </w:pPr>
            <w:r w:rsidRPr="00DE6124">
              <w:t>Katrin Langensiepen, Sara Matthieu, Kira Marie Peter-Hansen, Caroline Roose</w:t>
            </w:r>
          </w:p>
        </w:tc>
      </w:tr>
    </w:tbl>
    <w:p w:rsidR="00AF0131" w:rsidRPr="00DE6124"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A0139" w:rsidRPr="00DE6124" w:rsidTr="00C33FBD">
        <w:trPr>
          <w:cantSplit/>
        </w:trPr>
        <w:tc>
          <w:tcPr>
            <w:tcW w:w="1701" w:type="dxa"/>
            <w:shd w:val="pct10" w:color="000000" w:fill="FFFFFF"/>
            <w:vAlign w:val="center"/>
          </w:tcPr>
          <w:p w:rsidR="00AF0131" w:rsidRPr="00DE6124" w:rsidRDefault="00B12D20" w:rsidP="00C33FBD">
            <w:pPr>
              <w:pStyle w:val="RollCallVotes"/>
            </w:pPr>
            <w:r w:rsidRPr="00DE6124">
              <w:t>4</w:t>
            </w:r>
          </w:p>
        </w:tc>
        <w:tc>
          <w:tcPr>
            <w:tcW w:w="7371" w:type="dxa"/>
            <w:shd w:val="pct10" w:color="000000" w:fill="FFFFFF"/>
          </w:tcPr>
          <w:p w:rsidR="00AF0131" w:rsidRPr="00DE6124" w:rsidRDefault="00B12D20" w:rsidP="00C33FBD">
            <w:pPr>
              <w:pStyle w:val="RollCallSymbols14pt"/>
            </w:pPr>
            <w:r w:rsidRPr="00DE6124">
              <w:t>-</w:t>
            </w:r>
          </w:p>
        </w:tc>
      </w:tr>
      <w:tr w:rsidR="00AA0139" w:rsidRPr="00DE6124" w:rsidTr="00C33FBD">
        <w:trPr>
          <w:cantSplit/>
        </w:trPr>
        <w:tc>
          <w:tcPr>
            <w:tcW w:w="1701" w:type="dxa"/>
            <w:shd w:val="clear" w:color="auto" w:fill="FFFFFF"/>
          </w:tcPr>
          <w:p w:rsidR="00AF0131" w:rsidRPr="00DE6124" w:rsidRDefault="00B12D20" w:rsidP="00C33FBD">
            <w:pPr>
              <w:pStyle w:val="RollCallTable"/>
            </w:pPr>
            <w:r w:rsidRPr="00DE6124">
              <w:t>ECR</w:t>
            </w:r>
          </w:p>
        </w:tc>
        <w:tc>
          <w:tcPr>
            <w:tcW w:w="7371" w:type="dxa"/>
            <w:shd w:val="clear" w:color="auto" w:fill="FFFFFF"/>
          </w:tcPr>
          <w:p w:rsidR="00AF0131" w:rsidRPr="00DE6124" w:rsidRDefault="00B12D20" w:rsidP="00C33FBD">
            <w:pPr>
              <w:pStyle w:val="RollCallTable"/>
            </w:pPr>
            <w:r w:rsidRPr="00DE6124">
              <w:t>Margarita de</w:t>
            </w:r>
            <w:r w:rsidRPr="00DE6124">
              <w:t xml:space="preserve"> la Pisa Carrión, Elżbieta Rafalska, Pirkko Ruohonen-Lerner</w:t>
            </w:r>
          </w:p>
        </w:tc>
      </w:tr>
      <w:tr w:rsidR="00AA0139" w:rsidRPr="00DE6124" w:rsidTr="00C33FBD">
        <w:trPr>
          <w:cantSplit/>
        </w:trPr>
        <w:tc>
          <w:tcPr>
            <w:tcW w:w="1701" w:type="dxa"/>
            <w:shd w:val="clear" w:color="auto" w:fill="FFFFFF"/>
          </w:tcPr>
          <w:p w:rsidR="00AF0131" w:rsidRPr="00DE6124" w:rsidRDefault="00B12D20" w:rsidP="00C33FBD">
            <w:pPr>
              <w:pStyle w:val="RollCallTable"/>
            </w:pPr>
            <w:r w:rsidRPr="00DE6124">
              <w:t>ID</w:t>
            </w:r>
          </w:p>
        </w:tc>
        <w:tc>
          <w:tcPr>
            <w:tcW w:w="7371" w:type="dxa"/>
            <w:shd w:val="clear" w:color="auto" w:fill="FFFFFF"/>
          </w:tcPr>
          <w:p w:rsidR="00AF0131" w:rsidRPr="00DE6124" w:rsidRDefault="00B12D20" w:rsidP="00C33FBD">
            <w:pPr>
              <w:pStyle w:val="RollCallTable"/>
            </w:pPr>
            <w:r w:rsidRPr="00DE6124">
              <w:t>Dominique Bilde</w:t>
            </w:r>
          </w:p>
        </w:tc>
      </w:tr>
    </w:tbl>
    <w:p w:rsidR="00AF0131" w:rsidRPr="00DE6124"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A0139" w:rsidRPr="00DE6124" w:rsidTr="00C33FBD">
        <w:trPr>
          <w:cantSplit/>
        </w:trPr>
        <w:tc>
          <w:tcPr>
            <w:tcW w:w="1701" w:type="dxa"/>
            <w:shd w:val="pct10" w:color="000000" w:fill="FFFFFF"/>
            <w:vAlign w:val="center"/>
          </w:tcPr>
          <w:p w:rsidR="00AF0131" w:rsidRPr="00DE6124" w:rsidRDefault="00B12D20" w:rsidP="00C33FBD">
            <w:pPr>
              <w:pStyle w:val="RollCallVotes"/>
            </w:pPr>
            <w:r w:rsidRPr="00DE6124">
              <w:t>10</w:t>
            </w:r>
          </w:p>
        </w:tc>
        <w:tc>
          <w:tcPr>
            <w:tcW w:w="7371" w:type="dxa"/>
            <w:shd w:val="pct10" w:color="000000" w:fill="FFFFFF"/>
          </w:tcPr>
          <w:p w:rsidR="00AF0131" w:rsidRPr="00DE6124" w:rsidRDefault="00B12D20" w:rsidP="00C33FBD">
            <w:pPr>
              <w:pStyle w:val="RollCallSymbols14pt"/>
            </w:pPr>
            <w:r w:rsidRPr="00DE6124">
              <w:t>0</w:t>
            </w:r>
          </w:p>
        </w:tc>
      </w:tr>
      <w:tr w:rsidR="00AA0139" w:rsidRPr="00DE6124" w:rsidTr="00C33FBD">
        <w:trPr>
          <w:cantSplit/>
        </w:trPr>
        <w:tc>
          <w:tcPr>
            <w:tcW w:w="1701" w:type="dxa"/>
            <w:shd w:val="clear" w:color="auto" w:fill="FFFFFF"/>
          </w:tcPr>
          <w:p w:rsidR="00AF0131" w:rsidRPr="00DE6124" w:rsidRDefault="00B12D20" w:rsidP="00C33FBD">
            <w:pPr>
              <w:pStyle w:val="RollCallTable"/>
            </w:pPr>
            <w:r w:rsidRPr="00DE6124">
              <w:t>ECR</w:t>
            </w:r>
          </w:p>
        </w:tc>
        <w:tc>
          <w:tcPr>
            <w:tcW w:w="7371" w:type="dxa"/>
            <w:shd w:val="clear" w:color="auto" w:fill="FFFFFF"/>
          </w:tcPr>
          <w:p w:rsidR="00AF0131" w:rsidRPr="00DE6124" w:rsidRDefault="00B12D20" w:rsidP="00C33FBD">
            <w:pPr>
              <w:pStyle w:val="RollCallTable"/>
            </w:pPr>
            <w:r w:rsidRPr="00DE6124">
              <w:t>Chiara Gemma</w:t>
            </w:r>
          </w:p>
        </w:tc>
      </w:tr>
      <w:tr w:rsidR="00AA0139" w:rsidRPr="00DE6124" w:rsidTr="00C33FBD">
        <w:trPr>
          <w:cantSplit/>
        </w:trPr>
        <w:tc>
          <w:tcPr>
            <w:tcW w:w="1701" w:type="dxa"/>
            <w:shd w:val="clear" w:color="auto" w:fill="FFFFFF"/>
          </w:tcPr>
          <w:p w:rsidR="00AF0131" w:rsidRPr="00DE6124" w:rsidRDefault="00B12D20" w:rsidP="00C33FBD">
            <w:pPr>
              <w:pStyle w:val="RollCallTable"/>
            </w:pPr>
            <w:r w:rsidRPr="00DE6124">
              <w:t>ID</w:t>
            </w:r>
          </w:p>
        </w:tc>
        <w:tc>
          <w:tcPr>
            <w:tcW w:w="7371" w:type="dxa"/>
            <w:shd w:val="clear" w:color="auto" w:fill="FFFFFF"/>
          </w:tcPr>
          <w:p w:rsidR="00AF0131" w:rsidRPr="00DE6124" w:rsidRDefault="00B12D20" w:rsidP="00C33FBD">
            <w:pPr>
              <w:pStyle w:val="RollCallTable"/>
            </w:pPr>
            <w:r w:rsidRPr="00DE6124">
              <w:t>Elena Lizzi</w:t>
            </w:r>
          </w:p>
        </w:tc>
      </w:tr>
      <w:tr w:rsidR="00AA0139" w:rsidRPr="00DE6124" w:rsidTr="00C33FBD">
        <w:trPr>
          <w:cantSplit/>
        </w:trPr>
        <w:tc>
          <w:tcPr>
            <w:tcW w:w="1701" w:type="dxa"/>
            <w:shd w:val="clear" w:color="auto" w:fill="FFFFFF"/>
          </w:tcPr>
          <w:p w:rsidR="00AF0131" w:rsidRPr="00DE6124" w:rsidRDefault="00B12D20" w:rsidP="00C33FBD">
            <w:pPr>
              <w:pStyle w:val="RollCallTable"/>
            </w:pPr>
            <w:r w:rsidRPr="00DE6124">
              <w:t>PPE</w:t>
            </w:r>
          </w:p>
        </w:tc>
        <w:tc>
          <w:tcPr>
            <w:tcW w:w="7371" w:type="dxa"/>
            <w:shd w:val="clear" w:color="auto" w:fill="FFFFFF"/>
          </w:tcPr>
          <w:p w:rsidR="00AF0131" w:rsidRPr="00DE6124" w:rsidRDefault="00B12D20" w:rsidP="00C33FBD">
            <w:pPr>
              <w:pStyle w:val="RollCallTable"/>
            </w:pPr>
            <w:r w:rsidRPr="00DE6124">
              <w:t>Alexander Alexandrov Yordanov, Jarosław Duda, Helmut Geuking, Miriam Lexmann, Romana Tomc, Tomáš Zdechovský</w:t>
            </w:r>
          </w:p>
        </w:tc>
      </w:tr>
      <w:tr w:rsidR="00AA0139" w:rsidRPr="00DE6124" w:rsidTr="00C33FBD">
        <w:trPr>
          <w:cantSplit/>
        </w:trPr>
        <w:tc>
          <w:tcPr>
            <w:tcW w:w="1701" w:type="dxa"/>
            <w:shd w:val="clear" w:color="auto" w:fill="FFFFFF"/>
          </w:tcPr>
          <w:p w:rsidR="00AF0131" w:rsidRPr="00DE6124" w:rsidRDefault="00B12D20" w:rsidP="00C33FBD">
            <w:pPr>
              <w:pStyle w:val="RollCallTable"/>
            </w:pPr>
            <w:r w:rsidRPr="00DE6124">
              <w:t>S&amp;D</w:t>
            </w:r>
          </w:p>
        </w:tc>
        <w:tc>
          <w:tcPr>
            <w:tcW w:w="7371" w:type="dxa"/>
            <w:shd w:val="clear" w:color="auto" w:fill="FFFFFF"/>
          </w:tcPr>
          <w:p w:rsidR="00AF0131" w:rsidRPr="00DE6124" w:rsidRDefault="00B12D20" w:rsidP="00C33FBD">
            <w:pPr>
              <w:pStyle w:val="RollCallTable"/>
            </w:pPr>
            <w:r w:rsidRPr="00DE6124">
              <w:t>Ilan De Basso</w:t>
            </w:r>
          </w:p>
        </w:tc>
      </w:tr>
      <w:tr w:rsidR="00AA0139" w:rsidRPr="00DE6124" w:rsidTr="00C33FBD">
        <w:trPr>
          <w:cantSplit/>
        </w:trPr>
        <w:tc>
          <w:tcPr>
            <w:tcW w:w="1701" w:type="dxa"/>
            <w:shd w:val="clear" w:color="auto" w:fill="FFFFFF"/>
          </w:tcPr>
          <w:p w:rsidR="00AF0131" w:rsidRPr="00DE6124" w:rsidRDefault="00B12D20" w:rsidP="00C33FBD">
            <w:pPr>
              <w:pStyle w:val="RollCallTable"/>
            </w:pPr>
            <w:r w:rsidRPr="00DE6124">
              <w:t>The Left</w:t>
            </w:r>
          </w:p>
        </w:tc>
        <w:tc>
          <w:tcPr>
            <w:tcW w:w="7371" w:type="dxa"/>
            <w:shd w:val="clear" w:color="auto" w:fill="FFFFFF"/>
          </w:tcPr>
          <w:p w:rsidR="00AF0131" w:rsidRPr="00DE6124" w:rsidRDefault="00B12D20" w:rsidP="00C33FBD">
            <w:pPr>
              <w:pStyle w:val="RollCallTable"/>
            </w:pPr>
            <w:r w:rsidRPr="00DE6124">
              <w:t>Özlem Demirel</w:t>
            </w:r>
          </w:p>
        </w:tc>
      </w:tr>
    </w:tbl>
    <w:p w:rsidR="00AF0131" w:rsidRPr="00DE6124" w:rsidRDefault="00AF0131" w:rsidP="00AF0131">
      <w:pPr>
        <w:pStyle w:val="Normal12a"/>
      </w:pPr>
    </w:p>
    <w:p w:rsidR="00AF0131" w:rsidRPr="00DE6124" w:rsidRDefault="00B12D20" w:rsidP="00AF0131">
      <w:r w:rsidRPr="00DE6124">
        <w:t>Objaśnienie używanych znaków:</w:t>
      </w:r>
    </w:p>
    <w:p w:rsidR="00AF0131" w:rsidRPr="00DE6124" w:rsidRDefault="00B12D20" w:rsidP="00AF0131">
      <w:pPr>
        <w:pStyle w:val="RollCallTabs"/>
      </w:pPr>
      <w:r w:rsidRPr="00DE6124">
        <w:t>+</w:t>
      </w:r>
      <w:r w:rsidRPr="00DE6124">
        <w:tab/>
        <w:t>:</w:t>
      </w:r>
      <w:r w:rsidRPr="00DE6124">
        <w:tab/>
        <w:t>za</w:t>
      </w:r>
    </w:p>
    <w:p w:rsidR="00AF0131" w:rsidRPr="00DE6124" w:rsidRDefault="00B12D20" w:rsidP="00AF0131">
      <w:pPr>
        <w:pStyle w:val="RollCallTabs"/>
      </w:pPr>
      <w:r w:rsidRPr="00DE6124">
        <w:t>-</w:t>
      </w:r>
      <w:r w:rsidRPr="00DE6124">
        <w:tab/>
        <w:t>:</w:t>
      </w:r>
      <w:r w:rsidRPr="00DE6124">
        <w:tab/>
        <w:t>przeciw</w:t>
      </w:r>
    </w:p>
    <w:p w:rsidR="00AF0131" w:rsidRPr="00DE6124" w:rsidRDefault="00B12D20" w:rsidP="00AF0131">
      <w:pPr>
        <w:pStyle w:val="RollCallTabs"/>
      </w:pPr>
      <w:r w:rsidRPr="00DE6124">
        <w:t>0</w:t>
      </w:r>
      <w:r w:rsidRPr="00DE6124">
        <w:tab/>
        <w:t>:</w:t>
      </w:r>
      <w:r w:rsidRPr="00DE6124">
        <w:tab/>
        <w:t>wstrzymało się</w:t>
      </w:r>
    </w:p>
    <w:p w:rsidR="00AF0131" w:rsidRPr="00DE6124" w:rsidRDefault="00AF0131" w:rsidP="00AF0131"/>
    <w:bookmarkEnd w:id="3"/>
    <w:p w:rsidR="00AF0131" w:rsidRPr="00DE6124" w:rsidRDefault="00AF0131" w:rsidP="00AF0131"/>
    <w:p w:rsidR="00DB56E4" w:rsidRPr="00DE6124" w:rsidRDefault="00DB56E4" w:rsidP="00AF0131">
      <w:pPr>
        <w:pStyle w:val="CoverReference"/>
      </w:pPr>
    </w:p>
    <w:sectPr w:rsidR="00DB56E4" w:rsidRPr="00DE6124" w:rsidSect="00C56375">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B1A99" w:rsidRDefault="00B12D20">
      <w:r w:rsidRPr="00DB1A99">
        <w:separator/>
      </w:r>
    </w:p>
  </w:endnote>
  <w:endnote w:type="continuationSeparator" w:id="0">
    <w:p w:rsidR="00000000" w:rsidRPr="00DB1A99" w:rsidRDefault="00B12D20">
      <w:r w:rsidRPr="00DB1A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A99" w:rsidRPr="00DB1A99" w:rsidRDefault="00DB1A99" w:rsidP="00DB1A99">
    <w:pPr>
      <w:pStyle w:val="EPFooter"/>
    </w:pPr>
    <w:r w:rsidRPr="00DB1A99">
      <w:t>PE</w:t>
    </w:r>
    <w:r w:rsidRPr="00DB1A99">
      <w:rPr>
        <w:rStyle w:val="HideTWBExt"/>
      </w:rPr>
      <w:t>&lt;NoPE&gt;</w:t>
    </w:r>
    <w:r w:rsidRPr="00DB1A99">
      <w:t>752.621</w:t>
    </w:r>
    <w:r w:rsidRPr="00DB1A99">
      <w:rPr>
        <w:rStyle w:val="HideTWBExt"/>
      </w:rPr>
      <w:t>&lt;/NoPE&gt;&lt;Version&gt;</w:t>
    </w:r>
    <w:r w:rsidRPr="00DB1A99">
      <w:t>v02-00</w:t>
    </w:r>
    <w:r w:rsidRPr="00DB1A99">
      <w:rPr>
        <w:rStyle w:val="HideTWBExt"/>
      </w:rPr>
      <w:t>&lt;/Version&gt;</w:t>
    </w:r>
    <w:r w:rsidRPr="00DB1A99">
      <w:tab/>
    </w:r>
    <w:r w:rsidRPr="00DB1A99">
      <w:fldChar w:fldCharType="begin"/>
    </w:r>
    <w:r w:rsidRPr="00DB1A99">
      <w:instrText xml:space="preserve"> PAGE  \* MERGEFORMAT </w:instrText>
    </w:r>
    <w:r w:rsidRPr="00DB1A99">
      <w:fldChar w:fldCharType="separate"/>
    </w:r>
    <w:r w:rsidR="00B12D20">
      <w:rPr>
        <w:noProof/>
      </w:rPr>
      <w:t>6</w:t>
    </w:r>
    <w:r w:rsidRPr="00DB1A99">
      <w:fldChar w:fldCharType="end"/>
    </w:r>
    <w:r w:rsidRPr="00DB1A99">
      <w:t>/</w:t>
    </w:r>
    <w:fldSimple w:instr=" NUMPAGES  \* MERGEFORMAT ">
      <w:r w:rsidR="00B12D20">
        <w:rPr>
          <w:noProof/>
        </w:rPr>
        <w:t>30</w:t>
      </w:r>
    </w:fldSimple>
    <w:r w:rsidRPr="00DB1A99">
      <w:tab/>
    </w:r>
    <w:r w:rsidRPr="00DB1A99">
      <w:rPr>
        <w:rStyle w:val="HideTWBExt"/>
      </w:rPr>
      <w:t>&lt;PathFdR&gt;</w:t>
    </w:r>
    <w:r w:rsidRPr="00DB1A99">
      <w:t>AD\1288324PL.docx</w:t>
    </w:r>
    <w:r w:rsidRPr="00DB1A99">
      <w:rPr>
        <w:rStyle w:val="HideTWBExt"/>
      </w:rPr>
      <w:t>&lt;/PathFdR&gt;</w:t>
    </w:r>
  </w:p>
  <w:p w:rsidR="00AF0131" w:rsidRPr="00DB1A99" w:rsidRDefault="00DB1A99" w:rsidP="00DB1A99">
    <w:pPr>
      <w:pStyle w:val="EPFooter2"/>
    </w:pPr>
    <w:r w:rsidRPr="00DB1A99">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A99" w:rsidRPr="00DB1A99" w:rsidRDefault="00DB1A99" w:rsidP="00DB1A99">
    <w:pPr>
      <w:pStyle w:val="EPFooter"/>
    </w:pPr>
    <w:r w:rsidRPr="00DB1A99">
      <w:rPr>
        <w:rStyle w:val="HideTWBExt"/>
      </w:rPr>
      <w:t>&lt;PathFdR&gt;</w:t>
    </w:r>
    <w:r w:rsidRPr="00DB1A99">
      <w:t>AD\1288324PL.docx</w:t>
    </w:r>
    <w:r w:rsidRPr="00DB1A99">
      <w:rPr>
        <w:rStyle w:val="HideTWBExt"/>
      </w:rPr>
      <w:t>&lt;/PathFdR&gt;</w:t>
    </w:r>
    <w:r w:rsidRPr="00DB1A99">
      <w:tab/>
    </w:r>
    <w:r w:rsidRPr="00DB1A99">
      <w:fldChar w:fldCharType="begin"/>
    </w:r>
    <w:r w:rsidRPr="00DB1A99">
      <w:instrText xml:space="preserve"> PAGE  \* MERGEFORMAT </w:instrText>
    </w:r>
    <w:r w:rsidRPr="00DB1A99">
      <w:fldChar w:fldCharType="separate"/>
    </w:r>
    <w:r w:rsidR="00B12D20">
      <w:rPr>
        <w:noProof/>
      </w:rPr>
      <w:t>5</w:t>
    </w:r>
    <w:r w:rsidRPr="00DB1A99">
      <w:fldChar w:fldCharType="end"/>
    </w:r>
    <w:r w:rsidRPr="00DB1A99">
      <w:t>/</w:t>
    </w:r>
    <w:fldSimple w:instr=" NUMPAGES  \* MERGEFORMAT ">
      <w:r w:rsidR="00B12D20">
        <w:rPr>
          <w:noProof/>
        </w:rPr>
        <w:t>30</w:t>
      </w:r>
    </w:fldSimple>
    <w:r w:rsidRPr="00DB1A99">
      <w:tab/>
      <w:t>PE</w:t>
    </w:r>
    <w:r w:rsidRPr="00DB1A99">
      <w:rPr>
        <w:rStyle w:val="HideTWBExt"/>
      </w:rPr>
      <w:t>&lt;NoPE&gt;</w:t>
    </w:r>
    <w:r w:rsidRPr="00DB1A99">
      <w:t>752.621</w:t>
    </w:r>
    <w:r w:rsidRPr="00DB1A99">
      <w:rPr>
        <w:rStyle w:val="HideTWBExt"/>
      </w:rPr>
      <w:t>&lt;/NoPE&gt;&lt;Version&gt;</w:t>
    </w:r>
    <w:r w:rsidRPr="00DB1A99">
      <w:t>v02-00</w:t>
    </w:r>
    <w:r w:rsidRPr="00DB1A99">
      <w:rPr>
        <w:rStyle w:val="HideTWBExt"/>
      </w:rPr>
      <w:t>&lt;/Version&gt;</w:t>
    </w:r>
  </w:p>
  <w:p w:rsidR="00AF0131" w:rsidRPr="00DB1A99" w:rsidRDefault="00DB1A99" w:rsidP="00DB1A99">
    <w:pPr>
      <w:pStyle w:val="EPFooter2"/>
    </w:pPr>
    <w:r w:rsidRPr="00DB1A99">
      <w:tab/>
    </w:r>
    <w:r w:rsidRPr="00DB1A99">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A99" w:rsidRPr="00DB1A99" w:rsidRDefault="00DB1A99" w:rsidP="00DB1A99">
    <w:pPr>
      <w:pStyle w:val="EPFooter"/>
    </w:pPr>
    <w:r w:rsidRPr="00DB1A99">
      <w:rPr>
        <w:rStyle w:val="HideTWBExt"/>
      </w:rPr>
      <w:t>&lt;PathFdR&gt;</w:t>
    </w:r>
    <w:r w:rsidRPr="00DB1A99">
      <w:t>AD\1288324PL.docx</w:t>
    </w:r>
    <w:r w:rsidRPr="00DB1A99">
      <w:rPr>
        <w:rStyle w:val="HideTWBExt"/>
      </w:rPr>
      <w:t>&lt;/PathFdR&gt;</w:t>
    </w:r>
    <w:r w:rsidRPr="00DB1A99">
      <w:tab/>
    </w:r>
    <w:r w:rsidRPr="00DB1A99">
      <w:tab/>
      <w:t>PE</w:t>
    </w:r>
    <w:r w:rsidRPr="00DB1A99">
      <w:rPr>
        <w:rStyle w:val="HideTWBExt"/>
      </w:rPr>
      <w:t>&lt;NoPE&gt;</w:t>
    </w:r>
    <w:r w:rsidRPr="00DB1A99">
      <w:t>752.621</w:t>
    </w:r>
    <w:r w:rsidRPr="00DB1A99">
      <w:rPr>
        <w:rStyle w:val="HideTWBExt"/>
      </w:rPr>
      <w:t>&lt;/NoPE&gt;&lt;Version&gt;</w:t>
    </w:r>
    <w:r w:rsidRPr="00DB1A99">
      <w:t>v02-00</w:t>
    </w:r>
    <w:r w:rsidRPr="00DB1A99">
      <w:rPr>
        <w:rStyle w:val="HideTWBExt"/>
      </w:rPr>
      <w:t>&lt;/Version&gt;</w:t>
    </w:r>
  </w:p>
  <w:p w:rsidR="00AF0131" w:rsidRPr="00DB1A99" w:rsidRDefault="00DB1A99" w:rsidP="00DB1A99">
    <w:pPr>
      <w:pStyle w:val="EPFooter2"/>
    </w:pPr>
    <w:r w:rsidRPr="00DB1A99">
      <w:t>PL</w:t>
    </w:r>
    <w:r w:rsidRPr="00DB1A99">
      <w:tab/>
    </w:r>
    <w:r w:rsidRPr="00DB1A99">
      <w:rPr>
        <w:b w:val="0"/>
        <w:i/>
        <w:color w:val="C0C0C0"/>
        <w:sz w:val="22"/>
      </w:rPr>
      <w:t>Zjednoczona w różnorodności</w:t>
    </w:r>
    <w:r w:rsidRPr="00DB1A99">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DB1A99" w:rsidRDefault="00B12D20" w:rsidP="002258E0">
    <w:pPr>
      <w:pStyle w:val="EPFooter"/>
    </w:pPr>
    <w:r w:rsidRPr="00DB1A99">
      <w:rPr>
        <w:rStyle w:val="HideTWBExt"/>
      </w:rPr>
      <w:t>&lt;PathFdR&gt;</w:t>
    </w:r>
    <w:r w:rsidRPr="00DB1A99">
      <w:t>AD\1288324EN.docx</w:t>
    </w:r>
    <w:r w:rsidRPr="00DB1A99">
      <w:rPr>
        <w:rStyle w:val="HideTWBExt"/>
      </w:rPr>
      <w:t>&lt;/PathFdR&gt;</w:t>
    </w:r>
    <w:r w:rsidRPr="00DB1A99">
      <w:tab/>
    </w:r>
    <w:r w:rsidRPr="00DB1A99">
      <w:tab/>
      <w:t>PE</w:t>
    </w:r>
    <w:r w:rsidRPr="00DB1A99">
      <w:rPr>
        <w:rStyle w:val="HideTWBExt"/>
      </w:rPr>
      <w:t>&lt;NoPE&gt;</w:t>
    </w:r>
    <w:r w:rsidRPr="00DB1A99">
      <w:t>752.621</w:t>
    </w:r>
    <w:r w:rsidRPr="00DB1A99">
      <w:rPr>
        <w:rStyle w:val="HideTWBExt"/>
      </w:rPr>
      <w:t>&lt;/NoPE&gt;&lt;Version&gt;</w:t>
    </w:r>
    <w:r w:rsidRPr="00DB1A99">
      <w:t>v02-00</w:t>
    </w:r>
    <w:r w:rsidRPr="00DB1A99">
      <w:rPr>
        <w:rStyle w:val="HideTWBExt"/>
      </w:rPr>
      <w:t>&lt;/Version&gt;</w:t>
    </w:r>
  </w:p>
  <w:p w:rsidR="001A7452" w:rsidRPr="00DB1A99" w:rsidRDefault="00B12D20" w:rsidP="002258E0">
    <w:pPr>
      <w:pStyle w:val="EPFooter2"/>
    </w:pPr>
    <w:r w:rsidRPr="00DB1A99">
      <w:t>EN</w:t>
    </w:r>
    <w:r w:rsidRPr="00DB1A99">
      <w:tab/>
    </w:r>
    <w:r w:rsidRPr="00DB1A99">
      <w:rPr>
        <w:b w:val="0"/>
        <w:i/>
        <w:color w:val="C0C0C0"/>
        <w:sz w:val="22"/>
      </w:rPr>
      <w:t>United in diversity</w:t>
    </w:r>
    <w:r w:rsidRPr="00DB1A99">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DB1A99" w:rsidRDefault="00B12D20">
      <w:r w:rsidRPr="00DB1A99">
        <w:separator/>
      </w:r>
    </w:p>
  </w:footnote>
  <w:footnote w:type="continuationSeparator" w:id="0">
    <w:p w:rsidR="00000000" w:rsidRPr="00DB1A99" w:rsidRDefault="00B12D20">
      <w:r w:rsidRPr="00DB1A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124" w:rsidRDefault="00DE6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124" w:rsidRDefault="00DE61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124" w:rsidRDefault="00DE61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JMNU" w:val="1"/>
    <w:docVar w:name="CODEMNU" w:val=" 1"/>
    <w:docVar w:name="COM2KEY" w:val="ECON"/>
    <w:docVar w:name="COMKEY" w:val="EMPL"/>
    <w:docVar w:name="CopyToNetwork" w:val="-1"/>
    <w:docVar w:name="CVAR"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04921 HideTWBExt;}{_x000d__x000a_\s18\ql \li0\ri0\sa120\nowidctlpar\wrapdefault\aspalpha\aspnum\faauto\adjustright\rin0\lin0\itap0 \rtlch\fcs1 \af0\afs20\alang1025 \ltrch\fcs0 \fs24\lang2057\langfe2057\cgrid\langnp2057\langfenp2057 \sbasedon0 \snext18 \spriority0 \styrsid2104921 _x000d__x000a_Normal6a;}{\s19\ql \li0\ri0\nowidctlpar\wrapdefault\aspalpha\aspnum\faauto\adjustright\rin0\lin0\itap0 \rtlch\fcs1 \af0\afs20\alang1025 \ltrch\fcs0 \b\fs24\lang2057\langfe2057\cgrid\langnp2057\langfenp2057 \sbasedon0 \snext19 \spriority0 \styrsid2104921 _x000d__x000a_NormalBold;}{\*\cs20 \additive \v\f1\fs20\cf15 \spriority0 \styrsid2104921 HideTWBInt;}{\s21\qc \li0\ri0\sa240\nowidctlpar\wrapdefault\aspalpha\aspnum\faauto\adjustright\rin0\lin0\itap0 \rtlch\fcs1 \af0\afs20\alang1025 \ltrch\fcs0 _x000d__x000a_\i\fs24\lang2057\langfe2057\cgrid\langnp2057\langfenp2057 \sbasedon0 \snext21 \spriority0 \styrsid2104921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104921 AmNumberTabs;}{\s23\ql \li0\ri0\sb240\nowidctlpar\wrapdefault\aspalpha\aspnum\faauto\adjustright\rin0\lin0\itap0 \rtlch\fcs1 _x000d__x000a_\af0\afs20\alang1025 \ltrch\fcs0 \b\fs24\lang2057\langfe2057\cgrid\langnp2057\langfenp2057 \sbasedon0 \snext23 \spriority0 \styrsid2104921 NormalBold12b;}}{\*\rsidtbl \rsid24658\rsid223860\rsid735077\rsid1718133\rsid2104921\rsid2892074\rsid3565327_x000d__x000a_\rsid4666813\rsid6641733\rsid7823322\rsid9636012\rsid10377208\rsid11215221\rsid11549030\rsid11881958\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30}{\nofchars176}{\nofcharsws20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04921\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881958 \chftnsep _x000d__x000a_\par }}{\*\ftnsepc \ltrpar \pard\plain \ltrpar\ql \li0\ri0\widctlpar\wrapdefault\aspalpha\aspnum\faauto\adjustright\rin0\lin0\itap0 \rtlch\fcs1 \af0\afs20\alang1025 \ltrch\fcs0 \fs24\lang2057\langfe2057\cgrid\langnp2057\langfenp2057 {\rtlch\fcs1 \af0 _x000d__x000a_\ltrch\fcs0 \insrsid11881958 \chftnsepc _x000d__x000a_\par }}{\*\aftnsep \ltrpar \pard\plain \ltrpar\ql \li0\ri0\widctlpar\wrapdefault\aspalpha\aspnum\faauto\adjustright\rin0\lin0\itap0 \rtlch\fcs1 \af0\afs20\alang1025 \ltrch\fcs0 \fs24\lang2057\langfe2057\cgrid\langnp2057\langfenp2057 {\rtlch\fcs1 \af0 _x000d__x000a_\ltrch\fcs0 \insrsid11881958 \chftnsep _x000d__x000a_\par }}{\*\aftnsepc \ltrpar \pard\plain \ltrpar\ql \li0\ri0\widctlpar\wrapdefault\aspalpha\aspnum\faauto\adjustright\rin0\lin0\itap0 \rtlch\fcs1 \af0\afs20\alang1025 \ltrch\fcs0 \fs24\lang2057\langfe2057\cgrid\langnp2057\langfenp2057 {\rtlch\fcs1 \af0 _x000d__x000a_\ltrch\fcs0 \insrsid11881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104921 \rtlch\fcs1 _x000d__x000a_\af0\afs20\alang1025 \ltrch\fcs0 \b\fs24\lang2057\langfe2057\cgrid\langnp2057\langfenp2057 {\rtlch\fcs1 \af0 \ltrch\fcs0 \cs17\b0\v\fs20\cf9\lang1024\langfe1024\loch\af1\hich\af1\dbch\af31501\noproof\insrsid2104921\charrsid7612140 {\*\bkmkstart restartA}_x000d__x000a_\hich\af1\dbch\af31501\loch\f1 &lt;AmendA&gt;}{\rtlch\fcs1 \af0 \ltrch\fcs0 \insrsid2104921\charrsid7612140 Amendment\tab \tab }{\rtlch\fcs1 \af0 \ltrch\fcs0 _x000d__x000a_\cs17\b0\v\fs20\cf9\lang1024\langfe1024\loch\af1\hich\af1\dbch\af31501\noproof\insrsid2104921\charrsid7612140 \hich\af1\dbch\af31501\loch\f1 &lt;NumAmA&gt;}{\rtlch\fcs1 \af0 \ltrch\fcs0 \insrsid2104921\charrsid7612140 #}{\rtlch\fcs1 \af1 \ltrch\fcs0 _x000d__x000a_\cs20\v\f1\fs20\cf15\insrsid2104921\charrsid7612140 ENMIENDA@NRAM@}{\rtlch\fcs1 \af0 \ltrch\fcs0 \insrsid2104921\charrsid7612140 #}{\rtlch\fcs1 \af0 \ltrch\fcs0 _x000d__x000a_\cs17\b0\v\fs20\cf9\lang1024\langfe1024\loch\af1\hich\af1\dbch\af31501\noproof\insrsid2104921\charrsid7612140 \hich\af1\dbch\af31501\loch\f1 &lt;/NumAmA&gt;}{\rtlch\fcs1 \af0 \ltrch\fcs0 \insrsid2104921\charrsid7612140 _x000d__x000a_\par }\pard\plain \ltrpar\s23\ql \li0\ri0\sb240\keepn\nowidctlpar\wrapdefault\aspalpha\aspnum\faauto\adjustright\rin0\lin0\itap0\pararsid2104921 \rtlch\fcs1 \af0\afs20\alang1025 \ltrch\fcs0 \b\fs24\lang2057\langfe2057\cgrid\langnp2057\langfenp2057 {_x000d__x000a_\rtlch\fcs1 \af0 \ltrch\fcs0 \cs17\b0\v\fs20\cf9\lang1024\langfe1024\loch\af1\hich\af1\dbch\af31501\noproof\insrsid2104921\charrsid7612140 \hich\af1\dbch\af31501\loch\f1 &lt;DocAmend&gt;}{\rtlch\fcs1 \af0 \ltrch\fcs0 \insrsid2104921\charrsid7612140 _x000d__x000a_Draft legislative resolution}{\rtlch\fcs1 \af0 \ltrch\fcs0 \cs17\b0\v\fs20\cf9\lang1024\langfe1024\loch\af1\hich\af1\dbch\af31501\noproof\insrsid2104921\charrsid7612140 \hich\af1\dbch\af31501\loch\f1 &lt;/DocAmend&gt;}{\rtlch\fcs1 \af0 \ltrch\fcs0 _x000d__x000a_\insrsid2104921\charrsid7612140 _x000d__x000a_\par }\pard\plain \ltrpar\s19\ql \li0\ri0\nowidctlpar\wrapdefault\aspalpha\aspnum\faauto\adjustright\rin0\lin0\itap0\pararsid2104921 \rtlch\fcs1 \af0\afs20\alang1025 \ltrch\fcs0 \b\fs24\lang2057\langfe2057\cgrid\langnp2057\langfenp2057 {\rtlch\fcs1 \af0 _x000d__x000a_\ltrch\fcs0 \cs17\b0\v\fs20\cf9\lang1024\langfe1024\loch\af1\hich\af1\dbch\af31501\noproof\insrsid2104921\charrsid7612140 \hich\af1\dbch\af31501\loch\f1 &lt;Article&gt;}{\rtlch\fcs1 \af0 \ltrch\fcs0 \cf10\insrsid2104921\charrsid10711382 \u9668\'3f}{\rtlch\fcs1 _x000d__x000a_\af0 \ltrch\fcs0 \insrsid2104921\charrsid7612140 #}{\rtlch\fcs1 \af1 \ltrch\fcs0 \cs20\v\f1\fs20\cf15\insrsid2104921\charrsid7612140 TVTRESPART@RESPART@}{\rtlch\fcs1 \af0 \ltrch\fcs0 \insrsid2104921\charrsid7612140 #}{\rtlch\fcs1 \af0 \ltrch\fcs0 _x000d__x000a_\cf10\insrsid2104921\charrsid10711382 \u9658\'3f}{\rtlch\fcs1 \af0 \ltrch\fcs0 \cs17\b0\v\fs20\cf9\lang1024\langfe1024\loch\af1\hich\af1\dbch\af31501\noproof\insrsid2104921\charrsid7612140 \hich\af1\dbch\af31501\loch\f1 &lt;/Article&gt;}{\rtlch\fcs1 \af0 _x000d__x000a_\ltrch\fcs0 \insrsid2104921\charrsid7612140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2104921\charrsid7612140 \cell }\pard \ltrpar\ql \li0\ri0\widctlpar\intbl\wrapdefault\aspalpha\aspnum\faauto\adjustright\rin0\lin0 {\rtlch\fcs1 \af0 \ltrch\fcs0 _x000d__x000a_\insrsid2104921\charrsid7612140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2104921\charrsid7612140 Draft legislative resolution\cell Amendment\cell }\pard\plain \ltrpar\ql \li0\ri0\widctlpar\intbl\wrapdefault\aspalpha\aspnum\faauto\adjustright\rin0\lin0 \rtlch\fcs1 \af0\afs20\alang1025 \ltrch\fcs0 _x000d__x000a_\fs24\lang2057\langfe2057\cgrid\langnp2057\langfenp2057 {\rtlch\fcs1 \af0 \ltrch\fcs0 \insrsid2104921\charrsid7612140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104921\charrsid7612140 ##\cell ##}{\rtlch\fcs1 \af0\afs24 \ltrch\fcs0 \insrsid2104921\charrsid7612140 \cell }\pard\plain \ltrpar\ql \li0\ri0\widctlpar\intbl\wrapdefault\aspalpha\aspnum\faauto\adjustright\rin0\lin0 \rtlch\fcs1 _x000d__x000a_\af0\afs20\alang1025 \ltrch\fcs0 \fs24\lang2057\langfe2057\cgrid\langnp2057\langfenp2057 {\rtlch\fcs1 \af0 \ltrch\fcs0 \insrsid2104921\charrsid7612140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104921 {\rtlch\fcs1 \af0 \ltrch\fcs0 \cs17\v\fs20\cf9\lang1024\langfe1024\loch\af1\hich\af1\dbch\af31501\noproof\insrsid2104921\charrsid7612140 _x000d__x000a_\hich\af1\dbch\af31501\loch\f1 &lt;/AmendA&gt;}{\rtlch\fcs1 \af0 \ltrch\fcs0 \insrsid210492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60_x000d__x000a_4a3d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85513 HideTWBExt;}{_x000d__x000a_\s18\ql \li0\ri0\sa120\nowidctlpar\wrapdefault\aspalpha\aspnum\faauto\adjustright\rin0\lin0\itap0 \rtlch\fcs1 \af0\afs20\alang1025 \ltrch\fcs0 \fs24\lang2057\langfe2057\cgrid\langnp2057\langfenp2057 \sbasedon0 \snext18 \spriority0 \styrsid15485513 _x000d__x000a_Normal6a;}{\s19\ql \li0\ri0\nowidctlpar\wrapdefault\aspalpha\aspnum\faauto\adjustright\rin0\lin0\itap0 \rtlch\fcs1 \af0\afs20\alang1025 \ltrch\fcs0 \b\fs24\lang2057\langfe2057\cgrid\langnp2057\langfenp2057 \sbasedon0 \snext19 \spriority0 \styrsid15485513 _x000d__x000a_NormalBold;}{\s20\ql \li0\ri0\sa240\nowidctlpar\wrapdefault\aspalpha\aspnum\faauto\adjustright\rin0\lin0\itap0 \rtlch\fcs1 \af0\afs20\alang1025 \ltrch\fcs0 \i\fs24\lang2057\langfe2057\cgrid\langnp2057\langfenp2057 _x000d__x000a_\sbasedon0 \snext20 \spriority0 \styrsid15485513 AmJustText;}{\s21\qc \li0\ri0\sb240\sa240\nowidctlpar\wrapdefault\aspalpha\aspnum\faauto\adjustright\rin0\lin0\itap0 \rtlch\fcs1 \af0\afs20\alang1025 \ltrch\fcs0 _x000d__x000a_\i\fs24\lang2057\langfe2057\cgrid\langnp2057\langfenp2057 \sbasedon0 \snext21 \spriority0 \styrsid15485513 AmCrossRef;}{\*\cs22 \additive \v\f1\fs20\cf15 \spriority0 \styrsid15485513 HideTWBInt;}{_x000d__x000a_\s23\qc \li0\ri0\sb240\sa240\keepn\nowidctlpar\wrapdefault\aspalpha\aspnum\faauto\adjustright\rin0\lin0\itap0 \rtlch\fcs1 \af0\afs20\alang1025 \ltrch\fcs0 \i\fs24\lang2057\langfe2057\cgrid\langnp2057\langfenp2057 _x000d__x000a_\sbasedon0 \snext20 \spriority0 \styrsid15485513 AmJustTitle;}{\s24\qc \li0\ri0\sa240\nowidctlpar\wrapdefault\aspalpha\aspnum\faauto\adjustright\rin0\lin0\itap0 \rtlch\fcs1 \af0\afs20\alang1025 \ltrch\fcs0 _x000d__x000a_\i\fs24\lang2057\langfe2057\cgrid\langnp2057\langfenp2057 \sbasedon0 \snext24 \spriority0 \styrsid1548551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485513 AmNumberTabs;}{\s26\ql \li0\ri0\sb240\nowidctlpar\wrapdefault\aspalpha\aspnum\faauto\adjustright\rin0\lin0\itap0 \rtlch\fcs1 _x000d__x000a_\af0\afs20\alang1025 \ltrch\fcs0 \b\fs24\lang2057\langfe2057\cgrid\langnp2057\langfenp2057 \sbasedon0 \snext26 \spriority0 \styrsid15485513 NormalBold12b;}}{\*\rsidtbl \rsid24658\rsid223860\rsid735077\rsid1718133\rsid2892074\rsid3565327\rsid4666813_x000d__x000a_\rsid6641733\rsid7823322\rsid9636012\rsid10377208\rsid11215221\rsid11549030\rsid12154954\rsid14382809\rsid14424199\rsid15204470\rsid15285974\rsid15485513\rsid15667495\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99}{\nofchars567}{\nofcharsws66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85513\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667495 \chftnsep _x000d__x000a_\par }}{\*\ftnsepc \ltrpar \pard\plain \ltrpar\ql \li0\ri0\widctlpar\wrapdefault\aspalpha\aspnum\faauto\adjustright\rin0\lin0\itap0 \rtlch\fcs1 \af0\afs20\alang1025 \ltrch\fcs0 \fs24\lang2057\langfe2057\cgrid\langnp2057\langfenp2057 {\rtlch\fcs1 \af0 _x000d__x000a_\ltrch\fcs0 \insrsid15667495 \chftnsepc _x000d__x000a_\par }}{\*\aftnsep \ltrpar \pard\plain \ltrpar\ql \li0\ri0\widctlpar\wrapdefault\aspalpha\aspnum\faauto\adjustright\rin0\lin0\itap0 \rtlch\fcs1 \af0\afs20\alang1025 \ltrch\fcs0 \fs24\lang2057\langfe2057\cgrid\langnp2057\langfenp2057 {\rtlch\fcs1 \af0 _x000d__x000a_\ltrch\fcs0 \insrsid15667495 \chftnsep _x000d__x000a_\par }}{\*\aftnsepc \ltrpar \pard\plain \ltrpar\ql \li0\ri0\widctlpar\wrapdefault\aspalpha\aspnum\faauto\adjustright\rin0\lin0\itap0 \rtlch\fcs1 \af0\afs20\alang1025 \ltrch\fcs0 \fs24\lang2057\langfe2057\cgrid\langnp2057\langfenp2057 {\rtlch\fcs1 \af0 _x000d__x000a_\ltrch\fcs0 \insrsid156674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485513 \rtlch\fcs1 _x000d__x000a_\af0\afs20\alang1025 \ltrch\fcs0 \b\fs24\lang2057\langfe2057\cgrid\langnp2057\langfenp2057 {\rtlch\fcs1 \af0 \ltrch\fcs0 \cs17\b0\v\fs20\cf9\lang1024\langfe1024\loch\af1\hich\af1\dbch\af31501\noproof\insrsid15485513\charrsid7612140 {\*\bkmkstart restartB}_x000d__x000a_\hich\af1\dbch\af31501\loch\f1 &lt;AmendB&gt;}{\rtlch\fcs1 \af0 \ltrch\fcs0 \insrsid15485513\charrsid7612140 Amendment\tab \tab }{\rtlch\fcs1 \af0 \ltrch\fcs0 _x000d__x000a_\cs17\b0\v\fs20\cf9\lang1024\langfe1024\loch\af1\hich\af1\dbch\af31501\noproof\insrsid15485513\charrsid7612140 \hich\af1\dbch\af31501\loch\f1 &lt;NumAmB&gt;}{\rtlch\fcs1 \af0 \ltrch\fcs0 \insrsid15485513\charrsid7612140 #}{\rtlch\fcs1 \af1 \ltrch\fcs0 _x000d__x000a_\cs22\v\f1\fs20\cf15\insrsid15485513\charrsid7612140 ENMIENDA@NRAM@}{\rtlch\fcs1 \af0 \ltrch\fcs0 \insrsid15485513\charrsid7612140 #}{\rtlch\fcs1 \af0 \ltrch\fcs0 _x000d__x000a_\cs17\b0\v\fs20\cf9\lang1024\langfe1024\loch\af1\hich\af1\dbch\af31501\noproof\insrsid15485513\charrsid7612140 \hich\af1\dbch\af31501\loch\f1 &lt;/NumAmB&gt;}{\rtlch\fcs1 \af0 \ltrch\fcs0 \insrsid15485513\charrsid7612140 _x000d__x000a_\par }\pard\plain \ltrpar\s26\ql \li0\ri0\sb240\keepn\nowidctlpar\wrapdefault\aspalpha\aspnum\faauto\adjustright\rin0\lin0\itap0\pararsid15485513 \rtlch\fcs1 \af0\afs20\alang1025 \ltrch\fcs0 \b\fs24\lang2057\langfe2057\cgrid\langnp2057\langfenp2057 {_x000d__x000a_\rtlch\fcs1 \af0 \ltrch\fcs0 \cs17\b0\v\fs20\cf9\lang1024\langfe1024\loch\af1\hich\af1\dbch\af31501\noproof\insrsid15485513\charrsid7612140 \hich\af1\dbch\af31501\loch\f1 &lt;DocAmend&gt;}{\rtlch\fcs1 \af0 \ltrch\fcs0 \insrsid15485513\charrsid7612140 #}{_x000d__x000a_\rtlch\fcs1 \af1 \ltrch\fcs0 \cs22\v\f1\fs20\cf15\insrsid15485513\charrsid7612140 MNU[OPTPROPOSALCOD][OPTPROPOSALCNS][OPTPROPOSALNLE][OPTPROPOSALINL]@CHOICE@CODEMNU}{\rtlch\fcs1 \af0 \ltrch\fcs0 \insrsid15485513\charrsid7612140 ##}{\rtlch\fcs1 \af1 _x000d__x000a_\ltrch\fcs0 \cs22\v\f1\fs20\cf15\insrsid15485513\charrsid7612140 MNU[AMACTYES][NOTAPP]@CHOICE@AMACTMNU}{\rtlch\fcs1 \af0 \ltrch\fcs0 \insrsid15485513\charrsid7612140 #}{\rtlch\fcs1 \af0 \ltrch\fcs0 _x000d__x000a_\cs17\b0\v\fs20\cf9\lang1024\langfe1024\loch\af1\hich\af1\dbch\af31501\noproof\insrsid15485513\charrsid7612140 \hich\af1\dbch\af31501\loch\f1 &lt;/DocAmend&gt;}{\rtlch\fcs1 \af0 \ltrch\fcs0 \insrsid15485513\charrsid7612140 _x000d__x000a_\par }\pard\plain \ltrpar\s19\ql \li0\ri0\keepn\nowidctlpar\wrapdefault\aspalpha\aspnum\faauto\adjustright\rin0\lin0\itap0\pararsid15485513 \rtlch\fcs1 \af0\afs20\alang1025 \ltrch\fcs0 \b\fs24\lang2057\langfe2057\cgrid\langnp2057\langfenp2057 {\rtlch\fcs1 _x000d__x000a_\af0 \ltrch\fcs0 \cs17\b0\v\fs20\cf9\lang1024\langfe1024\loch\af1\hich\af1\dbch\af31501\noproof\insrsid15485513\charrsid7612140 \hich\af1\dbch\af31501\loch\f1 &lt;Article&gt;}{\rtlch\fcs1 \af0 \ltrch\fcs0 \insrsid15485513\charrsid7612140 #}{\rtlch\fcs1 \af1 _x000d__x000a_\ltrch\fcs0 \cs22\v\f1\fs20\cf15\insrsid15485513\charrsid7612140 MNU[AMACTPARTYES][AMACTPARTNO]@CHOICE@AMACTMNU}{\rtlch\fcs1 \af0 \ltrch\fcs0 \insrsid15485513\charrsid7612140 #}{\rtlch\fcs1 \af0 \ltrch\fcs0 _x000d__x000a_\cs17\b0\v\fs20\cf9\lang1024\langfe1024\loch\af1\hich\af1\dbch\af31501\noproof\insrsid15485513\charrsid7612140 \hich\af1\dbch\af31501\loch\f1 &lt;/Article&gt;}{\rtlch\fcs1 \af0 \ltrch\fcs0 \insrsid15485513\charrsid7612140 _x000d__x000a_\par }\pard\plain \ltrpar\ql \li0\ri0\keepn\widctlpar\wrapdefault\aspalpha\aspnum\faauto\adjustright\rin0\lin0\itap0\pararsid15485513 \rtlch\fcs1 \af0\afs20\alang1025 \ltrch\fcs0 \fs24\lang2057\langfe2057\cgrid\langnp2057\langfenp2057 {\rtlch\fcs1 \af0 _x000d__x000a_\ltrch\fcs0 \cs17\v\fs20\cf9\lang1024\langfe1024\loch\af1\hich\af1\dbch\af31501\noproof\insrsid15485513\charrsid7612140 \hich\af1\dbch\af31501\loch\f1 &lt;DocAmend\hich\af1\dbch\af31501\loch\f1 2&gt;&lt;OptDel&gt;}{\rtlch\fcs1 \af0 \ltrch\fcs0 _x000d__x000a_\insrsid15485513\charrsid7612140 #}{\rtlch\fcs1 \af1 \ltrch\fcs0 \cs22\v\f1\fs20\cf15\insrsid15485513\charrsid7612140 MNU[OPTNRACTYES][NOTAPP]@CHOICE@AMACTMNU}{\rtlch\fcs1 \af0 \ltrch\fcs0 \insrsid15485513\charrsid7612140 #}{\rtlch\fcs1 \af0 \ltrch\fcs0 _x000d__x000a_\cs17\v\fs20\cf9\lang1024\langfe1024\loch\af1\hich\af1\dbch\af31501\noproof\insrsid15485513\charrsid7612140 \hich\af1\dbch\af31501\loch\f1 &lt;/OptDel&gt;&lt;/DocAmend2&gt;}{\rtlch\fcs1 \af0 \ltrch\fcs0 \insrsid15485513\charrsid7612140 _x000d__x000a_\par }\pard \ltrpar\ql \li0\ri0\widctlpar\wrapdefault\aspalpha\aspnum\faauto\adjustright\rin0\lin0\itap0\pararsid15485513 {\rtlch\fcs1 \af0 \ltrch\fcs0 \cs17\v\fs20\cf9\lang1024\langfe1024\loch\af1\hich\af1\dbch\af31501\noproof\insrsid15485513\charrsid7612140 _x000d__x000a_\hich\af1\dbch\af31501\loch\f1 &lt;Article2&gt;&lt;OptDel&gt;}{\rtlch\fcs1 \af0 \ltrch\fcs0 \insrsid15485513\charrsid7612140 #}{\rtlch\fcs1 \af1 \ltrch\fcs0 \cs22\v\f1\fs20\cf15\insrsid15485513\charrsid7612140 MNU[OPTACTPARTYES][NOTAPP]@CHOICE@AMACTMNU}{\rtlch\fcs1 _x000d__x000a_\af0 \ltrch\fcs0 \insrsid15485513\charrsid7612140 #}{\rtlch\fcs1 \af0 \ltrch\fcs0 \cs17\v\fs20\cf9\lang1024\langfe1024\loch\af1\hich\af1\dbch\af31501\noproof\insrsid15485513\charrsid7612140 \hich\af1\dbch\af31501\loch\f1 &lt;/OptDel&gt;&lt;/Article2&gt;}{\rtlch\fcs1 _x000d__x000a_\af0 \ltrch\fcs0 \insrsid15485513\charrsid7612140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15485513\charrsid7612140 \cell }\pard \ltrpar\ql \li0\ri0\widctlpar\intbl\wrapdefault\aspalpha\aspnum\faauto\adjustright\rin0\lin0 {\rtlch\fcs1 \af0 \ltrch\fcs0 \insrsid15485513\charrsid7612140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15485513\charrsid7612140 #}{\rtlch\fcs1 \af1 \ltrch\fcs0 \cs22\v\f1\fs20\cf15\insrsid15485513\charrsid7612140 MNU[OPTLEFTAMACT][LEFTPROP]@CHOICE@AMACTMNU}{\rtlch\fcs1 \af0 \ltrch\fcs0 \insrsid15485513\charrsid7612140 #\cell Amendment\cell _x000d__x000a_}\pard\plain \ltrpar\ql \li0\ri0\widctlpar\intbl\wrapdefault\aspalpha\aspnum\faauto\adjustright\rin0\lin0 \rtlch\fcs1 \af0\afs20\alang1025 \ltrch\fcs0 \fs24\lang2057\langfe2057\cgrid\langnp2057\langfenp2057 {\rtlch\fcs1 \af0 \ltrch\fcs0 _x000d__x000a_\insrsid15485513\charrsid7612140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5485513\charrsid7612140 ##\cell ##}{\rtlch\fcs1 \af0\afs24 \ltrch\fcs0 \insrsid15485513\charrsid7612140 \cell }\pard\plain \ltrpar\ql \li0\ri0\widctlpar\intbl\wrapdefault\aspalpha\aspnum\faauto\adjustright\rin0\lin0 _x000d__x000a_\rtlch\fcs1 \af0\afs20\alang1025 \ltrch\fcs0 \fs24\lang2057\langfe2057\cgrid\langnp2057\langfenp2057 {\rtlch\fcs1 \af0 \ltrch\fcs0 \insrsid15485513\charrsid7612140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485513 \rtlch\fcs1 \af0\afs20\alang1025 \ltrch\fcs0 \i\fs24\lang2057\langfe2057\cgrid\langnp2057\langfenp2057 {\rtlch\fcs1 \af0 \ltrch\fcs0 _x000d__x000a_\cs17\i0\v\fs20\cf9\lang1024\langfe1024\loch\af1\hich\af1\dbch\af31501\noproof\insrsid15485513\charrsid7612140 \hich\af1\dbch\af31501\loch\f1 &lt;OptDel&gt;}{\rtlch\fcs1 \af0 \ltrch\fcs0 \insrsid15485513\charrsid7612140 #}{\rtlch\fcs1 \af1 \ltrch\fcs0 _x000d__x000a_\cs22\v\f1\fs20\cf15\insrsid15485513\charrsid7612140 MNU[CROSSREFNO][CROSSREFYES]@CHOICE@}{\rtlch\fcs1 \af0 \ltrch\fcs0 \insrsid15485513\charrsid7612140 #}{\rtlch\fcs1 \af0 \ltrch\fcs0 _x000d__x000a_\cs17\i0\v\fs20\cf9\lang1024\langfe1024\loch\af1\hich\af1\dbch\af31501\noproof\insrsid15485513\charrsid7612140 \hich\af1\dbch\af31501\loch\f1 &lt;/OptDel&gt;}{\rtlch\fcs1 \af0 \ltrch\fcs0 \insrsid15485513\charrsid7612140 _x000d__x000a_\par }\pard\plain \ltrpar\s23\qc \li0\ri0\sb240\sa240\keepn\nowidctlpar\wrapdefault\aspalpha\aspnum\faauto\adjustright\rin0\lin0\itap0\pararsid15485513 \rtlch\fcs1 \af0\afs20\alang1025 \ltrch\fcs0 \i\fs24\lang2057\langfe2057\cgrid\langnp2057\langfenp2057 {_x000d__x000a_\rtlch\fcs1 \af0 \ltrch\fcs0 \cs17\i0\v\fs20\cf9\lang1024\langfe1024\loch\af1\hich\af1\dbch\af31501\noproof\insrsid15485513\charrsid7612140 \hich\af1\dbch\af31501\loch\f1 &lt;TitreJust&gt;}{\rtlch\fcs1 \af0 \ltrch\fcs0 \insrsid15485513\charrsid7612140 _x000d__x000a_Justification}{\rtlch\fcs1 \af0 \ltrch\fcs0 \cs17\i0\v\fs20\cf9\lang1024\langfe1024\loch\af1\hich\af1\dbch\af31501\noproof\insrsid15485513\charrsid7612140 \hich\af1\dbch\af31501\loch\f1 &lt;/TitreJust&gt;}{\rtlch\fcs1 \af0 \ltrch\fcs0 _x000d__x000a_\insrsid15485513\charrsid7612140 _x000d__x000a_\par }\pard\plain \ltrpar\s20\ql \li0\ri0\sa240\nowidctlpar\wrapdefault\aspalpha\aspnum\faauto\adjustright\rin0\lin0\itap0\pararsid15485513 \rtlch\fcs1 \af0\afs20\alang1025 \ltrch\fcs0 \i\fs24\lang2057\langfe2057\cgrid\langnp2057\langfenp2057 {\rtlch\fcs1 _x000d__x000a_\af0 \ltrch\fcs0 \cs17\i0\v\fs20\cf9\lang1024\langfe1024\loch\af1\hich\af1\dbch\af31501\noproof\insrsid15485513\charrsid7612140 \hich\af1\dbch\af31501\loch\f1 &lt;OptDelPrev&gt;}{\rtlch\fcs1 \af0 \ltrch\fcs0 \insrsid15485513\charrsid7612140 #}{\rtlch\fcs1 \af1 _x000d__x000a_\ltrch\fcs0 \cs22\v\f1\fs20\cf15\insrsid15485513\charrsid7612140 MNU[TEXTJUSTYES][TEXTJUSTNO]@CHOICE@}{\rtlch\fcs1 \af0 \ltrch\fcs0 \insrsid15485513\charrsid7612140 #}{\rtlch\fcs1 \af0 \ltrch\fcs0 _x000d__x000a_\cs17\i0\v\fs20\cf9\lang1024\langfe1024\loch\af1\hich\af1\dbch\af31501\noproof\insrsid15485513\charrsid7612140 \hich\af1\dbch\af31501\loch\f1 &lt;/OptDelPrev&gt;}{\rtlch\fcs1 \af0 \ltrch\fcs0 \insrsid15485513\charrsid7612140 _x000d__x000a_\par }\pard\plain \ltrpar\ql \li0\ri0\widctlpar\wrapdefault\aspalpha\aspnum\faauto\adjustright\rin0\lin0\itap0\pararsid15485513 \rtlch\fcs1 \af0\afs20\alang1025 \ltrch\fcs0 \fs24\lang2057\langfe2057\cgrid\langnp2057\langfenp2057 {\rtlch\fcs1 \af0 \ltrch\fcs0 _x000d__x000a_\cs17\v\fs20\cf9\lang1024\langfe1024\loch\af1\hich\af1\dbch\af31501\noproof\insrsid15485513\charrsid7612140 \hich\af1\dbch\af31501\loch\f1 &lt;/AmendB&gt;}{\rtlch\fcs1 \af0 \ltrch\fcs0 \insrsid1548551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48_x000d__x000a_313f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473135 HideTWBExt;}{_x000d__x000a_\s18\ql \li0\ri0\sa120\nowidctlpar\wrapdefault\aspalpha\aspnum\faauto\adjustright\rin0\lin0\itap0 \rtlch\fcs1 \af0\afs20\alang1025 \ltrch\fcs0 \fs24\lang2057\langfe2057\cgrid\langnp2057\langfenp2057 \sbasedon0 \snext18 \spriority0 \styrsid8473135 _x000d__x000a_Normal6a;}{\s19\ql \li0\ri0\nowidctlpar\wrapdefault\aspalpha\aspnum\faauto\adjustright\rin0\lin0\itap0 \rtlch\fcs1 \af0\afs20\alang1025 \ltrch\fcs0 \b\fs24\lang2057\langfe2057\cgrid\langnp2057\langfenp2057 \sbasedon0 \snext19 \spriority0 \styrsid8473135 _x000d__x000a_NormalBold;}{\s20\qc \li0\ri0\sa240\nowidctlpar\wrapdefault\aspalpha\aspnum\faauto\adjustright\rin0\lin0\itap0 \rtlch\fcs1 \af0\afs20\alang1025 \ltrch\fcs0 \i\fs24\lang2057\langfe2057\cgrid\langnp2057\langfenp2057 _x000d__x000a_\sbasedon0 \snext20 \spriority0 \styrsid847313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473135 AmNumberTabs;}{\s22\ql \li0\ri0\sb240\nowidctlpar\wrapdefault\aspalpha\aspnum\faauto\adjustright\rin0\lin0\itap0 \rtlch\fcs1 _x000d__x000a_\af0\afs20\alang1025 \ltrch\fcs0 \b\fs24\lang2057\langfe2057\cgrid\langnp2057\langfenp2057 \sbasedon0 \snext22 \spriority0 \styrsid8473135 NormalBold12b;}}{\*\rsidtbl \rsid24658\rsid223860\rsid735077\rsid1718133\rsid2892074\rsid3565327\rsid4666813_x000d__x000a_\rsid6641733\rsid7823322\rsid8473135\rsid9636012\rsid10377208\rsid11215221\rsid11549030\rsid12154954\rsid14382809\rsid14424199\rsid15204470\rsid15285974\rsid15335601\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7313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335601 \chftnsep _x000d__x000a_\par }}{\*\ftnsepc \ltrpar \pard\plain \ltrpar\ql \li0\ri0\widctlpar\wrapdefault\aspalpha\aspnum\faauto\adjustright\rin0\lin0\itap0 \rtlch\fcs1 \af0\afs20\alang1025 \ltrch\fcs0 \fs24\lang2057\langfe2057\cgrid\langnp2057\langfenp2057 {\rtlch\fcs1 \af0 _x000d__x000a_\ltrch\fcs0 \insrsid15335601 \chftnsepc _x000d__x000a_\par }}{\*\aftnsep \ltrpar \pard\plain \ltrpar\ql \li0\ri0\widctlpar\wrapdefault\aspalpha\aspnum\faauto\adjustright\rin0\lin0\itap0 \rtlch\fcs1 \af0\afs20\alang1025 \ltrch\fcs0 \fs24\lang2057\langfe2057\cgrid\langnp2057\langfenp2057 {\rtlch\fcs1 \af0 _x000d__x000a_\ltrch\fcs0 \insrsid15335601 \chftnsep _x000d__x000a_\par }}{\*\aftnsepc \ltrpar \pard\plain \ltrpar\ql \li0\ri0\widctlpar\wrapdefault\aspalpha\aspnum\faauto\adjustright\rin0\lin0\itap0 \rtlch\fcs1 \af0\afs20\alang1025 \ltrch\fcs0 \fs24\lang2057\langfe2057\cgrid\langnp2057\langfenp2057 {\rtlch\fcs1 \af0 _x000d__x000a_\ltrch\fcs0 \insrsid153356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473135 \rtlch\fcs1 _x000d__x000a_\af0\afs20\alang1025 \ltrch\fcs0 \b\fs24\lang2057\langfe2057\cgrid\langnp2057\langfenp2057 {\rtlch\fcs1 \af0 \ltrch\fcs0 \cs17\b0\v\fs20\cf9\lang1024\langfe1024\loch\af1\hich\af1\dbch\af31501\noproof\insrsid8473135\charrsid15879488 {\*\bkmkstart restartA}_x000d__x000a_\hich\af1\dbch\af31501\loch\f1 &lt;AmendA&gt;}{\rtlch\fcs1 \af0 \ltrch\fcs0 \insrsid8473135\charrsid15879488 [ZAMENDMENT]\tab \tab }{\rtlch\fcs1 \af0 \ltrch\fcs0 _x000d__x000a_\cs17\b0\v\fs20\cf9\lang1024\langfe1024\loch\af1\hich\af1\dbch\af31501\noproof\insrsid8473135\charrsid15879488 \hich\af1\dbch\af31501\loch\f1 &lt;NumAmA&gt;}{\rtlch\fcs1 \af0 \ltrch\fcs0 \insrsid8473135\charrsid15879488 [ZNRAM]}{\rtlch\fcs1 \af0 \ltrch\fcs0 _x000d__x000a_\cs17\b0\v\fs20\cf9\lang1024\langfe1024\loch\af1\hich\af1\dbch\af31501\noproof\insrsid8473135\charrsid15879488 \hich\af1\dbch\af31501\loch\f1 &lt;/NumAmA&gt;}{\rtlch\fcs1 \af0 \ltrch\fcs0 \insrsid8473135\charrsid15879488 _x000d__x000a_\par }\pard\plain \ltrpar\s22\ql \li0\ri0\sb240\keepn\nowidctlpar\wrapdefault\aspalpha\aspnum\faauto\adjustright\rin0\lin0\itap0\pararsid8473135 \rtlch\fcs1 \af0\afs20\alang1025 \ltrch\fcs0 \b\fs24\lang2057\langfe2057\cgrid\langnp2057\langfenp2057 {_x000d__x000a_\rtlch\fcs1 \af0 \ltrch\fcs0 \cs17\b0\v\fs20\cf9\lang1024\langfe1024\loch\af1\hich\af1\dbch\af31501\noproof\langnp1036\insrsid8473135\charrsid11356624 \hich\af1\dbch\af31501\loch\f1 &lt;DocAmend&gt;}{\rtlch\fcs1 \af0 \ltrch\fcs0 _x000d__x000a_\lang1036\langfe2057\langnp1036\insrsid8473135\charrsid11356624 [ZRESOLUTION]}{\rtlch\fcs1 \af0 \ltrch\fcs0 \cs17\b0\v\fs20\cf9\lang1024\langfe1024\loch\af1\hich\af1\dbch\af31501\noproof\langnp1036\insrsid8473135\charrsid11356624 _x000d__x000a_\hich\af1\dbch\af31501\loch\f1 &lt;/DocAmend&gt;}{\rtlch\fcs1 \af0 \ltrch\fcs0 \lang1036\langfe2057\langnp1036\insrsid8473135\charrsid11356624 _x000d__x000a_\par }\pard\plain \ltrpar\s19\ql \li0\ri0\nowidctlpar\wrapdefault\aspalpha\aspnum\faauto\adjustright\rin0\lin0\itap0\pararsid8473135 \rtlch\fcs1 \af0\afs20\alang1025 \ltrch\fcs0 \b\fs24\lang2057\langfe2057\cgrid\langnp2057\langfenp2057 {\rtlch\fcs1 \af0 _x000d__x000a_\ltrch\fcs0 \cs17\b0\v\fs20\cf9\lang1024\langfe1024\loch\af1\hich\af1\dbch\af31501\noproof\langnp1036\insrsid8473135\charrsid11356624 \hich\af1\dbch\af31501\loch\f1 &lt;Article&gt;}{\rtlch\fcs1 \af0 \ltrch\fcs0 _x000d__x000a_\lang1036\langfe2057\langnp1036\insrsid8473135\charrsid11356624 [ZRESPART]}{\rtlch\fcs1 \af0 \ltrch\fcs0 \cs17\b0\v\fs20\cf9\lang1024\langfe1024\loch\af1\hich\af1\dbch\af31501\noproof\langnp1036\insrsid8473135\charrsid11356624 _x000d__x000a_\hich\af1\dbch\af31501\loch\f1 &lt;/Article&gt;}{\rtlch\fcs1 \af0 \ltrch\fcs0 \lang1036\langfe2057\langnp1036\insrsid847313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473135\charrsid11356624 \cell }\pard \ltrpar_x000d__x000a_\ql \li0\ri0\widctlpar\intbl\wrapdefault\aspalpha\aspnum\faauto\adjustright\rin0\lin0 {\rtlch\fcs1 \af0 \ltrch\fcs0 \insrsid847313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473135\charrsid15879488 [ZLEFTA]\cell [ZRIGHT]\cell }\pard\plain \ltrpar\ql \li0\ri0\widctlpar\intbl\wrapdefault\aspalpha\aspnum\faauto\adjustright\rin0\lin0 _x000d__x000a_\rtlch\fcs1 \af0\afs20\alang1025 \ltrch\fcs0 \fs24\lang2057\langfe2057\cgrid\langnp2057\langfenp2057 {\rtlch\fcs1 \af0 \ltrch\fcs0 \insrsid8473135\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473135\charrsid15879488 [ZTEXTL]\cell [ZTEXTR]}{\rtlch\fcs1 \af0\afs24 \ltrch\fcs0 \insrsid8473135\charrsid15879488 \cell }\pard\plain \ltrpar\ql \li0\ri0\widctlpar\intbl\wrapdefault\aspalpha\aspnum\faauto\adjustright\rin0\lin0 \rtlch\fcs1 _x000d__x000a_\af0\afs20\alang1025 \ltrch\fcs0 \fs24\lang2057\langfe2057\cgrid\langnp2057\langfenp2057 {\rtlch\fcs1 \af0 \ltrch\fcs0 \insrsid847313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473135 {\rtlch\fcs1 \af0 \ltrch\fcs0 \cs17\v\fs20\cf9\lang1024\langfe1024\loch\af1\hich\af1\dbch\af31501\noproof\insrsid8473135\charrsid15879488 _x000d__x000a_\hich\af1\dbch\af31501\loch\f1 &lt;/AmendA&gt;}{\rtlch\fcs1 \af0 \ltrch\fcs0 \insrsid847313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9_x000d__x000a_3041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2627 HideTWBExt;}{_x000d__x000a_\s18\ql \li0\ri0\sa120\nowidctlpar\wrapdefault\aspalpha\aspnum\faauto\adjustright\rin0\lin0\itap0 \rtlch\fcs1 \af0\afs20\alang1025 \ltrch\fcs0 \fs24\lang2057\langfe2057\cgrid\langnp2057\langfenp2057 \sbasedon0 \snext18 \spriority0 \styrsid722627 _x000d__x000a_Normal6a;}{\s19\ql \li0\ri0\nowidctlpar\wrapdefault\aspalpha\aspnum\faauto\adjustright\rin0\lin0\itap0 \rtlch\fcs1 \af0\afs20\alang1025 \ltrch\fcs0 \b\fs24\lang2057\langfe2057\cgrid\langnp2057\langfenp2057 \sbasedon0 \snext19 \spriority0 \styrsid722627 _x000d__x000a_NormalBold;}{\s20\ql \li0\ri0\sa240\nowidctlpar\wrapdefault\aspalpha\aspnum\faauto\adjustright\rin0\lin0\itap0 \rtlch\fcs1 \af0\afs20\alang1025 \ltrch\fcs0 \i\fs24\lang2057\langfe2057\cgrid\langnp2057\langfenp2057 _x000d__x000a_\sbasedon0 \snext20 \spriority0 \styrsid722627 AmJustText;}{\s21\qc \li0\ri0\sb240\sa240\nowidctlpar\wrapdefault\aspalpha\aspnum\faauto\adjustright\rin0\lin0\itap0 \rtlch\fcs1 \af0\afs20\alang1025 \ltrch\fcs0 _x000d__x000a_\i\fs24\lang2057\langfe2057\cgrid\langnp2057\langfenp2057 \sbasedon0 \snext21 \spriority0 \styrsid722627 AmCrossRef;}{\s22\qc \li0\ri0\sb240\sa240\keepn\nowidctlpar\wrapdefault\aspalpha\aspnum\faauto\adjustright\rin0\lin0\itap0 \rtlch\fcs1 _x000d__x000a_\af0\afs20\alang1025 \ltrch\fcs0 \i\fs24\lang2057\langfe2057\cgrid\langnp2057\langfenp2057 \sbasedon0 \snext20 \spriority0 \styrsid722627 AmJustTitle;}{\s23\qc \li0\ri0\sa240\nowidctlpar\wrapdefault\aspalpha\aspnum\faauto\adjustright\rin0\lin0\itap0 _x000d__x000a_\rtlch\fcs1 \af0\afs20\alang1025 \ltrch\fcs0 \i\fs24\lang2057\langfe2057\cgrid\langnp2057\langfenp2057 \sbasedon0 \snext23 \spriority0 \styrsid72262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2627 AmNumberTabs;}{\s25\ql \li0\ri0\sb240\nowidctlpar\wrapdefault\aspalpha\aspnum\faauto\adjustright\rin0\lin0\itap0 \rtlch\fcs1 _x000d__x000a_\af0\afs20\alang1025 \ltrch\fcs0 \b\fs24\lang2057\langfe2057\cgrid\langnp2057\langfenp2057 \sbasedon0 \snext25 \spriority0 \styrsid722627 NormalBold12b;}}{\*\rsidtbl \rsid24658\rsid223860\rsid722627\rsid735077\rsid1718133\rsid2375206\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55}{\nofchars317}{\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2627\newtblstyruls\nogrowautofit\usenormstyforlist\noindnmbrts\felnbrelev\nocxsptable\indrlsweleven\noafcnsttbl\afelev\utinl\hwelev\spltpgpar\notcvasp\notbrkcnstfrctbl\notvatxbx\krnprsnet\cachedcolbal \nouicompat \fet0_x000d__x000a_{\*\wgrffmtfilter 013f}\nofeaturethrottle1\ilfomacatclnup0{\*\template C:\\Users\\mkrieg\\AppData\\Local\\Temp\\Blank1.dotx}{\*\ftnsep \ltrpar \pard\plain \ltrpar\ql \li0\ri0\widctlpar\wrapdefault\aspalpha\aspnum\faauto\adjustright\rin0\lin0\itap0 _x000d__x000a_\rtlch\fcs1 \af0\afs20\alang1025 \ltrch\fcs0 \fs24\lang2057\langfe2057\cgrid\langnp2057\langfenp2057 {\rtlch\fcs1 \af0 \ltrch\fcs0 \insrsid2375206 \chftnsep _x000d__x000a_\par }}{\*\ftnsepc \ltrpar \pard\plain \ltrpar\ql \li0\ri0\widctlpar\wrapdefault\aspalpha\aspnum\faauto\adjustright\rin0\lin0\itap0 \rtlch\fcs1 \af0\afs20\alang1025 \ltrch\fcs0 \fs24\lang2057\langfe2057\cgrid\langnp2057\langfenp2057 {\rtlch\fcs1 \af0 _x000d__x000a_\ltrch\fcs0 \insrsid2375206 \chftnsepc _x000d__x000a_\par }}{\*\aftnsep \ltrpar \pard\plain \ltrpar\ql \li0\ri0\widctlpar\wrapdefault\aspalpha\aspnum\faauto\adjustright\rin0\lin0\itap0 \rtlch\fcs1 \af0\afs20\alang1025 \ltrch\fcs0 \fs24\lang2057\langfe2057\cgrid\langnp2057\langfenp2057 {\rtlch\fcs1 \af0 _x000d__x000a_\ltrch\fcs0 \insrsid2375206 \chftnsep _x000d__x000a_\par }}{\*\aftnsepc \ltrpar \pard\plain \ltrpar\ql \li0\ri0\widctlpar\wrapdefault\aspalpha\aspnum\faauto\adjustright\rin0\lin0\itap0 \rtlch\fcs1 \af0\afs20\alang1025 \ltrch\fcs0 \fs24\lang2057\langfe2057\cgrid\langnp2057\langfenp2057 {\rtlch\fcs1 \af0 _x000d__x000a_\ltrch\fcs0 \insrsid23752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22627 \rtlch\fcs1 _x000d__x000a_\af0\afs20\alang1025 \ltrch\fcs0 \b\fs24\lang2057\langfe2057\cgrid\langnp2057\langfenp2057 {\rtlch\fcs1 \af0 \ltrch\fcs0 \cs17\b0\v\fs20\cf9\lang1024\langfe1024\loch\af1\hich\af1\dbch\af31501\noproof\insrsid722627\charrsid15879488 {\*\bkmkstart restartB}_x000d__x000a_\hich\af1\dbch\af31501\loch\f1 &lt;AmendB&gt;}{\rtlch\fcs1 \af0 \ltrch\fcs0 \insrsid722627\charrsid15879488 [ZAMENDMENT]\tab \tab }{\rtlch\fcs1 \af0 \ltrch\fcs0 _x000d__x000a_\cs17\b0\v\fs20\cf9\lang1024\langfe1024\loch\af1\hich\af1\dbch\af31501\noproof\insrsid722627\charrsid15879488 \hich\af1\dbch\af31501\loch\f1 &lt;NumAmB&gt;}{\rtlch\fcs1 \af0 \ltrch\fcs0 \insrsid722627\charrsid15879488 [ZNRAM]}{\rtlch\fcs1 \af0 \ltrch\fcs0 _x000d__x000a_\cs17\b0\v\fs20\cf9\lang1024\langfe1024\loch\af1\hich\af1\dbch\af31501\noproof\insrsid722627\charrsid15879488 \hich\af1\dbch\af31501\loch\f1 &lt;/NumAmB&gt;}{\rtlch\fcs1 \af0 \ltrch\fcs0 \insrsid722627\charrsid15879488 _x000d__x000a_\par }\pard\plain \ltrpar\s25\ql \li0\ri0\sb240\keepn\nowidctlpar\wrapdefault\aspalpha\aspnum\faauto\adjustright\rin0\lin0\itap0\pararsid722627 \rtlch\fcs1 \af0\afs20\alang1025 \ltrch\fcs0 \b\fs24\lang2057\langfe2057\cgrid\langnp2057\langfenp2057 {\rtlch\fcs1 _x000d__x000a_\af0 \ltrch\fcs0 \cs17\b0\v\fs20\cf9\lang1024\langfe1024\loch\af1\hich\af1\dbch\af31501\noproof\insrsid722627\charrsid15879488 \hich\af1\dbch\af31501\loch\f1 &lt;DocAmend&gt;}{\rtlch\fcs1 \af0 \ltrch\fcs0 \insrsid722627\charrsid15879488 [ZPROPOSAL][ZAMACT]}{_x000d__x000a_\rtlch\fcs1 \af0 \ltrch\fcs0 \cs17\b0\v\fs20\cf9\lang1024\langfe1024\loch\af1\hich\af1\dbch\af31501\noproof\insrsid722627\charrsid15879488 \hich\af1\dbch\af31501\loch\f1 &lt;/DocAmend&gt;}{\rtlch\fcs1 \af0 \ltrch\fcs0 \insrsid722627\charrsid15879488 _x000d__x000a_\par }\pard\plain \ltrpar\s19\ql \li0\ri0\keepn\nowidctlpar\wrapdefault\aspalpha\aspnum\faauto\adjustright\rin0\lin0\itap0\pararsid722627 \rtlch\fcs1 \af0\afs20\alang1025 \ltrch\fcs0 \b\fs24\lang2057\langfe2057\cgrid\langnp2057\langfenp2057 {\rtlch\fcs1 \af0 _x000d__x000a_\ltrch\fcs0 \cs17\b0\v\fs20\cf9\lang1024\langfe1024\loch\af1\hich\af1\dbch\af31501\noproof\insrsid722627\charrsid15879488 \hich\af1\dbch\af31501\loch\f1 &lt;Article&gt;}{\rtlch\fcs1 \af0 \ltrch\fcs0 \insrsid722627\charrsid15879488 [ZAMPART]}{\rtlch\fcs1 \af0 _x000d__x000a_\ltrch\fcs0 \cs17\b0\v\fs20\cf9\lang1024\langfe1024\loch\af1\hich\af1\dbch\af31501\noproof\insrsid722627\charrsid15879488 \hich\af1\dbch\af31501\loch\f1 &lt;/Article&gt;}{\rtlch\fcs1 \af0 \ltrch\fcs0 \insrsid722627\charrsid15879488 _x000d__x000a_\par }\pard\plain \ltrpar\ql \li0\ri0\keepn\widctlpar\wrapdefault\aspalpha\aspnum\faauto\adjustright\rin0\lin0\itap0\pararsid722627 \rtlch\fcs1 \af0\afs20\alang1025 \ltrch\fcs0 \fs24\lang2057\langfe2057\cgrid\langnp2057\langfenp2057 {\rtlch\fcs1 \af0 _x000d__x000a_\ltrch\fcs0 \cs17\v\fs20\cf9\lang1024\langfe1024\loch\af1\hich\af1\dbch\af31501\noproof\insrsid722627\charrsid15879488 \hich\af1\dbch\af31501\loch\f1 &lt;DocAmend2&gt;&lt;OptDel&gt;}{\rtlch\fcs1 \af0 \ltrch\fcs0 \insrsid722627\charrsid15879488 [ZNRACT]}{\rtlch\fcs1 _x000d__x000a_\af0 \ltrch\fcs0 \cs17\v\fs20\cf9\lang1024\langfe1024\loch\af1\hich\af1\dbch\af31501\noproof\insrsid722627\charrsid15879488 \hich\af1\dbch\af31501\loch\f1 &lt;/OptDel&gt;&lt;/DocAmend2&gt;}{\rtlch\fcs1 \af0 \ltrch\fcs0 \insrsid722627\charrsid15879488 _x000d__x000a_\par }\pard \ltrpar\ql \li0\ri0\widctlpar\wrapdefault\aspalpha\aspnum\faauto\adjustright\rin0\lin0\itap0\pararsid722627 {\rtlch\fcs1 \af0 \ltrch\fcs0 _x000d__x000a_\cs17\v\fs20\cf9\lang1024\langfe1024\loch\af1\hich\af1\dbch\af31501\noproof\langnp1036\insrsid722627\charrsid11356624 \hich\af1\dbch\af31501\loch\f1 &lt;Article2&gt;&lt;OptDel&gt;}{\rtlch\fcs1 \af0 \ltrch\fcs0 _x000d__x000a_\lang1036\langfe2057\langnp1036\insrsid722627\charrsid11356624 [ZACTPART]}{\rtlch\fcs1 \af0 \ltrch\fcs0 \cs17\v\fs20\cf9\lang1024\langfe1024\loch\af1\hich\af1\dbch\af31501\noproof\langnp1036\insrsid722627\charrsid11356624 \hich\af1\dbch\af31501\loch\f1 _x000d__x000a_&lt;/OptDel&gt;&lt;/Article2&gt;}{\rtlch\fcs1 \af0 \ltrch\fcs0 \lang1036\langfe2057\langnp1036\insrsid72262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22627\charrsid11356624 \cell }\pard \ltrpar\ql \li0\ri0\widctlpar\intbl\wrapdefault\aspalpha\aspnum\faauto\adjustright\rin0\lin0 {\rtlch\fcs1 \af0 \ltrch\fcs0 \insrsid72262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22627\charrsid15879488 [ZLEFTB]\cell [ZRIGHT]\cell }\pard\plain \ltrpar\ql \li0\ri0\widctlpar\intbl\wrapdefault\aspalpha\aspnum\faauto\adjustright\rin0\lin0 \rtlch\fcs1 \af0\afs20\alang1025 \ltrch\fcs0 _x000d__x000a_\fs24\lang2057\langfe2057\cgrid\langnp2057\langfenp2057 {\rtlch\fcs1 \af0 \ltrch\fcs0 \insrsid72262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2627\charrsid15879488 [ZTEXTL]\cell [ZTEXTR]}{\rtlch\fcs1 \af0\afs24 \ltrch\fcs0 \insrsid722627\charrsid15879488 \cell }\pard\plain \ltrpar\ql \li0\ri0\widctlpar\intbl\wrapdefault\aspalpha\aspnum\faauto\adjustright\rin0\lin0 \rtlch\fcs1 _x000d__x000a_\af0\afs20\alang1025 \ltrch\fcs0 \fs24\lang2057\langfe2057\cgrid\langnp2057\langfenp2057 {\rtlch\fcs1 \af0 \ltrch\fcs0 \insrsid72262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22627 \rtlch\fcs1 \af0\afs20\alang1025 \ltrch\fcs0 \i\fs24\lang2057\langfe2057\cgrid\langnp2057\langfenp2057 {\rtlch\fcs1 \af0 \ltrch\fcs0 _x000d__x000a_\cs17\i0\v\fs20\cf9\lang1024\langfe1024\loch\af1\hich\af1\dbch\af31501\noproof\insrsid722627\charrsid15879488 \hich\af1\dbch\af31501\loch\f1 &lt;OptDel&gt;}{\rtlch\fcs1 \af0 \ltrch\fcs0 \insrsid722627\charrsid15879488 [ZCROSSREF]}{\rtlch\fcs1 \af0 \ltrch\fcs0 _x000d__x000a_\cs17\i0\v\fs20\cf9\lang1024\langfe1024\loch\af1\hich\af1\dbch\af31501\noproof\insrsid722627\charrsid15879488 \hich\af1\dbch\af31501\loch\f1 &lt;/OptDel&gt;}{\rtlch\fcs1 \af0 \ltrch\fcs0 \insrsid722627\charrsid15879488 _x000d__x000a_\par }\pard\plain \ltrpar\s22\qc \li0\ri0\sb240\sa240\keepn\nowidctlpar\wrapdefault\aspalpha\aspnum\faauto\adjustright\rin0\lin0\itap0\pararsid722627 \rtlch\fcs1 \af0\afs20\alang1025 \ltrch\fcs0 \i\fs24\lang2057\langfe2057\cgrid\langnp2057\langfenp2057 {_x000d__x000a_\rtlch\fcs1 \af0 \ltrch\fcs0 \cs17\i0\v\fs20\cf9\lang1024\langfe1024\loch\af1\hich\af1\dbch\af31501\noproof\insrsid722627\charrsid15879488 \hich\af1\dbch\af31501\loch\f1 &lt;TitreJust&gt;}{\rtlch\fcs1 \af0 \ltrch\fcs0 \insrsid722627\charrsid15879488 _x000d__x000a_[ZJUSTIFICATION]}{\rtlch\fcs1 \af0 \ltrch\fcs0 \cs17\i0\v\fs20\cf9\lang1024\langfe1024\loch\af1\hich\af1\dbch\af31501\noproof\insrsid722627\charrsid15879488 \hich\af1\dbch\af31501\loch\f1 &lt;/TitreJust&gt;}{\rtlch\fcs1 \af0 \ltrch\fcs0 _x000d__x000a_\insrsid722627\charrsid15879488 _x000d__x000a_\par }\pard\plain \ltrpar\s20\ql \li0\ri0\sa240\nowidctlpar\wrapdefault\aspalpha\aspnum\faauto\adjustright\rin0\lin0\itap0\pararsid722627 \rtlch\fcs1 \af0\afs20\alang1025 \ltrch\fcs0 \i\fs24\lang2057\langfe2057\cgrid\langnp2057\langfenp2057 {\rtlch\fcs1 \af0 _x000d__x000a_\ltrch\fcs0 \cs17\i0\v\fs20\cf9\lang1024\langfe1024\loch\af1\hich\af1\dbch\af31501\noproof\insrsid722627\charrsid15879488 \hich\af1\dbch\af31501\loch\f1 &lt;OptDelPrev&gt;}{\rtlch\fcs1 \af0 \ltrch\fcs0 \insrsid722627\charrsid15879488 [ZTEXTJUST]}{\rtlch\fcs1 _x000d__x000a_\af0 \ltrch\fcs0 \cs17\i0\v\fs20\cf9\lang1024\langfe1024\loch\af1\hich\af1\dbch\af31501\noproof\insrsid722627\charrsid15879488 \hich\af1\dbch\af31501\loch\f1 &lt;/OptDelPrev&gt;}{\rtlch\fcs1 \af0 \ltrch\fcs0 \insrsid722627\charrsid15879488 _x000d__x000a_\par }\pard\plain \ltrpar\ql \li0\ri0\widctlpar\wrapdefault\aspalpha\aspnum\faauto\adjustright\rin0\lin0\itap0\pararsid722627 \rtlch\fcs1 \af0\afs20\alang1025 \ltrch\fcs0 \fs24\lang2057\langfe2057\cgrid\langnp2057\langfenp2057 {\rtlch\fcs1 \af0 \ltrch\fcs0 _x000d__x000a_\cs17\v\fs20\cf9\lang1024\langfe1024\loch\af1\hich\af1\dbch\af31501\noproof\insrsid722627\charrsid15879488 \hich\af1\dbch\af31501\loch\f1 &lt;/AmendB&gt;}{\rtlch\fcs1 \af0 \ltrch\fcs0 \insrsid72262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7_x000d__x000a_1543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8"/>
    <w:docVar w:name="TITLECODMNU" w:val=" 1"/>
    <w:docVar w:name="TVTAMACTPART" w:val="abc"/>
    <w:docVar w:name="TVTRESPART" w:val="abc"/>
    <w:docVar w:name="TXTLANGUE" w:val="EN"/>
    <w:docVar w:name="TXTLANGUEMIN" w:val="en"/>
    <w:docVar w:name="TXTNRC" w:val="0150/2023"/>
    <w:docVar w:name="TXTNRCOM" w:val="(2023)0240"/>
    <w:docVar w:name="TXTNRFIRSTAM" w:val="1"/>
    <w:docVar w:name="TXTNRLASTAM" w:val="5"/>
    <w:docVar w:name="TXTNRPE" w:val="752.621"/>
    <w:docVar w:name="TXTNRPROC" w:val="2023/0138"/>
    <w:docVar w:name="TXTPEorAP" w:val="PE"/>
    <w:docVar w:name="TXTROUTE" w:val="AD\1288324EN.docx"/>
    <w:docVar w:name="TXTVERSION" w:val="02-00"/>
  </w:docVars>
  <w:rsids>
    <w:rsidRoot w:val="007426EC"/>
    <w:rsid w:val="00026559"/>
    <w:rsid w:val="00027FA8"/>
    <w:rsid w:val="0004474F"/>
    <w:rsid w:val="000522F2"/>
    <w:rsid w:val="00082EC4"/>
    <w:rsid w:val="000C751C"/>
    <w:rsid w:val="000D44A6"/>
    <w:rsid w:val="00121470"/>
    <w:rsid w:val="00122C05"/>
    <w:rsid w:val="00122CC3"/>
    <w:rsid w:val="00134974"/>
    <w:rsid w:val="00141CD7"/>
    <w:rsid w:val="001616BD"/>
    <w:rsid w:val="00180E36"/>
    <w:rsid w:val="001820A9"/>
    <w:rsid w:val="001A0556"/>
    <w:rsid w:val="001A7452"/>
    <w:rsid w:val="001B0A1E"/>
    <w:rsid w:val="001C0886"/>
    <w:rsid w:val="001D5154"/>
    <w:rsid w:val="001E3AC4"/>
    <w:rsid w:val="0020077A"/>
    <w:rsid w:val="00220500"/>
    <w:rsid w:val="002258E0"/>
    <w:rsid w:val="0023131B"/>
    <w:rsid w:val="002A67EE"/>
    <w:rsid w:val="002C26F8"/>
    <w:rsid w:val="002D23D0"/>
    <w:rsid w:val="00304EA8"/>
    <w:rsid w:val="003300D9"/>
    <w:rsid w:val="00341A99"/>
    <w:rsid w:val="00360FAA"/>
    <w:rsid w:val="003668DD"/>
    <w:rsid w:val="0038294E"/>
    <w:rsid w:val="003A2F84"/>
    <w:rsid w:val="003A6A67"/>
    <w:rsid w:val="003B07E2"/>
    <w:rsid w:val="003C7390"/>
    <w:rsid w:val="003E00BF"/>
    <w:rsid w:val="003E1280"/>
    <w:rsid w:val="003F128E"/>
    <w:rsid w:val="0040055C"/>
    <w:rsid w:val="00415589"/>
    <w:rsid w:val="004515F9"/>
    <w:rsid w:val="00487596"/>
    <w:rsid w:val="004B3A53"/>
    <w:rsid w:val="004C2A0D"/>
    <w:rsid w:val="004F1D2F"/>
    <w:rsid w:val="00502B76"/>
    <w:rsid w:val="00513F6F"/>
    <w:rsid w:val="00522B51"/>
    <w:rsid w:val="00524707"/>
    <w:rsid w:val="00525B43"/>
    <w:rsid w:val="00543D1E"/>
    <w:rsid w:val="005539B7"/>
    <w:rsid w:val="00565298"/>
    <w:rsid w:val="00571233"/>
    <w:rsid w:val="005716CD"/>
    <w:rsid w:val="00586041"/>
    <w:rsid w:val="005922EC"/>
    <w:rsid w:val="005D22C6"/>
    <w:rsid w:val="00600087"/>
    <w:rsid w:val="00613134"/>
    <w:rsid w:val="0062175F"/>
    <w:rsid w:val="00626D52"/>
    <w:rsid w:val="006315F6"/>
    <w:rsid w:val="00632FD4"/>
    <w:rsid w:val="00643DA8"/>
    <w:rsid w:val="00653EDA"/>
    <w:rsid w:val="00657D5C"/>
    <w:rsid w:val="00683DD1"/>
    <w:rsid w:val="00691B1C"/>
    <w:rsid w:val="006A0F0A"/>
    <w:rsid w:val="006A48AA"/>
    <w:rsid w:val="006B1267"/>
    <w:rsid w:val="006D292E"/>
    <w:rsid w:val="006F1531"/>
    <w:rsid w:val="00712462"/>
    <w:rsid w:val="00716BAA"/>
    <w:rsid w:val="0073137C"/>
    <w:rsid w:val="00740A09"/>
    <w:rsid w:val="00741A65"/>
    <w:rsid w:val="007426EC"/>
    <w:rsid w:val="0078548A"/>
    <w:rsid w:val="007875FA"/>
    <w:rsid w:val="007B7CE3"/>
    <w:rsid w:val="007D04FC"/>
    <w:rsid w:val="007F187F"/>
    <w:rsid w:val="00817D13"/>
    <w:rsid w:val="00820C7D"/>
    <w:rsid w:val="00832841"/>
    <w:rsid w:val="00833D11"/>
    <w:rsid w:val="00836FD3"/>
    <w:rsid w:val="008375A8"/>
    <w:rsid w:val="008506A6"/>
    <w:rsid w:val="008652A4"/>
    <w:rsid w:val="00872A52"/>
    <w:rsid w:val="00876A73"/>
    <w:rsid w:val="0089388A"/>
    <w:rsid w:val="008F3DB0"/>
    <w:rsid w:val="00904864"/>
    <w:rsid w:val="009052FE"/>
    <w:rsid w:val="009215FC"/>
    <w:rsid w:val="00921659"/>
    <w:rsid w:val="009230BA"/>
    <w:rsid w:val="00924555"/>
    <w:rsid w:val="00930617"/>
    <w:rsid w:val="009368B3"/>
    <w:rsid w:val="00982B83"/>
    <w:rsid w:val="009857B4"/>
    <w:rsid w:val="009B6583"/>
    <w:rsid w:val="009E7319"/>
    <w:rsid w:val="00A36CA0"/>
    <w:rsid w:val="00A71228"/>
    <w:rsid w:val="00A74E25"/>
    <w:rsid w:val="00A9371F"/>
    <w:rsid w:val="00AA0139"/>
    <w:rsid w:val="00AC2A60"/>
    <w:rsid w:val="00AC6CD7"/>
    <w:rsid w:val="00AD49D0"/>
    <w:rsid w:val="00AF0131"/>
    <w:rsid w:val="00B0002A"/>
    <w:rsid w:val="00B00EE6"/>
    <w:rsid w:val="00B12D20"/>
    <w:rsid w:val="00B1322B"/>
    <w:rsid w:val="00B31BC8"/>
    <w:rsid w:val="00B476DC"/>
    <w:rsid w:val="00B556CD"/>
    <w:rsid w:val="00B62D4B"/>
    <w:rsid w:val="00B904FA"/>
    <w:rsid w:val="00BA3E40"/>
    <w:rsid w:val="00BA7875"/>
    <w:rsid w:val="00BB2414"/>
    <w:rsid w:val="00BD1F76"/>
    <w:rsid w:val="00BD41AD"/>
    <w:rsid w:val="00BE20CF"/>
    <w:rsid w:val="00C22327"/>
    <w:rsid w:val="00C22F30"/>
    <w:rsid w:val="00C335C6"/>
    <w:rsid w:val="00C33FBD"/>
    <w:rsid w:val="00C4219C"/>
    <w:rsid w:val="00C46349"/>
    <w:rsid w:val="00C47E8C"/>
    <w:rsid w:val="00C52A28"/>
    <w:rsid w:val="00C56375"/>
    <w:rsid w:val="00C709B7"/>
    <w:rsid w:val="00C75E98"/>
    <w:rsid w:val="00C81C5B"/>
    <w:rsid w:val="00C83B35"/>
    <w:rsid w:val="00CB6296"/>
    <w:rsid w:val="00D25CF2"/>
    <w:rsid w:val="00D56CE0"/>
    <w:rsid w:val="00D6254D"/>
    <w:rsid w:val="00D65AA8"/>
    <w:rsid w:val="00D6771F"/>
    <w:rsid w:val="00D67D0A"/>
    <w:rsid w:val="00D74FD1"/>
    <w:rsid w:val="00D851D4"/>
    <w:rsid w:val="00D943A5"/>
    <w:rsid w:val="00D9581F"/>
    <w:rsid w:val="00DB1A99"/>
    <w:rsid w:val="00DB56E4"/>
    <w:rsid w:val="00DE6124"/>
    <w:rsid w:val="00E27F01"/>
    <w:rsid w:val="00E34A5C"/>
    <w:rsid w:val="00E602B4"/>
    <w:rsid w:val="00E6766A"/>
    <w:rsid w:val="00E77FF5"/>
    <w:rsid w:val="00E9018C"/>
    <w:rsid w:val="00E94D64"/>
    <w:rsid w:val="00EA24D0"/>
    <w:rsid w:val="00EA29B5"/>
    <w:rsid w:val="00EA3802"/>
    <w:rsid w:val="00EF1432"/>
    <w:rsid w:val="00EF33D5"/>
    <w:rsid w:val="00F15744"/>
    <w:rsid w:val="00F24D40"/>
    <w:rsid w:val="00FA3C27"/>
    <w:rsid w:val="00FD3BC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0D76C4-8E8F-426E-A880-D61A29C27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link w:val="NormalBold"/>
    <w:locked/>
    <w:rsid w:val="00525B43"/>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character" w:customStyle="1" w:styleId="FooterChar">
    <w:name w:val="Footer Char"/>
    <w:basedOn w:val="DefaultParagraphFont"/>
    <w:link w:val="Footer"/>
    <w:rsid w:val="00525B43"/>
    <w:rPr>
      <w:sz w:val="22"/>
    </w:rPr>
  </w:style>
  <w:style w:type="paragraph" w:styleId="Footer">
    <w:name w:val="footer"/>
    <w:link w:val="FooterChar"/>
    <w:unhideWhenUsed/>
    <w:rsid w:val="00525B43"/>
    <w:pPr>
      <w:tabs>
        <w:tab w:val="center" w:pos="4536"/>
        <w:tab w:val="right" w:pos="9072"/>
      </w:tabs>
      <w:spacing w:before="240" w:after="240" w:line="220" w:lineRule="auto"/>
    </w:pPr>
    <w:rPr>
      <w:sz w:val="22"/>
    </w:rPr>
  </w:style>
  <w:style w:type="character" w:customStyle="1" w:styleId="Normal12Char">
    <w:name w:val="Normal12 Char"/>
    <w:link w:val="Normal12"/>
    <w:locked/>
    <w:rsid w:val="00525B43"/>
    <w:rPr>
      <w:noProof/>
      <w:sz w:val="24"/>
    </w:rPr>
  </w:style>
  <w:style w:type="paragraph" w:customStyle="1" w:styleId="Normal12">
    <w:name w:val="Normal12"/>
    <w:basedOn w:val="Normal"/>
    <w:link w:val="Normal12Char"/>
    <w:rsid w:val="00525B43"/>
    <w:pPr>
      <w:spacing w:after="240"/>
    </w:pPr>
    <w:rPr>
      <w:noProof/>
      <w:szCs w:val="20"/>
    </w:rPr>
  </w:style>
  <w:style w:type="character" w:customStyle="1" w:styleId="Normal6Char">
    <w:name w:val="Normal6 Char"/>
    <w:link w:val="Normal6"/>
    <w:locked/>
    <w:rsid w:val="00525B43"/>
    <w:rPr>
      <w:sz w:val="24"/>
      <w:lang w:val="pl-PL"/>
    </w:rPr>
  </w:style>
  <w:style w:type="paragraph" w:customStyle="1" w:styleId="Normal6">
    <w:name w:val="Normal6"/>
    <w:basedOn w:val="Normal"/>
    <w:link w:val="Normal6Char"/>
    <w:rsid w:val="00525B43"/>
    <w:pPr>
      <w:spacing w:after="120"/>
    </w:pPr>
    <w:rPr>
      <w:szCs w:val="20"/>
    </w:rPr>
  </w:style>
  <w:style w:type="paragraph" w:customStyle="1" w:styleId="Normal12Italic">
    <w:name w:val="Normal12Italic"/>
    <w:basedOn w:val="Normal12"/>
    <w:rsid w:val="00525B43"/>
    <w:rPr>
      <w:i/>
    </w:rPr>
  </w:style>
  <w:style w:type="paragraph" w:customStyle="1" w:styleId="Footer2">
    <w:name w:val="Footer2"/>
    <w:basedOn w:val="Normal12"/>
    <w:rsid w:val="00525B43"/>
    <w:pPr>
      <w:tabs>
        <w:tab w:val="center" w:pos="4535"/>
        <w:tab w:val="right" w:pos="9923"/>
      </w:tabs>
      <w:spacing w:line="480" w:lineRule="auto"/>
      <w:ind w:left="-851"/>
    </w:pPr>
    <w:rPr>
      <w:rFonts w:ascii="Arial" w:cs="Arial"/>
      <w:b/>
      <w:sz w:val="48"/>
    </w:rPr>
  </w:style>
  <w:style w:type="paragraph" w:customStyle="1" w:styleId="EntPE">
    <w:name w:val="EntPE"/>
    <w:basedOn w:val="Normal12"/>
    <w:rsid w:val="00525B43"/>
    <w:pPr>
      <w:jc w:val="center"/>
    </w:pPr>
    <w:rPr>
      <w:noProof w:val="0"/>
      <w:sz w:val="56"/>
    </w:rPr>
  </w:style>
  <w:style w:type="paragraph" w:customStyle="1" w:styleId="AMNumberTabs0">
    <w:name w:val="AMNumberTabs"/>
    <w:basedOn w:val="Normal"/>
    <w:rsid w:val="00525B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25B43"/>
    <w:pPr>
      <w:spacing w:after="240"/>
      <w:jc w:val="center"/>
    </w:pPr>
    <w:rPr>
      <w:i/>
      <w:szCs w:val="20"/>
    </w:rPr>
  </w:style>
  <w:style w:type="paragraph" w:customStyle="1" w:styleId="Olang">
    <w:name w:val="Olang"/>
    <w:basedOn w:val="Normal"/>
    <w:rsid w:val="00525B43"/>
    <w:pPr>
      <w:spacing w:before="240" w:after="240"/>
      <w:jc w:val="right"/>
    </w:pPr>
    <w:rPr>
      <w:noProof/>
    </w:rPr>
  </w:style>
  <w:style w:type="paragraph" w:styleId="BalloonText">
    <w:name w:val="Balloon Text"/>
    <w:basedOn w:val="Normal"/>
    <w:link w:val="BalloonTextChar"/>
    <w:semiHidden/>
    <w:unhideWhenUsed/>
    <w:rsid w:val="000522F2"/>
    <w:rPr>
      <w:rFonts w:ascii="Segoe UI" w:hAnsi="Segoe UI" w:cs="Segoe UI"/>
      <w:sz w:val="18"/>
      <w:szCs w:val="18"/>
    </w:rPr>
  </w:style>
  <w:style w:type="character" w:customStyle="1" w:styleId="BalloonTextChar">
    <w:name w:val="Balloon Text Char"/>
    <w:basedOn w:val="DefaultParagraphFont"/>
    <w:link w:val="BalloonText"/>
    <w:semiHidden/>
    <w:rsid w:val="000522F2"/>
    <w:rPr>
      <w:rFonts w:ascii="Segoe UI" w:hAnsi="Segoe UI" w:cs="Segoe UI"/>
      <w:sz w:val="18"/>
      <w:szCs w:val="18"/>
    </w:rPr>
  </w:style>
  <w:style w:type="paragraph" w:customStyle="1" w:styleId="RollCallSymbols14pt">
    <w:name w:val="RollCallSymbols14pt"/>
    <w:basedOn w:val="Normal"/>
    <w:rsid w:val="00565298"/>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65298"/>
    <w:pPr>
      <w:tabs>
        <w:tab w:val="center" w:pos="284"/>
        <w:tab w:val="left" w:pos="426"/>
      </w:tabs>
    </w:pPr>
    <w:rPr>
      <w:snapToGrid w:val="0"/>
      <w:szCs w:val="20"/>
      <w:lang w:eastAsia="en-US"/>
    </w:rPr>
  </w:style>
  <w:style w:type="paragraph" w:customStyle="1" w:styleId="RollCallVotes">
    <w:name w:val="RollCallVotes"/>
    <w:basedOn w:val="Normal"/>
    <w:rsid w:val="00565298"/>
    <w:pPr>
      <w:spacing w:before="120" w:after="120"/>
      <w:jc w:val="center"/>
    </w:pPr>
    <w:rPr>
      <w:b/>
      <w:bCs/>
      <w:snapToGrid w:val="0"/>
      <w:sz w:val="16"/>
      <w:szCs w:val="20"/>
      <w:lang w:eastAsia="en-US"/>
    </w:rPr>
  </w:style>
  <w:style w:type="paragraph" w:customStyle="1" w:styleId="RollCallTable">
    <w:name w:val="RollCallTable"/>
    <w:basedOn w:val="Normal"/>
    <w:rsid w:val="00565298"/>
    <w:pPr>
      <w:spacing w:before="120" w:after="120"/>
    </w:pPr>
    <w:rPr>
      <w:snapToGrid w:val="0"/>
      <w:sz w:val="16"/>
      <w:szCs w:val="20"/>
      <w:lang w:eastAsia="en-US"/>
    </w:rPr>
  </w:style>
  <w:style w:type="character" w:styleId="CommentReference">
    <w:name w:val="annotation reference"/>
    <w:basedOn w:val="DefaultParagraphFont"/>
    <w:rsid w:val="00AF0131"/>
    <w:rPr>
      <w:sz w:val="16"/>
      <w:szCs w:val="16"/>
    </w:rPr>
  </w:style>
  <w:style w:type="paragraph" w:styleId="CommentText">
    <w:name w:val="annotation text"/>
    <w:basedOn w:val="Normal"/>
    <w:link w:val="CommentTextChar"/>
    <w:rsid w:val="00AF0131"/>
    <w:rPr>
      <w:sz w:val="20"/>
      <w:szCs w:val="20"/>
    </w:rPr>
  </w:style>
  <w:style w:type="character" w:customStyle="1" w:styleId="CommentTextChar">
    <w:name w:val="Comment Text Char"/>
    <w:basedOn w:val="DefaultParagraphFont"/>
    <w:link w:val="CommentText"/>
    <w:rsid w:val="00AF0131"/>
  </w:style>
  <w:style w:type="paragraph" w:styleId="CommentSubject">
    <w:name w:val="annotation subject"/>
    <w:basedOn w:val="CommentText"/>
    <w:next w:val="CommentText"/>
    <w:link w:val="CommentSubjectChar"/>
    <w:semiHidden/>
    <w:unhideWhenUsed/>
    <w:rsid w:val="00AF0131"/>
    <w:rPr>
      <w:b/>
      <w:bCs/>
    </w:rPr>
  </w:style>
  <w:style w:type="character" w:customStyle="1" w:styleId="CommentSubjectChar">
    <w:name w:val="Comment Subject Char"/>
    <w:basedOn w:val="CommentTextChar"/>
    <w:link w:val="CommentSubject"/>
    <w:semiHidden/>
    <w:rsid w:val="00AF01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4300D-18A9-4E7E-ACB2-A366C9B6E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6759</Words>
  <Characters>47438</Characters>
  <Application>Microsoft Office Word</Application>
  <DocSecurity>0</DocSecurity>
  <Lines>1834</Lines>
  <Paragraphs>435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2023-11-15T15:22:00Z</dcterms:created>
  <dcterms:modified xsi:type="dcterms:W3CDTF">2023-11-15T15:22:00Z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1288324</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AD\1288324PL.docx</vt:lpwstr>
  </property>
  <property fmtid="{D5CDD505-2E9C-101B-9397-08002B2CF9AE}" pid="10" name="LastEdited with">
    <vt:lpwstr>9.16.1 Build [20230920]</vt:lpwstr>
  </property>
  <property fmtid="{D5CDD505-2E9C-101B-9397-08002B2CF9AE}" pid="11" name="PE number">
    <vt:lpwstr>752.621</vt:lpwstr>
  </property>
  <property fmtid="{D5CDD505-2E9C-101B-9397-08002B2CF9AE}" pid="12" name="SDLStudio">
    <vt:lpwstr/>
  </property>
  <property fmtid="{D5CDD505-2E9C-101B-9397-08002B2CF9AE}" pid="13" name="SendToEpades">
    <vt:lpwstr>OK - 2023/10/30 08:33</vt:lpwstr>
  </property>
  <property fmtid="{D5CDD505-2E9C-101B-9397-08002B2CF9AE}" pid="14" name="Bookout">
    <vt:lpwstr>OK - 2023/11/15 16:22</vt:lpwstr>
  </property>
</Properties>
</file>