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3B0D2A" w:rsidTr="00E34A5C">
        <w:trPr>
          <w:trHeight w:hRule="exact" w:val="1418"/>
        </w:trPr>
        <w:tc>
          <w:tcPr>
            <w:tcW w:w="6804" w:type="dxa"/>
            <w:shd w:val="clear" w:color="auto" w:fill="auto"/>
            <w:vAlign w:val="center"/>
          </w:tcPr>
          <w:p w:rsidR="00BA3E40" w:rsidRPr="003D6066" w:rsidRDefault="00147DFE" w:rsidP="00E34A5C">
            <w:pPr>
              <w:pStyle w:val="EPName"/>
            </w:pPr>
            <w:r>
              <w:t>Parlamentul European</w:t>
            </w:r>
          </w:p>
          <w:p w:rsidR="00BA3E40" w:rsidRPr="003D6066" w:rsidRDefault="00147DFE" w:rsidP="009B6583">
            <w:pPr>
              <w:pStyle w:val="EPTerm"/>
            </w:pPr>
            <w:r>
              <w:t>2019-2024</w:t>
            </w:r>
          </w:p>
        </w:tc>
        <w:tc>
          <w:tcPr>
            <w:tcW w:w="2268" w:type="dxa"/>
            <w:shd w:val="clear" w:color="auto" w:fill="auto"/>
          </w:tcPr>
          <w:p w:rsidR="00BA3E40" w:rsidRPr="003D6066" w:rsidRDefault="00147DFE" w:rsidP="00E34A5C">
            <w:pPr>
              <w:pStyle w:val="EPLogo"/>
            </w:pPr>
            <w:r w:rsidRPr="003D6066">
              <w:rPr>
                <w:noProof/>
                <w:lang w:eastAsia="ro-RO"/>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3D6066" w:rsidRDefault="00F24D40" w:rsidP="00F24D40">
      <w:pPr>
        <w:pStyle w:val="LineTop"/>
      </w:pPr>
    </w:p>
    <w:p w:rsidR="00F24D40" w:rsidRPr="003D6066" w:rsidRDefault="00147DFE" w:rsidP="00F24D40">
      <w:pPr>
        <w:pStyle w:val="EPBody"/>
      </w:pPr>
      <w:r>
        <w:rPr>
          <w:rStyle w:val="HideTWBExt"/>
        </w:rPr>
        <w:t>&lt;</w:t>
      </w:r>
      <w:r>
        <w:rPr>
          <w:rStyle w:val="HideTWBExt"/>
          <w:i w:val="0"/>
        </w:rPr>
        <w:t>Commission</w:t>
      </w:r>
      <w:r>
        <w:rPr>
          <w:rStyle w:val="HideTWBExt"/>
        </w:rPr>
        <w:t>&gt;</w:t>
      </w:r>
      <w:r>
        <w:rPr>
          <w:rStyle w:val="HideTWBInt"/>
          <w:color w:val="auto"/>
        </w:rPr>
        <w:t>{EMPL}</w:t>
      </w:r>
      <w:r>
        <w:t>Comisia pentru ocuparea forței de muncă și afaceri sociale</w:t>
      </w:r>
      <w:r>
        <w:rPr>
          <w:rStyle w:val="HideTWBExt"/>
        </w:rPr>
        <w:t>&lt;/</w:t>
      </w:r>
      <w:r>
        <w:rPr>
          <w:rStyle w:val="HideTWBExt"/>
          <w:i w:val="0"/>
        </w:rPr>
        <w:t>Commission</w:t>
      </w:r>
      <w:r>
        <w:rPr>
          <w:rStyle w:val="HideTWBExt"/>
        </w:rPr>
        <w:t>&gt;</w:t>
      </w:r>
    </w:p>
    <w:p w:rsidR="00F24D40" w:rsidRPr="003D6066" w:rsidRDefault="00F24D40" w:rsidP="00F24D40">
      <w:pPr>
        <w:pStyle w:val="LineBottom"/>
      </w:pPr>
    </w:p>
    <w:p w:rsidR="00AF0131" w:rsidRPr="003D6066" w:rsidRDefault="00147DFE" w:rsidP="00AF0131">
      <w:pPr>
        <w:pStyle w:val="CoverReference"/>
      </w:pPr>
      <w:r>
        <w:rPr>
          <w:rStyle w:val="HideTWBExt"/>
          <w:b w:val="0"/>
        </w:rPr>
        <w:t>&lt;RefProc&gt;</w:t>
      </w:r>
      <w:r>
        <w:t>2023/0138</w:t>
      </w:r>
      <w:r>
        <w:rPr>
          <w:rStyle w:val="HideTWBExt"/>
          <w:b w:val="0"/>
        </w:rPr>
        <w:t>&lt;/RefProc&gt;&lt;RefTypeProc&gt;</w:t>
      </w:r>
      <w:r>
        <w:t>(COD)</w:t>
      </w:r>
      <w:r>
        <w:rPr>
          <w:rStyle w:val="HideTWBExt"/>
          <w:b w:val="0"/>
        </w:rPr>
        <w:t>&lt;/RefTypeProc&gt;</w:t>
      </w:r>
    </w:p>
    <w:p w:rsidR="00AF0131" w:rsidRPr="003D6066" w:rsidRDefault="00147DFE" w:rsidP="00AF0131">
      <w:pPr>
        <w:pStyle w:val="CoverDate"/>
      </w:pPr>
      <w:r>
        <w:rPr>
          <w:rStyle w:val="HideTWBExt"/>
        </w:rPr>
        <w:t>&lt;Date&gt;</w:t>
      </w:r>
      <w:r>
        <w:rPr>
          <w:rStyle w:val="HideTWBInt"/>
          <w:color w:val="auto"/>
        </w:rPr>
        <w:t>{30/10/2023}</w:t>
      </w:r>
      <w:r>
        <w:t>30.10.2023</w:t>
      </w:r>
      <w:r>
        <w:rPr>
          <w:rStyle w:val="HideTWBExt"/>
        </w:rPr>
        <w:t>&lt;/Date&gt;</w:t>
      </w:r>
    </w:p>
    <w:p w:rsidR="00AF0131" w:rsidRPr="003D6066" w:rsidRDefault="00147DFE" w:rsidP="00AF0131">
      <w:pPr>
        <w:pStyle w:val="CoverDocType24a"/>
      </w:pPr>
      <w:r>
        <w:rPr>
          <w:rStyle w:val="HideTWBExt"/>
          <w:b w:val="0"/>
        </w:rPr>
        <w:t>&lt;TitreType&gt;</w:t>
      </w:r>
      <w:r>
        <w:t>AVIZ</w:t>
      </w:r>
      <w:r>
        <w:rPr>
          <w:rStyle w:val="HideTWBExt"/>
          <w:b w:val="0"/>
        </w:rPr>
        <w:t>&lt;/TitreType&gt;</w:t>
      </w:r>
    </w:p>
    <w:p w:rsidR="00AF0131" w:rsidRPr="003D6066" w:rsidRDefault="00147DFE" w:rsidP="00AF0131">
      <w:pPr>
        <w:pStyle w:val="CoverNormal24a"/>
      </w:pPr>
      <w:r>
        <w:rPr>
          <w:rStyle w:val="HideTWBExt"/>
        </w:rPr>
        <w:t>&lt;CommissionResp&gt;</w:t>
      </w:r>
      <w:r>
        <w:t>al Comisiei pentru ocuparea forței de muncă și afaceri sociale</w:t>
      </w:r>
      <w:r>
        <w:rPr>
          <w:rStyle w:val="HideTWBExt"/>
        </w:rPr>
        <w:t>&lt;/CommissionResp&gt;</w:t>
      </w:r>
    </w:p>
    <w:p w:rsidR="00AF0131" w:rsidRPr="003D6066" w:rsidRDefault="00147DFE" w:rsidP="00AF0131">
      <w:pPr>
        <w:pStyle w:val="CoverNormal24a"/>
      </w:pPr>
      <w:r>
        <w:rPr>
          <w:rStyle w:val="HideTWBExt"/>
        </w:rPr>
        <w:t>&lt;CommissionInt&gt;</w:t>
      </w:r>
      <w:r>
        <w:t>destinat Comisiei pentru afaceri economice și monetare</w:t>
      </w:r>
      <w:r>
        <w:rPr>
          <w:rStyle w:val="HideTWBExt"/>
        </w:rPr>
        <w:t>&lt;/CommissionInt&gt;</w:t>
      </w:r>
    </w:p>
    <w:p w:rsidR="00AF0131" w:rsidRPr="003D6066" w:rsidRDefault="00147DFE" w:rsidP="00AF0131">
      <w:pPr>
        <w:pStyle w:val="CoverNormal"/>
      </w:pPr>
      <w:r>
        <w:rPr>
          <w:rStyle w:val="HideTWBExt"/>
        </w:rPr>
        <w:t>&lt;Titre&gt;</w:t>
      </w:r>
      <w:r>
        <w:t xml:space="preserve">referitor la propunerea de regulament al Parlamentului European și </w:t>
      </w:r>
      <w:r>
        <w:t>al Consiliului privind coordonarea eficientă a politicilor economice și supravegherea bugetară multilaterală și de abrogare a Regulamentului (CE) nr. 1466/97 al Consiliului</w:t>
      </w:r>
      <w:r>
        <w:rPr>
          <w:rStyle w:val="HideTWBExt"/>
        </w:rPr>
        <w:t>&lt;/Titre&gt;</w:t>
      </w:r>
    </w:p>
    <w:p w:rsidR="00AF0131" w:rsidRPr="003D6066" w:rsidRDefault="00147DFE" w:rsidP="00AF0131">
      <w:pPr>
        <w:pStyle w:val="CoverNormal24a"/>
      </w:pPr>
      <w:r>
        <w:rPr>
          <w:rStyle w:val="HideTWBExt"/>
        </w:rPr>
        <w:t>&lt;DocRef&gt;</w:t>
      </w:r>
      <w:r>
        <w:t>(COM(2023)0240 – C9</w:t>
      </w:r>
      <w:r>
        <w:noBreakHyphen/>
        <w:t>0150/2023 – 2023/0138(COD))</w:t>
      </w:r>
      <w:r>
        <w:rPr>
          <w:rStyle w:val="HideTWBExt"/>
        </w:rPr>
        <w:t>&lt;/DocRef&gt;</w:t>
      </w:r>
    </w:p>
    <w:p w:rsidR="00AF0131" w:rsidRPr="003D6066" w:rsidRDefault="00147DFE" w:rsidP="00AF0131">
      <w:pPr>
        <w:pStyle w:val="CoverNormal24a"/>
      </w:pPr>
      <w:r>
        <w:t xml:space="preserve">Raportoare pentru aviz </w:t>
      </w:r>
      <w:r>
        <w:rPr>
          <w:snapToGrid w:val="0"/>
        </w:rPr>
        <w:t>(*)</w:t>
      </w:r>
      <w:r>
        <w:t xml:space="preserve">: </w:t>
      </w:r>
      <w:r>
        <w:rPr>
          <w:rStyle w:val="HideTWBExt"/>
        </w:rPr>
        <w:t>&lt;Depute&gt;</w:t>
      </w:r>
      <w:r>
        <w:t>Gabriele Bischoff</w:t>
      </w:r>
      <w:r>
        <w:rPr>
          <w:rStyle w:val="HideTWBExt"/>
        </w:rPr>
        <w:t>&lt;/Depute&gt;</w:t>
      </w:r>
    </w:p>
    <w:p w:rsidR="00AF0131" w:rsidRPr="003D6066" w:rsidRDefault="00147DFE" w:rsidP="00AF0131">
      <w:pPr>
        <w:pStyle w:val="CoverNormal"/>
        <w:rPr>
          <w:snapToGrid w:val="0"/>
          <w:szCs w:val="24"/>
        </w:rPr>
      </w:pPr>
      <w:r>
        <w:rPr>
          <w:snapToGrid w:val="0"/>
        </w:rPr>
        <w:t>(*) Procedura comisiei asociate – articolul 57 din Regulamentul de procedură</w:t>
      </w:r>
    </w:p>
    <w:p w:rsidR="00AF0131" w:rsidRPr="003D6066" w:rsidRDefault="00AF0131" w:rsidP="00AF0131">
      <w:pPr>
        <w:pStyle w:val="CoverNormal"/>
        <w:rPr>
          <w:snapToGrid w:val="0"/>
          <w:szCs w:val="24"/>
        </w:rPr>
      </w:pPr>
    </w:p>
    <w:p w:rsidR="00AF0131" w:rsidRPr="003D6066" w:rsidRDefault="00AF0131" w:rsidP="00AF0131">
      <w:pPr>
        <w:pStyle w:val="CoverNormal"/>
        <w:rPr>
          <w:snapToGrid w:val="0"/>
          <w:szCs w:val="24"/>
        </w:rPr>
      </w:pPr>
    </w:p>
    <w:p w:rsidR="00AF0131" w:rsidRPr="003D6066" w:rsidRDefault="00AF0131" w:rsidP="00AF0131">
      <w:pPr>
        <w:pStyle w:val="CoverNormal"/>
        <w:rPr>
          <w:snapToGrid w:val="0"/>
          <w:szCs w:val="24"/>
        </w:rPr>
      </w:pPr>
    </w:p>
    <w:p w:rsidR="00AF0131" w:rsidRPr="003D6066" w:rsidRDefault="00AF0131" w:rsidP="00AF0131">
      <w:pPr>
        <w:pStyle w:val="CoverNormal"/>
        <w:rPr>
          <w:snapToGrid w:val="0"/>
          <w:szCs w:val="24"/>
        </w:rPr>
      </w:pPr>
    </w:p>
    <w:p w:rsidR="00AF0131" w:rsidRPr="003D6066" w:rsidRDefault="00147DFE" w:rsidP="00AF0131">
      <w:pPr>
        <w:tabs>
          <w:tab w:val="center" w:pos="4677"/>
        </w:tabs>
      </w:pPr>
      <w:r>
        <w:br w:type="page"/>
      </w:r>
      <w:r>
        <w:lastRenderedPageBreak/>
        <w:t>PA_Legam</w:t>
      </w:r>
    </w:p>
    <w:p w:rsidR="00AF0131" w:rsidRPr="003D6066" w:rsidRDefault="00147DFE" w:rsidP="00C56375">
      <w:pPr>
        <w:pStyle w:val="PageHeadingNotTOC"/>
      </w:pPr>
      <w:r>
        <w:br w:type="page"/>
      </w:r>
      <w:r>
        <w:lastRenderedPageBreak/>
        <w:t>AMENDAMENTE</w:t>
      </w:r>
    </w:p>
    <w:p w:rsidR="00AF0131" w:rsidRPr="003D6066" w:rsidRDefault="00147DFE" w:rsidP="00AF0131">
      <w:pPr>
        <w:pStyle w:val="Normal12a"/>
      </w:pPr>
      <w:bookmarkStart w:id="0" w:name="IntroA"/>
      <w:r>
        <w:t>Comisia pentru ocuparea forței de muncă și afaceri sociale recomandă Comisiei pentru afac</w:t>
      </w:r>
      <w:r>
        <w:t>eri economice și monetare, care este comisie competentă, să ia în considerare următoarele:</w:t>
      </w:r>
    </w:p>
    <w:bookmarkEnd w:id="0"/>
    <w:p w:rsidR="00AF0131" w:rsidRPr="003D6066" w:rsidRDefault="00147DFE" w:rsidP="00147DFE">
      <w:pPr>
        <w:pStyle w:val="AmNumberTabs"/>
      </w:pPr>
      <w:r w:rsidRPr="00147DFE">
        <w:rPr>
          <w:rStyle w:val="HideTWBExt"/>
          <w:b w:val="0"/>
        </w:rPr>
        <w:t>&lt;RepeatBlock-Amend&gt;</w:t>
      </w:r>
      <w:r w:rsidRPr="00147DFE">
        <w:rPr>
          <w:rStyle w:val="HideTWBExt"/>
          <w:b w:val="0"/>
        </w:rPr>
        <w:t>&lt;Amend&gt;</w:t>
      </w:r>
      <w:r w:rsidRPr="00147DFE">
        <w:rPr>
          <w:rFonts w:ascii="Times New Roman Bold" w:hAnsi="Times New Roman Bold"/>
        </w:rPr>
        <w:t>Amendamentul</w:t>
      </w:r>
      <w:r w:rsidRPr="00147DFE">
        <w:rPr>
          <w:rStyle w:val="HideTWBExt"/>
          <w:b w:val="0"/>
        </w:rPr>
        <w:tab/>
      </w:r>
      <w:r w:rsidRPr="00147DFE">
        <w:rPr>
          <w:rStyle w:val="HideTWBExt"/>
          <w:b w:val="0"/>
        </w:rPr>
        <w:t>&lt;NumAm&gt;</w:t>
      </w:r>
      <w:r w:rsidRPr="00147DFE">
        <w:rPr>
          <w:rFonts w:ascii="Times New Roman Bold" w:hAnsi="Times New Roman Bold"/>
        </w:rPr>
        <w:t>1</w:t>
      </w:r>
      <w:r w:rsidRPr="00147DFE">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Considerentul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(2)</w:t>
            </w:r>
            <w:r>
              <w:tab/>
              <w:t>Pactul de stabilitate și de creștere (PSC), care a constat inițial în Regulamentul (CE) nr. 1466/97 al Consiliului</w:t>
            </w:r>
            <w:r>
              <w:rPr>
                <w:vertAlign w:val="superscript"/>
              </w:rPr>
              <w:t>19</w:t>
            </w:r>
            <w:r>
              <w:t>, Regulamentul (CE) nr. 1467/97 al Consiliului din 7 iulie 1997</w:t>
            </w:r>
            <w:r>
              <w:rPr>
                <w:vertAlign w:val="superscript"/>
              </w:rPr>
              <w:t>20</w:t>
            </w:r>
            <w:r>
              <w:t xml:space="preserve"> și Rezoluția Consiliului European din 17 iunie 1997 priv</w:t>
            </w:r>
            <w:r>
              <w:t>ind Pactul de stabilitate și de creștere</w:t>
            </w:r>
            <w:r>
              <w:rPr>
                <w:vertAlign w:val="superscript"/>
              </w:rPr>
              <w:t>21</w:t>
            </w:r>
            <w:r>
              <w:t>, are la bază obiectivul unor finanțe publice solide și sustenabile ca mijloc de consolidare a condițiilor de realizare a stabilității prețurilor și a unei creșteri susținute durabile care, susținută de stabilitate</w:t>
            </w:r>
            <w:r>
              <w:t>a financiară, să contribuie la crearea de locuri de muncă, sprijinind astfel realizarea obiectivelor Uniunii privind creșterea durabilă și favorabilă incluziunii</w:t>
            </w:r>
            <w:r>
              <w:rPr>
                <w:b/>
                <w:i/>
              </w:rPr>
              <w:t xml:space="preserve"> și ocuparea forței de muncă</w:t>
            </w:r>
            <w:r>
              <w:t>.</w:t>
            </w:r>
          </w:p>
        </w:tc>
        <w:tc>
          <w:tcPr>
            <w:tcW w:w="4876" w:type="dxa"/>
            <w:hideMark/>
          </w:tcPr>
          <w:p w:rsidR="00AF0131" w:rsidRPr="003D6066" w:rsidRDefault="00147DFE" w:rsidP="00C33FBD">
            <w:pPr>
              <w:pStyle w:val="Normal6"/>
              <w:rPr>
                <w:szCs w:val="24"/>
              </w:rPr>
            </w:pPr>
            <w:r>
              <w:t>(2)</w:t>
            </w:r>
            <w:r>
              <w:tab/>
              <w:t>Pactul de stabilitate și de creștere (PSC), care a constat in</w:t>
            </w:r>
            <w:r>
              <w:t>ițial în Regulamentul (CE) nr. 1466/97 al Consiliului</w:t>
            </w:r>
            <w:r>
              <w:rPr>
                <w:vertAlign w:val="superscript"/>
              </w:rPr>
              <w:t>19</w:t>
            </w:r>
            <w:r>
              <w:t>, Regulament</w:t>
            </w:r>
            <w:bookmarkStart w:id="1" w:name="_GoBack"/>
            <w:bookmarkEnd w:id="1"/>
            <w:r>
              <w:t>ul (CE) nr. 1467/97 al Consiliului din 7 iulie 1997</w:t>
            </w:r>
            <w:r>
              <w:rPr>
                <w:vertAlign w:val="superscript"/>
              </w:rPr>
              <w:t>20</w:t>
            </w:r>
            <w:r>
              <w:t xml:space="preserve"> și Rezoluția Consiliului European din 17 iunie 1997 privind Pactul de stabilitate și de creștere</w:t>
            </w:r>
            <w:r>
              <w:rPr>
                <w:vertAlign w:val="superscript"/>
              </w:rPr>
              <w:t>21</w:t>
            </w:r>
            <w:r>
              <w:t>, are la bază obiectivul unor finanțe</w:t>
            </w:r>
            <w:r>
              <w:t xml:space="preserve"> publice solide și sustenabile ca mijloc de consolidare a condițiilor de realizare a stabilității prețurilor și a unei creșteri susținute durabile care</w:t>
            </w:r>
            <w:r>
              <w:rPr>
                <w:b/>
                <w:i/>
              </w:rPr>
              <w:t xml:space="preserve"> atrage crearea de locuri de muncă și care</w:t>
            </w:r>
            <w:r>
              <w:t>, susținută de stabilitatea financiară, să contribuie la creare</w:t>
            </w:r>
            <w:r>
              <w:t>a de locuri de muncă, sprijinind astfel realizarea obiectivelor Uniunii privind creșterea durabilă și favorabilă incluziunii</w:t>
            </w:r>
            <w:r>
              <w:rPr>
                <w:b/>
                <w:i/>
              </w:rPr>
              <w:t>, vizând eliminarea șomajului și progresul social</w:t>
            </w:r>
            <w:r>
              <w:t>.</w:t>
            </w:r>
          </w:p>
        </w:tc>
      </w:tr>
      <w:tr w:rsidR="003B0D2A" w:rsidTr="00C33FBD">
        <w:trPr>
          <w:jc w:val="center"/>
        </w:trPr>
        <w:tc>
          <w:tcPr>
            <w:tcW w:w="4876" w:type="dxa"/>
            <w:hideMark/>
          </w:tcPr>
          <w:p w:rsidR="00AF0131" w:rsidRPr="003D6066" w:rsidRDefault="00147DFE" w:rsidP="00C33FBD">
            <w:pPr>
              <w:pStyle w:val="Normal6"/>
            </w:pPr>
            <w:r>
              <w:t>__________________</w:t>
            </w:r>
          </w:p>
        </w:tc>
        <w:tc>
          <w:tcPr>
            <w:tcW w:w="4876" w:type="dxa"/>
            <w:hideMark/>
          </w:tcPr>
          <w:p w:rsidR="00AF0131" w:rsidRPr="003D6066" w:rsidRDefault="00147DFE" w:rsidP="00C33FBD">
            <w:pPr>
              <w:pStyle w:val="Normal6"/>
              <w:rPr>
                <w:szCs w:val="24"/>
              </w:rPr>
            </w:pPr>
            <w:r>
              <w:t>__________________</w:t>
            </w:r>
          </w:p>
        </w:tc>
      </w:tr>
      <w:tr w:rsidR="003B0D2A" w:rsidTr="00C33FBD">
        <w:trPr>
          <w:jc w:val="center"/>
        </w:trPr>
        <w:tc>
          <w:tcPr>
            <w:tcW w:w="4876" w:type="dxa"/>
            <w:hideMark/>
          </w:tcPr>
          <w:p w:rsidR="00AF0131" w:rsidRPr="003D6066" w:rsidRDefault="00147DFE" w:rsidP="00C33FBD">
            <w:pPr>
              <w:pStyle w:val="Normal6"/>
            </w:pPr>
            <w:r>
              <w:rPr>
                <w:vertAlign w:val="superscript"/>
              </w:rPr>
              <w:t>19</w:t>
            </w:r>
            <w:r>
              <w:t xml:space="preserve"> Regulamentul (CE) nr. 1466/97 al Consi</w:t>
            </w:r>
            <w:r>
              <w:t>liului din 7 iulie 1997 privind consolidarea supravegherii pozițiilor bugetare și supravegherea și coordonarea politicilor economice (JO L 209, 2.8.1997, p. 1).</w:t>
            </w:r>
          </w:p>
        </w:tc>
        <w:tc>
          <w:tcPr>
            <w:tcW w:w="4876" w:type="dxa"/>
            <w:hideMark/>
          </w:tcPr>
          <w:p w:rsidR="00AF0131" w:rsidRPr="003D6066" w:rsidRDefault="00147DFE" w:rsidP="00C33FBD">
            <w:pPr>
              <w:pStyle w:val="Normal6"/>
              <w:rPr>
                <w:szCs w:val="24"/>
              </w:rPr>
            </w:pPr>
            <w:r>
              <w:rPr>
                <w:vertAlign w:val="superscript"/>
              </w:rPr>
              <w:t>19</w:t>
            </w:r>
            <w:r>
              <w:t xml:space="preserve"> Regulamentul (CE) nr. 1466/97 al Consiliului din 7 iulie 1997 privind consolidarea supravegh</w:t>
            </w:r>
            <w:r>
              <w:t>erii pozițiilor bugetare și supravegherea și coordonarea politicilor economice (JO L 209, 2.8.1997, p. 1).</w:t>
            </w:r>
          </w:p>
        </w:tc>
      </w:tr>
      <w:tr w:rsidR="003B0D2A" w:rsidTr="00C33FBD">
        <w:trPr>
          <w:jc w:val="center"/>
        </w:trPr>
        <w:tc>
          <w:tcPr>
            <w:tcW w:w="4876" w:type="dxa"/>
            <w:hideMark/>
          </w:tcPr>
          <w:p w:rsidR="00AF0131" w:rsidRPr="003D6066" w:rsidRDefault="00147DFE" w:rsidP="00C33FBD">
            <w:pPr>
              <w:pStyle w:val="Normal6"/>
            </w:pPr>
            <w:r>
              <w:rPr>
                <w:vertAlign w:val="superscript"/>
              </w:rPr>
              <w:t>20</w:t>
            </w:r>
            <w:r>
              <w:t xml:space="preserve"> Regulamentul (CE) nr. 1467/97 al Consiliului din 7 iulie 1997 privind accelerarea și clarificarea aplicării procedurii de deficit excesiv (JO L 2</w:t>
            </w:r>
            <w:r>
              <w:t>09, 2.8.1997, p. 6).</w:t>
            </w:r>
          </w:p>
        </w:tc>
        <w:tc>
          <w:tcPr>
            <w:tcW w:w="4876" w:type="dxa"/>
            <w:hideMark/>
          </w:tcPr>
          <w:p w:rsidR="00AF0131" w:rsidRPr="003D6066" w:rsidRDefault="00147DFE" w:rsidP="00C33FBD">
            <w:pPr>
              <w:pStyle w:val="Normal6"/>
              <w:rPr>
                <w:szCs w:val="24"/>
              </w:rPr>
            </w:pPr>
            <w:r>
              <w:rPr>
                <w:vertAlign w:val="superscript"/>
              </w:rPr>
              <w:t>20</w:t>
            </w:r>
            <w:r>
              <w:t xml:space="preserve"> Regulamentul (CE) nr. 1467/97 al Consiliului din 7 iulie 1997 privind accelerarea și clarificarea aplicării procedurii de deficit excesiv (JO L 209, 2.8.1997, p. 6).</w:t>
            </w:r>
          </w:p>
        </w:tc>
      </w:tr>
      <w:tr w:rsidR="003B0D2A" w:rsidTr="00C33FBD">
        <w:trPr>
          <w:jc w:val="center"/>
        </w:trPr>
        <w:tc>
          <w:tcPr>
            <w:tcW w:w="4876" w:type="dxa"/>
            <w:hideMark/>
          </w:tcPr>
          <w:p w:rsidR="00AF0131" w:rsidRPr="003D6066" w:rsidRDefault="00147DFE" w:rsidP="00C33FBD">
            <w:pPr>
              <w:pStyle w:val="Normal6"/>
            </w:pPr>
            <w:r>
              <w:rPr>
                <w:vertAlign w:val="superscript"/>
              </w:rPr>
              <w:t>21</w:t>
            </w:r>
            <w:r>
              <w:t xml:space="preserve"> Rezoluția Consiliului European privind Pactul de stabilitate ș</w:t>
            </w:r>
            <w:r>
              <w:t xml:space="preserve">i de creștere de la Amsterdam, 17 iunie 1997 (JO C 236, </w:t>
            </w:r>
            <w:r>
              <w:lastRenderedPageBreak/>
              <w:t>2.8.1997, p. 1).</w:t>
            </w:r>
          </w:p>
        </w:tc>
        <w:tc>
          <w:tcPr>
            <w:tcW w:w="4876" w:type="dxa"/>
            <w:hideMark/>
          </w:tcPr>
          <w:p w:rsidR="00AF0131" w:rsidRPr="003D6066" w:rsidRDefault="00147DFE" w:rsidP="00C33FBD">
            <w:pPr>
              <w:pStyle w:val="Normal6"/>
              <w:rPr>
                <w:szCs w:val="24"/>
              </w:rPr>
            </w:pPr>
            <w:r>
              <w:rPr>
                <w:vertAlign w:val="superscript"/>
              </w:rPr>
              <w:lastRenderedPageBreak/>
              <w:t>21</w:t>
            </w:r>
            <w:r>
              <w:t xml:space="preserve"> Rezoluția Consiliului European privind Pactul de stabilitate și de creștere de la Amsterdam, 17 iunie 1997 (JO C 236, </w:t>
            </w:r>
            <w:r>
              <w:lastRenderedPageBreak/>
              <w:t>2.8.1997, p. 1).</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lastRenderedPageBreak/>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2</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Considerentul 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(5)</w:t>
            </w:r>
            <w:r>
              <w:tab/>
              <w:t>Cadrul de guvernanță economică al Uniunii ar trebui să fie adaptat pentru a ține seama mai bine de eterogenitatea tot mai</w:t>
            </w:r>
            <w:r>
              <w:t xml:space="preserve"> mare a pozițiilor bugetare, de provocările legate de datoria publică și de alte vulnerabilități din statele membre. Răspunsul ferm în materie de politici la pandemia de COVID-19 s-a dovedit extrem de eficace în atenuarea daunelor economice și sociale cauz</w:t>
            </w:r>
            <w:r>
              <w:t>ate de criză, dar aceasta a generat o creștere semnificativă a ponderii datoriei publice și private, subliniind importanța reducerii ponderii datoriei până la niveluri prudente într-un mod treptat, susținut</w:t>
            </w:r>
            <w:r>
              <w:rPr>
                <w:b/>
                <w:i/>
              </w:rPr>
              <w:t xml:space="preserve"> și</w:t>
            </w:r>
            <w:r>
              <w:t xml:space="preserve"> favorabil creșterii și a abordării dezechilibr</w:t>
            </w:r>
            <w:r>
              <w:t xml:space="preserve">elor macroeconomice, acordând totodată atenția cuvenită obiectivelor sociale și </w:t>
            </w:r>
            <w:r>
              <w:rPr>
                <w:b/>
                <w:i/>
              </w:rPr>
              <w:t>de ocupare a forței</w:t>
            </w:r>
            <w:r>
              <w:t xml:space="preserve"> de </w:t>
            </w:r>
            <w:r>
              <w:rPr>
                <w:b/>
                <w:i/>
              </w:rPr>
              <w:t>muncă</w:t>
            </w:r>
            <w:r>
              <w:t>. În același timp, cadrul de guvernanță economică al Uniunii ar trebui să fie adaptat pentru a contribui la abordarea provocărilor cu care se confru</w:t>
            </w:r>
            <w:r>
              <w:t>ntă Uniunea pe termen mediu și lung, cum ar fi realizarea unei tranziții digitale și verzi echitabile, Legea climei</w:t>
            </w:r>
            <w:r>
              <w:rPr>
                <w:vertAlign w:val="superscript"/>
              </w:rPr>
              <w:t>22</w:t>
            </w:r>
            <w:r>
              <w:t>, asigurarea securității energetice, autonomia strategică deschisă, abordarea schimbărilor demografice, consolidarea rezilienței sociale și</w:t>
            </w:r>
            <w:r>
              <w:t xml:space="preserve"> economice și punerea în aplicare a Busolei strategice pentru securitate și apărare, toate acestea necesitând reforme și niveluri ridicate și susținute ale investițiilor în anii următori.</w:t>
            </w:r>
          </w:p>
        </w:tc>
        <w:tc>
          <w:tcPr>
            <w:tcW w:w="4876" w:type="dxa"/>
            <w:hideMark/>
          </w:tcPr>
          <w:p w:rsidR="00AF0131" w:rsidRPr="003D6066" w:rsidRDefault="00147DFE" w:rsidP="00C33FBD">
            <w:pPr>
              <w:pStyle w:val="Normal6"/>
              <w:rPr>
                <w:szCs w:val="24"/>
              </w:rPr>
            </w:pPr>
            <w:r>
              <w:t>(5)</w:t>
            </w:r>
            <w:r>
              <w:tab/>
              <w:t>Cadrul de guvernanță economică al Uniunii ar trebui să fie adapt</w:t>
            </w:r>
            <w:r>
              <w:t>at pentru a ține seama mai bine de eterogenitatea tot mai mare a pozițiilor bugetare, de provocările legate de datoria publică și de alte vulnerabilități din statele membre. Răspunsul ferm în materie de politici la pandemia de COVID-19 s-a dovedit extrem d</w:t>
            </w:r>
            <w:r>
              <w:t>e eficace în atenuarea daunelor economice și sociale cauzate de criză, dar aceasta a generat o creștere semnificativă a ponderii datoriei publice și private, subliniind importanța reducerii ponderii datoriei până la niveluri prudente într-un mod treptat, s</w:t>
            </w:r>
            <w:r>
              <w:t>usținut</w:t>
            </w:r>
            <w:r>
              <w:rPr>
                <w:b/>
                <w:i/>
              </w:rPr>
              <w:t>,</w:t>
            </w:r>
            <w:r>
              <w:t xml:space="preserve"> favorabil creșterii</w:t>
            </w:r>
            <w:r>
              <w:rPr>
                <w:b/>
                <w:i/>
              </w:rPr>
              <w:t xml:space="preserve"> și incluziv</w:t>
            </w:r>
            <w:r>
              <w:t xml:space="preserve"> și a abordării dezechilibrelor macroeconomice, </w:t>
            </w:r>
            <w:r>
              <w:rPr>
                <w:b/>
                <w:i/>
              </w:rPr>
              <w:t xml:space="preserve">totodată susținând convergența socială ascendentă, </w:t>
            </w:r>
            <w:r>
              <w:t xml:space="preserve">acordând totodată atenția cuvenită obiectivelor sociale și </w:t>
            </w:r>
            <w:r>
              <w:rPr>
                <w:b/>
                <w:i/>
              </w:rPr>
              <w:t>locurilor de muncă</w:t>
            </w:r>
            <w:r>
              <w:t xml:space="preserve"> de </w:t>
            </w:r>
            <w:r>
              <w:rPr>
                <w:b/>
                <w:i/>
              </w:rPr>
              <w:t>calitate</w:t>
            </w:r>
            <w:r>
              <w:t>. În același timp, cadrul de</w:t>
            </w:r>
            <w:r>
              <w:t xml:space="preserve"> guvernanță economică al Uniunii ar trebui să fie adaptat pentru a contribui la abordarea provocărilor cu care se confruntă Uniunea pe termen mediu și lung, cum ar fi realizarea unei tranziții digitale și verzi echitabile, Legea climei</w:t>
            </w:r>
            <w:r>
              <w:rPr>
                <w:vertAlign w:val="superscript"/>
              </w:rPr>
              <w:t>22</w:t>
            </w:r>
            <w:r>
              <w:rPr>
                <w:b/>
                <w:i/>
              </w:rPr>
              <w:t xml:space="preserve"> și aplicarea Pilon</w:t>
            </w:r>
            <w:r>
              <w:rPr>
                <w:b/>
                <w:i/>
              </w:rPr>
              <w:t>ului european al drepturilor sociale</w:t>
            </w:r>
            <w:r>
              <w:t>, asigurarea securității energetice, autonomia strategică deschisă, abordarea schimbărilor demografice, consolidarea rezilienței sociale și economice</w:t>
            </w:r>
            <w:r>
              <w:rPr>
                <w:b/>
                <w:i/>
              </w:rPr>
              <w:t>, prin intensificarea investițiilor sociale</w:t>
            </w:r>
            <w:r>
              <w:t xml:space="preserve"> și punerea în aplicare a Bu</w:t>
            </w:r>
            <w:r>
              <w:t>solei strategice pentru securitate și apărare, toate acestea necesitând reforme și niveluri ridicate și susținute ale investițiilor în anii următori.</w:t>
            </w:r>
          </w:p>
        </w:tc>
      </w:tr>
      <w:tr w:rsidR="003B0D2A" w:rsidTr="00C33FBD">
        <w:trPr>
          <w:jc w:val="center"/>
        </w:trPr>
        <w:tc>
          <w:tcPr>
            <w:tcW w:w="4876" w:type="dxa"/>
            <w:hideMark/>
          </w:tcPr>
          <w:p w:rsidR="00AF0131" w:rsidRPr="003D6066" w:rsidRDefault="00147DFE" w:rsidP="00C33FBD">
            <w:pPr>
              <w:pStyle w:val="Normal6"/>
            </w:pPr>
            <w:r>
              <w:t>__________________</w:t>
            </w:r>
          </w:p>
        </w:tc>
        <w:tc>
          <w:tcPr>
            <w:tcW w:w="4876" w:type="dxa"/>
            <w:hideMark/>
          </w:tcPr>
          <w:p w:rsidR="00AF0131" w:rsidRPr="003D6066" w:rsidRDefault="00147DFE" w:rsidP="00C33FBD">
            <w:pPr>
              <w:pStyle w:val="Normal6"/>
              <w:rPr>
                <w:szCs w:val="24"/>
              </w:rPr>
            </w:pPr>
            <w:r>
              <w:t>__________________</w:t>
            </w:r>
          </w:p>
        </w:tc>
      </w:tr>
      <w:tr w:rsidR="003B0D2A" w:rsidTr="00C33FBD">
        <w:trPr>
          <w:jc w:val="center"/>
        </w:trPr>
        <w:tc>
          <w:tcPr>
            <w:tcW w:w="4876" w:type="dxa"/>
            <w:hideMark/>
          </w:tcPr>
          <w:p w:rsidR="00AF0131" w:rsidRPr="003D6066" w:rsidRDefault="00147DFE" w:rsidP="00C33FBD">
            <w:pPr>
              <w:pStyle w:val="Normal6"/>
            </w:pPr>
            <w:r>
              <w:rPr>
                <w:vertAlign w:val="superscript"/>
              </w:rPr>
              <w:lastRenderedPageBreak/>
              <w:t>22</w:t>
            </w:r>
            <w:r>
              <w:t xml:space="preserve"> Legea europeană a climei stabilește un obiectiv de neutralitate climatică la nivelul Uniunii până în 2050 și impune instituțiilor Uniunii și statelor membre să înregistreze progrese în ceea ce privește consolidarea capacității de adaptare, prevăzând inves</w:t>
            </w:r>
            <w:r>
              <w:t>tiții publice semnificative pentru a reduce impactul socioeconomic negativ al schimbărilor climatice asupra UE și a statelor sale membre, inclusiv impactul negativ asupra creșterii economice și a sustenabilității bugetare.</w:t>
            </w:r>
          </w:p>
        </w:tc>
        <w:tc>
          <w:tcPr>
            <w:tcW w:w="4876" w:type="dxa"/>
            <w:hideMark/>
          </w:tcPr>
          <w:p w:rsidR="00AF0131" w:rsidRPr="003D6066" w:rsidRDefault="00147DFE" w:rsidP="00C33FBD">
            <w:pPr>
              <w:pStyle w:val="Normal6"/>
              <w:rPr>
                <w:szCs w:val="24"/>
              </w:rPr>
            </w:pPr>
            <w:r>
              <w:rPr>
                <w:vertAlign w:val="superscript"/>
              </w:rPr>
              <w:t>22</w:t>
            </w:r>
            <w:r>
              <w:t xml:space="preserve"> Legea europeană a climei stabi</w:t>
            </w:r>
            <w:r>
              <w:t>lește un obiectiv de neutralitate climatică la nivelul Uniunii până în 2050 și impune instituțiilor Uniunii și statelor membre să înregistreze progrese în ceea ce privește consolidarea capacității de adaptare, prevăzând investiții publice semnificative pen</w:t>
            </w:r>
            <w:r>
              <w:t>tru a reduce impactul socioeconomic negativ al schimbărilor climatice asupra UE și a statelor sale membre, inclusiv impactul negativ asupra creșterii economice și a sustenabilității bugetare.</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3</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w:t>
      </w:r>
      <w:r>
        <w:t>nere de regulament</w:t>
      </w:r>
      <w:r>
        <w:rPr>
          <w:rStyle w:val="HideTWBExt"/>
          <w:b w:val="0"/>
        </w:rPr>
        <w:t>&lt;/DocAmend&gt;</w:t>
      </w:r>
    </w:p>
    <w:p w:rsidR="00AF0131" w:rsidRPr="003D6066" w:rsidRDefault="00147DFE" w:rsidP="00AF0131">
      <w:pPr>
        <w:pStyle w:val="NormalBold"/>
      </w:pPr>
      <w:r>
        <w:rPr>
          <w:rStyle w:val="HideTWBExt"/>
          <w:b w:val="0"/>
        </w:rPr>
        <w:t>&lt;Article&gt;</w:t>
      </w:r>
      <w:r>
        <w:t>Considerentul 7</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(7)</w:t>
            </w:r>
            <w:r>
              <w:tab/>
              <w:t>Procedura de supraveghere multilaterală prevăzută la articolul 121 alineatele (2), (3) și (4) și la articolul 148 alineatul (4) din TFUE ar trebui</w:t>
            </w:r>
            <w:r>
              <w:t xml:space="preserve"> să monitorizeze, în conformitate cu norme mai detaliate, întreaga gamă de evoluții economice</w:t>
            </w:r>
            <w:r>
              <w:rPr>
                <w:b/>
                <w:i/>
              </w:rPr>
              <w:t xml:space="preserve"> și</w:t>
            </w:r>
            <w:r>
              <w:t xml:space="preserve"> de ocupare a forței de muncă din fiecare stat membru și din Uniune. Este vorba, printre altele, despre detectarea dezechilibrelor macroeconomice și despre prev</w:t>
            </w:r>
            <w:r>
              <w:t>enirea și corectarea dezechilibrelor excesive, astfel cum se prevede în Regulamentele (UE) nr. 1174/2011</w:t>
            </w:r>
            <w:r>
              <w:rPr>
                <w:vertAlign w:val="superscript"/>
              </w:rPr>
              <w:t>23</w:t>
            </w:r>
            <w:r>
              <w:t xml:space="preserve"> și (UE) nr. 1176/2011</w:t>
            </w:r>
            <w:r>
              <w:rPr>
                <w:vertAlign w:val="superscript"/>
              </w:rPr>
              <w:t>24</w:t>
            </w:r>
            <w:r>
              <w:t xml:space="preserve"> ale Parlamentului European și ale Consiliului. Pentru monitorizarea acestor evoluții la nivel economic</w:t>
            </w:r>
            <w:r>
              <w:rPr>
                <w:b/>
                <w:i/>
              </w:rPr>
              <w:t xml:space="preserve"> și</w:t>
            </w:r>
            <w:r>
              <w:t xml:space="preserve"> al ocupării forței </w:t>
            </w:r>
            <w:r>
              <w:t>de muncă, statele membre ar trebui să prezinte informații sub forma unor planuri bugetar-structurale pe termen mediu.</w:t>
            </w:r>
          </w:p>
        </w:tc>
        <w:tc>
          <w:tcPr>
            <w:tcW w:w="4876" w:type="dxa"/>
            <w:hideMark/>
          </w:tcPr>
          <w:p w:rsidR="00AF0131" w:rsidRPr="003D6066" w:rsidRDefault="00147DFE" w:rsidP="00C33FBD">
            <w:pPr>
              <w:pStyle w:val="Normal6"/>
              <w:rPr>
                <w:szCs w:val="24"/>
              </w:rPr>
            </w:pPr>
            <w:r>
              <w:t>(7)</w:t>
            </w:r>
            <w:r>
              <w:tab/>
              <w:t>Procedura de supraveghere multilaterală prevăzută la articolul 121 alineatele (2), (3) și (4) și la articolul 148 alineatul (4) din TF</w:t>
            </w:r>
            <w:r>
              <w:t>UE ar trebui să monitorizeze, în conformitate cu norme mai detaliate, întreaga gamă de evoluții economice</w:t>
            </w:r>
            <w:r>
              <w:rPr>
                <w:b/>
                <w:i/>
              </w:rPr>
              <w:t>,</w:t>
            </w:r>
            <w:r>
              <w:t xml:space="preserve"> de ocupare a forței de muncă</w:t>
            </w:r>
            <w:r>
              <w:rPr>
                <w:b/>
                <w:i/>
              </w:rPr>
              <w:t xml:space="preserve"> și sociale relevante</w:t>
            </w:r>
            <w:r>
              <w:t xml:space="preserve"> din fiecare stat membru și din Uniune</w:t>
            </w:r>
            <w:r>
              <w:rPr>
                <w:b/>
                <w:i/>
              </w:rPr>
              <w:t xml:space="preserve"> legate de țintele principale, inclusiv progresul în îndeplini</w:t>
            </w:r>
            <w:r>
              <w:rPr>
                <w:b/>
                <w:i/>
              </w:rPr>
              <w:t>rea obiectivelor naționale, și de indicatorii principali și secundari ai Pilonului european al drepturilor sociale</w:t>
            </w:r>
            <w:r>
              <w:t>. Este vorba, printre altele, despre detectarea dezechilibrelor macroeconomice și despre prevenirea și corectarea dezechilibrelor excesive, as</w:t>
            </w:r>
            <w:r>
              <w:t>tfel cum se prevede în Regulamentele (UE) nr. 1174/2011</w:t>
            </w:r>
            <w:r>
              <w:rPr>
                <w:vertAlign w:val="superscript"/>
              </w:rPr>
              <w:t>23</w:t>
            </w:r>
            <w:r>
              <w:t xml:space="preserve"> și (UE) nr. 1176/2011</w:t>
            </w:r>
            <w:r>
              <w:rPr>
                <w:vertAlign w:val="superscript"/>
              </w:rPr>
              <w:t>24</w:t>
            </w:r>
            <w:r>
              <w:t xml:space="preserve"> ale Parlamentului European și ale Consiliului. Pentru monitorizarea acestor evoluții la nivel economic</w:t>
            </w:r>
            <w:r>
              <w:rPr>
                <w:b/>
                <w:i/>
              </w:rPr>
              <w:t>,</w:t>
            </w:r>
            <w:r>
              <w:t xml:space="preserve"> al ocupării forței de muncă</w:t>
            </w:r>
            <w:r>
              <w:rPr>
                <w:b/>
                <w:i/>
              </w:rPr>
              <w:t xml:space="preserve"> și al convergenței sociale</w:t>
            </w:r>
            <w:r>
              <w:t>, statele membre</w:t>
            </w:r>
            <w:r>
              <w:t xml:space="preserve"> ar trebui să prezinte informații sub forma unor planuri bugetar-structurale pe termen mediu.</w:t>
            </w:r>
          </w:p>
        </w:tc>
      </w:tr>
      <w:tr w:rsidR="003B0D2A" w:rsidTr="00C33FBD">
        <w:trPr>
          <w:jc w:val="center"/>
        </w:trPr>
        <w:tc>
          <w:tcPr>
            <w:tcW w:w="4876" w:type="dxa"/>
            <w:hideMark/>
          </w:tcPr>
          <w:p w:rsidR="00AF0131" w:rsidRPr="003D6066" w:rsidRDefault="00147DFE" w:rsidP="00C33FBD">
            <w:pPr>
              <w:pStyle w:val="Normal6"/>
            </w:pPr>
            <w:r>
              <w:t>__________________</w:t>
            </w:r>
          </w:p>
        </w:tc>
        <w:tc>
          <w:tcPr>
            <w:tcW w:w="4876" w:type="dxa"/>
            <w:hideMark/>
          </w:tcPr>
          <w:p w:rsidR="00AF0131" w:rsidRPr="003D6066" w:rsidRDefault="00147DFE" w:rsidP="00C33FBD">
            <w:pPr>
              <w:pStyle w:val="Normal6"/>
              <w:rPr>
                <w:szCs w:val="24"/>
              </w:rPr>
            </w:pPr>
            <w:r>
              <w:t>__________________</w:t>
            </w:r>
          </w:p>
        </w:tc>
      </w:tr>
      <w:tr w:rsidR="003B0D2A" w:rsidTr="00C33FBD">
        <w:trPr>
          <w:jc w:val="center"/>
        </w:trPr>
        <w:tc>
          <w:tcPr>
            <w:tcW w:w="4876" w:type="dxa"/>
            <w:hideMark/>
          </w:tcPr>
          <w:p w:rsidR="00AF0131" w:rsidRPr="003D6066" w:rsidRDefault="00147DFE" w:rsidP="00C33FBD">
            <w:pPr>
              <w:pStyle w:val="Normal6"/>
            </w:pPr>
            <w:r>
              <w:rPr>
                <w:vertAlign w:val="superscript"/>
              </w:rPr>
              <w:lastRenderedPageBreak/>
              <w:t>23</w:t>
            </w:r>
            <w:r>
              <w:t xml:space="preserve"> Regulamentul (UE) nr. 1174/2011 al Parlamentului European și al Consiliului din 16 noiembrie 2011 privind măsurile de e</w:t>
            </w:r>
            <w:r>
              <w:t>xecutare pentru corectarea dezechilibrelor macroeconomice excesive din zona euro (JO L 306, 23.11.2011, p. 8).</w:t>
            </w:r>
          </w:p>
        </w:tc>
        <w:tc>
          <w:tcPr>
            <w:tcW w:w="4876" w:type="dxa"/>
            <w:hideMark/>
          </w:tcPr>
          <w:p w:rsidR="00AF0131" w:rsidRPr="003D6066" w:rsidRDefault="00147DFE" w:rsidP="00C33FBD">
            <w:pPr>
              <w:pStyle w:val="Normal6"/>
              <w:rPr>
                <w:szCs w:val="24"/>
              </w:rPr>
            </w:pPr>
            <w:r>
              <w:rPr>
                <w:vertAlign w:val="superscript"/>
              </w:rPr>
              <w:t>23</w:t>
            </w:r>
            <w:r>
              <w:t xml:space="preserve"> Regulamentul (UE) nr. 1174/2011 al Parlamentului European și al Consiliului din 16 noiembrie 2011 privind măsurile de executare pentru corecta</w:t>
            </w:r>
            <w:r>
              <w:t>rea dezechilibrelor macroeconomice excesive din zona euro (JO L 306, 23.11.2011, p. 8).</w:t>
            </w:r>
          </w:p>
        </w:tc>
      </w:tr>
      <w:tr w:rsidR="003B0D2A" w:rsidTr="00C33FBD">
        <w:trPr>
          <w:jc w:val="center"/>
        </w:trPr>
        <w:tc>
          <w:tcPr>
            <w:tcW w:w="4876" w:type="dxa"/>
            <w:hideMark/>
          </w:tcPr>
          <w:p w:rsidR="00AF0131" w:rsidRPr="003D6066" w:rsidRDefault="00147DFE" w:rsidP="00C33FBD">
            <w:pPr>
              <w:pStyle w:val="Normal6"/>
            </w:pPr>
            <w:r>
              <w:rPr>
                <w:vertAlign w:val="superscript"/>
              </w:rPr>
              <w:t>24</w:t>
            </w:r>
            <w:r>
              <w:t xml:space="preserve"> Regulamentul (UE) nr. 1176/2011 al Parlamentului European și al Consiliului din 16 noiembrie 2011 privind prevenirea și corectarea dezechilibrelor macroeconomice (J</w:t>
            </w:r>
            <w:r>
              <w:t>O L 306, 23.11.2011, p. 25).</w:t>
            </w:r>
          </w:p>
        </w:tc>
        <w:tc>
          <w:tcPr>
            <w:tcW w:w="4876" w:type="dxa"/>
            <w:hideMark/>
          </w:tcPr>
          <w:p w:rsidR="00AF0131" w:rsidRPr="003D6066" w:rsidRDefault="00147DFE" w:rsidP="00C33FBD">
            <w:pPr>
              <w:pStyle w:val="Normal6"/>
              <w:rPr>
                <w:szCs w:val="24"/>
              </w:rPr>
            </w:pPr>
            <w:r>
              <w:rPr>
                <w:vertAlign w:val="superscript"/>
              </w:rPr>
              <w:t>24</w:t>
            </w:r>
            <w:r>
              <w:t xml:space="preserve"> Regulamentul (UE) nr. 1176/2011 al Parlamentului European și al Consiliului din 16 noiembrie 2011 privind prevenirea și corectarea dezechilibrelor macroeconomice (JO L 306, 23.11.2011, p. 25).</w:t>
            </w:r>
          </w:p>
        </w:tc>
      </w:tr>
    </w:tbl>
    <w:p w:rsidR="00AF0131" w:rsidRPr="003D6066" w:rsidRDefault="00147DFE" w:rsidP="00C56375">
      <w:pPr>
        <w:rPr>
          <w:rStyle w:val="HideTWBExt"/>
          <w:rFonts w:eastAsiaTheme="majorEastAsia"/>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4</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Considerentul 7 a (nou)</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tcPr>
          <w:p w:rsidR="00AF0131" w:rsidRPr="003D6066" w:rsidRDefault="00AF0131" w:rsidP="00C33FBD">
            <w:pPr>
              <w:pStyle w:val="Normal6"/>
            </w:pPr>
          </w:p>
        </w:tc>
        <w:tc>
          <w:tcPr>
            <w:tcW w:w="4876" w:type="dxa"/>
            <w:hideMark/>
          </w:tcPr>
          <w:p w:rsidR="00AF0131" w:rsidRPr="003D6066" w:rsidRDefault="00147DFE" w:rsidP="00C33FBD">
            <w:pPr>
              <w:pStyle w:val="Normal6"/>
              <w:rPr>
                <w:szCs w:val="24"/>
              </w:rPr>
            </w:pPr>
            <w:r>
              <w:rPr>
                <w:b/>
                <w:i/>
              </w:rPr>
              <w:t>(7a)</w:t>
            </w:r>
            <w:r>
              <w:rPr>
                <w:b/>
                <w:i/>
              </w:rPr>
              <w:tab/>
              <w:t xml:space="preserve">Pentru a promova convergența socială ascendentă, procedura de supraveghere multilaterală prevăzută la </w:t>
            </w:r>
            <w:r>
              <w:rPr>
                <w:b/>
                <w:i/>
              </w:rPr>
              <w:t>articolul 148 alineatul (4) din TFUE se completează cu un sistem de alertă timpurie în cadrul semestrului european (cadrul de convergență socială). În cadrul de convergență socială, Comisia – în temeiul articolului 148 din TFUE – identifică mai întâi riscu</w:t>
            </w:r>
            <w:r>
              <w:rPr>
                <w:b/>
                <w:i/>
              </w:rPr>
              <w:t>rile la adresa convergenței ascendente pentru statele membre în raportul comun privind ocuparea forței de muncă bazat pe indicatorii principali din tabloul de bord social. În a doua etapă, Comisia identifică statele membre care necesită o examinare suplime</w:t>
            </w:r>
            <w:r>
              <w:rPr>
                <w:b/>
                <w:i/>
              </w:rPr>
              <w:t>ntară și publică „rapoartele de convergență socială” pentru acele state membre identificate ca confruntându-se cu riscuri la adresa convergenței sociale ascendente. Concluziile specifice fiecărei țări ale activităților de supraveghere multilaterală desfășu</w:t>
            </w:r>
            <w:r>
              <w:rPr>
                <w:b/>
                <w:i/>
              </w:rPr>
              <w:t>rate în temeiul noului cadru ar trebui să contribuie la procesul de reflecție al Comisiei cu privire la propunerile de recomandări specifice fiecărei țări.</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lastRenderedPageBreak/>
        <w:t>&lt;Amend&gt;</w:t>
      </w:r>
      <w:r>
        <w:t>Amendamentul</w:t>
      </w:r>
      <w:r>
        <w:tab/>
      </w:r>
      <w:r>
        <w:tab/>
      </w:r>
      <w:r>
        <w:rPr>
          <w:rStyle w:val="HideTWBExt"/>
          <w:b w:val="0"/>
        </w:rPr>
        <w:t>&lt;NumAm&gt;</w:t>
      </w:r>
      <w:r>
        <w:t>5</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Considerentul 8</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(8)</w:t>
            </w:r>
            <w:r>
              <w:tab/>
              <w:t xml:space="preserve">Prin urmare, ar trebui stabilite norme detaliate privind conținutul, prezentarea, evaluarea și monitorizarea planurilor bugetar-structurale naționale pe termen mediu, pentru a </w:t>
            </w:r>
            <w:r>
              <w:t>promova sustenabilitatea datoriei</w:t>
            </w:r>
            <w:r>
              <w:rPr>
                <w:b/>
                <w:i/>
              </w:rPr>
              <w:t xml:space="preserve"> și</w:t>
            </w:r>
            <w:r>
              <w:t xml:space="preserve"> creșterea durabilă și favorabilă incluziunii în statele membre și pentru a preveni apariția deficitelor excesive prin planificarea pe termen mediu.</w:t>
            </w:r>
          </w:p>
        </w:tc>
        <w:tc>
          <w:tcPr>
            <w:tcW w:w="4876" w:type="dxa"/>
            <w:hideMark/>
          </w:tcPr>
          <w:p w:rsidR="00AF0131" w:rsidRPr="003D6066" w:rsidRDefault="00147DFE" w:rsidP="00C33FBD">
            <w:pPr>
              <w:pStyle w:val="Normal6"/>
              <w:rPr>
                <w:szCs w:val="24"/>
              </w:rPr>
            </w:pPr>
            <w:r>
              <w:t>(8)</w:t>
            </w:r>
            <w:r>
              <w:tab/>
              <w:t>Prin urmare, ar trebui stabilite norme detaliate privind conținutul</w:t>
            </w:r>
            <w:r>
              <w:t>, prezentarea, evaluarea și monitorizarea planurilor bugetar-structurale naționale pe termen mediu, pentru a promova sustenabilitatea datoriei</w:t>
            </w:r>
            <w:r>
              <w:rPr>
                <w:b/>
                <w:i/>
              </w:rPr>
              <w:t>,</w:t>
            </w:r>
            <w:r>
              <w:t xml:space="preserve"> creșterea durabilă și favorabilă incluziunii</w:t>
            </w:r>
            <w:r>
              <w:rPr>
                <w:b/>
                <w:i/>
              </w:rPr>
              <w:t xml:space="preserve"> și convergența socială ascendentă</w:t>
            </w:r>
            <w:r>
              <w:t xml:space="preserve"> în statele membre și pentru a pre</w:t>
            </w:r>
            <w:r>
              <w:t>veni apariția deficitelor excesive prin planificarea pe termen mediu.</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6</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Considerentul 9</w:t>
      </w:r>
      <w:r>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(9)</w:t>
            </w:r>
            <w:r>
              <w:tab/>
              <w:t xml:space="preserve">Planurile </w:t>
            </w:r>
            <w:r>
              <w:t>bugetar-structurale naționale pe termen mediu ar trebui să reunească angajamentele bugetare, în materie de reforme structurale și de investiții ale fiecărui stat membru și ar trebui să constituie piatra de temelie a cadrului de guvernanță economică al Uniu</w:t>
            </w:r>
            <w:r>
              <w:t xml:space="preserve">nii. Fiecare stat membru ar trebui să prezinte un plan pe termen mediu care să stabilească traiectoria sa bugetară, precum și angajamentele prioritare în materie de investiții publice și de reformă care să asigure împreună o reducere susținută și treptată </w:t>
            </w:r>
            <w:r>
              <w:t xml:space="preserve">a datoriei și o creștere durabilă și favorabilă incluziunii, evitând o politică bugetară prociclică, precum și angajamente mai ample în materie de reformă și de investiții, inclusiv în ceea ce privește dubla tranziție verde și digitală, reziliența socială </w:t>
            </w:r>
            <w:r>
              <w:t>și economică și punerea în aplicare a Pilonului european al drepturilor sociale. Pe durata de viață a Mecanismului de redresare și reziliență</w:t>
            </w:r>
            <w:r>
              <w:rPr>
                <w:vertAlign w:val="superscript"/>
              </w:rPr>
              <w:t>25</w:t>
            </w:r>
            <w:r>
              <w:t>, angajamentele asumate în cadrul planurilor naționale de redresare și reziliență ar trebui să fie luate în consi</w:t>
            </w:r>
            <w:r>
              <w:t>derare în mod corespunzător.</w:t>
            </w:r>
          </w:p>
        </w:tc>
        <w:tc>
          <w:tcPr>
            <w:tcW w:w="4876" w:type="dxa"/>
            <w:hideMark/>
          </w:tcPr>
          <w:p w:rsidR="00AF0131" w:rsidRPr="003D6066" w:rsidRDefault="00147DFE" w:rsidP="00C33FBD">
            <w:pPr>
              <w:pStyle w:val="Normal6"/>
              <w:rPr>
                <w:szCs w:val="24"/>
              </w:rPr>
            </w:pPr>
            <w:r>
              <w:t>(9)</w:t>
            </w:r>
            <w:r>
              <w:tab/>
              <w:t>Planurile bugetar-structurale naționale pe termen mediu ar trebui să reunească angajamentele bugetare, în materie de reforme structurale și de investiții ale fiecărui stat membru și ar trebui să constituie piatra de temelie</w:t>
            </w:r>
            <w:r>
              <w:t xml:space="preserve"> a cadrului de guvernanță economică </w:t>
            </w:r>
            <w:r>
              <w:rPr>
                <w:b/>
                <w:i/>
              </w:rPr>
              <w:t xml:space="preserve">și socială </w:t>
            </w:r>
            <w:r>
              <w:t>al Uniunii. Fiecare stat membru ar trebui să prezinte un plan pe termen mediu care să stabilească traiectoria sa bugetară, precum și angajamentele prioritare în materie de investiții publice și de reformă care</w:t>
            </w:r>
            <w:r>
              <w:t xml:space="preserve"> să asigure împreună o reducere susținută și treptată a datoriei și o creștere durabilă și favorabilă incluziunii, evitând o politică bugetară prociclică, precum și angajamente mai ample în materie de reformă și de investiții, inclusiv în ceea ce privește </w:t>
            </w:r>
            <w:r>
              <w:t>dubla tranziție verde și digitală, reziliența socială și economică și punerea în aplicare a Pilonului european al drepturilor sociale</w:t>
            </w:r>
            <w:r>
              <w:rPr>
                <w:b/>
                <w:i/>
              </w:rPr>
              <w:t>, inclusiv obiectivele aferente în materie de locuri de muncă, competențe și reducerea sărăciei până în 2030</w:t>
            </w:r>
            <w:r>
              <w:rPr>
                <w:b/>
                <w:i/>
                <w:vertAlign w:val="superscript"/>
              </w:rPr>
              <w:t>1a</w:t>
            </w:r>
            <w:r>
              <w:t xml:space="preserve">. Pe durata </w:t>
            </w:r>
            <w:r>
              <w:t>de viață a Mecanismului de redresare și reziliență</w:t>
            </w:r>
            <w:r>
              <w:rPr>
                <w:vertAlign w:val="superscript"/>
              </w:rPr>
              <w:t>25</w:t>
            </w:r>
            <w:r>
              <w:t>, angajamentele asumate în cadrul planurilor naționale de redresare și reziliență ar trebui să fie luate în considerare în mod corespunzător.</w:t>
            </w:r>
          </w:p>
        </w:tc>
      </w:tr>
      <w:tr w:rsidR="003B0D2A" w:rsidTr="00C33FBD">
        <w:trPr>
          <w:jc w:val="center"/>
        </w:trPr>
        <w:tc>
          <w:tcPr>
            <w:tcW w:w="4876" w:type="dxa"/>
            <w:hideMark/>
          </w:tcPr>
          <w:p w:rsidR="00AF0131" w:rsidRPr="003D6066" w:rsidRDefault="00147DFE" w:rsidP="00C33FBD">
            <w:pPr>
              <w:pStyle w:val="Normal6"/>
            </w:pPr>
            <w:r>
              <w:t>__________________</w:t>
            </w:r>
          </w:p>
        </w:tc>
        <w:tc>
          <w:tcPr>
            <w:tcW w:w="4876" w:type="dxa"/>
            <w:hideMark/>
          </w:tcPr>
          <w:p w:rsidR="00AF0131" w:rsidRPr="003D6066" w:rsidRDefault="00147DFE" w:rsidP="00C33FBD">
            <w:pPr>
              <w:pStyle w:val="Normal6"/>
              <w:rPr>
                <w:szCs w:val="24"/>
              </w:rPr>
            </w:pPr>
            <w:r>
              <w:t>__________________</w:t>
            </w:r>
          </w:p>
        </w:tc>
      </w:tr>
      <w:tr w:rsidR="003B0D2A" w:rsidTr="00C33FBD">
        <w:trPr>
          <w:jc w:val="center"/>
        </w:trPr>
        <w:tc>
          <w:tcPr>
            <w:tcW w:w="4876" w:type="dxa"/>
          </w:tcPr>
          <w:p w:rsidR="00AF0131" w:rsidRPr="003D6066" w:rsidRDefault="00AF0131" w:rsidP="00C33FBD">
            <w:pPr>
              <w:pStyle w:val="Normal6"/>
              <w:rPr>
                <w:vertAlign w:val="superscript"/>
              </w:rPr>
            </w:pPr>
          </w:p>
        </w:tc>
        <w:tc>
          <w:tcPr>
            <w:tcW w:w="4876" w:type="dxa"/>
          </w:tcPr>
          <w:p w:rsidR="00AF0131" w:rsidRPr="003D6066" w:rsidRDefault="00147DFE" w:rsidP="00C33FBD">
            <w:pPr>
              <w:pStyle w:val="Normal6"/>
              <w:rPr>
                <w:vertAlign w:val="superscript"/>
              </w:rPr>
            </w:pPr>
            <w:r>
              <w:rPr>
                <w:b/>
                <w:i/>
                <w:vertAlign w:val="superscript"/>
              </w:rPr>
              <w:t>25a</w:t>
            </w:r>
            <w:r>
              <w:rPr>
                <w:b/>
                <w:i/>
              </w:rPr>
              <w:t xml:space="preserve"> Comunicarea Comis</w:t>
            </w:r>
            <w:r>
              <w:rPr>
                <w:b/>
                <w:i/>
              </w:rPr>
              <w:t>iei către Parlamentul European, Consiliu, Comitetul Economic și Social European și Comitetul Regiunilor „Plan de acțiune privind Pilonul european al drepturilor sociale” din 4 martie 2021 [COM(2021)0102 final].</w:t>
            </w:r>
          </w:p>
        </w:tc>
      </w:tr>
      <w:tr w:rsidR="003B0D2A" w:rsidTr="00C33FBD">
        <w:trPr>
          <w:jc w:val="center"/>
        </w:trPr>
        <w:tc>
          <w:tcPr>
            <w:tcW w:w="4876" w:type="dxa"/>
            <w:hideMark/>
          </w:tcPr>
          <w:p w:rsidR="00AF0131" w:rsidRPr="003D6066" w:rsidRDefault="00147DFE" w:rsidP="00C33FBD">
            <w:pPr>
              <w:pStyle w:val="Normal6"/>
            </w:pPr>
            <w:r>
              <w:rPr>
                <w:vertAlign w:val="superscript"/>
              </w:rPr>
              <w:t>25</w:t>
            </w:r>
            <w:r>
              <w:t xml:space="preserve"> Regulamentul (UE) 2021/241 al Parlamentul</w:t>
            </w:r>
            <w:r>
              <w:t>ui European și al Consiliului din 12 februarie 2021 de instituire a Mecanismului de redresare și reziliență (JO L 57, 18.2.2021, p. 17).</w:t>
            </w:r>
          </w:p>
        </w:tc>
        <w:tc>
          <w:tcPr>
            <w:tcW w:w="4876" w:type="dxa"/>
            <w:hideMark/>
          </w:tcPr>
          <w:p w:rsidR="00AF0131" w:rsidRPr="003D6066" w:rsidRDefault="00147DFE" w:rsidP="00C33FBD">
            <w:pPr>
              <w:pStyle w:val="Normal6"/>
              <w:rPr>
                <w:szCs w:val="24"/>
              </w:rPr>
            </w:pPr>
            <w:r>
              <w:rPr>
                <w:vertAlign w:val="superscript"/>
              </w:rPr>
              <w:t>25</w:t>
            </w:r>
            <w:r>
              <w:t xml:space="preserve"> Regulamentul (UE) 2021/241 al Parlamentului European și al Consiliului din 12 februarie 2021 de instituire a Mecanis</w:t>
            </w:r>
            <w:r>
              <w:t>mului de redresare și reziliență (JO L 57, 18.2.2021, p. 17).</w:t>
            </w:r>
          </w:p>
        </w:tc>
      </w:tr>
    </w:tbl>
    <w:p w:rsidR="002D23D0" w:rsidRPr="003D6066" w:rsidRDefault="00147DFE" w:rsidP="00C56375">
      <w:pPr>
        <w:rPr>
          <w:rFonts w:eastAsiaTheme="majorEastAsia"/>
        </w:rPr>
      </w:pPr>
      <w:r>
        <w:rPr>
          <w:rStyle w:val="HideTWBExt"/>
        </w:rPr>
        <w:t>&lt;/Amend&gt;</w:t>
      </w:r>
    </w:p>
    <w:p w:rsidR="00AF0131" w:rsidRPr="003D6066" w:rsidRDefault="00147DFE" w:rsidP="002D23D0">
      <w:pPr>
        <w:pStyle w:val="AmNumberTabs"/>
      </w:pPr>
      <w:r>
        <w:rPr>
          <w:rStyle w:val="HideTWBExt"/>
        </w:rPr>
        <w:t>&lt;Amend&gt;</w:t>
      </w:r>
      <w:r>
        <w:t>Amendamentul</w:t>
      </w:r>
      <w:r>
        <w:tab/>
      </w:r>
      <w:r>
        <w:tab/>
      </w:r>
      <w:r>
        <w:rPr>
          <w:rStyle w:val="HideTWBExt"/>
          <w:b w:val="0"/>
        </w:rPr>
        <w:t>&lt;NumAm&gt;</w:t>
      </w:r>
      <w:r>
        <w:t>7</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Considerentul 10</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(10)</w:t>
            </w:r>
            <w:r>
              <w:tab/>
              <w:t xml:space="preserve">Fondurile </w:t>
            </w:r>
            <w:r>
              <w:t>politicii de coeziune sunt, de asemenea, sincronizate cu procesul semestrului european. În calitatea lor de politică de investiții pe termen lung a bugetului UE, investițiile și reformele din cadrul politicii de coeziune ar trebui, de asemenea, să fie luat</w:t>
            </w:r>
            <w:r>
              <w:t xml:space="preserve">e în considerare în mod corespunzător la elaborarea planurilor bugetar-structurale naționale pe termen mediu. De asemenea, fiecare stat membru ar trebui să explice modul în care planul său bugetar-structural național pe termen mediu va asigura coerența cu </w:t>
            </w:r>
            <w:r>
              <w:t>cheltuielile aferente programelor UE, pe deplin corelate cu veniturile din fondurile UE și cu cofinanțarea națională relevantă.</w:t>
            </w:r>
          </w:p>
        </w:tc>
        <w:tc>
          <w:tcPr>
            <w:tcW w:w="4876" w:type="dxa"/>
            <w:hideMark/>
          </w:tcPr>
          <w:p w:rsidR="00AF0131" w:rsidRPr="003D6066" w:rsidRDefault="00147DFE" w:rsidP="00C33FBD">
            <w:pPr>
              <w:pStyle w:val="Normal6"/>
              <w:rPr>
                <w:szCs w:val="24"/>
              </w:rPr>
            </w:pPr>
            <w:r>
              <w:t>(10)</w:t>
            </w:r>
            <w:r>
              <w:tab/>
              <w:t>Fondurile politicii de coeziune sunt, de asemenea, sincronizate cu procesul semestrului european. În calitatea lor de polit</w:t>
            </w:r>
            <w:r>
              <w:t>ică de investiții pe termen lung a bugetului UE</w:t>
            </w:r>
            <w:r>
              <w:rPr>
                <w:b/>
                <w:i/>
              </w:rPr>
              <w:t xml:space="preserve"> care îmbunătățesc coeziunea economică, socială și teritorială</w:t>
            </w:r>
            <w:r>
              <w:t>, investițiile și reformele din cadrul politicii de coeziune ar trebui, de asemenea, să fie luate în considerare în mod corespunzător la elaborarea</w:t>
            </w:r>
            <w:r>
              <w:t xml:space="preserve"> planurilor bugetar-structurale naționale pe termen mediu. De asemenea, fiecare stat membru ar trebui să explice modul în care planul său bugetar-structural național pe termen mediu va asigura coerența cu cheltuielile aferente programelor UE, pe deplin cor</w:t>
            </w:r>
            <w:r>
              <w:t>elate cu veniturile din fondurile UE și cu cofinanțarea națională relevantă.</w:t>
            </w:r>
          </w:p>
        </w:tc>
      </w:tr>
    </w:tbl>
    <w:p w:rsidR="00AF0131" w:rsidRPr="003D6066" w:rsidRDefault="00147DFE" w:rsidP="00C56375">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8</w:t>
      </w:r>
      <w:r>
        <w:rPr>
          <w:rStyle w:val="HideTWBExt"/>
          <w:b w:val="0"/>
        </w:rPr>
        <w:t>&lt;/NumAm&gt;</w:t>
      </w:r>
    </w:p>
    <w:p w:rsidR="00AF0131" w:rsidRPr="003D6066" w:rsidRDefault="00AF0131" w:rsidP="00AF0131">
      <w:pPr>
        <w:rPr>
          <w:b/>
        </w:rPr>
      </w:pPr>
    </w:p>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Considerentul 13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(13)</w:t>
            </w:r>
            <w:r>
              <w:tab/>
            </w:r>
            <w:r>
              <w:t xml:space="preserve">Pentru a oferi orientări statelor membre în elaborarea planului lor bugetar-structural pe termen mediu, Comisia ar trebui să prezinte o </w:t>
            </w:r>
            <w:r>
              <w:rPr>
                <w:b/>
                <w:i/>
              </w:rPr>
              <w:t>traiectoria</w:t>
            </w:r>
            <w:r>
              <w:t xml:space="preserve"> tehnică bazată pe ajustarea bugetară minimă care înscrie datoria statului membru pe o traiectorie descendent</w:t>
            </w:r>
            <w:r>
              <w:t xml:space="preserve">ă plauzibilă sau menține datoria la un nivel prudent. Ea ar trebui să asigure totodată faptul că ponderea datoriei publice la sfârșitul orizontului de planificare scade sub nivelul său din anul anterior începerii traiectoriei tehnice. </w:t>
            </w:r>
            <w:r>
              <w:rPr>
                <w:b/>
                <w:i/>
              </w:rPr>
              <w:t>Sustenabilitatea aces</w:t>
            </w:r>
            <w:r>
              <w:rPr>
                <w:b/>
                <w:i/>
              </w:rPr>
              <w:t>tei reduceri a datoriei ar trebui să rezulte din politici bugetare adecvate.</w:t>
            </w:r>
          </w:p>
        </w:tc>
        <w:tc>
          <w:tcPr>
            <w:tcW w:w="4876" w:type="dxa"/>
            <w:hideMark/>
          </w:tcPr>
          <w:p w:rsidR="00AF0131" w:rsidRPr="003D6066" w:rsidRDefault="00147DFE" w:rsidP="00C33FBD">
            <w:pPr>
              <w:pStyle w:val="Normal6"/>
              <w:rPr>
                <w:szCs w:val="24"/>
              </w:rPr>
            </w:pPr>
            <w:r>
              <w:t>(13)</w:t>
            </w:r>
            <w:r>
              <w:tab/>
              <w:t xml:space="preserve">Pentru a oferi orientări statelor membre în elaborarea planului lor bugetar-structural pe termen mediu, Comisia ar trebui să prezinte o </w:t>
            </w:r>
            <w:r>
              <w:rPr>
                <w:b/>
                <w:i/>
              </w:rPr>
              <w:t>traiectorie</w:t>
            </w:r>
            <w:r>
              <w:t xml:space="preserve"> tehnică bazată pe ajustarea bugetară minimă care înscrie datoria statului membru pe o traiectorie descendentă plauzibilă sau menține datoria la un nivel prudent</w:t>
            </w:r>
            <w:r>
              <w:rPr>
                <w:b/>
                <w:i/>
              </w:rPr>
              <w:t>, ținând totodată seama de investițiile vizate necesare pentru a realiza prioritățile comune al</w:t>
            </w:r>
            <w:r>
              <w:rPr>
                <w:b/>
                <w:i/>
              </w:rPr>
              <w:t>e Uniunii</w:t>
            </w:r>
            <w:r>
              <w:t>. Ea ar trebui să asigure totodată faptul că ponderea datoriei publice la sfârșitul orizontului de planificare scade sub nivelul său din anul anterior începerii traiectoriei tehnice.</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C56375">
      <w:pPr>
        <w:pStyle w:val="AmNumberTabs"/>
      </w:pPr>
      <w:r>
        <w:rPr>
          <w:rStyle w:val="HideTWBExt"/>
          <w:b w:val="0"/>
        </w:rPr>
        <w:t>&lt;Amend&gt;</w:t>
      </w:r>
      <w:r>
        <w:t>Amendamentul</w:t>
      </w:r>
      <w:r>
        <w:tab/>
      </w:r>
      <w:r>
        <w:tab/>
      </w:r>
      <w:r>
        <w:rPr>
          <w:rStyle w:val="HideTWBExt"/>
          <w:b w:val="0"/>
        </w:rPr>
        <w:t>&lt;NumAm&gt;</w:t>
      </w:r>
      <w:r>
        <w:t>9</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w:t>
      </w:r>
      <w:r>
        <w:t>nere de regulament</w:t>
      </w:r>
      <w:r>
        <w:rPr>
          <w:rStyle w:val="HideTWBExt"/>
          <w:b w:val="0"/>
        </w:rPr>
        <w:t>&lt;/DocAmend&gt;</w:t>
      </w:r>
    </w:p>
    <w:p w:rsidR="00AF0131" w:rsidRPr="003D6066" w:rsidRDefault="00147DFE" w:rsidP="00AF0131">
      <w:pPr>
        <w:pStyle w:val="NormalBold"/>
      </w:pPr>
      <w:r>
        <w:rPr>
          <w:rStyle w:val="HideTWBExt"/>
          <w:b w:val="0"/>
        </w:rPr>
        <w:t>&lt;Article&gt;</w:t>
      </w:r>
      <w:r>
        <w:t>Considerentul 22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(22)</w:t>
            </w:r>
            <w:r>
              <w:tab/>
              <w:t>Pentru a asigura o reducere treptată a datoriei, perioada de ajustare poate fi prelungită cu maximum 3 ani dacă statul membru își bazează planul</w:t>
            </w:r>
            <w:r>
              <w:t xml:space="preserve"> bugetar-structural pe termen mediu pe un set de reforme și investiții verificabile și cu scadențe clare care, în ansamblul lor: </w:t>
            </w:r>
            <w:r>
              <w:rPr>
                <w:b/>
                <w:i/>
              </w:rPr>
              <w:t>stimulează</w:t>
            </w:r>
            <w:r>
              <w:t xml:space="preserve"> creșterea, sprijină sustenabilitatea bugetară, răspund priorităților comune ale Uniunii, urmează recomandările relev</w:t>
            </w:r>
            <w:r>
              <w:t>ante specifice fiecărei țări adresate statului membru în cadrul semestrului european și răspund priorităților de investiții specifice fiecărei țări fără a conduce la reduceri ale altor investiții publice finanțate la nivel național în cursul perioadei de a</w:t>
            </w:r>
            <w:r>
              <w:t>justare, pentru a asigura un impact macroeconomic al investițiilor și pentru a evita excluderea altor priorități de investiții.</w:t>
            </w:r>
          </w:p>
        </w:tc>
        <w:tc>
          <w:tcPr>
            <w:tcW w:w="4876" w:type="dxa"/>
            <w:hideMark/>
          </w:tcPr>
          <w:p w:rsidR="00AF0131" w:rsidRPr="003D6066" w:rsidRDefault="00147DFE" w:rsidP="00C33FBD">
            <w:pPr>
              <w:pStyle w:val="Normal6"/>
              <w:rPr>
                <w:szCs w:val="24"/>
              </w:rPr>
            </w:pPr>
            <w:r>
              <w:t>(22)</w:t>
            </w:r>
            <w:r>
              <w:tab/>
              <w:t>Pentru a asigura o reducere treptată a datoriei, perioada de ajustare poate fi prelungită cu maximum 3 ani dacă statul memb</w:t>
            </w:r>
            <w:r>
              <w:t xml:space="preserve">ru își bazează planul bugetar-structural pe termen mediu pe un set de reforme și investiții verificabile și cu scadențe clare care, în ansamblul lor: </w:t>
            </w:r>
            <w:r>
              <w:rPr>
                <w:b/>
                <w:i/>
              </w:rPr>
              <w:t>îmbunătățește</w:t>
            </w:r>
            <w:r>
              <w:t xml:space="preserve"> creșterea</w:t>
            </w:r>
            <w:r>
              <w:rPr>
                <w:b/>
                <w:i/>
              </w:rPr>
              <w:t xml:space="preserve"> sustenabilă și favorabilă incluziunii, promovează convergența socială ascendentă</w:t>
            </w:r>
            <w:r>
              <w:t xml:space="preserve">, </w:t>
            </w:r>
            <w:r>
              <w:t>sprijină sustenabilitatea bugetară, răspund priorităților comune ale Uniunii, urmează recomandările relevante specifice fiecărei țări adresate statului membru în cadrul semestrului european și răspund priorităților de investiții specifice fiecărei țări făr</w:t>
            </w:r>
            <w:r>
              <w:t>ă a conduce la reduceri ale altor investiții publice finanțate la nivel național</w:t>
            </w:r>
            <w:r>
              <w:rPr>
                <w:b/>
                <w:i/>
              </w:rPr>
              <w:t>, inclusiv cele sociale,</w:t>
            </w:r>
            <w:r>
              <w:t xml:space="preserve"> în cursul perioadei de ajustare, pentru a asigura un impact macroeconomic al investițiilor și pentru a evita excluderea altor priorități de investiții.</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Amendamentul</w:t>
      </w:r>
      <w:r>
        <w:tab/>
      </w:r>
      <w:r>
        <w:rPr>
          <w:rStyle w:val="HideTWBExt"/>
          <w:b w:val="0"/>
        </w:rPr>
        <w:t>&lt;NumAm&gt;</w:t>
      </w:r>
      <w:r>
        <w:t>10</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Articolul 1 – paragraful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 xml:space="preserve">Prezentul regulament stabilește norme care asigură coordonarea eficace a politicilor economice ale statelor membre, sprijinind astfel realizarea obiectivelor Uniunii privind creșterea economică și </w:t>
            </w:r>
            <w:r>
              <w:rPr>
                <w:b/>
                <w:i/>
              </w:rPr>
              <w:t>ocuparea forței</w:t>
            </w:r>
            <w:r>
              <w:t xml:space="preserve"> de muncă.</w:t>
            </w:r>
          </w:p>
        </w:tc>
        <w:tc>
          <w:tcPr>
            <w:tcW w:w="4876" w:type="dxa"/>
            <w:hideMark/>
          </w:tcPr>
          <w:p w:rsidR="00AF0131" w:rsidRPr="003D6066" w:rsidRDefault="00147DFE" w:rsidP="00C33FBD">
            <w:pPr>
              <w:pStyle w:val="Normal6"/>
              <w:rPr>
                <w:szCs w:val="24"/>
              </w:rPr>
            </w:pPr>
            <w:r>
              <w:t>Prezentul regulament stabilește n</w:t>
            </w:r>
            <w:r>
              <w:t xml:space="preserve">orme care asigură coordonarea eficace a politicilor economice ale statelor membre, sprijinind astfel realizarea obiectivelor Uniunii privind creșterea economică </w:t>
            </w:r>
            <w:r>
              <w:rPr>
                <w:b/>
                <w:i/>
              </w:rPr>
              <w:t xml:space="preserve">sustenabilă </w:t>
            </w:r>
            <w:r>
              <w:t xml:space="preserve">și </w:t>
            </w:r>
            <w:r>
              <w:rPr>
                <w:b/>
                <w:i/>
              </w:rPr>
              <w:t>favorabilă incluziunii și locuri</w:t>
            </w:r>
            <w:r>
              <w:t xml:space="preserve"> de muncă</w:t>
            </w:r>
            <w:r>
              <w:rPr>
                <w:b/>
                <w:i/>
              </w:rPr>
              <w:t xml:space="preserve"> de calitate</w:t>
            </w:r>
            <w:r>
              <w:t>.</w:t>
            </w:r>
          </w:p>
        </w:tc>
      </w:tr>
    </w:tbl>
    <w:p w:rsidR="00AF0131" w:rsidRPr="003D6066" w:rsidRDefault="00147DFE" w:rsidP="00AF0131">
      <w:r>
        <w:rPr>
          <w:rStyle w:val="HideTWBExt"/>
        </w:rPr>
        <w:t>&lt;/Amend&gt;</w:t>
      </w:r>
    </w:p>
    <w:p w:rsidR="00AF0131" w:rsidRPr="003D6066" w:rsidRDefault="00147DFE" w:rsidP="00AF0131">
      <w:pPr>
        <w:pStyle w:val="AmNumberTabs"/>
      </w:pPr>
      <w:r>
        <w:rPr>
          <w:rStyle w:val="HideTWBExt"/>
          <w:b w:val="0"/>
        </w:rPr>
        <w:t>&lt;Amend&gt;</w:t>
      </w:r>
      <w:r>
        <w:t>Amendame</w:t>
      </w:r>
      <w:r>
        <w:t>ntul</w:t>
      </w:r>
      <w:r>
        <w:tab/>
      </w:r>
      <w:r>
        <w:tab/>
      </w:r>
      <w:r>
        <w:rPr>
          <w:rStyle w:val="HideTWBExt"/>
          <w:b w:val="0"/>
        </w:rPr>
        <w:t>&lt;NumAm&gt;</w:t>
      </w:r>
      <w:r>
        <w:t>11</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Articolul 1 – paragraful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 xml:space="preserve">El stabilește norme detaliate referitoare la conținutul, prezentarea, evaluarea și monitorizarea </w:t>
            </w:r>
            <w:r>
              <w:t>planurilor bugetar-structurale naționale pe termen mediu, ca parte a supravegherii bugetare multilaterale de către Consiliu și Comisie, pentru a promova sustenabilitatea datoriei</w:t>
            </w:r>
            <w:r>
              <w:rPr>
                <w:b/>
                <w:i/>
              </w:rPr>
              <w:t xml:space="preserve"> și</w:t>
            </w:r>
            <w:r>
              <w:t xml:space="preserve"> creșterea durabilă și favorabilă incluziunii în statele membre și pentru a</w:t>
            </w:r>
            <w:r>
              <w:t xml:space="preserve"> preveni apariția deficitelor excesive prin planificarea pe termen mediu.</w:t>
            </w:r>
          </w:p>
        </w:tc>
        <w:tc>
          <w:tcPr>
            <w:tcW w:w="4876" w:type="dxa"/>
            <w:hideMark/>
          </w:tcPr>
          <w:p w:rsidR="00AF0131" w:rsidRPr="003D6066" w:rsidRDefault="00147DFE" w:rsidP="00C33FBD">
            <w:pPr>
              <w:pStyle w:val="Normal6"/>
              <w:rPr>
                <w:szCs w:val="24"/>
              </w:rPr>
            </w:pPr>
            <w:r>
              <w:t>El stabilește norme detaliate referitoare la conținutul, prezentarea, evaluarea și monitorizarea planurilor bugetar-structurale naționale pe termen mediu, ca parte a supravegherii bu</w:t>
            </w:r>
            <w:r>
              <w:t>getare multilaterale de către Consiliu și Comisie, pentru a promova sustenabilitatea datoriei</w:t>
            </w:r>
            <w:r>
              <w:rPr>
                <w:b/>
                <w:i/>
              </w:rPr>
              <w:t>,</w:t>
            </w:r>
            <w:r>
              <w:t xml:space="preserve"> creșterea durabilă și favorabilă incluziunii</w:t>
            </w:r>
            <w:r>
              <w:rPr>
                <w:b/>
                <w:i/>
              </w:rPr>
              <w:t xml:space="preserve"> și convergența socială ascendentă</w:t>
            </w:r>
            <w:r>
              <w:t xml:space="preserve"> în statele membre și pentru a preveni apariția deficitelor excesive prin planifica</w:t>
            </w:r>
            <w:r>
              <w:t>rea pe termen mediu</w:t>
            </w:r>
            <w:r>
              <w:rPr>
                <w:b/>
                <w:i/>
              </w:rPr>
              <w:t>, asigurând totodată investițiile economice și sociale vizate, în concordanță cu prioritățile comune ale Uniunii</w:t>
            </w:r>
            <w:r>
              <w:t>.</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C56375">
      <w:pPr>
        <w:pStyle w:val="AmNumberTabs"/>
      </w:pPr>
      <w:r>
        <w:rPr>
          <w:rStyle w:val="HideTWBExt"/>
          <w:b w:val="0"/>
        </w:rPr>
        <w:t>&lt;Amend&gt;</w:t>
      </w:r>
      <w:r>
        <w:t>Amendamentul</w:t>
      </w:r>
      <w:r>
        <w:tab/>
      </w:r>
      <w:r>
        <w:tab/>
      </w:r>
      <w:r>
        <w:rPr>
          <w:rStyle w:val="HideTWBExt"/>
          <w:b w:val="0"/>
        </w:rPr>
        <w:t>&lt;NumAm&gt;</w:t>
      </w:r>
      <w:r>
        <w:t>12</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Articolul 3 – parag</w:t>
      </w:r>
      <w:r>
        <w:t>raful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 xml:space="preserve">Pentru a asigura o coordonare mai strânsă a politicilor economice și o convergență </w:t>
            </w:r>
            <w:r>
              <w:rPr>
                <w:b/>
                <w:i/>
              </w:rPr>
              <w:t>durabilă</w:t>
            </w:r>
            <w:r>
              <w:t xml:space="preserve"> a performanțelor economice și sociale ale statelor membre, Consiliul și Comisia asigură supravegherea multilaterală în cadrul semestrului european, în conformitate cu obiectivele și cerințele prevăzute în TFUE. Supravegherea multilaterală se bazează pe st</w:t>
            </w:r>
            <w:r>
              <w:t>atistici independente și de înaltă calitate, elaborate în conformitate cu principiile stabilite în Regulamentul (CE) nr. 223/2009 al Parlamentului European și al Consiliului.</w:t>
            </w:r>
          </w:p>
        </w:tc>
        <w:tc>
          <w:tcPr>
            <w:tcW w:w="4876" w:type="dxa"/>
            <w:hideMark/>
          </w:tcPr>
          <w:p w:rsidR="00AF0131" w:rsidRPr="003D6066" w:rsidRDefault="00147DFE" w:rsidP="00C33FBD">
            <w:pPr>
              <w:pStyle w:val="Normal6"/>
              <w:rPr>
                <w:szCs w:val="24"/>
              </w:rPr>
            </w:pPr>
            <w:r>
              <w:t xml:space="preserve">Pentru a asigura o coordonare mai strânsă a politicilor economice și </w:t>
            </w:r>
            <w:r>
              <w:rPr>
                <w:b/>
                <w:i/>
              </w:rPr>
              <w:t>din domeniul</w:t>
            </w:r>
            <w:r>
              <w:rPr>
                <w:b/>
                <w:i/>
              </w:rPr>
              <w:t xml:space="preserve"> muncii și </w:t>
            </w:r>
            <w:r>
              <w:t xml:space="preserve">o convergență </w:t>
            </w:r>
            <w:r>
              <w:rPr>
                <w:b/>
                <w:i/>
              </w:rPr>
              <w:t>ascendentă</w:t>
            </w:r>
            <w:r>
              <w:t xml:space="preserve"> a performanțelor economice și sociale ale statelor membre</w:t>
            </w:r>
            <w:r>
              <w:rPr>
                <w:b/>
                <w:i/>
              </w:rPr>
              <w:t>, conforme cu prioritățile comune ale Uniunii</w:t>
            </w:r>
            <w:r>
              <w:t>, Consiliul și Comisia asigură supravegherea multilaterală în cadrul semestrului european, în conformitate cu obiectiv</w:t>
            </w:r>
            <w:r>
              <w:t>ele și cerințele prevăzute în TFUE. Supravegherea multilaterală se bazează pe statistici independente și de înaltă calitate, elaborate în conformitate cu principiile stabilite în Regulamentul (CE) nr. 223/2009 al Parlamentului European și al Consiliului.</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13</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Articolul 3 – paragraful 2 – litera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(b)</w:t>
            </w:r>
            <w:r>
              <w:tab/>
            </w:r>
            <w:r>
              <w:t xml:space="preserve">elaborarea și supravegherea punerii în aplicare a orientărilor privind ocuparea forței de muncă de care statele membre trebuie să țină seama în conformitate cu articolul 148 alineatul (2) din TFUE, </w:t>
            </w:r>
            <w:r>
              <w:rPr>
                <w:b/>
                <w:i/>
              </w:rPr>
              <w:t>inclusiv</w:t>
            </w:r>
            <w:r>
              <w:t xml:space="preserve"> a Pilonului european al drepturilor sociale, și a</w:t>
            </w:r>
            <w:r>
              <w:t xml:space="preserve"> recomandărilor conexe specifice fiecărei țări</w:t>
            </w:r>
            <w:r>
              <w:rPr>
                <w:b/>
                <w:i/>
              </w:rPr>
              <w:t>;</w:t>
            </w:r>
          </w:p>
        </w:tc>
        <w:tc>
          <w:tcPr>
            <w:tcW w:w="4876" w:type="dxa"/>
            <w:hideMark/>
          </w:tcPr>
          <w:p w:rsidR="00AF0131" w:rsidRPr="003D6066" w:rsidRDefault="00147DFE" w:rsidP="00C33FBD">
            <w:pPr>
              <w:pStyle w:val="Normal6"/>
              <w:rPr>
                <w:szCs w:val="24"/>
              </w:rPr>
            </w:pPr>
            <w:r>
              <w:t>(b)</w:t>
            </w:r>
            <w:r>
              <w:tab/>
              <w:t xml:space="preserve">elaborarea și supravegherea punerii în aplicare a orientărilor privind ocuparea forței de muncă de care statele membre trebuie să țină seama în conformitate cu articolul 148 alineatul (2) din TFUE, </w:t>
            </w:r>
            <w:r>
              <w:rPr>
                <w:b/>
                <w:i/>
              </w:rPr>
              <w:t>dar și</w:t>
            </w:r>
            <w:r>
              <w:t xml:space="preserve"> a Pilonului european al drepturilor sociale</w:t>
            </w:r>
            <w:r>
              <w:rPr>
                <w:b/>
                <w:i/>
              </w:rPr>
              <w:t xml:space="preserve"> și a obiectivelor sale principale</w:t>
            </w:r>
            <w:r>
              <w:t>, și a recomandărilor conexe specifice fiecărei țări</w:t>
            </w:r>
            <w:r>
              <w:rPr>
                <w:b/>
                <w:i/>
              </w:rPr>
              <w:t>, a tabloului de bord social și a indicatorilor săi principali și secundari, precum și a cadrului de convergență socială pentr</w:t>
            </w:r>
            <w:r>
              <w:rPr>
                <w:b/>
                <w:i/>
              </w:rPr>
              <w:t>u a preveni și a identifica riscurile de convergență socială.</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14</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Articolul 4 – alineatul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1.</w:t>
            </w:r>
            <w:r>
              <w:tab/>
              <w:t xml:space="preserve">Dacă este </w:t>
            </w:r>
            <w:r>
              <w:t>necesar, în urma evaluării efectuate în temeiul prezentului regulament a planurilor bugetar-structurale pe termen mediu, a rapoartelor anuale privind progresele înregistrate și a situației socioeconomice a statelor membre în cauză, Consiliul, pe baza recom</w:t>
            </w:r>
            <w:r>
              <w:t>andărilor Comisiei, adresează recomandări statelor membre care utilizează pe deplin instrumentele juridice prevăzute la articolele 121 și 148 din TFUE și în legislația secundară conexă.</w:t>
            </w:r>
          </w:p>
        </w:tc>
        <w:tc>
          <w:tcPr>
            <w:tcW w:w="4876" w:type="dxa"/>
            <w:hideMark/>
          </w:tcPr>
          <w:p w:rsidR="00AF0131" w:rsidRPr="003D6066" w:rsidRDefault="00147DFE" w:rsidP="00C33FBD">
            <w:pPr>
              <w:pStyle w:val="Normal6"/>
              <w:rPr>
                <w:szCs w:val="24"/>
              </w:rPr>
            </w:pPr>
            <w:r>
              <w:t>1.</w:t>
            </w:r>
            <w:r>
              <w:tab/>
              <w:t>Dacă este necesar, în urma evaluării efectuate în temeiul prezentul</w:t>
            </w:r>
            <w:r>
              <w:t>ui regulament a planurilor bugetar-structurale pe termen mediu, a rapoartelor anuale privind progresele înregistrate și a situației socioeconomice a statelor membre în cauză, Consiliul, pe baza recomandărilor Comisiei, adresează recomandări statelor membre</w:t>
            </w:r>
            <w:r>
              <w:t xml:space="preserve"> care utilizează pe deplin </w:t>
            </w:r>
            <w:r>
              <w:rPr>
                <w:b/>
                <w:i/>
              </w:rPr>
              <w:t xml:space="preserve">Pilonul european al drepturilor sociale și </w:t>
            </w:r>
            <w:r>
              <w:t>instrumentele juridice prevăzute la articolele 121 și 148 din TFUE și în legislația secundară conexă.</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15</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Articolul 4 – alineatul 3 – litera ba (nouă)</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tcPr>
          <w:p w:rsidR="00AF0131" w:rsidRPr="003D6066" w:rsidRDefault="00AF0131" w:rsidP="00C33FBD">
            <w:pPr>
              <w:pStyle w:val="Normal6"/>
            </w:pPr>
          </w:p>
        </w:tc>
        <w:tc>
          <w:tcPr>
            <w:tcW w:w="4876" w:type="dxa"/>
            <w:hideMark/>
          </w:tcPr>
          <w:p w:rsidR="00AF0131" w:rsidRPr="003D6066" w:rsidRDefault="00147DFE" w:rsidP="00C33FBD">
            <w:pPr>
              <w:pStyle w:val="Normal6"/>
              <w:rPr>
                <w:szCs w:val="24"/>
              </w:rPr>
            </w:pPr>
            <w:r>
              <w:rPr>
                <w:b/>
                <w:i/>
              </w:rPr>
              <w:t>(ba)</w:t>
            </w:r>
            <w:r>
              <w:rPr>
                <w:b/>
                <w:i/>
              </w:rPr>
              <w:tab/>
              <w:t>o recomandare a Consiliului bazată pe o propunere a Comisiei în temeiul articolului 148 alineatul (4) din TFUE sau care reflectă rezu</w:t>
            </w:r>
            <w:r>
              <w:rPr>
                <w:b/>
                <w:i/>
              </w:rPr>
              <w:t>ltatele cadrului de convergență socială;</w:t>
            </w:r>
          </w:p>
        </w:tc>
      </w:tr>
    </w:tbl>
    <w:p w:rsidR="00AF0131" w:rsidRPr="003D6066" w:rsidRDefault="00147DFE" w:rsidP="00AF0131">
      <w:r>
        <w:rPr>
          <w:rStyle w:val="HideTWBExt"/>
        </w:rPr>
        <w:t>&lt;/Amend&gt;</w:t>
      </w:r>
    </w:p>
    <w:p w:rsidR="00AF0131" w:rsidRPr="003D6066" w:rsidRDefault="00147DFE" w:rsidP="00AF0131">
      <w:pPr>
        <w:pStyle w:val="AmNumberTabs"/>
      </w:pPr>
      <w:r>
        <w:rPr>
          <w:rStyle w:val="HideTWBExt"/>
          <w:b w:val="0"/>
        </w:rPr>
        <w:t>&lt;Amend&gt;</w:t>
      </w:r>
      <w:r>
        <w:t>Amendamentul</w:t>
      </w:r>
      <w:r>
        <w:tab/>
      </w:r>
      <w:r>
        <w:rPr>
          <w:rStyle w:val="HideTWBExt"/>
          <w:b w:val="0"/>
        </w:rPr>
        <w:t>&lt;NumAm&gt;</w:t>
      </w:r>
      <w:r>
        <w:t>16</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Articolul 7 – alineatul 1 – litera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(b)</w:t>
            </w:r>
            <w:r>
              <w:tab/>
              <w:t xml:space="preserve">previziunile și </w:t>
            </w:r>
            <w:r>
              <w:t>ipotezele sale macroeconomice;</w:t>
            </w:r>
          </w:p>
        </w:tc>
        <w:tc>
          <w:tcPr>
            <w:tcW w:w="4876" w:type="dxa"/>
            <w:hideMark/>
          </w:tcPr>
          <w:p w:rsidR="00AF0131" w:rsidRPr="003D6066" w:rsidRDefault="00147DFE" w:rsidP="00C33FBD">
            <w:pPr>
              <w:pStyle w:val="Normal6"/>
              <w:rPr>
                <w:szCs w:val="24"/>
              </w:rPr>
            </w:pPr>
            <w:r>
              <w:t>(b)</w:t>
            </w:r>
            <w:r>
              <w:tab/>
              <w:t xml:space="preserve">previziunile și ipotezele sale macroeconomice; </w:t>
            </w:r>
            <w:r>
              <w:rPr>
                <w:b/>
                <w:i/>
              </w:rPr>
              <w:t>previziunile și ipotezele sale de riscuri sociale;</w:t>
            </w:r>
          </w:p>
        </w:tc>
      </w:tr>
    </w:tbl>
    <w:p w:rsidR="00AF0131" w:rsidRPr="003D6066" w:rsidRDefault="00147DFE" w:rsidP="00AF0131">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17</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 xml:space="preserve">Articolul 11 – </w:t>
      </w:r>
      <w:r>
        <w:t>alineatul 1 – paragraful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 xml:space="preserve">Planul bugetar-structural național pe termen mediu trebuie să descrie, de asemenea, acțiunile întreprinse de statul membru în cauză pentru a da curs recomandărilor specifice </w:t>
            </w:r>
            <w:r>
              <w:t>fiecărei țări, inclusiv recomandărilor relevante pentru procedura privind dezechilibrele macroeconomice, precum și avertismentelor Comisiei, după caz, sau recomandărilor Consiliului, după caz, formulate în temeiul articolului 121 alineatul (4) din TFUE.</w:t>
            </w:r>
          </w:p>
        </w:tc>
        <w:tc>
          <w:tcPr>
            <w:tcW w:w="4876" w:type="dxa"/>
            <w:hideMark/>
          </w:tcPr>
          <w:p w:rsidR="00AF0131" w:rsidRPr="003D6066" w:rsidRDefault="00147DFE" w:rsidP="00C33FBD">
            <w:pPr>
              <w:pStyle w:val="Normal6"/>
              <w:rPr>
                <w:szCs w:val="24"/>
              </w:rPr>
            </w:pPr>
            <w:r>
              <w:t>Pl</w:t>
            </w:r>
            <w:r>
              <w:t>anul bugetar-structural național pe termen mediu trebuie să descrie, de asemenea, acțiunile întreprinse de statul membru în cauză pentru a da curs recomandărilor specifice fiecărei țări, inclusiv recomandărilor relevante pentru procedura privind dezechilib</w:t>
            </w:r>
            <w:r>
              <w:t xml:space="preserve">rele macroeconomice, </w:t>
            </w:r>
            <w:r>
              <w:rPr>
                <w:b/>
                <w:i/>
              </w:rPr>
              <w:t xml:space="preserve">problemelor identificate în rapoartele de țară și în rapoartele de convergență socială în cadrul de convergență socială, </w:t>
            </w:r>
            <w:r>
              <w:t>precum și avertismentelor Comisiei, după caz, sau recomandărilor Consiliului, după caz, formulate în temeiul artic</w:t>
            </w:r>
            <w:r>
              <w:t>olului 121 alineatul </w:t>
            </w:r>
            <w:r>
              <w:rPr>
                <w:b/>
                <w:i/>
              </w:rPr>
              <w:t xml:space="preserve">(4) din TFUE și al articolului 148 alineatul </w:t>
            </w:r>
            <w:r>
              <w:t>(4) din TFUE.</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18</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Articolul 12 – paragraful 1 – litera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 xml:space="preserve">Textul propus de </w:t>
            </w:r>
            <w:r>
              <w:t>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(b)</w:t>
            </w:r>
            <w:r>
              <w:tab/>
              <w:t>să explice modul în care va asigura realizarea de investiții și reforme ca răspuns la principalele provocări identificate în cadrul semestrului european, în recomandările specifice fiecărei țări, precum și, după caz, corectarea de</w:t>
            </w:r>
            <w:r>
              <w:t>zechilibrelor macroeconomice identificate în cadrul procedurii privind dezechilibrele macroeconomice, și va răspunde priorităților comune ale Uniunii, menționate în anexa VI la prezentul regulament, inclusiv Pactul verde european, Pilonul european al drept</w:t>
            </w:r>
            <w:r>
              <w:t>urilor sociale și deceniul digital, fiind, în același timp, coerent cu planurile naționale actualizate privind energia și clima și cu foile de parcurs naționale privind deceniul digital;</w:t>
            </w:r>
          </w:p>
        </w:tc>
        <w:tc>
          <w:tcPr>
            <w:tcW w:w="4876" w:type="dxa"/>
            <w:hideMark/>
          </w:tcPr>
          <w:p w:rsidR="00AF0131" w:rsidRPr="003D6066" w:rsidRDefault="00147DFE" w:rsidP="00C33FBD">
            <w:pPr>
              <w:pStyle w:val="Normal6"/>
              <w:rPr>
                <w:szCs w:val="24"/>
              </w:rPr>
            </w:pPr>
            <w:r>
              <w:t>(b)</w:t>
            </w:r>
            <w:r>
              <w:tab/>
            </w:r>
            <w:r>
              <w:rPr>
                <w:b/>
                <w:i/>
              </w:rPr>
              <w:t>să evalueze lacunele în materie de investiții publice naționale p</w:t>
            </w:r>
            <w:r>
              <w:rPr>
                <w:b/>
                <w:i/>
              </w:rPr>
              <w:t>entru a atinge prioritățile comune; pe această bază, Comisia prevede că ajustarea bugetară planificată permite investițiile sociale necesare pentru punerea în aplicare a principiilor Pilonului european al drepturilor sociale. În plus,</w:t>
            </w:r>
            <w:r>
              <w:t xml:space="preserve"> să explice modul în c</w:t>
            </w:r>
            <w:r>
              <w:t>are va asigura realizarea de investiții și reforme ca răspuns la principalele provocări identificate în cadrul semestrului european, în recomandările specifice fiecărei țări, precum și, după caz, corectarea dezechilibrelor macroeconomice identificate în ca</w:t>
            </w:r>
            <w:r>
              <w:t xml:space="preserve">drul procedurii privind dezechilibrele macroeconomice, </w:t>
            </w:r>
            <w:r>
              <w:rPr>
                <w:b/>
                <w:i/>
              </w:rPr>
              <w:t xml:space="preserve">va corecta riscurile la adresa convergenței sociale identificate în cadrul de convergență socială </w:t>
            </w:r>
            <w:r>
              <w:t>și va răspunde priorităților comune ale Uniunii, menționate în anexa VI la prezentul regulament, inclus</w:t>
            </w:r>
            <w:r>
              <w:t>iv Pactul verde european, Pilonul european al drepturilor sociale</w:t>
            </w:r>
            <w:r>
              <w:rPr>
                <w:b/>
                <w:i/>
              </w:rPr>
              <w:t>, inclusiv obiectivele conexe în domeniul muncii, al instruirii și reducerii sărăciei până în 2030</w:t>
            </w:r>
            <w:r>
              <w:t xml:space="preserve"> și deceniul digital, fiind, în același timp, coerent cu planurile naționale actualizate priv</w:t>
            </w:r>
            <w:r>
              <w:t>ind energia și clima și cu foile de parcurs naționale privind deceniul digital</w:t>
            </w:r>
            <w:r>
              <w:rPr>
                <w:b/>
                <w:i/>
              </w:rPr>
              <w:t>. În plus, explică modul în care va contribui la aplicarea orientărilor generale ale politicilor economice ale statelor membre și cu orientările privind ocuparea forței de muncă,</w:t>
            </w:r>
            <w:r>
              <w:rPr>
                <w:b/>
                <w:i/>
              </w:rPr>
              <w:t xml:space="preserve"> în conformitate cu articolul 121 alineatul (2) și cu articolul 148 alineatul (2) din TFUE</w:t>
            </w:r>
            <w:r>
              <w:t>;</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19</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Articolul 12 – paragraful 1 – litera da (nouă)</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tcPr>
          <w:p w:rsidR="00AF0131" w:rsidRPr="003D6066" w:rsidRDefault="00AF0131" w:rsidP="00C33FBD">
            <w:pPr>
              <w:pStyle w:val="Normal6"/>
            </w:pPr>
          </w:p>
        </w:tc>
        <w:tc>
          <w:tcPr>
            <w:tcW w:w="4876" w:type="dxa"/>
            <w:hideMark/>
          </w:tcPr>
          <w:p w:rsidR="00AF0131" w:rsidRPr="003D6066" w:rsidRDefault="00147DFE" w:rsidP="00C33FBD">
            <w:pPr>
              <w:pStyle w:val="Normal6"/>
              <w:rPr>
                <w:szCs w:val="24"/>
              </w:rPr>
            </w:pPr>
            <w:r>
              <w:rPr>
                <w:b/>
                <w:i/>
              </w:rPr>
              <w:t>(da)</w:t>
            </w:r>
            <w:r>
              <w:rPr>
                <w:b/>
                <w:i/>
              </w:rPr>
              <w:tab/>
              <w:t>să explice procesul de consultare, desfășurat în conformitate cu cadrul juridic național, a autorităților locale și regionale, a partenerilor sociali, a organizațiilor societății civile și a altor părți interesa</w:t>
            </w:r>
            <w:r>
              <w:rPr>
                <w:b/>
                <w:i/>
              </w:rPr>
              <w:t>te relevante, precum și modul în care contribuțiile părților interesate se reflectă în plan și în procesul de punere în aplicare; precum și</w:t>
            </w:r>
          </w:p>
        </w:tc>
      </w:tr>
    </w:tbl>
    <w:p w:rsidR="00AF0131" w:rsidRPr="003D6066" w:rsidRDefault="00147DFE" w:rsidP="00AF0131">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20</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Articolul 13</w:t>
      </w:r>
      <w:r>
        <w:t xml:space="preserve"> – alineatul 2 – paragraful 2 – punctul iv</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(iv)</w:t>
            </w:r>
            <w:r>
              <w:tab/>
              <w:t xml:space="preserve">să dea curs recomandărilor relevante specifice fiecărei țări adresate statului membru în cauză, inclusiv, după caz, </w:t>
            </w:r>
            <w:r>
              <w:rPr>
                <w:b/>
                <w:i/>
              </w:rPr>
              <w:t xml:space="preserve">recomandările emise </w:t>
            </w:r>
            <w:r>
              <w:t xml:space="preserve">în cadrul procedurii </w:t>
            </w:r>
            <w:r>
              <w:t>privind dezechilibrele macroeconomice;</w:t>
            </w:r>
          </w:p>
        </w:tc>
        <w:tc>
          <w:tcPr>
            <w:tcW w:w="4876" w:type="dxa"/>
            <w:hideMark/>
          </w:tcPr>
          <w:p w:rsidR="00AF0131" w:rsidRPr="003D6066" w:rsidRDefault="00147DFE" w:rsidP="00C33FBD">
            <w:pPr>
              <w:pStyle w:val="Normal6"/>
              <w:rPr>
                <w:szCs w:val="24"/>
              </w:rPr>
            </w:pPr>
            <w:r>
              <w:t>(iv)</w:t>
            </w:r>
            <w:r>
              <w:tab/>
              <w:t xml:space="preserve">să dea curs recomandărilor relevante specifice fiecărei țări adresate statului membru în cauză, </w:t>
            </w:r>
            <w:r>
              <w:rPr>
                <w:b/>
                <w:i/>
              </w:rPr>
              <w:t xml:space="preserve">recomandărilor emise în temeiul articolului 121 alineatul (4) și al articolului 148 alineatul (4) din TFUE, </w:t>
            </w:r>
            <w:r>
              <w:t>inclusiv</w:t>
            </w:r>
            <w:r>
              <w:t>, după caz, în cadrul procedurii privind dezechilibrele macroeconomice</w:t>
            </w:r>
            <w:r>
              <w:rPr>
                <w:b/>
                <w:i/>
              </w:rPr>
              <w:t xml:space="preserve"> și al cadrului de convergență socială</w:t>
            </w:r>
            <w:r>
              <w:t>;</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21</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Articolul 16 – paragraful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Consiliul, la recomandarea Comisiei, adoptă o recomandare prin care stabilește traiectoria cheltuielilor nete ale statului membru în cauză și, dacă este cazul, aprobă setul de angajamente în materie de reformă și de i</w:t>
            </w:r>
            <w:r>
              <w:t xml:space="preserve">nvestiții care stau la baza prelungirii perioadei de ajustare incluse în planul bugetar-structural național pe termen mediu, de regulă în termen de </w:t>
            </w:r>
            <w:r>
              <w:rPr>
                <w:b/>
                <w:i/>
              </w:rPr>
              <w:t>patru</w:t>
            </w:r>
            <w:r>
              <w:t xml:space="preserve"> săptămâni de la adoptarea recomandării Comisiei.</w:t>
            </w:r>
          </w:p>
        </w:tc>
        <w:tc>
          <w:tcPr>
            <w:tcW w:w="4876" w:type="dxa"/>
            <w:hideMark/>
          </w:tcPr>
          <w:p w:rsidR="00AF0131" w:rsidRPr="003D6066" w:rsidRDefault="00147DFE" w:rsidP="00C33FBD">
            <w:pPr>
              <w:pStyle w:val="Normal6"/>
              <w:rPr>
                <w:szCs w:val="24"/>
              </w:rPr>
            </w:pPr>
            <w:r>
              <w:t xml:space="preserve">Consiliul, la recomandarea Comisiei, </w:t>
            </w:r>
            <w:r>
              <w:rPr>
                <w:b/>
                <w:i/>
              </w:rPr>
              <w:t xml:space="preserve">și după consultarea comitetelor consultative implicate menționate la articolul 26, </w:t>
            </w:r>
            <w:r>
              <w:t xml:space="preserve">adoptă o recomandare prin care stabilește traiectoria cheltuielilor nete ale statului membru în cauză și, dacă este cazul, aprobă setul de angajamente în materie de reformă </w:t>
            </w:r>
            <w:r>
              <w:t xml:space="preserve">și de investiții care stau la baza prelungirii perioadei de ajustare incluse în planul bugetar-structural național pe termen mediu, de regulă în termen de </w:t>
            </w:r>
            <w:r>
              <w:rPr>
                <w:b/>
                <w:i/>
              </w:rPr>
              <w:t>șase-zece</w:t>
            </w:r>
            <w:r>
              <w:t xml:space="preserve"> săptămâni de la adoptarea recomandării Comisiei.</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22</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Articolul 17 – paragraful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 xml:space="preserve">În cazul în care consideră că planul nu respectă cerințele prevăzute la articolul 15 alineatul (2) și alineatul (3) </w:t>
            </w:r>
            <w:r>
              <w:rPr>
                <w:b/>
                <w:i/>
              </w:rPr>
              <w:t>litera</w:t>
            </w:r>
            <w:r>
              <w:t xml:space="preserve"> (a), Consiliul, la recomandarea Comisiei, recomandă statului membru în cauză să prezinte un plan bugetar-structural național pe terme</w:t>
            </w:r>
            <w:r>
              <w:t>n mediu revizuit.</w:t>
            </w:r>
          </w:p>
        </w:tc>
        <w:tc>
          <w:tcPr>
            <w:tcW w:w="4876" w:type="dxa"/>
            <w:hideMark/>
          </w:tcPr>
          <w:p w:rsidR="00AF0131" w:rsidRPr="003D6066" w:rsidRDefault="00147DFE" w:rsidP="00C33FBD">
            <w:pPr>
              <w:pStyle w:val="Normal6"/>
              <w:rPr>
                <w:szCs w:val="24"/>
              </w:rPr>
            </w:pPr>
            <w:r>
              <w:t xml:space="preserve">În cazul în care consideră că planul nu respectă cerințele prevăzute la articolul 15 alineatul (2) și alineatul (3) </w:t>
            </w:r>
            <w:r>
              <w:rPr>
                <w:b/>
                <w:i/>
              </w:rPr>
              <w:t>literele</w:t>
            </w:r>
            <w:r>
              <w:t xml:space="preserve"> (a</w:t>
            </w:r>
            <w:r>
              <w:rPr>
                <w:b/>
                <w:i/>
              </w:rPr>
              <w:t>) și (b</w:t>
            </w:r>
            <w:r>
              <w:t>), Consiliul, la recomandarea Comisiei</w:t>
            </w:r>
            <w:r>
              <w:rPr>
                <w:b/>
                <w:i/>
              </w:rPr>
              <w:t>, și după consultarea comitetelor consultative implicate identific</w:t>
            </w:r>
            <w:r>
              <w:rPr>
                <w:b/>
                <w:i/>
              </w:rPr>
              <w:t>ate conform articolului 26</w:t>
            </w:r>
            <w:r>
              <w:t>, recomandă statului membru în cauză să prezinte un plan bugetar-structural național pe termen mediu revizuit.</w:t>
            </w:r>
          </w:p>
        </w:tc>
      </w:tr>
    </w:tbl>
    <w:p w:rsidR="00AF0131" w:rsidRPr="003D6066" w:rsidRDefault="00147DFE" w:rsidP="00AF0131">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23</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 xml:space="preserve">Articolul 20 – </w:t>
      </w:r>
      <w:r>
        <w:t>alineatul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2.</w:t>
            </w:r>
            <w:r>
              <w:tab/>
              <w:t xml:space="preserve">Raportul anual privind progresele înregistrate menționat la alineatul (1) trebuie să conțină în special informații cu privire la progresele înregistrate în privința punerii în aplicare a </w:t>
            </w:r>
            <w:r>
              <w:t>traiectoriei cheltuielilor nete, a punerii în aplicare a angajamentelor mai ample în materie de reformă și de investiții în contextul semestrului european și, după caz, în privința punerii în aplicare a setului de angajamente în materie de reformă și de in</w:t>
            </w:r>
            <w:r>
              <w:t>vestiții care stau la baza prelungirii perioadei de ajustare.</w:t>
            </w:r>
          </w:p>
        </w:tc>
        <w:tc>
          <w:tcPr>
            <w:tcW w:w="4876" w:type="dxa"/>
            <w:hideMark/>
          </w:tcPr>
          <w:p w:rsidR="00AF0131" w:rsidRPr="003D6066" w:rsidRDefault="00147DFE" w:rsidP="00C33FBD">
            <w:pPr>
              <w:pStyle w:val="Normal6"/>
              <w:rPr>
                <w:szCs w:val="24"/>
              </w:rPr>
            </w:pPr>
            <w:r>
              <w:t>2.</w:t>
            </w:r>
            <w:r>
              <w:tab/>
              <w:t>Raportul anual privind progresele înregistrate menționat la alineatul (1) trebuie să conțină în special informații cu privire la progresele înregistrate în privința punerii în aplicare a trai</w:t>
            </w:r>
            <w:r>
              <w:t>ectoriei cheltuielilor nete, a punerii în aplicare a angajamentelor mai ample în materie de reformă și de investiții în contextul semestrului european</w:t>
            </w:r>
            <w:r>
              <w:rPr>
                <w:b/>
                <w:i/>
              </w:rPr>
              <w:t>, inclusiv progresele înregistrate la obiectivele europene și naționale în domeniul muncii, al formării și</w:t>
            </w:r>
            <w:r>
              <w:rPr>
                <w:b/>
                <w:i/>
              </w:rPr>
              <w:t xml:space="preserve"> al reducerii sărăciei până în 2030, precum și progresele înregistrate în realizarea priorităților comune ale Uniunii enumerate în anexa VI</w:t>
            </w:r>
            <w:r>
              <w:t xml:space="preserve"> și, după caz, în privința punerii în aplicare a setului de angajamente în materie de reformă și de investiții care s</w:t>
            </w:r>
            <w:r>
              <w:t>tau la baza prelungirii perioadei de ajustare.</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24</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Articolul 22 – paragraful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 xml:space="preserve">Fiecare instituție </w:t>
            </w:r>
            <w:r>
              <w:t>fiscal-bugetară independentă națională menționată la articolul 8 din Directiva [...]32 a Consiliului [privind cadrele bugetare naționale] furnizează o evaluare a conformității cu traiectoria cheltuielilor nete a datelor privind rezultatele bugetare prezent</w:t>
            </w:r>
            <w:r>
              <w:t>ate în raportul privind progresele înregistrate menționat la articolul 20. După caz, fiecare instituție fiscal-bugetară independentă națională analizează, de asemenea, factorii care stau la baza unei abateri de la traiectoria cheltuielilor nete</w:t>
            </w:r>
            <w:r>
              <w:rPr>
                <w:b/>
                <w:i/>
              </w:rPr>
              <w:t>.</w:t>
            </w:r>
          </w:p>
        </w:tc>
        <w:tc>
          <w:tcPr>
            <w:tcW w:w="4876" w:type="dxa"/>
            <w:hideMark/>
          </w:tcPr>
          <w:p w:rsidR="00AF0131" w:rsidRPr="003D6066" w:rsidRDefault="00147DFE" w:rsidP="00C33FBD">
            <w:pPr>
              <w:pStyle w:val="Normal6"/>
              <w:rPr>
                <w:szCs w:val="24"/>
              </w:rPr>
            </w:pPr>
            <w:r>
              <w:t>Fiecare in</w:t>
            </w:r>
            <w:r>
              <w:t>stituție fiscal-bugetară independentă națională menționată la articolul 8 din Directiva [...]32 a Consiliului [privind cadrele bugetare naționale]</w:t>
            </w:r>
            <w:r>
              <w:rPr>
                <w:b/>
                <w:i/>
              </w:rPr>
              <w:t>:</w:t>
            </w:r>
          </w:p>
        </w:tc>
      </w:tr>
      <w:tr w:rsidR="003B0D2A" w:rsidTr="00C33FBD">
        <w:trPr>
          <w:jc w:val="center"/>
        </w:trPr>
        <w:tc>
          <w:tcPr>
            <w:tcW w:w="4876" w:type="dxa"/>
          </w:tcPr>
          <w:p w:rsidR="00AF0131" w:rsidRPr="003D6066" w:rsidRDefault="00AF0131" w:rsidP="00C33FBD">
            <w:pPr>
              <w:pStyle w:val="Normal6"/>
            </w:pPr>
          </w:p>
        </w:tc>
        <w:tc>
          <w:tcPr>
            <w:tcW w:w="4876" w:type="dxa"/>
            <w:hideMark/>
          </w:tcPr>
          <w:p w:rsidR="00AF0131" w:rsidRPr="003D6066" w:rsidRDefault="00147DFE" w:rsidP="00C33FBD">
            <w:pPr>
              <w:pStyle w:val="Normal6"/>
              <w:rPr>
                <w:szCs w:val="24"/>
              </w:rPr>
            </w:pPr>
            <w:r>
              <w:rPr>
                <w:b/>
                <w:i/>
              </w:rPr>
              <w:t>(a)</w:t>
            </w:r>
            <w:r>
              <w:t xml:space="preserve"> </w:t>
            </w:r>
            <w:r>
              <w:tab/>
              <w:t>furnizează o evaluare a conformității cu traiectoria cheltuielilor nete a datelor privind rezultatele</w:t>
            </w:r>
            <w:r>
              <w:t xml:space="preserve"> bugetare prezentate în raportul privind progresele înregistrate menționat la articolul 20 din prezentul regulament;</w:t>
            </w:r>
          </w:p>
        </w:tc>
      </w:tr>
      <w:tr w:rsidR="003B0D2A" w:rsidTr="00C33FBD">
        <w:trPr>
          <w:jc w:val="center"/>
        </w:trPr>
        <w:tc>
          <w:tcPr>
            <w:tcW w:w="4876" w:type="dxa"/>
          </w:tcPr>
          <w:p w:rsidR="00AF0131" w:rsidRPr="003D6066" w:rsidRDefault="00AF0131" w:rsidP="00C33FBD">
            <w:pPr>
              <w:pStyle w:val="Normal6"/>
            </w:pPr>
          </w:p>
        </w:tc>
        <w:tc>
          <w:tcPr>
            <w:tcW w:w="4876" w:type="dxa"/>
            <w:hideMark/>
          </w:tcPr>
          <w:p w:rsidR="00AF0131" w:rsidRPr="003D6066" w:rsidRDefault="00147DFE" w:rsidP="00C33FBD">
            <w:pPr>
              <w:pStyle w:val="Normal6"/>
              <w:rPr>
                <w:szCs w:val="24"/>
              </w:rPr>
            </w:pPr>
            <w:r>
              <w:rPr>
                <w:b/>
                <w:i/>
              </w:rPr>
              <w:t>(b)</w:t>
            </w:r>
            <w:r>
              <w:t xml:space="preserve"> </w:t>
            </w:r>
            <w:r>
              <w:tab/>
              <w:t>după caz, analizează, de asemenea, factorii care stau la baza unei abateri de la traiectoria cheltuielilor nete;</w:t>
            </w:r>
          </w:p>
        </w:tc>
      </w:tr>
      <w:tr w:rsidR="003B0D2A" w:rsidTr="00C33FBD">
        <w:trPr>
          <w:jc w:val="center"/>
        </w:trPr>
        <w:tc>
          <w:tcPr>
            <w:tcW w:w="4876" w:type="dxa"/>
          </w:tcPr>
          <w:p w:rsidR="00AF0131" w:rsidRPr="003D6066" w:rsidRDefault="00AF0131" w:rsidP="00C33FBD">
            <w:pPr>
              <w:pStyle w:val="Normal6"/>
            </w:pPr>
          </w:p>
        </w:tc>
        <w:tc>
          <w:tcPr>
            <w:tcW w:w="4876" w:type="dxa"/>
            <w:hideMark/>
          </w:tcPr>
          <w:p w:rsidR="00AF0131" w:rsidRPr="003D6066" w:rsidRDefault="00147DFE" w:rsidP="00C33FBD">
            <w:pPr>
              <w:pStyle w:val="Normal6"/>
              <w:rPr>
                <w:szCs w:val="24"/>
              </w:rPr>
            </w:pPr>
            <w:r>
              <w:rPr>
                <w:b/>
                <w:i/>
              </w:rPr>
              <w:t xml:space="preserve">(c) </w:t>
            </w:r>
            <w:r>
              <w:tab/>
            </w:r>
            <w:r>
              <w:rPr>
                <w:b/>
                <w:i/>
              </w:rPr>
              <w:t>furnizează o</w:t>
            </w:r>
            <w:r>
              <w:rPr>
                <w:b/>
                <w:i/>
              </w:rPr>
              <w:t xml:space="preserve"> evaluare a impactului social al opțiunilor de politică de ajustare bugetară.</w:t>
            </w:r>
          </w:p>
        </w:tc>
      </w:tr>
      <w:tr w:rsidR="003B0D2A" w:rsidTr="00C33FBD">
        <w:trPr>
          <w:jc w:val="center"/>
        </w:trPr>
        <w:tc>
          <w:tcPr>
            <w:tcW w:w="4876" w:type="dxa"/>
            <w:hideMark/>
          </w:tcPr>
          <w:p w:rsidR="00AF0131" w:rsidRPr="003D6066" w:rsidRDefault="00147DFE" w:rsidP="00C33FBD">
            <w:pPr>
              <w:pStyle w:val="Normal6"/>
            </w:pPr>
            <w:r>
              <w:t>__________________</w:t>
            </w:r>
          </w:p>
        </w:tc>
        <w:tc>
          <w:tcPr>
            <w:tcW w:w="4876" w:type="dxa"/>
            <w:hideMark/>
          </w:tcPr>
          <w:p w:rsidR="00AF0131" w:rsidRPr="003D6066" w:rsidRDefault="00147DFE" w:rsidP="00C33FBD">
            <w:pPr>
              <w:pStyle w:val="Normal6"/>
              <w:rPr>
                <w:szCs w:val="24"/>
              </w:rPr>
            </w:pPr>
            <w:r>
              <w:t>__________________</w:t>
            </w:r>
          </w:p>
        </w:tc>
      </w:tr>
      <w:tr w:rsidR="003B0D2A" w:rsidTr="00C33FBD">
        <w:trPr>
          <w:jc w:val="center"/>
        </w:trPr>
        <w:tc>
          <w:tcPr>
            <w:tcW w:w="4876" w:type="dxa"/>
            <w:hideMark/>
          </w:tcPr>
          <w:p w:rsidR="00AF0131" w:rsidRPr="003D6066" w:rsidRDefault="00147DFE" w:rsidP="00C33FBD">
            <w:pPr>
              <w:pStyle w:val="Normal6"/>
            </w:pPr>
            <w:r>
              <w:rPr>
                <w:vertAlign w:val="superscript"/>
              </w:rPr>
              <w:t>32</w:t>
            </w:r>
            <w:r>
              <w:t xml:space="preserve"> Directiva [...] a Consiliului din [...] [de modificare a Directivei 2011/85/UE a Consiliului privind cerințele referitoare la cadrele b</w:t>
            </w:r>
            <w:r>
              <w:t>ugetare ale statelor membre] (JO L...,..., p....).</w:t>
            </w:r>
          </w:p>
        </w:tc>
        <w:tc>
          <w:tcPr>
            <w:tcW w:w="4876" w:type="dxa"/>
            <w:hideMark/>
          </w:tcPr>
          <w:p w:rsidR="00AF0131" w:rsidRPr="003D6066" w:rsidRDefault="00147DFE" w:rsidP="00C33FBD">
            <w:pPr>
              <w:pStyle w:val="Normal6"/>
              <w:rPr>
                <w:szCs w:val="24"/>
              </w:rPr>
            </w:pPr>
            <w:r>
              <w:rPr>
                <w:vertAlign w:val="superscript"/>
              </w:rPr>
              <w:t>32</w:t>
            </w:r>
            <w:r>
              <w:t xml:space="preserve"> Directiva [...] a Consiliului din [...] [de modificare a Directivei 2011/85/UE a Consiliului privind cerințele referitoare la cadrele bugetare ale statelor membre] (JO L...,..., p....).</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w:t>
      </w:r>
      <w:r>
        <w:rPr>
          <w:rStyle w:val="HideTWBExt"/>
          <w:b w:val="0"/>
        </w:rPr>
        <w:t>&gt;</w:t>
      </w:r>
      <w:r>
        <w:t>Amendamentul</w:t>
      </w:r>
      <w:r>
        <w:tab/>
      </w:r>
      <w:r>
        <w:tab/>
      </w:r>
      <w:r>
        <w:rPr>
          <w:rStyle w:val="HideTWBExt"/>
          <w:b w:val="0"/>
        </w:rPr>
        <w:t>&lt;NumAm&gt;</w:t>
      </w:r>
      <w:r>
        <w:t>25</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Articolul 26 – paragraful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 xml:space="preserve">Parlamentul European trebuie să fie implicat pe deplin în derularea semestrului european </w:t>
            </w:r>
            <w:r>
              <w:t>pentru a spori transparența, asumarea și responsabilitatea pentru deciziile luate, în special prin intermediul unui dialog economic. Comitetul economic și financiar, Comitetul pentru politici economice, Comitetul pentru ocuparea forței de muncă și Comitetu</w:t>
            </w:r>
            <w:r>
              <w:t>l pentru protecție socială trebuie să fie consultate în cadrul semestrului european, atunci când este nevoie. Părțile interesate relevante, îndeosebi partenerii sociali, trebuie să fie implicate în cadrul semestrului european cu privire la principalele ele</w:t>
            </w:r>
            <w:r>
              <w:t>mente de politică, după caz, în conformitate cu dispozițiile TFUE și dispozițiile juridice și politice naționale.</w:t>
            </w:r>
          </w:p>
        </w:tc>
        <w:tc>
          <w:tcPr>
            <w:tcW w:w="4876" w:type="dxa"/>
            <w:hideMark/>
          </w:tcPr>
          <w:p w:rsidR="00AF0131" w:rsidRPr="003D6066" w:rsidRDefault="00147DFE" w:rsidP="00C33FBD">
            <w:pPr>
              <w:pStyle w:val="Normal6"/>
              <w:rPr>
                <w:szCs w:val="24"/>
              </w:rPr>
            </w:pPr>
            <w:r>
              <w:t>Parlamentul European trebuie să fie implicat pe deplin în derularea semestrului european pentru a spori transparența, asumarea și responsabili</w:t>
            </w:r>
            <w:r>
              <w:t>tatea pentru deciziile luate, în special prin intermediul unui dialog economic</w:t>
            </w:r>
            <w:r>
              <w:rPr>
                <w:b/>
                <w:i/>
              </w:rPr>
              <w:t xml:space="preserve"> și în domeniul muncii, dar și pentru stabilirea priorităților de politică macroeconomică și socială</w:t>
            </w:r>
            <w:r>
              <w:t>. Comitetul economic și financiar, Comitetul pentru politici economice, Comite</w:t>
            </w:r>
            <w:r>
              <w:t xml:space="preserve">tul pentru ocuparea forței de muncă și Comitetul pentru protecție socială trebuie să fie consultate în cadrul semestrului european, atunci când este nevoie. </w:t>
            </w:r>
            <w:r>
              <w:rPr>
                <w:b/>
                <w:i/>
              </w:rPr>
              <w:t>Comitetul Economic și Social European și Comitetul Regiunilor sunt, de asemenea, consultate în cadr</w:t>
            </w:r>
            <w:r>
              <w:rPr>
                <w:b/>
                <w:i/>
              </w:rPr>
              <w:t>ul semestrului european, după caz.</w:t>
            </w:r>
            <w:r>
              <w:t xml:space="preserve"> Părțile interesate relevante, îndeosebi partenerii sociali</w:t>
            </w:r>
            <w:r>
              <w:rPr>
                <w:b/>
                <w:i/>
              </w:rPr>
              <w:t xml:space="preserve"> și organizațiile societății civile</w:t>
            </w:r>
            <w:r>
              <w:t>, trebuie să fie implicate în cadrul semestrului european cu privire la principalele elemente de politică, după caz, în conformi</w:t>
            </w:r>
            <w:r>
              <w:t>tate cu dispozițiile TFUE și dispozițiile juridice și politice naționale.</w:t>
            </w:r>
          </w:p>
        </w:tc>
      </w:tr>
    </w:tbl>
    <w:p w:rsidR="00AF0131" w:rsidRPr="003D6066" w:rsidRDefault="00147DFE" w:rsidP="00C56375">
      <w:pPr>
        <w:rPr>
          <w:rFonts w:eastAsiaTheme="majorEastAsia"/>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26</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Articolul 26 – paragraful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Pentru a consolida dialogul între instituțiile Uniunii, în special între Parlamentul European, Consiliu și Comisie, și pentru a asigura transparența și asumarea răspunderii, Parlamentul European poate invita președintele Consiliului, Comisia și, după caz,</w:t>
            </w:r>
            <w:r>
              <w:t xml:space="preserve"> președintele Consiliului European sau Președintele Eurogrupului să se prezinte în fața sa pentru a discuta orientările de politică pentru statele membre, adoptate de Comisie, concluziile formulate de Consiliul European și rezultatele supravegherii multila</w:t>
            </w:r>
            <w:r>
              <w:t>terale efectuate în temeiul prezentului regulament.</w:t>
            </w:r>
          </w:p>
        </w:tc>
        <w:tc>
          <w:tcPr>
            <w:tcW w:w="4876" w:type="dxa"/>
            <w:hideMark/>
          </w:tcPr>
          <w:p w:rsidR="00AF0131" w:rsidRPr="003D6066" w:rsidRDefault="00147DFE" w:rsidP="00C33FBD">
            <w:pPr>
              <w:pStyle w:val="Normal6"/>
              <w:rPr>
                <w:szCs w:val="24"/>
              </w:rPr>
            </w:pPr>
            <w:r>
              <w:t>Pentru a consolida dialogul între instituțiile Uniunii, în special între Parlamentul European, Consiliu și Comisie, și pentru a asigura transparența și asumarea răspunderii, Parlamentul European poate inv</w:t>
            </w:r>
            <w:r>
              <w:t>ita președintele Consiliului, Comisia și, după caz, președintele Consiliului European sau Președintele Eurogrupului să se prezinte în fața sa pentru a discuta orientările de politică pentru statele membre, adoptate de Comisie, concluziile formulate de Cons</w:t>
            </w:r>
            <w:r>
              <w:t>iliul European și rezultatele supravegherii multilaterale efectuate în temeiul prezentului regulament</w:t>
            </w:r>
            <w:r>
              <w:rPr>
                <w:b/>
                <w:i/>
              </w:rPr>
              <w:t>, inclusiv sisteme de alertă timpurie, după cum se prevede la articolul 121 alineatul (4) și la articolul 148 din TFUE</w:t>
            </w:r>
            <w:r>
              <w:t>.</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w:t>
      </w:r>
      <w:r>
        <w:rPr>
          <w:rStyle w:val="HideTWBExt"/>
          <w:b w:val="0"/>
        </w:rPr>
        <w:t>Am&gt;</w:t>
      </w:r>
      <w:r>
        <w:t>27</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Articolul 26 – paragraful 3 a (nou)</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tcPr>
          <w:p w:rsidR="00AF0131" w:rsidRPr="003D6066" w:rsidRDefault="00AF0131" w:rsidP="00C33FBD">
            <w:pPr>
              <w:pStyle w:val="Normal6"/>
            </w:pPr>
          </w:p>
        </w:tc>
        <w:tc>
          <w:tcPr>
            <w:tcW w:w="4876" w:type="dxa"/>
            <w:hideMark/>
          </w:tcPr>
          <w:p w:rsidR="00AF0131" w:rsidRPr="003D6066" w:rsidRDefault="00147DFE" w:rsidP="00C33FBD">
            <w:pPr>
              <w:pStyle w:val="Normal6"/>
              <w:rPr>
                <w:szCs w:val="24"/>
              </w:rPr>
            </w:pPr>
            <w:r>
              <w:rPr>
                <w:b/>
                <w:i/>
              </w:rPr>
              <w:t xml:space="preserve">Comisiile competente ale Parlamentului European pot invita Comisia să discute următoarele </w:t>
            </w:r>
            <w:r>
              <w:rPr>
                <w:b/>
                <w:i/>
              </w:rPr>
              <w:t>chestiuni:</w:t>
            </w:r>
          </w:p>
        </w:tc>
      </w:tr>
      <w:tr w:rsidR="003B0D2A" w:rsidTr="00C33FBD">
        <w:trPr>
          <w:jc w:val="center"/>
        </w:trPr>
        <w:tc>
          <w:tcPr>
            <w:tcW w:w="4876" w:type="dxa"/>
          </w:tcPr>
          <w:p w:rsidR="00AF0131" w:rsidRPr="003D6066" w:rsidRDefault="00AF0131" w:rsidP="00C33FBD">
            <w:pPr>
              <w:pStyle w:val="Normal6"/>
            </w:pPr>
          </w:p>
        </w:tc>
        <w:tc>
          <w:tcPr>
            <w:tcW w:w="4876" w:type="dxa"/>
            <w:hideMark/>
          </w:tcPr>
          <w:p w:rsidR="00AF0131" w:rsidRPr="003D6066" w:rsidRDefault="00147DFE" w:rsidP="00C33FBD">
            <w:pPr>
              <w:pStyle w:val="Normal6"/>
              <w:rPr>
                <w:szCs w:val="24"/>
              </w:rPr>
            </w:pPr>
            <w:r>
              <w:rPr>
                <w:b/>
                <w:i/>
              </w:rPr>
              <w:t>(a)</w:t>
            </w:r>
            <w:r>
              <w:rPr>
                <w:b/>
                <w:i/>
              </w:rPr>
              <w:tab/>
              <w:t>evaluarea previziunilor Comisiei privind datoria publică pe termen mediu a planurilor bugetare structurale naționale pe termen mediu, precum și analiza sustenabilității datoriei;</w:t>
            </w:r>
          </w:p>
        </w:tc>
      </w:tr>
      <w:tr w:rsidR="003B0D2A" w:rsidTr="00C33FBD">
        <w:trPr>
          <w:jc w:val="center"/>
        </w:trPr>
        <w:tc>
          <w:tcPr>
            <w:tcW w:w="4876" w:type="dxa"/>
          </w:tcPr>
          <w:p w:rsidR="00AF0131" w:rsidRPr="003D6066" w:rsidRDefault="00AF0131" w:rsidP="00C33FBD">
            <w:pPr>
              <w:pStyle w:val="Normal6"/>
            </w:pPr>
          </w:p>
        </w:tc>
        <w:tc>
          <w:tcPr>
            <w:tcW w:w="4876" w:type="dxa"/>
            <w:hideMark/>
          </w:tcPr>
          <w:p w:rsidR="00AF0131" w:rsidRPr="003D6066" w:rsidRDefault="00147DFE" w:rsidP="00C33FBD">
            <w:pPr>
              <w:pStyle w:val="Normal6"/>
              <w:rPr>
                <w:szCs w:val="24"/>
              </w:rPr>
            </w:pPr>
            <w:r>
              <w:rPr>
                <w:b/>
                <w:i/>
              </w:rPr>
              <w:t>(b)</w:t>
            </w:r>
            <w:r>
              <w:rPr>
                <w:b/>
                <w:i/>
              </w:rPr>
              <w:tab/>
              <w:t xml:space="preserve"> evaluarea informațiilor care trebuie furnizate de </w:t>
            </w:r>
            <w:r>
              <w:rPr>
                <w:b/>
                <w:i/>
              </w:rPr>
              <w:t>statele membre în rapoartele anuale privind progresele înregistrate;</w:t>
            </w:r>
          </w:p>
        </w:tc>
      </w:tr>
      <w:tr w:rsidR="003B0D2A" w:rsidTr="00C33FBD">
        <w:trPr>
          <w:jc w:val="center"/>
        </w:trPr>
        <w:tc>
          <w:tcPr>
            <w:tcW w:w="4876" w:type="dxa"/>
          </w:tcPr>
          <w:p w:rsidR="00AF0131" w:rsidRPr="003D6066" w:rsidRDefault="00AF0131" w:rsidP="00C33FBD">
            <w:pPr>
              <w:pStyle w:val="Normal6"/>
            </w:pPr>
          </w:p>
        </w:tc>
        <w:tc>
          <w:tcPr>
            <w:tcW w:w="4876" w:type="dxa"/>
            <w:hideMark/>
          </w:tcPr>
          <w:p w:rsidR="00AF0131" w:rsidRPr="003D6066" w:rsidRDefault="00147DFE" w:rsidP="00C33FBD">
            <w:pPr>
              <w:pStyle w:val="Normal6"/>
              <w:rPr>
                <w:szCs w:val="24"/>
              </w:rPr>
            </w:pPr>
            <w:r>
              <w:rPr>
                <w:b/>
                <w:i/>
              </w:rPr>
              <w:t>(c)</w:t>
            </w:r>
            <w:r>
              <w:rPr>
                <w:b/>
                <w:i/>
              </w:rPr>
              <w:tab/>
              <w:t>evaluarea setului de angajamente în materie de reformă și de investiții care stau la baza prelungirii perioadei de ajustare;</w:t>
            </w:r>
          </w:p>
        </w:tc>
      </w:tr>
      <w:tr w:rsidR="003B0D2A" w:rsidTr="00C33FBD">
        <w:trPr>
          <w:jc w:val="center"/>
        </w:trPr>
        <w:tc>
          <w:tcPr>
            <w:tcW w:w="4876" w:type="dxa"/>
          </w:tcPr>
          <w:p w:rsidR="00AF0131" w:rsidRPr="003D6066" w:rsidRDefault="00AF0131" w:rsidP="00C33FBD">
            <w:pPr>
              <w:pStyle w:val="Normal6"/>
            </w:pPr>
          </w:p>
        </w:tc>
        <w:tc>
          <w:tcPr>
            <w:tcW w:w="4876" w:type="dxa"/>
            <w:hideMark/>
          </w:tcPr>
          <w:p w:rsidR="00AF0131" w:rsidRPr="003D6066" w:rsidRDefault="00147DFE" w:rsidP="00C33FBD">
            <w:pPr>
              <w:pStyle w:val="Normal6"/>
              <w:rPr>
                <w:szCs w:val="24"/>
              </w:rPr>
            </w:pPr>
            <w:r>
              <w:rPr>
                <w:b/>
                <w:i/>
              </w:rPr>
              <w:t>(d) evaluarea recomandărilor specifice fiecărei țări ș</w:t>
            </w:r>
            <w:r>
              <w:rPr>
                <w:b/>
                <w:i/>
              </w:rPr>
              <w:t>i a riscurilor de convergență socială, progresele înregistrate în punerea în aplicare a principiilor Pilonului european al drepturilor sociale.</w:t>
            </w:r>
          </w:p>
        </w:tc>
      </w:tr>
    </w:tbl>
    <w:p w:rsidR="00AF0131" w:rsidRPr="003D6066" w:rsidRDefault="00147DFE" w:rsidP="00C56375">
      <w:pPr>
        <w:rPr>
          <w:rStyle w:val="HideTWBExt"/>
          <w:rFonts w:eastAsiaTheme="majorEastAsia"/>
          <w:b/>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28</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Anexa II</w:t>
      </w:r>
      <w:r>
        <w:t xml:space="preserve"> – paragraful 1 – litera d</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(d)</w:t>
            </w:r>
            <w:r>
              <w:tab/>
              <w:t xml:space="preserve">informații privind datoriile implicite </w:t>
            </w:r>
            <w:r>
              <w:rPr>
                <w:b/>
                <w:i/>
              </w:rPr>
              <w:t xml:space="preserve">legate de îmbătrânirea populației </w:t>
            </w:r>
            <w:r>
              <w:t>și</w:t>
            </w:r>
            <w:r>
              <w:rPr>
                <w:b/>
                <w:i/>
              </w:rPr>
              <w:t xml:space="preserve"> datoriile</w:t>
            </w:r>
            <w:r>
              <w:t xml:space="preserve"> contingente cu impact potențial major asupra bugetelor publice, inclusiv informații cu privire la garanțiile de stat, creditele neperformante și pasivele care rezultă din funcționarea societăților publice, în special cuantumul acestora, cheltuielile și ob</w:t>
            </w:r>
            <w:r>
              <w:t>ligațiile potențiale care decurg din acțiunile în instanță și, în măsura posibilului, informații privind datoriile contingente legate de catastrofe naturale și de climă;</w:t>
            </w:r>
          </w:p>
        </w:tc>
        <w:tc>
          <w:tcPr>
            <w:tcW w:w="4876" w:type="dxa"/>
            <w:hideMark/>
          </w:tcPr>
          <w:p w:rsidR="00AF0131" w:rsidRPr="003D6066" w:rsidRDefault="00147DFE" w:rsidP="00C33FBD">
            <w:pPr>
              <w:pStyle w:val="Normal6"/>
              <w:rPr>
                <w:szCs w:val="24"/>
              </w:rPr>
            </w:pPr>
            <w:r>
              <w:t>(d)</w:t>
            </w:r>
            <w:r>
              <w:tab/>
              <w:t>informații privind datoriile implicite și contingente cu impact potențial major as</w:t>
            </w:r>
            <w:r>
              <w:t>upra bugetelor publice, inclusiv informații cu privire la garanțiile de stat, creditele neperformante și pasivele care rezultă din funcționarea societăților publice, în special cuantumul acestora, cheltuielile și obligațiile potențiale care decurg din acți</w:t>
            </w:r>
            <w:r>
              <w:t>unile în instanță și, în măsura posibilului, informații privind datoriile contingente legate de catastrofe naturale și de climă;</w:t>
            </w:r>
          </w:p>
        </w:tc>
      </w:tr>
    </w:tbl>
    <w:p w:rsidR="00AF0131" w:rsidRPr="003D6066" w:rsidRDefault="00147DFE" w:rsidP="00AF0131">
      <w:pPr>
        <w:pStyle w:val="AMNumberTabs0"/>
        <w:keepNext/>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29</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Anexa II – paragraful 1</w:t>
      </w:r>
      <w:r>
        <w:t xml:space="preserve"> – litera f</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(f)</w:t>
            </w:r>
            <w:r>
              <w:tab/>
              <w:t>în cazul în care statul membru utilizează ipoteze menționate la litera (e) care diferă de ipotezele Comisiei pe parcursul perioadei de ajustare a planului bugetar-structural național pe ter</w:t>
            </w:r>
            <w:r>
              <w:t>men mediu și al perioadei ulterioare de 10 ani în absența unor măsuri bugetare suplimentare, explicații și justificări corespunzătoare ale acestor diferențe, bazate pe argumente economice solide;</w:t>
            </w:r>
          </w:p>
        </w:tc>
        <w:tc>
          <w:tcPr>
            <w:tcW w:w="4876" w:type="dxa"/>
            <w:hideMark/>
          </w:tcPr>
          <w:p w:rsidR="00AF0131" w:rsidRPr="003D6066" w:rsidRDefault="00147DFE" w:rsidP="00C33FBD">
            <w:pPr>
              <w:pStyle w:val="Normal6"/>
              <w:rPr>
                <w:szCs w:val="24"/>
              </w:rPr>
            </w:pPr>
            <w:r>
              <w:t>(f)</w:t>
            </w:r>
            <w:r>
              <w:tab/>
              <w:t>în cazul în care statul membru utilizează ipoteze mențio</w:t>
            </w:r>
            <w:r>
              <w:t>nate la litera (e) care diferă de ipotezele Comisiei pe parcursul perioadei de ajustare a planului bugetar-structural național pe termen mediu și al perioadei ulterioare de 10 ani în absența unor măsuri bugetare suplimentare, explicații și justificări core</w:t>
            </w:r>
            <w:r>
              <w:t xml:space="preserve">spunzătoare ale acestor diferențe, bazate pe argumente economice </w:t>
            </w:r>
            <w:r>
              <w:rPr>
                <w:b/>
                <w:i/>
              </w:rPr>
              <w:t xml:space="preserve">și sociale </w:t>
            </w:r>
            <w:r>
              <w:t>solide;</w:t>
            </w:r>
          </w:p>
        </w:tc>
      </w:tr>
    </w:tbl>
    <w:p w:rsidR="00AF0131" w:rsidRPr="003D6066" w:rsidRDefault="00147DFE" w:rsidP="00AF0131">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30</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Anexa II – paragraful 1 – litera g</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 xml:space="preserve">Textul propus de </w:t>
            </w:r>
            <w:r>
              <w:t>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(g)</w:t>
            </w:r>
            <w:r>
              <w:tab/>
              <w:t>o analiză a modului în care schimbările principalelor ipoteze economice pot afecta situația bugetară și nivelul de îndatorare al statului membru;</w:t>
            </w:r>
          </w:p>
        </w:tc>
        <w:tc>
          <w:tcPr>
            <w:tcW w:w="4876" w:type="dxa"/>
            <w:hideMark/>
          </w:tcPr>
          <w:p w:rsidR="00AF0131" w:rsidRPr="003D6066" w:rsidRDefault="00147DFE" w:rsidP="00C33FBD">
            <w:pPr>
              <w:pStyle w:val="Normal6"/>
              <w:rPr>
                <w:szCs w:val="24"/>
              </w:rPr>
            </w:pPr>
            <w:r>
              <w:t>(g)</w:t>
            </w:r>
            <w:r>
              <w:tab/>
              <w:t xml:space="preserve">o analiză a modului în care schimbările principalelor ipoteze economice </w:t>
            </w:r>
            <w:r>
              <w:rPr>
                <w:b/>
                <w:i/>
              </w:rPr>
              <w:t>și socia</w:t>
            </w:r>
            <w:r>
              <w:rPr>
                <w:b/>
                <w:i/>
              </w:rPr>
              <w:t xml:space="preserve">le </w:t>
            </w:r>
            <w:r>
              <w:t>pot afecta situația bugetară și nivelul de îndatorare al statului membru</w:t>
            </w:r>
            <w:r>
              <w:rPr>
                <w:b/>
                <w:i/>
              </w:rPr>
              <w:t>, precum și atingerea obiectivelor naționale, legate de țintele principale ale Pilonului european al drepturilor sociale și de principalii indicatori secundari ai acestora și de pri</w:t>
            </w:r>
            <w:r>
              <w:rPr>
                <w:b/>
                <w:i/>
              </w:rPr>
              <w:t>oritățile comune ale Uniunii</w:t>
            </w:r>
            <w:r>
              <w:t>;</w:t>
            </w:r>
          </w:p>
        </w:tc>
      </w:tr>
    </w:tbl>
    <w:p w:rsidR="00AF0131" w:rsidRPr="003D6066" w:rsidRDefault="00147DFE" w:rsidP="00AF0131">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31</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Anexa II – paragraful 1 – litera h</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(h)</w:t>
            </w:r>
            <w:r>
              <w:tab/>
              <w:t xml:space="preserve">după caz, motivele justificate </w:t>
            </w:r>
            <w:r>
              <w:t>în mod corespunzător (cu argumente economice solide și verificabile relevante) ale abaterii de la traiectoria tehnică prezentată de Comisie;</w:t>
            </w:r>
          </w:p>
        </w:tc>
        <w:tc>
          <w:tcPr>
            <w:tcW w:w="4876" w:type="dxa"/>
            <w:hideMark/>
          </w:tcPr>
          <w:p w:rsidR="00AF0131" w:rsidRPr="003D6066" w:rsidRDefault="00147DFE" w:rsidP="00C33FBD">
            <w:pPr>
              <w:pStyle w:val="Normal6"/>
              <w:rPr>
                <w:szCs w:val="24"/>
              </w:rPr>
            </w:pPr>
            <w:r>
              <w:t>(h)</w:t>
            </w:r>
            <w:r>
              <w:tab/>
              <w:t xml:space="preserve">după caz, motivele justificate în mod corespunzător (cu argumente economice </w:t>
            </w:r>
            <w:r>
              <w:rPr>
                <w:b/>
                <w:i/>
              </w:rPr>
              <w:t xml:space="preserve">și sociale </w:t>
            </w:r>
            <w:r>
              <w:t>solide și verificabile r</w:t>
            </w:r>
            <w:r>
              <w:t>elevante) ale abaterii de la traiectoria tehnică prezentată de Comisie;</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32</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Anexa II – paragraful 1 – litera 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(j)</w:t>
            </w:r>
            <w:r>
              <w:tab/>
              <w:t>cuantumul cheltuielilor totale pentru investiții publice, precum și al cheltuielilor pentru reforme și investiții publice care vizează prioritățile comune ale Uniunii menționate în anexa VI;</w:t>
            </w:r>
          </w:p>
        </w:tc>
        <w:tc>
          <w:tcPr>
            <w:tcW w:w="4876" w:type="dxa"/>
            <w:hideMark/>
          </w:tcPr>
          <w:p w:rsidR="00AF0131" w:rsidRPr="003D6066" w:rsidRDefault="00147DFE" w:rsidP="00C33FBD">
            <w:pPr>
              <w:pStyle w:val="Normal6"/>
              <w:rPr>
                <w:szCs w:val="24"/>
              </w:rPr>
            </w:pPr>
            <w:r>
              <w:t>(j)</w:t>
            </w:r>
            <w:r>
              <w:tab/>
              <w:t>cuantumul cheltuielilor totale pentru inves</w:t>
            </w:r>
            <w:r>
              <w:t xml:space="preserve">tiții publice, precum și al cheltuielilor pentru reforme și investiții publice care vizează </w:t>
            </w:r>
            <w:r>
              <w:rPr>
                <w:b/>
                <w:i/>
              </w:rPr>
              <w:t xml:space="preserve">fiecare din </w:t>
            </w:r>
            <w:r>
              <w:t>prioritățile comune ale Uniunii menționate în anexa VI;</w:t>
            </w:r>
          </w:p>
        </w:tc>
      </w:tr>
    </w:tbl>
    <w:p w:rsidR="00AF0131" w:rsidRPr="003D6066" w:rsidRDefault="00147DFE" w:rsidP="00C56375">
      <w:pPr>
        <w:rPr>
          <w:rFonts w:eastAsiaTheme="majorEastAsia"/>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33</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Anexa II – paragraful 1 – litera k</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(k)</w:t>
            </w:r>
            <w:r>
              <w:tab/>
              <w:t>după caz, informații privind un set specific de angajamente în materie de reformă și de investiții, cu scadențe clare și verificabil, care justifică o prelun</w:t>
            </w:r>
            <w:r>
              <w:t>gire a perioadei de ajustare în temeiul articolului 13, un calendar pentru punerea sa în aplicare, precum și argumente economice solide conform cărora acest set de angajamente în materie de reformă și de investiții îndeplinește criteriile prevăzute la arti</w:t>
            </w:r>
            <w:r>
              <w:t>colul 13, ținând seama de criteriile de evaluare din anexa VII;</w:t>
            </w:r>
          </w:p>
        </w:tc>
        <w:tc>
          <w:tcPr>
            <w:tcW w:w="4876" w:type="dxa"/>
            <w:hideMark/>
          </w:tcPr>
          <w:p w:rsidR="00AF0131" w:rsidRPr="003D6066" w:rsidRDefault="00147DFE" w:rsidP="00C33FBD">
            <w:pPr>
              <w:pStyle w:val="Normal6"/>
              <w:rPr>
                <w:szCs w:val="24"/>
              </w:rPr>
            </w:pPr>
            <w:r>
              <w:t>(k)</w:t>
            </w:r>
            <w:r>
              <w:tab/>
            </w:r>
            <w:r>
              <w:t xml:space="preserve">după caz, informații privind un set specific de angajamente în materie de reformă și de investiții, cu scadențe clare și verificabil, care justifică o prelungire a perioadei de ajustare în temeiul articolului 13, un calendar pentru punerea sa în aplicare, </w:t>
            </w:r>
            <w:r>
              <w:t xml:space="preserve">precum și argumente economice </w:t>
            </w:r>
            <w:r>
              <w:rPr>
                <w:b/>
                <w:i/>
              </w:rPr>
              <w:t xml:space="preserve">și sociale </w:t>
            </w:r>
            <w:r>
              <w:t>solide conform cărora acest set de angajamente în materie de reformă și de investiții îndeplinește criteriile prevăzute la articolul 13, ținând seama de criteriile de evaluare din anexa VII;</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w:t>
      </w:r>
      <w:r>
        <w:t>entul</w:t>
      </w:r>
      <w:r>
        <w:tab/>
      </w:r>
      <w:r>
        <w:tab/>
      </w:r>
      <w:r>
        <w:rPr>
          <w:rStyle w:val="HideTWBExt"/>
          <w:b w:val="0"/>
        </w:rPr>
        <w:t>&lt;NumAm&gt;</w:t>
      </w:r>
      <w:r>
        <w:t>34</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Anexa II – paragraful 1 – litera 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(l)</w:t>
            </w:r>
            <w:r>
              <w:tab/>
            </w:r>
            <w:r>
              <w:t xml:space="preserve">o cuantificare, pe cât posibil, a impactului preconizat al reformelor și al investițiilor menționate la litera (k) asupra sustenabilității finanțelor publice, a creșterii economice și a </w:t>
            </w:r>
            <w:r>
              <w:rPr>
                <w:b/>
                <w:i/>
              </w:rPr>
              <w:t>ocupării forței</w:t>
            </w:r>
            <w:r>
              <w:t xml:space="preserve"> de muncă, după caz, în conformitate cu metodologiile c</w:t>
            </w:r>
            <w:r>
              <w:t>onvenite de comun acord;</w:t>
            </w:r>
          </w:p>
        </w:tc>
        <w:tc>
          <w:tcPr>
            <w:tcW w:w="4876" w:type="dxa"/>
            <w:hideMark/>
          </w:tcPr>
          <w:p w:rsidR="00AF0131" w:rsidRPr="003D6066" w:rsidRDefault="00147DFE" w:rsidP="00C33FBD">
            <w:pPr>
              <w:pStyle w:val="Normal6"/>
              <w:rPr>
                <w:szCs w:val="24"/>
              </w:rPr>
            </w:pPr>
            <w:r>
              <w:t>(l)</w:t>
            </w:r>
            <w:r>
              <w:tab/>
              <w:t xml:space="preserve">o cuantificare, pe cât posibil, a impactului preconizat al reformelor și al investițiilor menționate la litera (k) asupra sustenabilității finanțelor publice, a creșterii economice </w:t>
            </w:r>
            <w:r>
              <w:rPr>
                <w:b/>
                <w:i/>
              </w:rPr>
              <w:t xml:space="preserve">sustenabile </w:t>
            </w:r>
            <w:r>
              <w:t>și</w:t>
            </w:r>
            <w:r>
              <w:rPr>
                <w:b/>
                <w:i/>
              </w:rPr>
              <w:t xml:space="preserve"> cu caracter incluziv,</w:t>
            </w:r>
            <w:r>
              <w:t xml:space="preserve"> a </w:t>
            </w:r>
            <w:r>
              <w:rPr>
                <w:b/>
                <w:i/>
              </w:rPr>
              <w:t>competi</w:t>
            </w:r>
            <w:r>
              <w:rPr>
                <w:b/>
                <w:i/>
              </w:rPr>
              <w:t>tivității și a locurilor</w:t>
            </w:r>
            <w:r>
              <w:t xml:space="preserve"> de muncă</w:t>
            </w:r>
            <w:r>
              <w:rPr>
                <w:b/>
                <w:i/>
              </w:rPr>
              <w:t xml:space="preserve"> de calitate, precum și a convergenței sociale ascendente</w:t>
            </w:r>
            <w:r>
              <w:t>, după caz, în conformitate cu metodologiile convenite de comun acord;</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35</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Anexa II – paragraful 1 – litera na (nouă)</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tcPr>
          <w:p w:rsidR="00AF0131" w:rsidRPr="003D6066" w:rsidRDefault="00AF0131" w:rsidP="00C33FBD">
            <w:pPr>
              <w:pStyle w:val="Normal6"/>
            </w:pPr>
          </w:p>
        </w:tc>
        <w:tc>
          <w:tcPr>
            <w:tcW w:w="4876" w:type="dxa"/>
            <w:hideMark/>
          </w:tcPr>
          <w:p w:rsidR="00AF0131" w:rsidRPr="003D6066" w:rsidRDefault="00147DFE" w:rsidP="00C33FBD">
            <w:pPr>
              <w:pStyle w:val="Normal6"/>
              <w:rPr>
                <w:szCs w:val="24"/>
              </w:rPr>
            </w:pPr>
            <w:r>
              <w:rPr>
                <w:b/>
                <w:i/>
              </w:rPr>
              <w:t>(na)</w:t>
            </w:r>
            <w:r>
              <w:rPr>
                <w:b/>
                <w:i/>
              </w:rPr>
              <w:tab/>
              <w:t>Dacă este cazul, reforme și investiții pentru a corecta riscurile identificate la adresa convergenței sociale în cadrul de convergență socială.</w:t>
            </w:r>
          </w:p>
        </w:tc>
      </w:tr>
    </w:tbl>
    <w:p w:rsidR="00AF0131" w:rsidRPr="003D6066" w:rsidRDefault="00147DFE" w:rsidP="00C56375">
      <w:pPr>
        <w:rPr>
          <w:rFonts w:eastAsiaTheme="majorEastAsia"/>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36</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Anexa II – paragraful 1 – litera p</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(p)</w:t>
            </w:r>
            <w:r>
              <w:tab/>
              <w:t xml:space="preserve">pentru statele membre cu un nivel scăzut al provocărilor în </w:t>
            </w:r>
            <w:r>
              <w:t>ceea ce privește datoria publică, dar cu datorii implicite mari</w:t>
            </w:r>
            <w:r>
              <w:rPr>
                <w:b/>
                <w:i/>
              </w:rPr>
              <w:t xml:space="preserve"> din cauza îmbătrânirii populației</w:t>
            </w:r>
            <w:r>
              <w:t>, traiectoria națională a cheltuielilor nete și reformele din planurile bugetar-structurale naționale pe termen mediu ar trebui să țină seama în mod corespunză</w:t>
            </w:r>
            <w:r>
              <w:t>tor de provocările pe termen lung în materie de sustenabilitate a finanțelor publice</w:t>
            </w:r>
            <w:r>
              <w:rPr>
                <w:b/>
                <w:i/>
              </w:rPr>
              <w:t>;</w:t>
            </w:r>
          </w:p>
        </w:tc>
        <w:tc>
          <w:tcPr>
            <w:tcW w:w="4876" w:type="dxa"/>
            <w:hideMark/>
          </w:tcPr>
          <w:p w:rsidR="00AF0131" w:rsidRPr="003D6066" w:rsidRDefault="00147DFE" w:rsidP="00C33FBD">
            <w:pPr>
              <w:pStyle w:val="Normal6"/>
              <w:rPr>
                <w:szCs w:val="24"/>
              </w:rPr>
            </w:pPr>
            <w:r>
              <w:t>(p)</w:t>
            </w:r>
            <w:r>
              <w:tab/>
              <w:t>pentru statele membre cu un nivel scăzut al provocărilor în ceea ce privește datoria publică, dar cu datorii implicite mari, traiectoria națională a cheltuielilor net</w:t>
            </w:r>
            <w:r>
              <w:t>e și reformele din planurile bugetar-structurale naționale pe termen mediu ar trebui să țină seama în mod corespunzător de provocările pe termen lung în materie de sustenabilitate a finanțelor publice</w:t>
            </w:r>
            <w:r>
              <w:rPr>
                <w:b/>
                <w:i/>
              </w:rPr>
              <w:t xml:space="preserve">, precum și de riscurile la adresa convergenței sociale </w:t>
            </w:r>
            <w:r>
              <w:rPr>
                <w:b/>
                <w:i/>
              </w:rPr>
              <w:t>identificate în cea mai recentă analiză.</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37</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Anexa II – paragraful 1 – litera q</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(q)</w:t>
            </w:r>
            <w:r>
              <w:tab/>
              <w:t xml:space="preserve">informații privind </w:t>
            </w:r>
            <w:r>
              <w:t>consultările cu partenerii sociali, organizațiile societății civile și alte părți interesate relevante în vederea elaborării planului.</w:t>
            </w:r>
          </w:p>
        </w:tc>
        <w:tc>
          <w:tcPr>
            <w:tcW w:w="4876" w:type="dxa"/>
            <w:hideMark/>
          </w:tcPr>
          <w:p w:rsidR="00AF0131" w:rsidRPr="003D6066" w:rsidRDefault="00147DFE" w:rsidP="00C33FBD">
            <w:pPr>
              <w:pStyle w:val="Normal6"/>
              <w:rPr>
                <w:szCs w:val="24"/>
              </w:rPr>
            </w:pPr>
            <w:r>
              <w:t>(q)</w:t>
            </w:r>
            <w:r>
              <w:tab/>
              <w:t xml:space="preserve">informații privind consultările </w:t>
            </w:r>
            <w:r>
              <w:rPr>
                <w:b/>
                <w:i/>
              </w:rPr>
              <w:t xml:space="preserve">efective </w:t>
            </w:r>
            <w:r>
              <w:t>cu partenerii sociali, organizațiile societății civile și alte părți interes</w:t>
            </w:r>
            <w:r>
              <w:t>ate relevante în vederea elaborării planului.</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38</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Anexa III – paragraful 1 – litera b</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(b)</w:t>
            </w:r>
            <w:r>
              <w:tab/>
              <w:t>o comparație de</w:t>
            </w:r>
            <w:r>
              <w:t xml:space="preserve"> la începutul planului bugetar-structural național pe termen mediu între proiecțiile principalelor variabile economice prezentate în planul respectiv și datele privind rezultatele acestor variabile, precum și implicațiile pentru respectarea traiectoriei ch</w:t>
            </w:r>
            <w:r>
              <w:t>eltuielilor nete stabilite de Consiliu și implicațiile asupra traiectoriei preconizate a ponderii datoriei publice raportate în planul respectiv</w:t>
            </w:r>
            <w:r>
              <w:rPr>
                <w:b/>
                <w:i/>
              </w:rPr>
              <w:t>;</w:t>
            </w:r>
          </w:p>
        </w:tc>
        <w:tc>
          <w:tcPr>
            <w:tcW w:w="4876" w:type="dxa"/>
            <w:hideMark/>
          </w:tcPr>
          <w:p w:rsidR="00AF0131" w:rsidRPr="003D6066" w:rsidRDefault="00147DFE" w:rsidP="00C33FBD">
            <w:pPr>
              <w:pStyle w:val="Normal6"/>
              <w:rPr>
                <w:szCs w:val="24"/>
              </w:rPr>
            </w:pPr>
            <w:r>
              <w:t>(b)</w:t>
            </w:r>
            <w:r>
              <w:tab/>
              <w:t>o comparație de la începutul planului bugetar-structural național pe termen mediu între proiecțiile princi</w:t>
            </w:r>
            <w:r>
              <w:t>palelor variabile economice prezentate în planul respectiv și datele privind rezultatele acestor variabile</w:t>
            </w:r>
            <w:r>
              <w:rPr>
                <w:b/>
                <w:i/>
              </w:rPr>
              <w:t xml:space="preserve"> și sociale</w:t>
            </w:r>
            <w:r>
              <w:t>, precum și implicațiile pentru respectarea traiectoriei cheltuielilor nete stabilite de Consiliu și implicațiile asupra traiectoriei preco</w:t>
            </w:r>
            <w:r>
              <w:t>nizate a ponderii datoriei publice raportate în planul respectiv</w:t>
            </w:r>
            <w:r>
              <w:rPr>
                <w:b/>
                <w:i/>
              </w:rPr>
              <w:t>, precum și respectarea atingerii obiectivelor naționale, legate de țintele principale ale Pilonului european al drepturilor sociale.</w:t>
            </w:r>
          </w:p>
        </w:tc>
      </w:tr>
    </w:tbl>
    <w:p w:rsidR="00AF0131" w:rsidRPr="003D6066" w:rsidRDefault="00147DFE" w:rsidP="00AF0131">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39</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Anexa III – paragraful 1 – litera h</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(h)</w:t>
            </w:r>
            <w:r>
              <w:tab/>
              <w:t>principalele ipoteze privind evoluțiile economice preconizate și principalele variabile economice pentru anii u</w:t>
            </w:r>
            <w:r>
              <w:t>rmători ai perioadei de ajustare, inclusiv ponderea datoriei publice;</w:t>
            </w:r>
          </w:p>
        </w:tc>
        <w:tc>
          <w:tcPr>
            <w:tcW w:w="4876" w:type="dxa"/>
            <w:hideMark/>
          </w:tcPr>
          <w:p w:rsidR="00AF0131" w:rsidRPr="003D6066" w:rsidRDefault="00147DFE" w:rsidP="00C33FBD">
            <w:pPr>
              <w:pStyle w:val="Normal6"/>
              <w:rPr>
                <w:szCs w:val="24"/>
              </w:rPr>
            </w:pPr>
            <w:r>
              <w:t>(h)</w:t>
            </w:r>
            <w:r>
              <w:tab/>
              <w:t xml:space="preserve">principalele ipoteze privind evoluțiile economice </w:t>
            </w:r>
            <w:r>
              <w:rPr>
                <w:b/>
                <w:i/>
              </w:rPr>
              <w:t xml:space="preserve">și sociale </w:t>
            </w:r>
            <w:r>
              <w:t>preconizate și principalele variabile economice</w:t>
            </w:r>
            <w:r>
              <w:rPr>
                <w:b/>
                <w:i/>
              </w:rPr>
              <w:t xml:space="preserve"> și sociale</w:t>
            </w:r>
            <w:r>
              <w:t xml:space="preserve"> pentru anii următori ai perioadei de ajustare, inclusiv ponder</w:t>
            </w:r>
            <w:r>
              <w:t>ea datoriei publice;</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40</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Anexa III – paragraful 1 – litera l</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(l)</w:t>
            </w:r>
            <w:r>
              <w:tab/>
            </w:r>
            <w:r>
              <w:t>o analiză a evoluției dezechilibrelor macroeconomice identificate în cadrul procedurii privind dezechilibrele macroeconomice și a impactului asupra acestora al punerii în aplicare a reformelor și a investițiilor relevante raportate în planul bugetar-struct</w:t>
            </w:r>
            <w:r>
              <w:t xml:space="preserve">ural național pe termen mediu în conformitate cu anexa II </w:t>
            </w:r>
            <w:r>
              <w:rPr>
                <w:b/>
                <w:i/>
              </w:rPr>
              <w:t>litera</w:t>
            </w:r>
            <w:r>
              <w:t xml:space="preserve"> (n), după caz;</w:t>
            </w:r>
          </w:p>
        </w:tc>
        <w:tc>
          <w:tcPr>
            <w:tcW w:w="4876" w:type="dxa"/>
            <w:hideMark/>
          </w:tcPr>
          <w:p w:rsidR="00AF0131" w:rsidRPr="003D6066" w:rsidRDefault="00147DFE" w:rsidP="00C33FBD">
            <w:pPr>
              <w:pStyle w:val="Normal6"/>
              <w:rPr>
                <w:szCs w:val="24"/>
              </w:rPr>
            </w:pPr>
            <w:r>
              <w:t>(l)</w:t>
            </w:r>
            <w:r>
              <w:tab/>
              <w:t>o analiză a evoluției dezechilibrelor macroeconomice identificate în cadrul procedurii privind dezechilibrele macroeconomice</w:t>
            </w:r>
            <w:r>
              <w:rPr>
                <w:b/>
                <w:i/>
              </w:rPr>
              <w:t xml:space="preserve">, precum și a riscurilor la adresa convergenței </w:t>
            </w:r>
            <w:r>
              <w:rPr>
                <w:b/>
                <w:i/>
              </w:rPr>
              <w:t>sociale,</w:t>
            </w:r>
            <w:r>
              <w:t xml:space="preserve"> și a impactului asupra acestora al punerii în aplicare a reformelor și a investițiilor relevante raportate în planul bugetar-structural național pe termen mediu în conformitate cu anexa II </w:t>
            </w:r>
            <w:r>
              <w:rPr>
                <w:b/>
                <w:i/>
              </w:rPr>
              <w:t>literele</w:t>
            </w:r>
            <w:r>
              <w:t xml:space="preserve"> (n</w:t>
            </w:r>
            <w:r>
              <w:rPr>
                <w:b/>
                <w:i/>
              </w:rPr>
              <w:t>) și (o</w:t>
            </w:r>
            <w:r>
              <w:t>), după caz;</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41</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Anexa III – paragraful 1 – litera n</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(n)</w:t>
            </w:r>
            <w:r>
              <w:tab/>
              <w:t xml:space="preserve">informații privind evoluția politicilor în domeniul social, al pieței forței </w:t>
            </w:r>
            <w:r>
              <w:t xml:space="preserve">de muncă și al competențelor, precum și privind punerea în aplicare a măsurilor de politică adoptate care promovează convergența socială ascendentă între statele membre către condiții de muncă și de viață mai bune, în conformitate cu principiile Pilonului </w:t>
            </w:r>
            <w:r>
              <w:t xml:space="preserve">european al drepturilor sociale și cu orientările privind ocuparea forței de muncă, prevăzute la articolul 148 din TFUE. Acestea includ impactul preconizat al măsurilor în raport cu progresele înregistrate în ceea ce privește obiectivele naționale privind </w:t>
            </w:r>
            <w:r>
              <w:t>ocuparea forței de muncă, competențele și reducerea sărăciei până în 2030</w:t>
            </w:r>
            <w:r>
              <w:rPr>
                <w:b/>
                <w:i/>
              </w:rPr>
              <w:t>;</w:t>
            </w:r>
          </w:p>
        </w:tc>
        <w:tc>
          <w:tcPr>
            <w:tcW w:w="4876" w:type="dxa"/>
            <w:hideMark/>
          </w:tcPr>
          <w:p w:rsidR="00AF0131" w:rsidRPr="003D6066" w:rsidRDefault="00147DFE" w:rsidP="00C33FBD">
            <w:pPr>
              <w:pStyle w:val="Normal6"/>
              <w:rPr>
                <w:szCs w:val="24"/>
              </w:rPr>
            </w:pPr>
            <w:r>
              <w:t>(n)</w:t>
            </w:r>
            <w:r>
              <w:tab/>
              <w:t>informații privind evoluția politicilor în domeniul social, al pieței forței de muncă și al competențelor, precum și privind punerea în aplicare a măsurilor de politică adoptate</w:t>
            </w:r>
            <w:r>
              <w:t xml:space="preserve"> care promovează convergența socială ascendentă între statele membre către condiții de muncă și de viață mai bune, în conformitate cu principiile Pilonului european al drepturilor sociale și cu orientările privind ocuparea forței de muncă, prevăzute la art</w:t>
            </w:r>
            <w:r>
              <w:t>icolul 148 din TFUE</w:t>
            </w:r>
            <w:r>
              <w:rPr>
                <w:b/>
                <w:i/>
              </w:rPr>
              <w:t xml:space="preserve"> și în cadrul de convergență socială</w:t>
            </w:r>
            <w:r>
              <w:t>. Acestea includ impactul preconizat al măsurilor în raport cu progresele înregistrate în ceea ce privește obiectivele naționale privind ocuparea forței de muncă, competențele și reducerea sărăciei pân</w:t>
            </w:r>
            <w:r>
              <w:t>ă în 2030</w:t>
            </w:r>
            <w:r>
              <w:rPr>
                <w:b/>
                <w:i/>
              </w:rPr>
              <w:t xml:space="preserve"> și, dacă este cazul, impactul preconizat al măsurilor de corectare a riscurilor la adresa convergenței sociale identificate în cadrul de convergență socială.</w:t>
            </w:r>
          </w:p>
        </w:tc>
      </w:tr>
    </w:tbl>
    <w:p w:rsidR="00AF0131" w:rsidRPr="003D6066" w:rsidRDefault="00147DFE" w:rsidP="00AF0131">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42</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w:t>
      </w:r>
      <w:r>
        <w:rPr>
          <w:rStyle w:val="HideTWBExt"/>
          <w:b w:val="0"/>
        </w:rPr>
        <w:t>Amend&gt;</w:t>
      </w:r>
    </w:p>
    <w:p w:rsidR="00AF0131" w:rsidRPr="003D6066" w:rsidRDefault="00147DFE" w:rsidP="00AF0131">
      <w:pPr>
        <w:pStyle w:val="NormalBold"/>
      </w:pPr>
      <w:r>
        <w:rPr>
          <w:rStyle w:val="HideTWBExt"/>
          <w:b w:val="0"/>
        </w:rPr>
        <w:t>&lt;Article&gt;</w:t>
      </w:r>
      <w:r>
        <w:t>Anexa III – paragraful 1 – litera oa (nouă)</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AF0131" w:rsidP="00C33FBD">
            <w:pPr>
              <w:pStyle w:val="Normal6"/>
            </w:pPr>
          </w:p>
        </w:tc>
        <w:tc>
          <w:tcPr>
            <w:tcW w:w="4876" w:type="dxa"/>
            <w:hideMark/>
          </w:tcPr>
          <w:p w:rsidR="00AF0131" w:rsidRPr="003D6066" w:rsidRDefault="00147DFE" w:rsidP="00C33FBD">
            <w:pPr>
              <w:pStyle w:val="Normal6"/>
              <w:rPr>
                <w:szCs w:val="24"/>
              </w:rPr>
            </w:pPr>
            <w:r>
              <w:rPr>
                <w:b/>
                <w:i/>
              </w:rPr>
              <w:t>(oa)</w:t>
            </w:r>
            <w:r>
              <w:tab/>
            </w:r>
            <w:r>
              <w:rPr>
                <w:b/>
                <w:i/>
              </w:rPr>
              <w:t xml:space="preserve">informații privind consultările cu partenerii sociali, organizațiile societății civile și alte părți interesate relevante în vederea </w:t>
            </w:r>
            <w:r>
              <w:rPr>
                <w:b/>
                <w:i/>
              </w:rPr>
              <w:t>elaborării raportului.</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C56375">
      <w:pPr>
        <w:pStyle w:val="AmNumberTabs"/>
      </w:pPr>
      <w:r>
        <w:rPr>
          <w:rStyle w:val="HideTWBExt"/>
          <w:b w:val="0"/>
        </w:rPr>
        <w:t>&lt;Amend&gt;</w:t>
      </w:r>
      <w:r>
        <w:t>Amendamentul</w:t>
      </w:r>
      <w:r>
        <w:tab/>
      </w:r>
      <w:r>
        <w:tab/>
      </w:r>
      <w:r>
        <w:rPr>
          <w:rStyle w:val="HideTWBExt"/>
          <w:b w:val="0"/>
        </w:rPr>
        <w:t>&lt;NumAm&gt;</w:t>
      </w:r>
      <w:r>
        <w:t>43</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Anexa VII – punctul 2 – paragraful 2 – punctul 2.1 – partea introductivă</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2.1</w:t>
            </w:r>
            <w:r>
              <w:tab/>
            </w:r>
            <w:r>
              <w:t>Setul de angajamente în materie de reformă și de investiții stimulează creșterea</w:t>
            </w:r>
            <w:r>
              <w:rPr>
                <w:b/>
                <w:i/>
              </w:rPr>
              <w:t>;</w:t>
            </w:r>
          </w:p>
        </w:tc>
        <w:tc>
          <w:tcPr>
            <w:tcW w:w="4876" w:type="dxa"/>
            <w:hideMark/>
          </w:tcPr>
          <w:p w:rsidR="00AF0131" w:rsidRPr="003D6066" w:rsidRDefault="00147DFE" w:rsidP="00C33FBD">
            <w:pPr>
              <w:pStyle w:val="Normal6"/>
              <w:rPr>
                <w:szCs w:val="24"/>
              </w:rPr>
            </w:pPr>
            <w:r>
              <w:t>2.1</w:t>
            </w:r>
            <w:r>
              <w:tab/>
              <w:t>Setul de angajamente în materie de reformă și de investiții stimulează creșterea</w:t>
            </w:r>
            <w:r>
              <w:rPr>
                <w:b/>
                <w:i/>
              </w:rPr>
              <w:t xml:space="preserve"> sustenabilă.</w:t>
            </w:r>
            <w:r>
              <w:t xml:space="preserve"> </w:t>
            </w:r>
            <w:r>
              <w:rPr>
                <w:b/>
                <w:i/>
              </w:rPr>
              <w:t xml:space="preserve">Se preconizează că setul de angajamente în materie de reforme și investiții </w:t>
            </w:r>
            <w:r>
              <w:rPr>
                <w:b/>
                <w:i/>
              </w:rPr>
              <w:t>va implica un progres suficient în direcția atingerii obiectivelor naționale, legate de obiectivele principale ale Pilonului european al drepturilor sociale și de indicatorii lor principali și secundari.</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44</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w:t>
      </w:r>
      <w:r>
        <w:rPr>
          <w:rStyle w:val="HideTWBExt"/>
          <w:b w:val="0"/>
        </w:rPr>
        <w:t>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Anexa VII – punctul 2 – paragraful 2 – punctul 2.2 a (nou)</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tcPr>
          <w:p w:rsidR="00AF0131" w:rsidRPr="003D6066" w:rsidRDefault="00AF0131" w:rsidP="00C33FBD">
            <w:pPr>
              <w:pStyle w:val="Normal6"/>
            </w:pPr>
          </w:p>
        </w:tc>
        <w:tc>
          <w:tcPr>
            <w:tcW w:w="4876" w:type="dxa"/>
            <w:hideMark/>
          </w:tcPr>
          <w:p w:rsidR="00AF0131" w:rsidRPr="003D6066" w:rsidRDefault="00147DFE" w:rsidP="00C33FBD">
            <w:pPr>
              <w:pStyle w:val="Normal6"/>
              <w:rPr>
                <w:szCs w:val="24"/>
              </w:rPr>
            </w:pPr>
            <w:r>
              <w:rPr>
                <w:b/>
                <w:i/>
              </w:rPr>
              <w:t>2.2a</w:t>
            </w:r>
            <w:r>
              <w:rPr>
                <w:b/>
                <w:i/>
              </w:rPr>
              <w:tab/>
              <w:t>Setul de angajamente în materie de reformă și de investiții sprijină convergența socială</w:t>
            </w:r>
            <w:r>
              <w:rPr>
                <w:b/>
                <w:i/>
              </w:rPr>
              <w:t xml:space="preserve"> ascendentă;</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45</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Anexa VII – punctul 2 – paragraful 2 – punctul 2.4 – partea introductivă</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2.4</w:t>
            </w:r>
            <w:r>
              <w:tab/>
              <w:t xml:space="preserve">Setul de </w:t>
            </w:r>
            <w:r>
              <w:t>angajamente în materie de reformă și de investiții, în ansamblul său, răspunde recomandărilor relevante specifice fiecărei țări, inclusiv, după caz, recomandărilor emise în cadrul procedurii privind dezechilibrele macroeconomice;</w:t>
            </w:r>
          </w:p>
        </w:tc>
        <w:tc>
          <w:tcPr>
            <w:tcW w:w="4876" w:type="dxa"/>
            <w:hideMark/>
          </w:tcPr>
          <w:p w:rsidR="00AF0131" w:rsidRPr="003D6066" w:rsidRDefault="00147DFE" w:rsidP="00C33FBD">
            <w:pPr>
              <w:pStyle w:val="Normal6"/>
              <w:rPr>
                <w:szCs w:val="24"/>
              </w:rPr>
            </w:pPr>
            <w:r>
              <w:t>2.4</w:t>
            </w:r>
            <w:r>
              <w:tab/>
              <w:t>Setul de angajamente î</w:t>
            </w:r>
            <w:r>
              <w:t>n materie de reformă și de investiții, în ansamblul său, răspunde recomandărilor relevante specifice fiecărei țări</w:t>
            </w:r>
            <w:r>
              <w:rPr>
                <w:b/>
                <w:i/>
              </w:rPr>
              <w:t xml:space="preserve"> în temeiul articolului 121 alineatul (4) și al articolului 148 alineatul (4) din TFUE</w:t>
            </w:r>
            <w:r>
              <w:t>, inclusiv, după caz, recomandărilor emise în cadrul pro</w:t>
            </w:r>
            <w:r>
              <w:t>cedurii privind dezechilibrele macroeconomice;</w:t>
            </w:r>
          </w:p>
        </w:tc>
      </w:tr>
    </w:tbl>
    <w:p w:rsidR="00AF0131" w:rsidRPr="003D6066" w:rsidRDefault="00147DFE" w:rsidP="00C56375">
      <w:pPr>
        <w:rPr>
          <w:rStyle w:val="HideTWBExt"/>
          <w:rFonts w:ascii="Times New Roman" w:hAnsi="Times New Roman" w:cs="Times New Roman"/>
          <w:noProof w:val="0"/>
          <w:vanish w:val="0"/>
          <w:color w:val="auto"/>
          <w:sz w:val="24"/>
        </w:rPr>
      </w:pPr>
      <w:r>
        <w:rPr>
          <w:rStyle w:val="HideTWBExt"/>
        </w:rPr>
        <w:t>&lt;/Amend&gt;</w:t>
      </w:r>
    </w:p>
    <w:p w:rsidR="00AF0131" w:rsidRPr="003D6066" w:rsidRDefault="00AF0131" w:rsidP="00AF0131">
      <w:pPr>
        <w:rPr>
          <w:rStyle w:val="HideTWBExt"/>
        </w:rPr>
      </w:pPr>
    </w:p>
    <w:p w:rsidR="00AF0131" w:rsidRPr="003D6066" w:rsidRDefault="00147DFE" w:rsidP="00AF0131">
      <w:pPr>
        <w:pStyle w:val="AmNumberTabs"/>
      </w:pPr>
      <w:r>
        <w:rPr>
          <w:rStyle w:val="HideTWBExt"/>
          <w:b w:val="0"/>
        </w:rPr>
        <w:t>&lt;Amend&gt;</w:t>
      </w:r>
      <w:r>
        <w:t>Amendamentul</w:t>
      </w:r>
      <w:r>
        <w:tab/>
      </w:r>
      <w:r>
        <w:tab/>
      </w:r>
      <w:r>
        <w:rPr>
          <w:rStyle w:val="HideTWBExt"/>
          <w:b w:val="0"/>
        </w:rPr>
        <w:t>&lt;NumAm&gt;</w:t>
      </w:r>
      <w:r>
        <w:t>46</w:t>
      </w:r>
      <w:r>
        <w:rPr>
          <w:rStyle w:val="HideTWBExt"/>
          <w:b w:val="0"/>
        </w:rPr>
        <w:t>&lt;/NumAm&gt;</w:t>
      </w:r>
    </w:p>
    <w:p w:rsidR="00AF0131" w:rsidRPr="003D6066" w:rsidRDefault="00AF0131" w:rsidP="00AF0131"/>
    <w:p w:rsidR="00AF0131" w:rsidRPr="003D6066" w:rsidRDefault="00147DFE" w:rsidP="00AF0131">
      <w:pPr>
        <w:pStyle w:val="NormalBold"/>
        <w:keepNext/>
      </w:pPr>
      <w:r>
        <w:rPr>
          <w:rStyle w:val="HideTWBExt"/>
          <w:b w:val="0"/>
        </w:rPr>
        <w:t>&lt;DocAmend&gt;</w:t>
      </w:r>
      <w:r>
        <w:t>Propunere de regulament</w:t>
      </w:r>
      <w:r>
        <w:rPr>
          <w:rStyle w:val="HideTWBExt"/>
          <w:b w:val="0"/>
        </w:rPr>
        <w:t>&lt;/DocAmend&gt;</w:t>
      </w:r>
    </w:p>
    <w:p w:rsidR="00AF0131" w:rsidRPr="003D6066" w:rsidRDefault="00147DFE" w:rsidP="00AF0131">
      <w:pPr>
        <w:pStyle w:val="NormalBold"/>
      </w:pPr>
      <w:r>
        <w:rPr>
          <w:rStyle w:val="HideTWBExt"/>
          <w:b w:val="0"/>
        </w:rPr>
        <w:t>&lt;Article&gt;</w:t>
      </w:r>
      <w:r>
        <w:t>Anexa VII – punctul 2 – paragraful 2 – punctul 2.4 – liniuța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0D2A" w:rsidTr="00C33FBD">
        <w:trPr>
          <w:jc w:val="center"/>
        </w:trPr>
        <w:tc>
          <w:tcPr>
            <w:tcW w:w="9752" w:type="dxa"/>
            <w:gridSpan w:val="2"/>
          </w:tcPr>
          <w:p w:rsidR="00AF0131" w:rsidRPr="003D6066" w:rsidRDefault="00AF0131" w:rsidP="00C33FBD">
            <w:pPr>
              <w:keepNext/>
            </w:pPr>
          </w:p>
        </w:tc>
      </w:tr>
      <w:tr w:rsidR="003B0D2A" w:rsidTr="00C33FBD">
        <w:trPr>
          <w:jc w:val="center"/>
        </w:trPr>
        <w:tc>
          <w:tcPr>
            <w:tcW w:w="4876" w:type="dxa"/>
            <w:hideMark/>
          </w:tcPr>
          <w:p w:rsidR="00AF0131" w:rsidRPr="003D6066" w:rsidRDefault="00147DFE" w:rsidP="00C33FBD">
            <w:pPr>
              <w:pStyle w:val="ColumnHeading"/>
              <w:keepNext/>
            </w:pPr>
            <w:r>
              <w:t>Textul propus de Comisie</w:t>
            </w:r>
          </w:p>
        </w:tc>
        <w:tc>
          <w:tcPr>
            <w:tcW w:w="4876" w:type="dxa"/>
            <w:hideMark/>
          </w:tcPr>
          <w:p w:rsidR="00AF0131" w:rsidRPr="003D6066" w:rsidRDefault="00147DFE" w:rsidP="00C33FBD">
            <w:pPr>
              <w:pStyle w:val="ColumnHeading"/>
              <w:keepNext/>
            </w:pPr>
            <w:r>
              <w:t>Amendamentul</w:t>
            </w:r>
          </w:p>
        </w:tc>
      </w:tr>
      <w:tr w:rsidR="003B0D2A" w:rsidTr="00C33FBD">
        <w:trPr>
          <w:jc w:val="center"/>
        </w:trPr>
        <w:tc>
          <w:tcPr>
            <w:tcW w:w="4876" w:type="dxa"/>
            <w:hideMark/>
          </w:tcPr>
          <w:p w:rsidR="00AF0131" w:rsidRPr="003D6066" w:rsidRDefault="00147DFE" w:rsidP="00C33FBD">
            <w:pPr>
              <w:pStyle w:val="Normal6"/>
            </w:pPr>
            <w:r>
              <w:t>–</w:t>
            </w:r>
            <w:r>
              <w:tab/>
              <w:t>Se preconizează că setul de angajamente relevante în materie de reformă și de investiții care stau la baza prelungirii perioadei de ajustare, în ansamblul său, va aborda provocările identificate în recomandările relevante specifice fiecărei</w:t>
            </w:r>
            <w:r>
              <w:t xml:space="preserve"> țări, inclusiv în recomandările emise în cadrul procedurii privind dezechilibrele macroeconomice, după caz, ținând seama de domeniul de aplicare și de amploarea provocărilor specifice fiecărei țări, precum și de angajamentele asumate în cadrul planurilor </w:t>
            </w:r>
            <w:r>
              <w:t>de redresare și reziliență, după caz;</w:t>
            </w:r>
          </w:p>
        </w:tc>
        <w:tc>
          <w:tcPr>
            <w:tcW w:w="4876" w:type="dxa"/>
            <w:hideMark/>
          </w:tcPr>
          <w:p w:rsidR="00AF0131" w:rsidRPr="003D6066" w:rsidRDefault="00147DFE" w:rsidP="00C33FBD">
            <w:pPr>
              <w:pStyle w:val="Normal6"/>
              <w:rPr>
                <w:szCs w:val="24"/>
              </w:rPr>
            </w:pPr>
            <w:r>
              <w:t>–</w:t>
            </w:r>
            <w:r>
              <w:tab/>
              <w:t>Se preconizează că setul de angajamente relevante în materie de reformă și de investiții care stau la baza prelungirii perioadei de ajustare, în ansamblul său, va aborda provocările identificate în recomandările rele</w:t>
            </w:r>
            <w:r>
              <w:t xml:space="preserve">vante specifice fiecărei țări, inclusiv în recomandările emise în cadrul procedurii privind dezechilibrele macroeconomice, după caz, </w:t>
            </w:r>
            <w:r>
              <w:rPr>
                <w:b/>
                <w:i/>
              </w:rPr>
              <w:t xml:space="preserve">și inclusiv în recomandările emise în temeiul articolului 148 alineatul (4) din TFUE, </w:t>
            </w:r>
            <w:r>
              <w:t xml:space="preserve">ținând seama de domeniul de aplicare </w:t>
            </w:r>
            <w:r>
              <w:t>și de amploarea provocărilor specifice fiecărei țări, precum și de angajamentele asumate în cadrul planurilor de redresare și reziliență, după caz;</w:t>
            </w:r>
          </w:p>
        </w:tc>
      </w:tr>
    </w:tbl>
    <w:p w:rsidR="00AF0131" w:rsidRPr="003D6066" w:rsidRDefault="00147DFE" w:rsidP="00AF0131">
      <w:pPr>
        <w:rPr>
          <w:rStyle w:val="HideTWBExt"/>
        </w:rPr>
      </w:pPr>
      <w:r>
        <w:rPr>
          <w:rStyle w:val="HideTWBExt"/>
        </w:rPr>
        <w:t>&lt;/Amend&gt;</w:t>
      </w:r>
    </w:p>
    <w:p w:rsidR="00AF0131" w:rsidRPr="003D6066" w:rsidRDefault="00147DFE" w:rsidP="00AF0131">
      <w:pPr>
        <w:rPr>
          <w:rStyle w:val="HideTWBExt"/>
          <w:szCs w:val="20"/>
        </w:rPr>
      </w:pPr>
      <w:r>
        <w:rPr>
          <w:rStyle w:val="HideTWBExt"/>
        </w:rPr>
        <w:t>&lt;/RepeatBlock-Amend&gt;</w:t>
      </w:r>
    </w:p>
    <w:p w:rsidR="00AF0131" w:rsidRPr="00EF3E37" w:rsidRDefault="00147DFE" w:rsidP="00EF3E37">
      <w:r>
        <w:br w:type="page"/>
      </w:r>
    </w:p>
    <w:p w:rsidR="00EF3E37" w:rsidRDefault="00147DFE" w:rsidP="00EF3E37">
      <w:pPr>
        <w:pStyle w:val="PageHeadingNotTOC"/>
      </w:pPr>
      <w:bookmarkStart w:id="2" w:name="ProcPageAD"/>
      <w:r>
        <w:t>PROCEDURA COMISIEI SESIZATE PENTRU AVIZ</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3B0D2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b/>
                <w:bCs/>
                <w:color w:val="000000"/>
                <w:sz w:val="20"/>
                <w:szCs w:val="20"/>
              </w:rPr>
            </w:pPr>
            <w:r>
              <w:rPr>
                <w:b/>
                <w:color w:val="000000"/>
                <w:sz w:val="20"/>
              </w:rPr>
              <w:t>Titlu</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color w:val="000000"/>
                <w:sz w:val="20"/>
                <w:szCs w:val="20"/>
              </w:rPr>
            </w:pPr>
            <w:r>
              <w:rPr>
                <w:color w:val="000000"/>
                <w:sz w:val="20"/>
              </w:rPr>
              <w:t xml:space="preserve">Coordonarea eficientă a </w:t>
            </w:r>
            <w:r>
              <w:rPr>
                <w:color w:val="000000"/>
                <w:sz w:val="20"/>
              </w:rPr>
              <w:t>politicilor economice și supravegherea bugetară multilaterală și abrogarea Regulamentului (CE) nr. 1466/97 al Consiliului</w:t>
            </w:r>
          </w:p>
        </w:tc>
      </w:tr>
      <w:tr w:rsidR="003B0D2A">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b/>
                <w:bCs/>
                <w:color w:val="000000"/>
                <w:sz w:val="20"/>
                <w:szCs w:val="20"/>
              </w:rPr>
            </w:pPr>
            <w:r>
              <w:rPr>
                <w:b/>
                <w:color w:val="000000"/>
                <w:sz w:val="20"/>
              </w:rPr>
              <w:t>Referințe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color w:val="000000"/>
                <w:sz w:val="20"/>
                <w:szCs w:val="20"/>
              </w:rPr>
            </w:pPr>
            <w:r>
              <w:rPr>
                <w:color w:val="000000"/>
                <w:sz w:val="20"/>
              </w:rPr>
              <w:t>COM(2023)0240 – C9-0150/2023 – 2023/0138(COD)</w:t>
            </w:r>
          </w:p>
        </w:tc>
      </w:tr>
      <w:tr w:rsidR="003B0D2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b/>
                <w:bCs/>
                <w:color w:val="000000"/>
                <w:sz w:val="20"/>
                <w:szCs w:val="20"/>
              </w:rPr>
            </w:pPr>
            <w:r>
              <w:rPr>
                <w:b/>
                <w:color w:val="000000"/>
                <w:sz w:val="20"/>
              </w:rPr>
              <w:t>Comisie competentă</w:t>
            </w:r>
          </w:p>
          <w:p w:rsidR="00EF3E37" w:rsidRDefault="00147DFE">
            <w:pPr>
              <w:autoSpaceDE w:val="0"/>
              <w:autoSpaceDN w:val="0"/>
              <w:adjustRightInd w:val="0"/>
              <w:rPr>
                <w:color w:val="000000"/>
                <w:sz w:val="20"/>
                <w:szCs w:val="20"/>
              </w:rPr>
            </w:pPr>
            <w:r>
              <w:rPr>
                <w:color w:val="000000"/>
                <w:sz w:val="20"/>
              </w:rPr>
              <w:t>       Data anunțului în plen</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F3E37" w:rsidRDefault="00147DFE">
            <w:pPr>
              <w:autoSpaceDE w:val="0"/>
              <w:autoSpaceDN w:val="0"/>
              <w:adjustRightInd w:val="0"/>
              <w:rPr>
                <w:color w:val="000000"/>
                <w:sz w:val="20"/>
                <w:szCs w:val="20"/>
              </w:rPr>
            </w:pPr>
            <w:r>
              <w:rPr>
                <w:color w:val="000000"/>
                <w:sz w:val="20"/>
              </w:rPr>
              <w:t>ECON</w:t>
            </w:r>
          </w:p>
          <w:p w:rsidR="00EF3E37" w:rsidRDefault="00147DFE">
            <w:pPr>
              <w:autoSpaceDE w:val="0"/>
              <w:autoSpaceDN w:val="0"/>
              <w:adjustRightInd w:val="0"/>
              <w:rPr>
                <w:color w:val="000000"/>
                <w:sz w:val="20"/>
                <w:szCs w:val="20"/>
              </w:rPr>
            </w:pPr>
            <w:r>
              <w:rPr>
                <w:color w:val="000000"/>
                <w:sz w:val="20"/>
              </w:rPr>
              <w:t>12.6.2023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F3E37" w:rsidRDefault="00EF3E37">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F3E37" w:rsidRDefault="00EF3E37">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F3E37" w:rsidRDefault="00EF3E37">
            <w:pPr>
              <w:autoSpaceDE w:val="0"/>
              <w:autoSpaceDN w:val="0"/>
              <w:adjustRightInd w:val="0"/>
              <w:rPr>
                <w:rFonts w:ascii="sans-serif" w:hAnsi="sans-serif" w:cs="sans-serif"/>
                <w:color w:val="000000"/>
              </w:rPr>
            </w:pPr>
          </w:p>
        </w:tc>
      </w:tr>
      <w:tr w:rsidR="003B0D2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b/>
                <w:bCs/>
                <w:color w:val="000000"/>
                <w:sz w:val="20"/>
                <w:szCs w:val="20"/>
              </w:rPr>
            </w:pPr>
            <w:r>
              <w:rPr>
                <w:b/>
                <w:color w:val="000000"/>
                <w:sz w:val="20"/>
              </w:rPr>
              <w:t xml:space="preserve">Aviz </w:t>
            </w:r>
            <w:r>
              <w:rPr>
                <w:b/>
                <w:color w:val="000000"/>
                <w:sz w:val="20"/>
              </w:rPr>
              <w:t>emis de către</w:t>
            </w:r>
          </w:p>
          <w:p w:rsidR="00EF3E37" w:rsidRDefault="00147DFE">
            <w:pPr>
              <w:autoSpaceDE w:val="0"/>
              <w:autoSpaceDN w:val="0"/>
              <w:adjustRightInd w:val="0"/>
              <w:rPr>
                <w:color w:val="000000"/>
                <w:sz w:val="20"/>
                <w:szCs w:val="20"/>
              </w:rPr>
            </w:pPr>
            <w:r>
              <w:rPr>
                <w:color w:val="000000"/>
                <w:sz w:val="20"/>
              </w:rPr>
              <w:t>       Data anunțului în plen</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color w:val="000000"/>
                <w:sz w:val="20"/>
                <w:szCs w:val="20"/>
              </w:rPr>
            </w:pPr>
            <w:r>
              <w:rPr>
                <w:color w:val="000000"/>
                <w:sz w:val="20"/>
              </w:rPr>
              <w:t>EMPL</w:t>
            </w:r>
          </w:p>
          <w:p w:rsidR="00EF3E37" w:rsidRDefault="00147DFE">
            <w:pPr>
              <w:autoSpaceDE w:val="0"/>
              <w:autoSpaceDN w:val="0"/>
              <w:adjustRightInd w:val="0"/>
              <w:rPr>
                <w:color w:val="000000"/>
                <w:sz w:val="20"/>
                <w:szCs w:val="20"/>
              </w:rPr>
            </w:pPr>
            <w:r>
              <w:rPr>
                <w:color w:val="000000"/>
                <w:sz w:val="20"/>
              </w:rPr>
              <w:t>12.6.2023</w:t>
            </w:r>
          </w:p>
        </w:tc>
      </w:tr>
      <w:tr w:rsidR="003B0D2A">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b/>
                <w:bCs/>
                <w:color w:val="000000"/>
                <w:sz w:val="20"/>
                <w:szCs w:val="20"/>
              </w:rPr>
            </w:pPr>
            <w:r>
              <w:rPr>
                <w:b/>
                <w:color w:val="000000"/>
                <w:sz w:val="20"/>
              </w:rPr>
              <w:t>Comisii asociate - data anunțului în plen</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color w:val="000000"/>
                <w:sz w:val="20"/>
                <w:szCs w:val="20"/>
              </w:rPr>
            </w:pPr>
            <w:r>
              <w:rPr>
                <w:color w:val="000000"/>
                <w:sz w:val="20"/>
              </w:rPr>
              <w:t>14.9.2023</w:t>
            </w:r>
          </w:p>
        </w:tc>
      </w:tr>
      <w:tr w:rsidR="003B0D2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b/>
                <w:bCs/>
                <w:color w:val="000000"/>
                <w:sz w:val="20"/>
                <w:szCs w:val="20"/>
              </w:rPr>
            </w:pPr>
            <w:r>
              <w:rPr>
                <w:b/>
                <w:color w:val="000000"/>
                <w:sz w:val="20"/>
              </w:rPr>
              <w:t>Raportoare pentru aviz</w:t>
            </w:r>
          </w:p>
          <w:p w:rsidR="00EF3E37" w:rsidRDefault="00147DFE">
            <w:pPr>
              <w:autoSpaceDE w:val="0"/>
              <w:autoSpaceDN w:val="0"/>
              <w:adjustRightInd w:val="0"/>
              <w:rPr>
                <w:color w:val="000000"/>
                <w:sz w:val="20"/>
                <w:szCs w:val="20"/>
              </w:rPr>
            </w:pPr>
            <w:r>
              <w:rPr>
                <w:color w:val="000000"/>
                <w:sz w:val="20"/>
              </w:rPr>
              <w:t>       Data numirii</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color w:val="000000"/>
                <w:sz w:val="20"/>
                <w:szCs w:val="20"/>
              </w:rPr>
            </w:pPr>
            <w:r>
              <w:rPr>
                <w:color w:val="000000"/>
                <w:sz w:val="20"/>
              </w:rPr>
              <w:t>Gabriele Bischoff</w:t>
            </w:r>
          </w:p>
          <w:p w:rsidR="00EF3E37" w:rsidRDefault="00147DFE">
            <w:pPr>
              <w:autoSpaceDE w:val="0"/>
              <w:autoSpaceDN w:val="0"/>
              <w:adjustRightInd w:val="0"/>
              <w:rPr>
                <w:color w:val="000000"/>
                <w:sz w:val="20"/>
                <w:szCs w:val="20"/>
              </w:rPr>
            </w:pPr>
            <w:r>
              <w:rPr>
                <w:color w:val="000000"/>
                <w:sz w:val="20"/>
              </w:rPr>
              <w:t>29.6.2023</w:t>
            </w:r>
          </w:p>
        </w:tc>
      </w:tr>
      <w:tr w:rsidR="003B0D2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b/>
                <w:bCs/>
                <w:color w:val="000000"/>
                <w:sz w:val="20"/>
                <w:szCs w:val="20"/>
              </w:rPr>
            </w:pPr>
            <w:r>
              <w:rPr>
                <w:b/>
                <w:color w:val="000000"/>
                <w:sz w:val="20"/>
              </w:rPr>
              <w:t>Examinare în comisie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F3E37" w:rsidRDefault="00147DFE">
            <w:pPr>
              <w:autoSpaceDE w:val="0"/>
              <w:autoSpaceDN w:val="0"/>
              <w:adjustRightInd w:val="0"/>
              <w:rPr>
                <w:color w:val="000000"/>
                <w:sz w:val="20"/>
                <w:szCs w:val="20"/>
              </w:rPr>
            </w:pPr>
            <w:r>
              <w:rPr>
                <w:color w:val="000000"/>
                <w:sz w:val="20"/>
              </w:rPr>
              <w:t>2.10.2023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F3E37" w:rsidRDefault="00EF3E37">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F3E37" w:rsidRDefault="00EF3E37">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F3E37" w:rsidRDefault="00EF3E37">
            <w:pPr>
              <w:autoSpaceDE w:val="0"/>
              <w:autoSpaceDN w:val="0"/>
              <w:adjustRightInd w:val="0"/>
              <w:rPr>
                <w:rFonts w:ascii="sans-serif" w:hAnsi="sans-serif" w:cs="sans-serif"/>
                <w:color w:val="000000"/>
              </w:rPr>
            </w:pPr>
          </w:p>
        </w:tc>
      </w:tr>
      <w:tr w:rsidR="003B0D2A">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b/>
                <w:bCs/>
                <w:color w:val="000000"/>
                <w:sz w:val="20"/>
                <w:szCs w:val="20"/>
              </w:rPr>
            </w:pPr>
            <w:r>
              <w:rPr>
                <w:b/>
                <w:color w:val="000000"/>
                <w:sz w:val="20"/>
              </w:rPr>
              <w:t>Data adoptării</w:t>
            </w:r>
          </w:p>
        </w:tc>
        <w:tc>
          <w:tcPr>
            <w:tcW w:w="1530" w:type="dxa"/>
            <w:tcBorders>
              <w:top w:val="nil"/>
              <w:left w:val="nil"/>
              <w:bottom w:val="single" w:sz="8" w:space="0" w:color="000000"/>
              <w:right w:val="nil"/>
            </w:tcBorders>
            <w:tcMar>
              <w:top w:w="79" w:type="dxa"/>
              <w:left w:w="79" w:type="dxa"/>
              <w:bottom w:w="79" w:type="dxa"/>
              <w:right w:w="79" w:type="dxa"/>
            </w:tcMar>
          </w:tcPr>
          <w:p w:rsidR="00EF3E37" w:rsidRDefault="00147DFE">
            <w:pPr>
              <w:autoSpaceDE w:val="0"/>
              <w:autoSpaceDN w:val="0"/>
              <w:adjustRightInd w:val="0"/>
              <w:rPr>
                <w:color w:val="000000"/>
                <w:sz w:val="20"/>
                <w:szCs w:val="20"/>
              </w:rPr>
            </w:pPr>
            <w:r>
              <w:rPr>
                <w:color w:val="000000"/>
                <w:sz w:val="20"/>
              </w:rPr>
              <w:t>25.10.2023</w:t>
            </w:r>
          </w:p>
        </w:tc>
        <w:tc>
          <w:tcPr>
            <w:tcW w:w="1474" w:type="dxa"/>
            <w:tcBorders>
              <w:top w:val="nil"/>
              <w:left w:val="nil"/>
              <w:bottom w:val="single" w:sz="8" w:space="0" w:color="000000"/>
              <w:right w:val="nil"/>
            </w:tcBorders>
            <w:tcMar>
              <w:top w:w="79" w:type="dxa"/>
              <w:left w:w="79" w:type="dxa"/>
              <w:bottom w:w="79" w:type="dxa"/>
              <w:right w:w="79" w:type="dxa"/>
            </w:tcMar>
          </w:tcPr>
          <w:p w:rsidR="00EF3E37" w:rsidRDefault="00EF3E37">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rsidR="00EF3E37" w:rsidRDefault="00EF3E37">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EF3E37" w:rsidRDefault="00EF3E37">
            <w:pPr>
              <w:autoSpaceDE w:val="0"/>
              <w:autoSpaceDN w:val="0"/>
              <w:adjustRightInd w:val="0"/>
              <w:rPr>
                <w:rFonts w:ascii="sans-serif" w:hAnsi="sans-serif" w:cs="sans-serif"/>
                <w:color w:val="000000"/>
              </w:rPr>
            </w:pPr>
          </w:p>
        </w:tc>
      </w:tr>
      <w:tr w:rsidR="003B0D2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b/>
                <w:bCs/>
                <w:color w:val="000000"/>
                <w:sz w:val="20"/>
                <w:szCs w:val="20"/>
              </w:rPr>
            </w:pPr>
            <w:r>
              <w:rPr>
                <w:b/>
                <w:color w:val="000000"/>
                <w:sz w:val="20"/>
              </w:rPr>
              <w:t>Rezultatul votului final</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F3E37" w:rsidRDefault="00147DFE">
            <w:pPr>
              <w:autoSpaceDE w:val="0"/>
              <w:autoSpaceDN w:val="0"/>
              <w:adjustRightInd w:val="0"/>
              <w:rPr>
                <w:color w:val="000000"/>
                <w:sz w:val="20"/>
                <w:szCs w:val="20"/>
              </w:rPr>
            </w:pPr>
            <w:r>
              <w:rPr>
                <w:color w:val="000000"/>
                <w:sz w:val="20"/>
              </w:rPr>
              <w:t>+:</w:t>
            </w:r>
          </w:p>
          <w:p w:rsidR="00EF3E37" w:rsidRDefault="00147DFE">
            <w:pPr>
              <w:autoSpaceDE w:val="0"/>
              <w:autoSpaceDN w:val="0"/>
              <w:adjustRightInd w:val="0"/>
              <w:rPr>
                <w:color w:val="000000"/>
                <w:sz w:val="20"/>
                <w:szCs w:val="20"/>
              </w:rPr>
            </w:pPr>
            <w:r>
              <w:rPr>
                <w:color w:val="000000"/>
                <w:sz w:val="20"/>
              </w:rPr>
              <w:t>–:</w:t>
            </w:r>
          </w:p>
          <w:p w:rsidR="00EF3E37" w:rsidRDefault="00147DFE">
            <w:pPr>
              <w:autoSpaceDE w:val="0"/>
              <w:autoSpaceDN w:val="0"/>
              <w:adjustRightInd w:val="0"/>
              <w:rPr>
                <w:color w:val="000000"/>
                <w:sz w:val="20"/>
                <w:szCs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color w:val="000000"/>
                <w:sz w:val="20"/>
                <w:szCs w:val="20"/>
              </w:rPr>
            </w:pPr>
            <w:r>
              <w:rPr>
                <w:color w:val="000000"/>
                <w:sz w:val="20"/>
              </w:rPr>
              <w:t>29</w:t>
            </w:r>
          </w:p>
          <w:p w:rsidR="00EF3E37" w:rsidRDefault="00147DFE">
            <w:pPr>
              <w:autoSpaceDE w:val="0"/>
              <w:autoSpaceDN w:val="0"/>
              <w:adjustRightInd w:val="0"/>
              <w:rPr>
                <w:color w:val="000000"/>
                <w:sz w:val="20"/>
                <w:szCs w:val="20"/>
              </w:rPr>
            </w:pPr>
            <w:r>
              <w:rPr>
                <w:color w:val="000000"/>
                <w:sz w:val="20"/>
              </w:rPr>
              <w:t>4</w:t>
            </w:r>
          </w:p>
          <w:p w:rsidR="00EF3E37" w:rsidRDefault="00147DFE">
            <w:pPr>
              <w:autoSpaceDE w:val="0"/>
              <w:autoSpaceDN w:val="0"/>
              <w:adjustRightInd w:val="0"/>
              <w:rPr>
                <w:color w:val="000000"/>
                <w:sz w:val="20"/>
                <w:szCs w:val="20"/>
              </w:rPr>
            </w:pPr>
            <w:r>
              <w:rPr>
                <w:color w:val="000000"/>
                <w:sz w:val="20"/>
              </w:rPr>
              <w:t>10</w:t>
            </w:r>
          </w:p>
        </w:tc>
      </w:tr>
      <w:tr w:rsidR="003B0D2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b/>
                <w:bCs/>
                <w:color w:val="000000"/>
                <w:sz w:val="20"/>
                <w:szCs w:val="20"/>
              </w:rPr>
            </w:pPr>
            <w:r>
              <w:rPr>
                <w:b/>
                <w:color w:val="000000"/>
                <w:sz w:val="20"/>
              </w:rPr>
              <w:t>Membri titulari prezenți la votul final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color w:val="000000"/>
                <w:sz w:val="20"/>
                <w:szCs w:val="20"/>
              </w:rPr>
            </w:pPr>
            <w:r>
              <w:rPr>
                <w:color w:val="000000"/>
                <w:sz w:val="20"/>
              </w:rPr>
              <w:t>João Albuquerque, Marc Angel, Dominique Bilde, Gabriele Bischoff, Milan Brglez, Jordi Cañas, David Casa, Ilan De Basso, Margarita de la Pisa Carrión, Özlem Demirel, Klára</w:t>
            </w:r>
            <w:r>
              <w:rPr>
                <w:color w:val="000000"/>
                <w:sz w:val="20"/>
              </w:rPr>
              <w:t xml:space="preserve"> Dobrev, Jarosław Duda, Estrella Durá Ferrandis, Lucia Ďuriš Nicholsonová, Loucas Fourlas, Cindy Franssen, Chiara Gemma, Helmut Geuking, Elisabetta Gualmini, Alicia Homs Ginel, Agnes Jongerius, Stelios Kympouropoulos, Katrin Langensiepen, Miriam Lexmann, E</w:t>
            </w:r>
            <w:r>
              <w:rPr>
                <w:color w:val="000000"/>
                <w:sz w:val="20"/>
              </w:rPr>
              <w:t>lena Lizzi, Sara Matthieu, Max Orville, Kira Marie Peter-Hansen, Dragoş Pîslaru, Elżbieta Rafalska, Daniela Rondinelli, Pirkko Ruohonen-Lerner, Monica Semedo, Romana Tomc, Nikolaj Villumsen, Marianne Vind, Maria Walsh, Tomáš Zdechovský</w:t>
            </w:r>
          </w:p>
        </w:tc>
      </w:tr>
      <w:tr w:rsidR="003B0D2A">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b/>
                <w:bCs/>
                <w:color w:val="000000"/>
                <w:sz w:val="20"/>
                <w:szCs w:val="20"/>
              </w:rPr>
            </w:pPr>
            <w:r>
              <w:rPr>
                <w:b/>
                <w:color w:val="000000"/>
                <w:sz w:val="20"/>
              </w:rPr>
              <w:t>Membri supleanți pr</w:t>
            </w:r>
            <w:r>
              <w:rPr>
                <w:b/>
                <w:color w:val="000000"/>
                <w:sz w:val="20"/>
              </w:rPr>
              <w:t>ezenți la votul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color w:val="000000"/>
                <w:sz w:val="20"/>
                <w:szCs w:val="20"/>
              </w:rPr>
            </w:pPr>
            <w:r>
              <w:rPr>
                <w:color w:val="000000"/>
                <w:sz w:val="20"/>
              </w:rPr>
              <w:t>Alexander Alexandrov Yordanov, Aurore Lalucq, Eugenia Rodríguez Palop</w:t>
            </w:r>
          </w:p>
        </w:tc>
      </w:tr>
      <w:tr w:rsidR="003B0D2A">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b/>
                <w:bCs/>
                <w:color w:val="000000"/>
                <w:sz w:val="20"/>
                <w:szCs w:val="20"/>
              </w:rPr>
            </w:pPr>
            <w:r>
              <w:rPr>
                <w:b/>
                <w:color w:val="000000"/>
                <w:sz w:val="20"/>
              </w:rPr>
              <w:t>Membri supleanți [articolul 209 alineatul (7)] prezenți la votul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F3E37" w:rsidRDefault="00147DFE">
            <w:pPr>
              <w:autoSpaceDE w:val="0"/>
              <w:autoSpaceDN w:val="0"/>
              <w:adjustRightInd w:val="0"/>
              <w:rPr>
                <w:color w:val="000000"/>
                <w:sz w:val="20"/>
                <w:szCs w:val="20"/>
              </w:rPr>
            </w:pPr>
            <w:r>
              <w:rPr>
                <w:color w:val="000000"/>
                <w:sz w:val="20"/>
              </w:rPr>
              <w:t>Sirpa Pietikäinen, Caroline Roose</w:t>
            </w:r>
          </w:p>
        </w:tc>
      </w:tr>
    </w:tbl>
    <w:p w:rsidR="00EF3E37" w:rsidRDefault="00EF3E37"/>
    <w:bookmarkEnd w:id="2"/>
    <w:p w:rsidR="00AF0131" w:rsidRPr="00EF3E37" w:rsidRDefault="00AF0131" w:rsidP="00EF3E37">
      <w:pPr>
        <w:sectPr w:rsidR="00AF0131" w:rsidRPr="00EF3E37" w:rsidSect="00B703CF">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AF0131" w:rsidRPr="003D6066" w:rsidRDefault="00147DFE" w:rsidP="00EF3E37">
      <w:pPr>
        <w:pStyle w:val="PageHeadingNotTOC"/>
      </w:pPr>
      <w:bookmarkStart w:id="3" w:name="RollCallPageAD"/>
      <w:r>
        <w:t>VOT FINAL PRIN APEL NOMINAL ÎN COMISIA SESIZATĂ PENTRU AVIZ</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B0D2A" w:rsidTr="00C33FBD">
        <w:trPr>
          <w:cantSplit/>
        </w:trPr>
        <w:tc>
          <w:tcPr>
            <w:tcW w:w="1701" w:type="dxa"/>
            <w:shd w:val="pct10" w:color="000000" w:fill="FFFFFF"/>
            <w:vAlign w:val="center"/>
          </w:tcPr>
          <w:p w:rsidR="00AF0131" w:rsidRPr="003D6066" w:rsidRDefault="00147DFE" w:rsidP="00C33FBD">
            <w:pPr>
              <w:pStyle w:val="RollCallVotes"/>
            </w:pPr>
            <w:r>
              <w:t>29</w:t>
            </w:r>
          </w:p>
        </w:tc>
        <w:tc>
          <w:tcPr>
            <w:tcW w:w="7371" w:type="dxa"/>
            <w:shd w:val="pct10" w:color="000000" w:fill="FFFFFF"/>
          </w:tcPr>
          <w:p w:rsidR="00AF0131" w:rsidRPr="003D6066" w:rsidRDefault="00147DFE" w:rsidP="00C33FBD">
            <w:pPr>
              <w:pStyle w:val="RollCallSymbols14pt"/>
            </w:pPr>
            <w:r>
              <w:t>+</w:t>
            </w:r>
          </w:p>
        </w:tc>
      </w:tr>
      <w:tr w:rsidR="003B0D2A" w:rsidTr="00C33FBD">
        <w:trPr>
          <w:cantSplit/>
        </w:trPr>
        <w:tc>
          <w:tcPr>
            <w:tcW w:w="1701" w:type="dxa"/>
            <w:shd w:val="clear" w:color="auto" w:fill="FFFFFF"/>
          </w:tcPr>
          <w:p w:rsidR="00AF0131" w:rsidRPr="003D6066" w:rsidRDefault="00147DFE" w:rsidP="00C33FBD">
            <w:pPr>
              <w:pStyle w:val="RollCallTable"/>
            </w:pPr>
            <w:r>
              <w:t>PPE</w:t>
            </w:r>
          </w:p>
        </w:tc>
        <w:tc>
          <w:tcPr>
            <w:tcW w:w="7371" w:type="dxa"/>
            <w:shd w:val="clear" w:color="auto" w:fill="FFFFFF"/>
          </w:tcPr>
          <w:p w:rsidR="00AF0131" w:rsidRPr="003D6066" w:rsidRDefault="00147DFE" w:rsidP="00C33FBD">
            <w:pPr>
              <w:pStyle w:val="RollCallTable"/>
            </w:pPr>
            <w:r>
              <w:t>David Casa, Loucas Fourlas, Cindy Franssen, Stelios Kympouropoulos, Sirpa Pietikäinen, Maria Walsh</w:t>
            </w:r>
          </w:p>
        </w:tc>
      </w:tr>
      <w:tr w:rsidR="003B0D2A" w:rsidTr="00C33FBD">
        <w:trPr>
          <w:cantSplit/>
        </w:trPr>
        <w:tc>
          <w:tcPr>
            <w:tcW w:w="1701" w:type="dxa"/>
            <w:shd w:val="clear" w:color="auto" w:fill="FFFFFF"/>
          </w:tcPr>
          <w:p w:rsidR="00AF0131" w:rsidRPr="003D6066" w:rsidRDefault="00147DFE" w:rsidP="00C33FBD">
            <w:pPr>
              <w:pStyle w:val="RollCallTable"/>
            </w:pPr>
            <w:r>
              <w:t>Renew</w:t>
            </w:r>
          </w:p>
        </w:tc>
        <w:tc>
          <w:tcPr>
            <w:tcW w:w="7371" w:type="dxa"/>
            <w:shd w:val="clear" w:color="auto" w:fill="FFFFFF"/>
          </w:tcPr>
          <w:p w:rsidR="00AF0131" w:rsidRPr="003D6066" w:rsidRDefault="00147DFE" w:rsidP="00C33FBD">
            <w:pPr>
              <w:pStyle w:val="RollCallTable"/>
            </w:pPr>
            <w:r>
              <w:t xml:space="preserve">Jordi Cañas, Lucia Ďuriš Nicholsonová, Max Orville, Dragoş Pîslaru, Monica </w:t>
            </w:r>
            <w:r>
              <w:t>Semedo</w:t>
            </w:r>
          </w:p>
        </w:tc>
      </w:tr>
      <w:tr w:rsidR="003B0D2A" w:rsidTr="00C33FBD">
        <w:trPr>
          <w:cantSplit/>
        </w:trPr>
        <w:tc>
          <w:tcPr>
            <w:tcW w:w="1701" w:type="dxa"/>
            <w:shd w:val="clear" w:color="auto" w:fill="FFFFFF"/>
          </w:tcPr>
          <w:p w:rsidR="00AF0131" w:rsidRPr="003D6066" w:rsidRDefault="00147DFE" w:rsidP="00C33FBD">
            <w:pPr>
              <w:pStyle w:val="RollCallTable"/>
            </w:pPr>
            <w:r>
              <w:t>S&amp;D</w:t>
            </w:r>
          </w:p>
        </w:tc>
        <w:tc>
          <w:tcPr>
            <w:tcW w:w="7371" w:type="dxa"/>
            <w:shd w:val="clear" w:color="auto" w:fill="FFFFFF"/>
          </w:tcPr>
          <w:p w:rsidR="00AF0131" w:rsidRPr="003D6066" w:rsidRDefault="00147DFE" w:rsidP="00C33FBD">
            <w:pPr>
              <w:pStyle w:val="RollCallTable"/>
            </w:pPr>
            <w:r>
              <w:t>João Albuquerque, Marc Angel, Gabriele Bischoff, Milan Brglez, Klára Dobrev, Estrella Durá Ferrandis, Elisabetta Gualmini, Alicia Homs Ginel, Agnes Jongerius, Aurore Lalucq, Daniela Rondinelli, Marianne Vind</w:t>
            </w:r>
          </w:p>
        </w:tc>
      </w:tr>
      <w:tr w:rsidR="003B0D2A" w:rsidTr="00C33FBD">
        <w:trPr>
          <w:cantSplit/>
        </w:trPr>
        <w:tc>
          <w:tcPr>
            <w:tcW w:w="1701" w:type="dxa"/>
            <w:shd w:val="clear" w:color="auto" w:fill="FFFFFF"/>
          </w:tcPr>
          <w:p w:rsidR="00AF0131" w:rsidRPr="003D6066" w:rsidRDefault="00147DFE" w:rsidP="00C33FBD">
            <w:pPr>
              <w:pStyle w:val="RollCallTable"/>
            </w:pPr>
            <w:r>
              <w:t>The Left</w:t>
            </w:r>
          </w:p>
        </w:tc>
        <w:tc>
          <w:tcPr>
            <w:tcW w:w="7371" w:type="dxa"/>
            <w:shd w:val="clear" w:color="auto" w:fill="FFFFFF"/>
          </w:tcPr>
          <w:p w:rsidR="00AF0131" w:rsidRPr="003D6066" w:rsidRDefault="00147DFE" w:rsidP="00C33FBD">
            <w:pPr>
              <w:pStyle w:val="RollCallTable"/>
            </w:pPr>
            <w:r>
              <w:t xml:space="preserve">Eugenia Rodríguez Palop, </w:t>
            </w:r>
            <w:r>
              <w:t>Nikolaj Villumsen</w:t>
            </w:r>
          </w:p>
        </w:tc>
      </w:tr>
      <w:tr w:rsidR="003B0D2A" w:rsidTr="00C33FBD">
        <w:trPr>
          <w:cantSplit/>
        </w:trPr>
        <w:tc>
          <w:tcPr>
            <w:tcW w:w="1701" w:type="dxa"/>
            <w:shd w:val="clear" w:color="auto" w:fill="FFFFFF"/>
          </w:tcPr>
          <w:p w:rsidR="00AF0131" w:rsidRPr="003D6066" w:rsidRDefault="00147DFE" w:rsidP="00C33FBD">
            <w:pPr>
              <w:pStyle w:val="RollCallTable"/>
            </w:pPr>
            <w:r>
              <w:t>Verts/ALE</w:t>
            </w:r>
          </w:p>
        </w:tc>
        <w:tc>
          <w:tcPr>
            <w:tcW w:w="7371" w:type="dxa"/>
            <w:shd w:val="clear" w:color="auto" w:fill="FFFFFF"/>
          </w:tcPr>
          <w:p w:rsidR="00AF0131" w:rsidRPr="003D6066" w:rsidRDefault="00147DFE" w:rsidP="00C33FBD">
            <w:pPr>
              <w:pStyle w:val="RollCallTable"/>
            </w:pPr>
            <w:r>
              <w:t>Katrin Langensiepen, Sara Matthieu, Kira Marie Peter-Hansen, Caroline Roose</w:t>
            </w:r>
          </w:p>
        </w:tc>
      </w:tr>
    </w:tbl>
    <w:p w:rsidR="00AF0131" w:rsidRPr="003D6066" w:rsidRDefault="00AF0131" w:rsidP="00AF013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B0D2A" w:rsidTr="00C33FBD">
        <w:trPr>
          <w:cantSplit/>
        </w:trPr>
        <w:tc>
          <w:tcPr>
            <w:tcW w:w="1701" w:type="dxa"/>
            <w:shd w:val="pct10" w:color="000000" w:fill="FFFFFF"/>
            <w:vAlign w:val="center"/>
          </w:tcPr>
          <w:p w:rsidR="00AF0131" w:rsidRPr="003D6066" w:rsidRDefault="00147DFE" w:rsidP="00C33FBD">
            <w:pPr>
              <w:pStyle w:val="RollCallVotes"/>
            </w:pPr>
            <w:r>
              <w:t>4</w:t>
            </w:r>
          </w:p>
        </w:tc>
        <w:tc>
          <w:tcPr>
            <w:tcW w:w="7371" w:type="dxa"/>
            <w:shd w:val="pct10" w:color="000000" w:fill="FFFFFF"/>
          </w:tcPr>
          <w:p w:rsidR="00AF0131" w:rsidRPr="003D6066" w:rsidRDefault="00147DFE" w:rsidP="00C33FBD">
            <w:pPr>
              <w:pStyle w:val="RollCallSymbols14pt"/>
            </w:pPr>
            <w:r>
              <w:t>-</w:t>
            </w:r>
          </w:p>
        </w:tc>
      </w:tr>
      <w:tr w:rsidR="003B0D2A" w:rsidTr="00C33FBD">
        <w:trPr>
          <w:cantSplit/>
        </w:trPr>
        <w:tc>
          <w:tcPr>
            <w:tcW w:w="1701" w:type="dxa"/>
            <w:shd w:val="clear" w:color="auto" w:fill="FFFFFF"/>
          </w:tcPr>
          <w:p w:rsidR="00AF0131" w:rsidRPr="003D6066" w:rsidRDefault="00147DFE" w:rsidP="00C33FBD">
            <w:pPr>
              <w:pStyle w:val="RollCallTable"/>
            </w:pPr>
            <w:r>
              <w:t>ECR</w:t>
            </w:r>
          </w:p>
        </w:tc>
        <w:tc>
          <w:tcPr>
            <w:tcW w:w="7371" w:type="dxa"/>
            <w:shd w:val="clear" w:color="auto" w:fill="FFFFFF"/>
          </w:tcPr>
          <w:p w:rsidR="00AF0131" w:rsidRPr="003D6066" w:rsidRDefault="00147DFE" w:rsidP="00C33FBD">
            <w:pPr>
              <w:pStyle w:val="RollCallTable"/>
            </w:pPr>
            <w:r>
              <w:t>Margarita de la Pisa Carrión, Elżbieta Rafalska, Pirkko Ruohonen-Lerner</w:t>
            </w:r>
          </w:p>
        </w:tc>
      </w:tr>
      <w:tr w:rsidR="003B0D2A" w:rsidTr="00C33FBD">
        <w:trPr>
          <w:cantSplit/>
        </w:trPr>
        <w:tc>
          <w:tcPr>
            <w:tcW w:w="1701" w:type="dxa"/>
            <w:shd w:val="clear" w:color="auto" w:fill="FFFFFF"/>
          </w:tcPr>
          <w:p w:rsidR="00AF0131" w:rsidRPr="003D6066" w:rsidRDefault="00147DFE" w:rsidP="00C33FBD">
            <w:pPr>
              <w:pStyle w:val="RollCallTable"/>
            </w:pPr>
            <w:r>
              <w:t>ID</w:t>
            </w:r>
          </w:p>
        </w:tc>
        <w:tc>
          <w:tcPr>
            <w:tcW w:w="7371" w:type="dxa"/>
            <w:shd w:val="clear" w:color="auto" w:fill="FFFFFF"/>
          </w:tcPr>
          <w:p w:rsidR="00AF0131" w:rsidRPr="003D6066" w:rsidRDefault="00147DFE" w:rsidP="00C33FBD">
            <w:pPr>
              <w:pStyle w:val="RollCallTable"/>
            </w:pPr>
            <w:r>
              <w:t>Dominique Bilde</w:t>
            </w:r>
          </w:p>
        </w:tc>
      </w:tr>
    </w:tbl>
    <w:p w:rsidR="00AF0131" w:rsidRPr="003D6066" w:rsidRDefault="00AF0131" w:rsidP="00AF013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B0D2A" w:rsidTr="00C33FBD">
        <w:trPr>
          <w:cantSplit/>
        </w:trPr>
        <w:tc>
          <w:tcPr>
            <w:tcW w:w="1701" w:type="dxa"/>
            <w:shd w:val="pct10" w:color="000000" w:fill="FFFFFF"/>
            <w:vAlign w:val="center"/>
          </w:tcPr>
          <w:p w:rsidR="00AF0131" w:rsidRPr="003D6066" w:rsidRDefault="00147DFE" w:rsidP="00C33FBD">
            <w:pPr>
              <w:pStyle w:val="RollCallVotes"/>
            </w:pPr>
            <w:r>
              <w:t>10</w:t>
            </w:r>
          </w:p>
        </w:tc>
        <w:tc>
          <w:tcPr>
            <w:tcW w:w="7371" w:type="dxa"/>
            <w:shd w:val="pct10" w:color="000000" w:fill="FFFFFF"/>
          </w:tcPr>
          <w:p w:rsidR="00AF0131" w:rsidRPr="003D6066" w:rsidRDefault="00147DFE" w:rsidP="00C33FBD">
            <w:pPr>
              <w:pStyle w:val="RollCallSymbols14pt"/>
            </w:pPr>
            <w:r>
              <w:t>0</w:t>
            </w:r>
          </w:p>
        </w:tc>
      </w:tr>
      <w:tr w:rsidR="003B0D2A" w:rsidTr="00C33FBD">
        <w:trPr>
          <w:cantSplit/>
        </w:trPr>
        <w:tc>
          <w:tcPr>
            <w:tcW w:w="1701" w:type="dxa"/>
            <w:shd w:val="clear" w:color="auto" w:fill="FFFFFF"/>
          </w:tcPr>
          <w:p w:rsidR="00AF0131" w:rsidRPr="003D6066" w:rsidRDefault="00147DFE" w:rsidP="00C33FBD">
            <w:pPr>
              <w:pStyle w:val="RollCallTable"/>
            </w:pPr>
            <w:r>
              <w:t>ECR</w:t>
            </w:r>
          </w:p>
        </w:tc>
        <w:tc>
          <w:tcPr>
            <w:tcW w:w="7371" w:type="dxa"/>
            <w:shd w:val="clear" w:color="auto" w:fill="FFFFFF"/>
          </w:tcPr>
          <w:p w:rsidR="00AF0131" w:rsidRPr="003D6066" w:rsidRDefault="00147DFE" w:rsidP="00C33FBD">
            <w:pPr>
              <w:pStyle w:val="RollCallTable"/>
            </w:pPr>
            <w:r>
              <w:t>Chiara Gemma</w:t>
            </w:r>
          </w:p>
        </w:tc>
      </w:tr>
      <w:tr w:rsidR="003B0D2A" w:rsidTr="00C33FBD">
        <w:trPr>
          <w:cantSplit/>
        </w:trPr>
        <w:tc>
          <w:tcPr>
            <w:tcW w:w="1701" w:type="dxa"/>
            <w:shd w:val="clear" w:color="auto" w:fill="FFFFFF"/>
          </w:tcPr>
          <w:p w:rsidR="00AF0131" w:rsidRPr="003D6066" w:rsidRDefault="00147DFE" w:rsidP="00C33FBD">
            <w:pPr>
              <w:pStyle w:val="RollCallTable"/>
            </w:pPr>
            <w:r>
              <w:t>ID</w:t>
            </w:r>
          </w:p>
        </w:tc>
        <w:tc>
          <w:tcPr>
            <w:tcW w:w="7371" w:type="dxa"/>
            <w:shd w:val="clear" w:color="auto" w:fill="FFFFFF"/>
          </w:tcPr>
          <w:p w:rsidR="00AF0131" w:rsidRPr="003D6066" w:rsidRDefault="00147DFE" w:rsidP="00C33FBD">
            <w:pPr>
              <w:pStyle w:val="RollCallTable"/>
            </w:pPr>
            <w:r>
              <w:t>Elena Lizzi</w:t>
            </w:r>
          </w:p>
        </w:tc>
      </w:tr>
      <w:tr w:rsidR="003B0D2A" w:rsidTr="00C33FBD">
        <w:trPr>
          <w:cantSplit/>
        </w:trPr>
        <w:tc>
          <w:tcPr>
            <w:tcW w:w="1701" w:type="dxa"/>
            <w:shd w:val="clear" w:color="auto" w:fill="FFFFFF"/>
          </w:tcPr>
          <w:p w:rsidR="00AF0131" w:rsidRPr="003D6066" w:rsidRDefault="00147DFE" w:rsidP="00C33FBD">
            <w:pPr>
              <w:pStyle w:val="RollCallTable"/>
            </w:pPr>
            <w:r>
              <w:t>PPE</w:t>
            </w:r>
          </w:p>
        </w:tc>
        <w:tc>
          <w:tcPr>
            <w:tcW w:w="7371" w:type="dxa"/>
            <w:shd w:val="clear" w:color="auto" w:fill="FFFFFF"/>
          </w:tcPr>
          <w:p w:rsidR="00AF0131" w:rsidRPr="003D6066" w:rsidRDefault="00147DFE" w:rsidP="00C33FBD">
            <w:pPr>
              <w:pStyle w:val="RollCallTable"/>
            </w:pPr>
            <w:r>
              <w:t>Alexander Alexandrov Yordanov, Jarosław Duda, Helmut Geuking, Miriam Lexmann, Romana Tomc, Tomáš Zdechovský</w:t>
            </w:r>
          </w:p>
        </w:tc>
      </w:tr>
      <w:tr w:rsidR="003B0D2A" w:rsidTr="00C33FBD">
        <w:trPr>
          <w:cantSplit/>
        </w:trPr>
        <w:tc>
          <w:tcPr>
            <w:tcW w:w="1701" w:type="dxa"/>
            <w:shd w:val="clear" w:color="auto" w:fill="FFFFFF"/>
          </w:tcPr>
          <w:p w:rsidR="00AF0131" w:rsidRPr="003D6066" w:rsidRDefault="00147DFE" w:rsidP="00C33FBD">
            <w:pPr>
              <w:pStyle w:val="RollCallTable"/>
            </w:pPr>
            <w:r>
              <w:t>S&amp;D</w:t>
            </w:r>
          </w:p>
        </w:tc>
        <w:tc>
          <w:tcPr>
            <w:tcW w:w="7371" w:type="dxa"/>
            <w:shd w:val="clear" w:color="auto" w:fill="FFFFFF"/>
          </w:tcPr>
          <w:p w:rsidR="00AF0131" w:rsidRPr="003D6066" w:rsidRDefault="00147DFE" w:rsidP="00C33FBD">
            <w:pPr>
              <w:pStyle w:val="RollCallTable"/>
            </w:pPr>
            <w:r>
              <w:t>Ilan De Basso</w:t>
            </w:r>
          </w:p>
        </w:tc>
      </w:tr>
      <w:tr w:rsidR="003B0D2A" w:rsidTr="00C33FBD">
        <w:trPr>
          <w:cantSplit/>
        </w:trPr>
        <w:tc>
          <w:tcPr>
            <w:tcW w:w="1701" w:type="dxa"/>
            <w:shd w:val="clear" w:color="auto" w:fill="FFFFFF"/>
          </w:tcPr>
          <w:p w:rsidR="00AF0131" w:rsidRPr="003D6066" w:rsidRDefault="00147DFE" w:rsidP="00C33FBD">
            <w:pPr>
              <w:pStyle w:val="RollCallTable"/>
            </w:pPr>
            <w:r>
              <w:t>The Left</w:t>
            </w:r>
          </w:p>
        </w:tc>
        <w:tc>
          <w:tcPr>
            <w:tcW w:w="7371" w:type="dxa"/>
            <w:shd w:val="clear" w:color="auto" w:fill="FFFFFF"/>
          </w:tcPr>
          <w:p w:rsidR="00AF0131" w:rsidRPr="003D6066" w:rsidRDefault="00147DFE" w:rsidP="00C33FBD">
            <w:pPr>
              <w:pStyle w:val="RollCallTable"/>
            </w:pPr>
            <w:r>
              <w:t>Özlem Demirel</w:t>
            </w:r>
          </w:p>
        </w:tc>
      </w:tr>
    </w:tbl>
    <w:p w:rsidR="00AF0131" w:rsidRPr="003D6066" w:rsidRDefault="00AF0131" w:rsidP="00AF0131">
      <w:pPr>
        <w:pStyle w:val="Normal12a"/>
      </w:pPr>
    </w:p>
    <w:p w:rsidR="00EF3E37" w:rsidRPr="00CB34A7" w:rsidRDefault="00147DFE" w:rsidP="00EF3E37">
      <w:r>
        <w:t xml:space="preserve">Legenda simbolurilor utilizate: </w:t>
      </w:r>
    </w:p>
    <w:p w:rsidR="00EF3E37" w:rsidRPr="00CB34A7" w:rsidRDefault="00147DFE" w:rsidP="00EF3E37">
      <w:r>
        <w:t>+  :  pentru</w:t>
      </w:r>
    </w:p>
    <w:p w:rsidR="00EF3E37" w:rsidRPr="00CB34A7" w:rsidRDefault="00147DFE" w:rsidP="00EF3E37">
      <w:r>
        <w:t>-  :  împotrivă</w:t>
      </w:r>
    </w:p>
    <w:p w:rsidR="00EF3E37" w:rsidRPr="00CB34A7" w:rsidRDefault="00147DFE" w:rsidP="00EF3E37">
      <w:r>
        <w:t>0  :  abțineri</w:t>
      </w:r>
    </w:p>
    <w:p w:rsidR="00AF0131" w:rsidRPr="003D6066" w:rsidRDefault="00AF0131" w:rsidP="00AF0131"/>
    <w:bookmarkEnd w:id="3"/>
    <w:p w:rsidR="00AF0131" w:rsidRPr="003D6066" w:rsidRDefault="00AF0131" w:rsidP="00AF0131"/>
    <w:p w:rsidR="00DB56E4" w:rsidRPr="003D6066" w:rsidRDefault="00DB56E4" w:rsidP="00AF0131">
      <w:pPr>
        <w:pStyle w:val="CoverReference"/>
      </w:pPr>
    </w:p>
    <w:sectPr w:rsidR="00DB56E4" w:rsidRPr="003D6066" w:rsidSect="00C56375">
      <w:headerReference w:type="even" r:id="rId14"/>
      <w:head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47DFE">
      <w:r>
        <w:separator/>
      </w:r>
    </w:p>
  </w:endnote>
  <w:endnote w:type="continuationSeparator" w:id="0">
    <w:p w:rsidR="00000000" w:rsidRDefault="00147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00000003" w:usb1="00000000" w:usb2="00000000" w:usb3="00000000" w:csb0="00000001" w:csb1="00000000"/>
  </w:font>
  <w:font w:name="sans-serif">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3CF" w:rsidRPr="003D6066" w:rsidRDefault="00147DFE" w:rsidP="00B703CF">
    <w:pPr>
      <w:pStyle w:val="EPFooter"/>
    </w:pPr>
    <w:r w:rsidRPr="003D6066">
      <w:t>PE</w:t>
    </w:r>
    <w:r w:rsidRPr="003D6066">
      <w:rPr>
        <w:rStyle w:val="HideTWBExt"/>
      </w:rPr>
      <w:t>&lt;NoPE&gt;</w:t>
    </w:r>
    <w:r w:rsidRPr="003D6066">
      <w:t>752.621</w:t>
    </w:r>
    <w:r w:rsidRPr="003D6066">
      <w:rPr>
        <w:rStyle w:val="HideTWBExt"/>
      </w:rPr>
      <w:t>&lt;/NoPE&gt;&lt;Version&gt;</w:t>
    </w:r>
    <w:r w:rsidRPr="003D6066">
      <w:t>v02-00</w:t>
    </w:r>
    <w:r w:rsidRPr="003D6066">
      <w:rPr>
        <w:rStyle w:val="HideTWBExt"/>
      </w:rPr>
      <w:t>&lt;/Version&gt;</w:t>
    </w:r>
    <w:r w:rsidRPr="003D6066">
      <w:tab/>
    </w:r>
    <w:r w:rsidRPr="003D6066">
      <w:fldChar w:fldCharType="begin"/>
    </w:r>
    <w:r w:rsidRPr="003D6066">
      <w:instrText xml:space="preserve"> PAGE  \* MERGEFORMAT </w:instrText>
    </w:r>
    <w:r w:rsidRPr="003D6066">
      <w:fldChar w:fldCharType="separate"/>
    </w:r>
    <w:r>
      <w:rPr>
        <w:noProof/>
      </w:rPr>
      <w:t>2</w:t>
    </w:r>
    <w:r w:rsidRPr="003D6066">
      <w:fldChar w:fldCharType="end"/>
    </w:r>
    <w:r w:rsidRPr="003D6066">
      <w:t>/</w:t>
    </w:r>
    <w:r w:rsidR="00EF3E37">
      <w:fldChar w:fldCharType="begin"/>
    </w:r>
    <w:r>
      <w:instrText xml:space="preserve"> NUMPAGES  \* MERGEFORMAT </w:instrText>
    </w:r>
    <w:r w:rsidR="00EF3E37">
      <w:fldChar w:fldCharType="separate"/>
    </w:r>
    <w:r>
      <w:rPr>
        <w:noProof/>
      </w:rPr>
      <w:t>29</w:t>
    </w:r>
    <w:r w:rsidR="00EF3E37">
      <w:rPr>
        <w:noProof/>
      </w:rPr>
      <w:fldChar w:fldCharType="end"/>
    </w:r>
    <w:r w:rsidRPr="003D6066">
      <w:tab/>
    </w:r>
    <w:r w:rsidRPr="003D6066">
      <w:rPr>
        <w:rStyle w:val="HideTWBExt"/>
      </w:rPr>
      <w:t>&lt;PathFdR&gt;</w:t>
    </w:r>
    <w:r w:rsidRPr="003D6066">
      <w:t>AD\1288324RO.docx</w:t>
    </w:r>
    <w:r w:rsidRPr="003D6066">
      <w:rPr>
        <w:rStyle w:val="HideTWBExt"/>
      </w:rPr>
      <w:t>&lt;/PathFdR&gt;</w:t>
    </w:r>
  </w:p>
  <w:p w:rsidR="00AF0131" w:rsidRPr="003D6066" w:rsidRDefault="00147DFE" w:rsidP="00B703CF">
    <w:pPr>
      <w:pStyle w:val="EPFooter2"/>
    </w:pPr>
    <w:r w:rsidRPr="003D6066">
      <w:t>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3CF" w:rsidRPr="003D6066" w:rsidRDefault="00147DFE" w:rsidP="00B703CF">
    <w:pPr>
      <w:pStyle w:val="EPFooter"/>
    </w:pPr>
    <w:r w:rsidRPr="003D6066">
      <w:rPr>
        <w:rStyle w:val="HideTWBExt"/>
      </w:rPr>
      <w:t>&lt;PathFdR&gt;</w:t>
    </w:r>
    <w:r w:rsidRPr="003D6066">
      <w:t>AD\1288324RO.docx</w:t>
    </w:r>
    <w:r w:rsidRPr="003D6066">
      <w:rPr>
        <w:rStyle w:val="HideTWBExt"/>
      </w:rPr>
      <w:t>&lt;/PathFdR&gt;</w:t>
    </w:r>
    <w:r w:rsidRPr="003D6066">
      <w:tab/>
    </w:r>
    <w:r w:rsidRPr="003D6066">
      <w:fldChar w:fldCharType="begin"/>
    </w:r>
    <w:r w:rsidRPr="003D6066">
      <w:instrText xml:space="preserve"> PAGE  \* MERGEFORMAT </w:instrText>
    </w:r>
    <w:r w:rsidRPr="003D6066">
      <w:fldChar w:fldCharType="separate"/>
    </w:r>
    <w:r>
      <w:rPr>
        <w:noProof/>
      </w:rPr>
      <w:t>3</w:t>
    </w:r>
    <w:r w:rsidRPr="003D6066">
      <w:fldChar w:fldCharType="end"/>
    </w:r>
    <w:r w:rsidRPr="003D6066">
      <w:t>/</w:t>
    </w:r>
    <w:r w:rsidR="00EF3E37">
      <w:fldChar w:fldCharType="begin"/>
    </w:r>
    <w:r>
      <w:instrText xml:space="preserve"> NUMPAGES  \* MERGEFORMAT </w:instrText>
    </w:r>
    <w:r w:rsidR="00EF3E37">
      <w:fldChar w:fldCharType="separate"/>
    </w:r>
    <w:r>
      <w:rPr>
        <w:noProof/>
      </w:rPr>
      <w:t>29</w:t>
    </w:r>
    <w:r w:rsidR="00EF3E37">
      <w:rPr>
        <w:noProof/>
      </w:rPr>
      <w:fldChar w:fldCharType="end"/>
    </w:r>
    <w:r w:rsidRPr="003D6066">
      <w:tab/>
      <w:t>PE</w:t>
    </w:r>
    <w:r w:rsidRPr="003D6066">
      <w:rPr>
        <w:rStyle w:val="HideTWBExt"/>
      </w:rPr>
      <w:t>&lt;NoPE&gt;</w:t>
    </w:r>
    <w:r w:rsidRPr="003D6066">
      <w:t>752.621</w:t>
    </w:r>
    <w:r w:rsidRPr="003D6066">
      <w:rPr>
        <w:rStyle w:val="HideTWBExt"/>
      </w:rPr>
      <w:t>&lt;/NoPE&gt;&lt;Version&gt;</w:t>
    </w:r>
    <w:r w:rsidRPr="003D6066">
      <w:t>v02-00</w:t>
    </w:r>
    <w:r w:rsidRPr="003D6066">
      <w:rPr>
        <w:rStyle w:val="HideTWBExt"/>
      </w:rPr>
      <w:t>&lt;/Version&gt;</w:t>
    </w:r>
  </w:p>
  <w:p w:rsidR="00AF0131" w:rsidRPr="003D6066" w:rsidRDefault="00147DFE" w:rsidP="00B703CF">
    <w:pPr>
      <w:pStyle w:val="EPFooter2"/>
    </w:pPr>
    <w:r w:rsidRPr="003D6066">
      <w:tab/>
    </w:r>
    <w:r w:rsidRPr="003D6066">
      <w:tab/>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3CF" w:rsidRPr="003D6066" w:rsidRDefault="00147DFE" w:rsidP="00B703CF">
    <w:pPr>
      <w:pStyle w:val="EPFooter"/>
    </w:pPr>
    <w:r w:rsidRPr="003D6066">
      <w:rPr>
        <w:rStyle w:val="HideTWBExt"/>
      </w:rPr>
      <w:t>&lt;PathFdR&gt;</w:t>
    </w:r>
    <w:r w:rsidRPr="003D6066">
      <w:t>AD\1288324RO.docx</w:t>
    </w:r>
    <w:r w:rsidRPr="003D6066">
      <w:rPr>
        <w:rStyle w:val="HideTWBExt"/>
      </w:rPr>
      <w:t>&lt;/PathFdR&gt;</w:t>
    </w:r>
    <w:r w:rsidRPr="003D6066">
      <w:tab/>
    </w:r>
    <w:r w:rsidRPr="003D6066">
      <w:tab/>
      <w:t>PE</w:t>
    </w:r>
    <w:r w:rsidRPr="003D6066">
      <w:rPr>
        <w:rStyle w:val="HideTWBExt"/>
      </w:rPr>
      <w:t>&lt;NoPE&gt;</w:t>
    </w:r>
    <w:r w:rsidRPr="003D6066">
      <w:t>752.621</w:t>
    </w:r>
    <w:r w:rsidRPr="003D6066">
      <w:rPr>
        <w:rStyle w:val="HideTWBExt"/>
      </w:rPr>
      <w:t>&lt;/NoPE&gt;&lt;Version&gt;</w:t>
    </w:r>
    <w:r w:rsidRPr="003D6066">
      <w:t>v02-00</w:t>
    </w:r>
    <w:r w:rsidRPr="003D6066">
      <w:rPr>
        <w:rStyle w:val="HideTWBExt"/>
      </w:rPr>
      <w:t>&lt;/Version&gt;</w:t>
    </w:r>
  </w:p>
  <w:p w:rsidR="00AF0131" w:rsidRPr="003D6066" w:rsidRDefault="00147DFE" w:rsidP="00B703CF">
    <w:pPr>
      <w:pStyle w:val="EPFooter2"/>
    </w:pPr>
    <w:r w:rsidRPr="003D6066">
      <w:t>RO</w:t>
    </w:r>
    <w:r w:rsidRPr="003D6066">
      <w:tab/>
    </w:r>
    <w:r w:rsidRPr="003D6066">
      <w:rPr>
        <w:b w:val="0"/>
        <w:i/>
        <w:color w:val="C0C0C0"/>
        <w:sz w:val="22"/>
      </w:rPr>
      <w:t>Unită în diversitate</w:t>
    </w:r>
    <w:r w:rsidRPr="003D6066">
      <w:tab/>
      <w:t>RO</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8E0" w:rsidRPr="003D6066" w:rsidRDefault="00147DFE" w:rsidP="002258E0">
    <w:pPr>
      <w:pStyle w:val="EPFooter"/>
    </w:pPr>
    <w:r w:rsidRPr="003D6066">
      <w:rPr>
        <w:rStyle w:val="HideTWBExt"/>
      </w:rPr>
      <w:t>&lt;PathFdR&gt;</w:t>
    </w:r>
    <w:r w:rsidR="003D6066" w:rsidRPr="003D6066">
      <w:t>AD\1288324RO.docx</w:t>
    </w:r>
    <w:r w:rsidRPr="003D6066">
      <w:rPr>
        <w:rStyle w:val="HideTWBExt"/>
      </w:rPr>
      <w:t>&lt;/PathFdR&gt;</w:t>
    </w:r>
    <w:r w:rsidRPr="003D6066">
      <w:tab/>
    </w:r>
    <w:r w:rsidRPr="003D6066">
      <w:tab/>
      <w:t>PE</w:t>
    </w:r>
    <w:r w:rsidRPr="003D6066">
      <w:rPr>
        <w:rStyle w:val="HideTWBExt"/>
      </w:rPr>
      <w:t>&lt;NoPE&gt;</w:t>
    </w:r>
    <w:r w:rsidRPr="003D6066">
      <w:t>752.621</w:t>
    </w:r>
    <w:r w:rsidRPr="003D6066">
      <w:rPr>
        <w:rStyle w:val="HideTWBExt"/>
      </w:rPr>
      <w:t>&lt;/NoPE&gt;&lt;Version&gt;</w:t>
    </w:r>
    <w:r w:rsidRPr="003D6066">
      <w:t>v02-00</w:t>
    </w:r>
    <w:r w:rsidRPr="003D6066">
      <w:rPr>
        <w:rStyle w:val="HideTWBExt"/>
      </w:rPr>
      <w:t>&lt;/Version&gt;</w:t>
    </w:r>
  </w:p>
  <w:p w:rsidR="001A7452" w:rsidRPr="003D6066" w:rsidRDefault="00147DFE" w:rsidP="002258E0">
    <w:pPr>
      <w:pStyle w:val="EPFooter2"/>
    </w:pPr>
    <w:r w:rsidRPr="003D6066">
      <w:t>EN</w:t>
    </w:r>
    <w:r w:rsidRPr="003D6066">
      <w:tab/>
    </w:r>
    <w:r w:rsidRPr="003D6066">
      <w:rPr>
        <w:b w:val="0"/>
        <w:i/>
        <w:color w:val="C0C0C0"/>
        <w:sz w:val="22"/>
      </w:rPr>
      <w:t>United in diversity</w:t>
    </w:r>
    <w:r w:rsidRPr="003D6066">
      <w:tab/>
      <w:t>EN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47DFE">
      <w:r>
        <w:separator/>
      </w:r>
    </w:p>
  </w:footnote>
  <w:footnote w:type="continuationSeparator" w:id="0">
    <w:p w:rsidR="00000000" w:rsidRDefault="00147D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E37" w:rsidRDefault="00EF3E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E37" w:rsidRDefault="00EF3E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E37" w:rsidRDefault="00EF3E3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8E0" w:rsidRPr="002258E0" w:rsidRDefault="002258E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8E0" w:rsidRPr="002258E0" w:rsidRDefault="002258E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8E0" w:rsidRPr="002258E0" w:rsidRDefault="002258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2"/>
    <w:docVar w:name="CJMNU" w:val="1"/>
    <w:docVar w:name="CODEMNU" w:val=" 1"/>
    <w:docVar w:name="COM2KEY" w:val="ECON"/>
    <w:docVar w:name="COMKEY" w:val="EMPL"/>
    <w:docVar w:name="CopyToNetwork" w:val="-1"/>
    <w:docVar w:name="CVAR" w:val="1"/>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A" w:val="1"/>
    <w:docVar w:name="iNoAmendB" w:val="2"/>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104921 HideTWBExt;}{_x000d__x000a_\s18\ql \li0\ri0\sa120\nowidctlpar\wrapdefault\aspalpha\aspnum\faauto\adjustright\rin0\lin0\itap0 \rtlch\fcs1 \af0\afs20\alang1025 \ltrch\fcs0 \fs24\lang2057\langfe2057\cgrid\langnp2057\langfenp2057 \sbasedon0 \snext18 \spriority0 \styrsid2104921 _x000d__x000a_Normal6a;}{\s19\ql \li0\ri0\nowidctlpar\wrapdefault\aspalpha\aspnum\faauto\adjustright\rin0\lin0\itap0 \rtlch\fcs1 \af0\afs20\alang1025 \ltrch\fcs0 \b\fs24\lang2057\langfe2057\cgrid\langnp2057\langfenp2057 \sbasedon0 \snext19 \spriority0 \styrsid2104921 _x000d__x000a_NormalBold;}{\*\cs20 \additive \v\f1\fs20\cf15 \spriority0 \styrsid2104921 HideTWBInt;}{\s21\qc \li0\ri0\sa240\nowidctlpar\wrapdefault\aspalpha\aspnum\faauto\adjustright\rin0\lin0\itap0 \rtlch\fcs1 \af0\afs20\alang1025 \ltrch\fcs0 _x000d__x000a_\i\fs24\lang2057\langfe2057\cgrid\langnp2057\langfenp2057 \sbasedon0 \snext21 \spriority0 \styrsid2104921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2104921 AmNumberTabs;}{\s23\ql \li0\ri0\sb240\nowidctlpar\wrapdefault\aspalpha\aspnum\faauto\adjustright\rin0\lin0\itap0 \rtlch\fcs1 _x000d__x000a_\af0\afs20\alang1025 \ltrch\fcs0 \b\fs24\lang2057\langfe2057\cgrid\langnp2057\langfenp2057 \sbasedon0 \snext23 \spriority0 \styrsid2104921 NormalBold12b;}}{\*\rsidtbl \rsid24658\rsid223860\rsid735077\rsid1718133\rsid2104921\rsid2892074\rsid3565327_x000d__x000a_\rsid4666813\rsid6641733\rsid7823322\rsid9636012\rsid10377208\rsid11215221\rsid11549030\rsid11881958\rsid12154954\rsid14382809\rsid14424199\rsid15204470\rsid15285974\rsid15950462\rsid16324206\rsid16662270}{\mmathPr\mmathFont34\mbrkBin0\mbrkBinSub0_x000d__x000a_\msmallFrac0\mdispDef1\mlMargin0\mrMargin0\mdefJc1\mwrapIndent1440\mintLim0\mnaryLim1}{\info{\author KRIEG Milena}{\operator KRIEG Milena}{\creatim\yr2023\mo10\dy25\hr17\min9}{\revtim\yr2023\mo10\dy25\hr17\min9}{\version1}{\edmins0}{\nofpages1}_x000d__x000a_{\nofwords30}{\nofchars176}{\nofcharsws204}{\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2104921\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11881958 \chftnsep _x000d__x000a_\par }}{\*\ftnsepc \ltrpar \pard\plain \ltrpar\ql \li0\ri0\widctlpar\wrapdefault\aspalpha\aspnum\faauto\adjustright\rin0\lin0\itap0 \rtlch\fcs1 \af0\afs20\alang1025 \ltrch\fcs0 \fs24\lang2057\langfe2057\cgrid\langnp2057\langfenp2057 {\rtlch\fcs1 \af0 _x000d__x000a_\ltrch\fcs0 \insrsid11881958 \chftnsepc _x000d__x000a_\par }}{\*\aftnsep \ltrpar \pard\plain \ltrpar\ql \li0\ri0\widctlpar\wrapdefault\aspalpha\aspnum\faauto\adjustright\rin0\lin0\itap0 \rtlch\fcs1 \af0\afs20\alang1025 \ltrch\fcs0 \fs24\lang2057\langfe2057\cgrid\langnp2057\langfenp2057 {\rtlch\fcs1 \af0 _x000d__x000a_\ltrch\fcs0 \insrsid11881958 \chftnsep _x000d__x000a_\par }}{\*\aftnsepc \ltrpar \pard\plain \ltrpar\ql \li0\ri0\widctlpar\wrapdefault\aspalpha\aspnum\faauto\adjustright\rin0\lin0\itap0 \rtlch\fcs1 \af0\afs20\alang1025 \ltrch\fcs0 \fs24\lang2057\langfe2057\cgrid\langnp2057\langfenp2057 {\rtlch\fcs1 \af0 _x000d__x000a_\ltrch\fcs0 \insrsid1188195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2104921 \rtlch\fcs1 _x000d__x000a_\af0\afs20\alang1025 \ltrch\fcs0 \b\fs24\lang2057\langfe2057\cgrid\langnp2057\langfenp2057 {\rtlch\fcs1 \af0 \ltrch\fcs0 \cs17\b0\v\fs20\cf9\lang1024\langfe1024\loch\af1\hich\af1\dbch\af31501\noproof\insrsid2104921\charrsid7612140 {\*\bkmkstart restartA}_x000d__x000a_\hich\af1\dbch\af31501\loch\f1 &lt;AmendA&gt;}{\rtlch\fcs1 \af0 \ltrch\fcs0 \insrsid2104921\charrsid7612140 Amendment\tab \tab }{\rtlch\fcs1 \af0 \ltrch\fcs0 _x000d__x000a_\cs17\b0\v\fs20\cf9\lang1024\langfe1024\loch\af1\hich\af1\dbch\af31501\noproof\insrsid2104921\charrsid7612140 \hich\af1\dbch\af31501\loch\f1 &lt;NumAmA&gt;}{\rtlch\fcs1 \af0 \ltrch\fcs0 \insrsid2104921\charrsid7612140 #}{\rtlch\fcs1 \af1 \ltrch\fcs0 _x000d__x000a_\cs20\v\f1\fs20\cf15\insrsid2104921\charrsid7612140 ENMIENDA@NRAM@}{\rtlch\fcs1 \af0 \ltrch\fcs0 \insrsid2104921\charrsid7612140 #}{\rtlch\fcs1 \af0 \ltrch\fcs0 _x000d__x000a_\cs17\b0\v\fs20\cf9\lang1024\langfe1024\loch\af1\hich\af1\dbch\af31501\noproof\insrsid2104921\charrsid7612140 \hich\af1\dbch\af31501\loch\f1 &lt;/NumAmA&gt;}{\rtlch\fcs1 \af0 \ltrch\fcs0 \insrsid2104921\charrsid7612140 _x000d__x000a_\par }\pard\plain \ltrpar\s23\ql \li0\ri0\sb240\keepn\nowidctlpar\wrapdefault\aspalpha\aspnum\faauto\adjustright\rin0\lin0\itap0\pararsid2104921 \rtlch\fcs1 \af0\afs20\alang1025 \ltrch\fcs0 \b\fs24\lang2057\langfe2057\cgrid\langnp2057\langfenp2057 {_x000d__x000a_\rtlch\fcs1 \af0 \ltrch\fcs0 \cs17\b0\v\fs20\cf9\lang1024\langfe1024\loch\af1\hich\af1\dbch\af31501\noproof\insrsid2104921\charrsid7612140 \hich\af1\dbch\af31501\loch\f1 &lt;DocAmend&gt;}{\rtlch\fcs1 \af0 \ltrch\fcs0 \insrsid2104921\charrsid7612140 _x000d__x000a_Draft legislative resolution}{\rtlch\fcs1 \af0 \ltrch\fcs0 \cs17\b0\v\fs20\cf9\lang1024\langfe1024\loch\af1\hich\af1\dbch\af31501\noproof\insrsid2104921\charrsid7612140 \hich\af1\dbch\af31501\loch\f1 &lt;/DocAmend&gt;}{\rtlch\fcs1 \af0 \ltrch\fcs0 _x000d__x000a_\insrsid2104921\charrsid7612140 _x000d__x000a_\par }\pard\plain \ltrpar\s19\ql \li0\ri0\nowidctlpar\wrapdefault\aspalpha\aspnum\faauto\adjustright\rin0\lin0\itap0\pararsid2104921 \rtlch\fcs1 \af0\afs20\alang1025 \ltrch\fcs0 \b\fs24\lang2057\langfe2057\cgrid\langnp2057\langfenp2057 {\rtlch\fcs1 \af0 _x000d__x000a_\ltrch\fcs0 \cs17\b0\v\fs20\cf9\lang1024\langfe1024\loch\af1\hich\af1\dbch\af31501\noproof\insrsid2104921\charrsid7612140 \hich\af1\dbch\af31501\loch\f1 &lt;Article&gt;}{\rtlch\fcs1 \af0 \ltrch\fcs0 \cf10\insrsid2104921\charrsid10711382 \u9668\'3f}{\rtlch\fcs1 _x000d__x000a_\af0 \ltrch\fcs0 \insrsid2104921\charrsid7612140 #}{\rtlch\fcs1 \af1 \ltrch\fcs0 \cs20\v\f1\fs20\cf15\insrsid2104921\charrsid7612140 TVTRESPART@RESPART@}{\rtlch\fcs1 \af0 \ltrch\fcs0 \insrsid2104921\charrsid7612140 #}{\rtlch\fcs1 \af0 \ltrch\fcs0 _x000d__x000a_\cf10\insrsid2104921\charrsid10711382 \u9658\'3f}{\rtlch\fcs1 \af0 \ltrch\fcs0 \cs17\b0\v\fs20\cf9\lang1024\langfe1024\loch\af1\hich\af1\dbch\af31501\noproof\insrsid2104921\charrsid7612140 \hich\af1\dbch\af31501\loch\f1 &lt;/Article&gt;}{\rtlch\fcs1 \af0 _x000d__x000a_\ltrch\fcs0 \insrsid2104921\charrsid7612140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insrsid2104921\charrsid7612140 \cell }\pard \ltrpar\ql \li0\ri0\widctlpar\intbl\wrapdefault\aspalpha\aspnum\faauto\adjustright\rin0\lin0 {\rtlch\fcs1 \af0 \ltrch\fcs0 _x000d__x000a_\insrsid2104921\charrsid7612140 \trowd \irow0\irowband0\ltrrow\ts11\trqc\trgaph340\trleft-340\trftsWidth1\trftsWidthB3\trpaddl340\trpaddr340\trpaddfl3\trpaddft3\trpaddfb3\trpaddfr3\tblrsid14374628\tblind0\tblindtype3 \clvertalt\clbrdrt\brdrtbl \clbrdrl_x000d__x000a_\brdrtbl \clbrdrb\brdrtbl \clbrdrr\brdrtbl \cltxlrtb\clftsWidth3\clwWidth9752\clshdrawnil \cellx9412\row \ltrrow}\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14374628 \rtlch\fcs1 \af0\afs20\alang1025 \ltrch\fcs0 \i\fs24\lang2057\langfe2057\cgrid\langnp2057\langfenp2057 {\rtlch\fcs1 \af0 \ltrch\fcs0 _x000d__x000a_\insrsid2104921\charrsid7612140 Draft legislative resolution\cell Amendment\cell }\pard\plain \ltrpar\ql \li0\ri0\widctlpar\intbl\wrapdefault\aspalpha\aspnum\faauto\adjustright\rin0\lin0 \rtlch\fcs1 \af0\afs20\alang1025 \ltrch\fcs0 _x000d__x000a_\fs24\lang2057\langfe2057\cgrid\langnp2057\langfenp2057 {\rtlch\fcs1 \af0 \ltrch\fcs0 \insrsid2104921\charrsid7612140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2104921\charrsid7612140 ##\cell ##}{\rtlch\fcs1 \af0\afs24 \ltrch\fcs0 \insrsid2104921\charrsid7612140 \cell }\pard\plain \ltrpar\ql \li0\ri0\widctlpar\intbl\wrapdefault\aspalpha\aspnum\faauto\adjustright\rin0\lin0 \rtlch\fcs1 _x000d__x000a_\af0\afs20\alang1025 \ltrch\fcs0 \fs24\lang2057\langfe2057\cgrid\langnp2057\langfenp2057 {\rtlch\fcs1 \af0 \ltrch\fcs0 \insrsid2104921\charrsid7612140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2104921 {\rtlch\fcs1 \af0 \ltrch\fcs0 \cs17\v\fs20\cf9\lang1024\langfe1024\loch\af1\hich\af1\dbch\af31501\noproof\insrsid2104921\charrsid7612140 _x000d__x000a_\hich\af1\dbch\af31501\loch\f1 &lt;/AmendA&gt;}{\rtlch\fcs1 \af0 \ltrch\fcs0 \insrsid2104921\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60_x000d__x000a_4a3d550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485513 HideTWBExt;}{_x000d__x000a_\s18\ql \li0\ri0\sa120\nowidctlpar\wrapdefault\aspalpha\aspnum\faauto\adjustright\rin0\lin0\itap0 \rtlch\fcs1 \af0\afs20\alang1025 \ltrch\fcs0 \fs24\lang2057\langfe2057\cgrid\langnp2057\langfenp2057 \sbasedon0 \snext18 \spriority0 \styrsid15485513 _x000d__x000a_Normal6a;}{\s19\ql \li0\ri0\nowidctlpar\wrapdefault\aspalpha\aspnum\faauto\adjustright\rin0\lin0\itap0 \rtlch\fcs1 \af0\afs20\alang1025 \ltrch\fcs0 \b\fs24\lang2057\langfe2057\cgrid\langnp2057\langfenp2057 \sbasedon0 \snext19 \spriority0 \styrsid15485513 _x000d__x000a_NormalBold;}{\s20\ql \li0\ri0\sa240\nowidctlpar\wrapdefault\aspalpha\aspnum\faauto\adjustright\rin0\lin0\itap0 \rtlch\fcs1 \af0\afs20\alang1025 \ltrch\fcs0 \i\fs24\lang2057\langfe2057\cgrid\langnp2057\langfenp2057 _x000d__x000a_\sbasedon0 \snext20 \spriority0 \styrsid15485513 AmJustText;}{\s21\qc \li0\ri0\sb240\sa240\nowidctlpar\wrapdefault\aspalpha\aspnum\faauto\adjustright\rin0\lin0\itap0 \rtlch\fcs1 \af0\afs20\alang1025 \ltrch\fcs0 _x000d__x000a_\i\fs24\lang2057\langfe2057\cgrid\langnp2057\langfenp2057 \sbasedon0 \snext21 \spriority0 \styrsid15485513 AmCrossRef;}{\*\cs22 \additive \v\f1\fs20\cf15 \spriority0 \styrsid15485513 HideTWBInt;}{_x000d__x000a_\s23\qc \li0\ri0\sb240\sa240\keepn\nowidctlpar\wrapdefault\aspalpha\aspnum\faauto\adjustright\rin0\lin0\itap0 \rtlch\fcs1 \af0\afs20\alang1025 \ltrch\fcs0 \i\fs24\lang2057\langfe2057\cgrid\langnp2057\langfenp2057 _x000d__x000a_\sbasedon0 \snext20 \spriority0 \styrsid15485513 AmJustTitle;}{\s24\qc \li0\ri0\sa240\nowidctlpar\wrapdefault\aspalpha\aspnum\faauto\adjustright\rin0\lin0\itap0 \rtlch\fcs1 \af0\afs20\alang1025 \ltrch\fcs0 _x000d__x000a_\i\fs24\lang2057\langfe2057\cgrid\langnp2057\langfenp2057 \sbasedon0 \snext24 \spriority0 \styrsid15485513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5485513 AmNumberTabs;}{\s26\ql \li0\ri0\sb240\nowidctlpar\wrapdefault\aspalpha\aspnum\faauto\adjustright\rin0\lin0\itap0 \rtlch\fcs1 _x000d__x000a_\af0\afs20\alang1025 \ltrch\fcs0 \b\fs24\lang2057\langfe2057\cgrid\langnp2057\langfenp2057 \sbasedon0 \snext26 \spriority0 \styrsid15485513 NormalBold12b;}}{\*\rsidtbl \rsid24658\rsid223860\rsid735077\rsid1718133\rsid2892074\rsid3565327\rsid4666813_x000d__x000a_\rsid6641733\rsid7823322\rsid9636012\rsid10377208\rsid11215221\rsid11549030\rsid12154954\rsid14382809\rsid14424199\rsid15204470\rsid15285974\rsid15485513\rsid15667495\rsid15950462\rsid16324206\rsid16662270}{\mmathPr\mmathFont34\mbrkBin0\mbrkBinSub0_x000d__x000a_\msmallFrac0\mdispDef1\mlMargin0\mrMargin0\mdefJc1\mwrapIndent1440\mintLim0\mnaryLim1}{\info{\author KRIEG Milena}{\operator KRIEG Milena}{\creatim\yr2023\mo10\dy25\hr17\min9}{\revtim\yr2023\mo10\dy25\hr17\min9}{\version1}{\edmins0}{\nofpages1}_x000d__x000a_{\nofwords99}{\nofchars567}{\nofcharsws660}{\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5485513\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15667495 \chftnsep _x000d__x000a_\par }}{\*\ftnsepc \ltrpar \pard\plain \ltrpar\ql \li0\ri0\widctlpar\wrapdefault\aspalpha\aspnum\faauto\adjustright\rin0\lin0\itap0 \rtlch\fcs1 \af0\afs20\alang1025 \ltrch\fcs0 \fs24\lang2057\langfe2057\cgrid\langnp2057\langfenp2057 {\rtlch\fcs1 \af0 _x000d__x000a_\ltrch\fcs0 \insrsid15667495 \chftnsepc _x000d__x000a_\par }}{\*\aftnsep \ltrpar \pard\plain \ltrpar\ql \li0\ri0\widctlpar\wrapdefault\aspalpha\aspnum\faauto\adjustright\rin0\lin0\itap0 \rtlch\fcs1 \af0\afs20\alang1025 \ltrch\fcs0 \fs24\lang2057\langfe2057\cgrid\langnp2057\langfenp2057 {\rtlch\fcs1 \af0 _x000d__x000a_\ltrch\fcs0 \insrsid15667495 \chftnsep _x000d__x000a_\par }}{\*\aftnsepc \ltrpar \pard\plain \ltrpar\ql \li0\ri0\widctlpar\wrapdefault\aspalpha\aspnum\faauto\adjustright\rin0\lin0\itap0 \rtlch\fcs1 \af0\afs20\alang1025 \ltrch\fcs0 \fs24\lang2057\langfe2057\cgrid\langnp2057\langfenp2057 {\rtlch\fcs1 \af0 _x000d__x000a_\ltrch\fcs0 \insrsid1566749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15485513 \rtlch\fcs1 _x000d__x000a_\af0\afs20\alang1025 \ltrch\fcs0 \b\fs24\lang2057\langfe2057\cgrid\langnp2057\langfenp2057 {\rtlch\fcs1 \af0 \ltrch\fcs0 \cs17\b0\v\fs20\cf9\lang1024\langfe1024\loch\af1\hich\af1\dbch\af31501\noproof\insrsid15485513\charrsid7612140 {\*\bkmkstart restartB}_x000d__x000a_\hich\af1\dbch\af31501\loch\f1 &lt;AmendB&gt;}{\rtlch\fcs1 \af0 \ltrch\fcs0 \insrsid15485513\charrsid7612140 Amendment\tab \tab }{\rtlch\fcs1 \af0 \ltrch\fcs0 _x000d__x000a_\cs17\b0\v\fs20\cf9\lang1024\langfe1024\loch\af1\hich\af1\dbch\af31501\noproof\insrsid15485513\charrsid7612140 \hich\af1\dbch\af31501\loch\f1 &lt;NumAmB&gt;}{\rtlch\fcs1 \af0 \ltrch\fcs0 \insrsid15485513\charrsid7612140 #}{\rtlch\fcs1 \af1 \ltrch\fcs0 _x000d__x000a_\cs22\v\f1\fs20\cf15\insrsid15485513\charrsid7612140 ENMIENDA@NRAM@}{\rtlch\fcs1 \af0 \ltrch\fcs0 \insrsid15485513\charrsid7612140 #}{\rtlch\fcs1 \af0 \ltrch\fcs0 _x000d__x000a_\cs17\b0\v\fs20\cf9\lang1024\langfe1024\loch\af1\hich\af1\dbch\af31501\noproof\insrsid15485513\charrsid7612140 \hich\af1\dbch\af31501\loch\f1 &lt;/NumAmB&gt;}{\rtlch\fcs1 \af0 \ltrch\fcs0 \insrsid15485513\charrsid7612140 _x000d__x000a_\par }\pard\plain \ltrpar\s26\ql \li0\ri0\sb240\keepn\nowidctlpar\wrapdefault\aspalpha\aspnum\faauto\adjustright\rin0\lin0\itap0\pararsid15485513 \rtlch\fcs1 \af0\afs20\alang1025 \ltrch\fcs0 \b\fs24\lang2057\langfe2057\cgrid\langnp2057\langfenp2057 {_x000d__x000a_\rtlch\fcs1 \af0 \ltrch\fcs0 \cs17\b0\v\fs20\cf9\lang1024\langfe1024\loch\af1\hich\af1\dbch\af31501\noproof\insrsid15485513\charrsid7612140 \hich\af1\dbch\af31501\loch\f1 &lt;DocAmend&gt;}{\rtlch\fcs1 \af0 \ltrch\fcs0 \insrsid15485513\charrsid7612140 #}{_x000d__x000a_\rtlch\fcs1 \af1 \ltrch\fcs0 \cs22\v\f1\fs20\cf15\insrsid15485513\charrsid7612140 MNU[OPTPROPOSALCOD][OPTPROPOSALCNS][OPTPROPOSALNLE][OPTPROPOSALINL]@CHOICE@CODEMNU}{\rtlch\fcs1 \af0 \ltrch\fcs0 \insrsid15485513\charrsid7612140 ##}{\rtlch\fcs1 \af1 _x000d__x000a_\ltrch\fcs0 \cs22\v\f1\fs20\cf15\insrsid15485513\charrsid7612140 MNU[AMACTYES][NOTAPP]@CHOICE@AMACTMNU}{\rtlch\fcs1 \af0 \ltrch\fcs0 \insrsid15485513\charrsid7612140 #}{\rtlch\fcs1 \af0 \ltrch\fcs0 _x000d__x000a_\cs17\b0\v\fs20\cf9\lang1024\langfe1024\loch\af1\hich\af1\dbch\af31501\noproof\insrsid15485513\charrsid7612140 \hich\af1\dbch\af31501\loch\f1 &lt;/DocAmend&gt;}{\rtlch\fcs1 \af0 \ltrch\fcs0 \insrsid15485513\charrsid7612140 _x000d__x000a_\par }\pard\plain \ltrpar\s19\ql \li0\ri0\keepn\nowidctlpar\wrapdefault\aspalpha\aspnum\faauto\adjustright\rin0\lin0\itap0\pararsid15485513 \rtlch\fcs1 \af0\afs20\alang1025 \ltrch\fcs0 \b\fs24\lang2057\langfe2057\cgrid\langnp2057\langfenp2057 {\rtlch\fcs1 _x000d__x000a_\af0 \ltrch\fcs0 \cs17\b0\v\fs20\cf9\lang1024\langfe1024\loch\af1\hich\af1\dbch\af31501\noproof\insrsid15485513\charrsid7612140 \hich\af1\dbch\af31501\loch\f1 &lt;Article&gt;}{\rtlch\fcs1 \af0 \ltrch\fcs0 \insrsid15485513\charrsid7612140 #}{\rtlch\fcs1 \af1 _x000d__x000a_\ltrch\fcs0 \cs22\v\f1\fs20\cf15\insrsid15485513\charrsid7612140 MNU[AMACTPARTYES][AMACTPARTNO]@CHOICE@AMACTMNU}{\rtlch\fcs1 \af0 \ltrch\fcs0 \insrsid15485513\charrsid7612140 #}{\rtlch\fcs1 \af0 \ltrch\fcs0 _x000d__x000a_\cs17\b0\v\fs20\cf9\lang1024\langfe1024\loch\af1\hich\af1\dbch\af31501\noproof\insrsid15485513\charrsid7612140 \hich\af1\dbch\af31501\loch\f1 &lt;/Article&gt;}{\rtlch\fcs1 \af0 \ltrch\fcs0 \insrsid15485513\charrsid7612140 _x000d__x000a_\par }\pard\plain \ltrpar\ql \li0\ri0\keepn\widctlpar\wrapdefault\aspalpha\aspnum\faauto\adjustright\rin0\lin0\itap0\pararsid15485513 \rtlch\fcs1 \af0\afs20\alang1025 \ltrch\fcs0 \fs24\lang2057\langfe2057\cgrid\langnp2057\langfenp2057 {\rtlch\fcs1 \af0 _x000d__x000a_\ltrch\fcs0 \cs17\v\fs20\cf9\lang1024\langfe1024\loch\af1\hich\af1\dbch\af31501\noproof\insrsid15485513\charrsid7612140 \hich\af1\dbch\af31501\loch\f1 &lt;DocAmend\hich\af1\dbch\af31501\loch\f1 2&gt;&lt;OptDel&gt;}{\rtlch\fcs1 \af0 \ltrch\fcs0 _x000d__x000a_\insrsid15485513\charrsid7612140 #}{\rtlch\fcs1 \af1 \ltrch\fcs0 \cs22\v\f1\fs20\cf15\insrsid15485513\charrsid7612140 MNU[OPTNRACTYES][NOTAPP]@CHOICE@AMACTMNU}{\rtlch\fcs1 \af0 \ltrch\fcs0 \insrsid15485513\charrsid7612140 #}{\rtlch\fcs1 \af0 \ltrch\fcs0 _x000d__x000a_\cs17\v\fs20\cf9\lang1024\langfe1024\loch\af1\hich\af1\dbch\af31501\noproof\insrsid15485513\charrsid7612140 \hich\af1\dbch\af31501\loch\f1 &lt;/OptDel&gt;&lt;/DocAmend2&gt;}{\rtlch\fcs1 \af0 \ltrch\fcs0 \insrsid15485513\charrsid7612140 _x000d__x000a_\par }\pard \ltrpar\ql \li0\ri0\widctlpar\wrapdefault\aspalpha\aspnum\faauto\adjustright\rin0\lin0\itap0\pararsid15485513 {\rtlch\fcs1 \af0 \ltrch\fcs0 \cs17\v\fs20\cf9\lang1024\langfe1024\loch\af1\hich\af1\dbch\af31501\noproof\insrsid15485513\charrsid7612140 _x000d__x000a_\hich\af1\dbch\af31501\loch\f1 &lt;Article2&gt;&lt;OptDel&gt;}{\rtlch\fcs1 \af0 \ltrch\fcs0 \insrsid15485513\charrsid7612140 #}{\rtlch\fcs1 \af1 \ltrch\fcs0 \cs22\v\f1\fs20\cf15\insrsid15485513\charrsid7612140 MNU[OPTACTPARTYES][NOTAPP]@CHOICE@AMACTMNU}{\rtlch\fcs1 _x000d__x000a_\af0 \ltrch\fcs0 \insrsid15485513\charrsid7612140 #}{\rtlch\fcs1 \af0 \ltrch\fcs0 \cs17\v\fs20\cf9\lang1024\langfe1024\loch\af1\hich\af1\dbch\af31501\noproof\insrsid15485513\charrsid7612140 \hich\af1\dbch\af31501\loch\f1 &lt;/OptDel&gt;&lt;/Article2&gt;}{\rtlch\fcs1 _x000d__x000a_\af0 \ltrch\fcs0 \insrsid15485513\charrsid7612140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insrsid15485513\charrsid7612140 \cell }\pard \ltrpar\ql \li0\ri0\widctlpar\intbl\wrapdefault\aspalpha\aspnum\faauto\adjustright\rin0\lin0 {\rtlch\fcs1 \af0 \ltrch\fcs0 \insrsid15485513\charrsid7612140 \trowd \irow0\irowband0\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4374628 \rtlch\fcs1 \af0\afs20\alang1025 \ltrch\fcs0 \i\fs24\lang2057\langfe2057\cgrid\langnp2057\langfenp2057 {\rtlch\fcs1 \af0 \ltrch\fcs0 _x000d__x000a_\insrsid15485513\charrsid7612140 #}{\rtlch\fcs1 \af1 \ltrch\fcs0 \cs22\v\f1\fs20\cf15\insrsid15485513\charrsid7612140 MNU[OPTLEFTAMACT][LEFTPROP]@CHOICE@AMACTMNU}{\rtlch\fcs1 \af0 \ltrch\fcs0 \insrsid15485513\charrsid7612140 #\cell Amendment\cell _x000d__x000a_}\pard\plain \ltrpar\ql \li0\ri0\widctlpar\intbl\wrapdefault\aspalpha\aspnum\faauto\adjustright\rin0\lin0 \rtlch\fcs1 \af0\afs20\alang1025 \ltrch\fcs0 \fs24\lang2057\langfe2057\cgrid\langnp2057\langfenp2057 {\rtlch\fcs1 \af0 \ltrch\fcs0 _x000d__x000a_\insrsid15485513\charrsid7612140 \trowd \irow1\irowband1\ltrrow\ts11\trqc\trgaph340\trleft-340\trftsWidth3\trwWidth9752\trftsWidthB3\trpaddl340\trpaddr340\trpaddfl3\trpaddft3\trpaddfb3\trpaddfr3\tblrsid14374628\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8\ql \li0\ri0\sa120\nowidctlpar\intbl\wrapdefault\aspalpha\aspnum\faauto\adjustright\rin0\lin0\pararsid14374628 \rtlch\fcs1 \af0\afs20\alang1025 \ltrch\fcs0 \fs24\lang2057\langfe2057\cgrid\langnp2057\langfenp2057 {_x000d__x000a_\rtlch\fcs1 \af0 \ltrch\fcs0 \insrsid15485513\charrsid7612140 ##\cell ##}{\rtlch\fcs1 \af0\afs24 \ltrch\fcs0 \insrsid15485513\charrsid7612140 \cell }\pard\plain \ltrpar\ql \li0\ri0\widctlpar\intbl\wrapdefault\aspalpha\aspnum\faauto\adjustright\rin0\lin0 _x000d__x000a_\rtlch\fcs1 \af0\afs20\alang1025 \ltrch\fcs0 \fs24\lang2057\langfe2057\cgrid\langnp2057\langfenp2057 {\rtlch\fcs1 \af0 \ltrch\fcs0 \insrsid15485513\charrsid7612140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5485513 \rtlch\fcs1 \af0\afs20\alang1025 \ltrch\fcs0 \i\fs24\lang2057\langfe2057\cgrid\langnp2057\langfenp2057 {\rtlch\fcs1 \af0 \ltrch\fcs0 _x000d__x000a_\cs17\i0\v\fs20\cf9\lang1024\langfe1024\loch\af1\hich\af1\dbch\af31501\noproof\insrsid15485513\charrsid7612140 \hich\af1\dbch\af31501\loch\f1 &lt;OptDel&gt;}{\rtlch\fcs1 \af0 \ltrch\fcs0 \insrsid15485513\charrsid7612140 #}{\rtlch\fcs1 \af1 \ltrch\fcs0 _x000d__x000a_\cs22\v\f1\fs20\cf15\insrsid15485513\charrsid7612140 MNU[CROSSREFNO][CROSSREFYES]@CHOICE@}{\rtlch\fcs1 \af0 \ltrch\fcs0 \insrsid15485513\charrsid7612140 #}{\rtlch\fcs1 \af0 \ltrch\fcs0 _x000d__x000a_\cs17\i0\v\fs20\cf9\lang1024\langfe1024\loch\af1\hich\af1\dbch\af31501\noproof\insrsid15485513\charrsid7612140 \hich\af1\dbch\af31501\loch\f1 &lt;/OptDel&gt;}{\rtlch\fcs1 \af0 \ltrch\fcs0 \insrsid15485513\charrsid7612140 _x000d__x000a_\par }\pard\plain \ltrpar\s23\qc \li0\ri0\sb240\sa240\keepn\nowidctlpar\wrapdefault\aspalpha\aspnum\faauto\adjustright\rin0\lin0\itap0\pararsid15485513 \rtlch\fcs1 \af0\afs20\alang1025 \ltrch\fcs0 \i\fs24\lang2057\langfe2057\cgrid\langnp2057\langfenp2057 {_x000d__x000a_\rtlch\fcs1 \af0 \ltrch\fcs0 \cs17\i0\v\fs20\cf9\lang1024\langfe1024\loch\af1\hich\af1\dbch\af31501\noproof\insrsid15485513\charrsid7612140 \hich\af1\dbch\af31501\loch\f1 &lt;TitreJust&gt;}{\rtlch\fcs1 \af0 \ltrch\fcs0 \insrsid15485513\charrsid7612140 _x000d__x000a_Justification}{\rtlch\fcs1 \af0 \ltrch\fcs0 \cs17\i0\v\fs20\cf9\lang1024\langfe1024\loch\af1\hich\af1\dbch\af31501\noproof\insrsid15485513\charrsid7612140 \hich\af1\dbch\af31501\loch\f1 &lt;/TitreJust&gt;}{\rtlch\fcs1 \af0 \ltrch\fcs0 _x000d__x000a_\insrsid15485513\charrsid7612140 _x000d__x000a_\par }\pard\plain \ltrpar\s20\ql \li0\ri0\sa240\nowidctlpar\wrapdefault\aspalpha\aspnum\faauto\adjustright\rin0\lin0\itap0\pararsid15485513 \rtlch\fcs1 \af0\afs20\alang1025 \ltrch\fcs0 \i\fs24\lang2057\langfe2057\cgrid\langnp2057\langfenp2057 {\rtlch\fcs1 _x000d__x000a_\af0 \ltrch\fcs0 \cs17\i0\v\fs20\cf9\lang1024\langfe1024\loch\af1\hich\af1\dbch\af31501\noproof\insrsid15485513\charrsid7612140 \hich\af1\dbch\af31501\loch\f1 &lt;OptDelPrev&gt;}{\rtlch\fcs1 \af0 \ltrch\fcs0 \insrsid15485513\charrsid7612140 #}{\rtlch\fcs1 \af1 _x000d__x000a_\ltrch\fcs0 \cs22\v\f1\fs20\cf15\insrsid15485513\charrsid7612140 MNU[TEXTJUSTYES][TEXTJUSTNO]@CHOICE@}{\rtlch\fcs1 \af0 \ltrch\fcs0 \insrsid15485513\charrsid7612140 #}{\rtlch\fcs1 \af0 \ltrch\fcs0 _x000d__x000a_\cs17\i0\v\fs20\cf9\lang1024\langfe1024\loch\af1\hich\af1\dbch\af31501\noproof\insrsid15485513\charrsid7612140 \hich\af1\dbch\af31501\loch\f1 &lt;/OptDelPrev&gt;}{\rtlch\fcs1 \af0 \ltrch\fcs0 \insrsid15485513\charrsid7612140 _x000d__x000a_\par }\pard\plain \ltrpar\ql \li0\ri0\widctlpar\wrapdefault\aspalpha\aspnum\faauto\adjustright\rin0\lin0\itap0\pararsid15485513 \rtlch\fcs1 \af0\afs20\alang1025 \ltrch\fcs0 \fs24\lang2057\langfe2057\cgrid\langnp2057\langfenp2057 {\rtlch\fcs1 \af0 \ltrch\fcs0 _x000d__x000a_\cs17\v\fs20\cf9\lang1024\langfe1024\loch\af1\hich\af1\dbch\af31501\noproof\insrsid15485513\charrsid7612140 \hich\af1\dbch\af31501\loch\f1 &lt;/AmendB&gt;}{\rtlch\fcs1 \af0 \ltrch\fcs0 \insrsid15485513\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48_x000d__x000a_313f550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473135 HideTWBExt;}{_x000d__x000a_\s18\ql \li0\ri0\sa120\nowidctlpar\wrapdefault\aspalpha\aspnum\faauto\adjustright\rin0\lin0\itap0 \rtlch\fcs1 \af0\afs20\alang1025 \ltrch\fcs0 \fs24\lang2057\langfe2057\cgrid\langnp2057\langfenp2057 \sbasedon0 \snext18 \spriority0 \styrsid8473135 _x000d__x000a_Normal6a;}{\s19\ql \li0\ri0\nowidctlpar\wrapdefault\aspalpha\aspnum\faauto\adjustright\rin0\lin0\itap0 \rtlch\fcs1 \af0\afs20\alang1025 \ltrch\fcs0 \b\fs24\lang2057\langfe2057\cgrid\langnp2057\langfenp2057 \sbasedon0 \snext19 \spriority0 \styrsid8473135 _x000d__x000a_NormalBold;}{\s20\qc \li0\ri0\sa240\nowidctlpar\wrapdefault\aspalpha\aspnum\faauto\adjustright\rin0\lin0\itap0 \rtlch\fcs1 \af0\afs20\alang1025 \ltrch\fcs0 \i\fs24\lang2057\langfe2057\cgrid\langnp2057\langfenp2057 _x000d__x000a_\sbasedon0 \snext20 \spriority0 \styrsid8473135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8473135 AmNumberTabs;}{\s22\ql \li0\ri0\sb240\nowidctlpar\wrapdefault\aspalpha\aspnum\faauto\adjustright\rin0\lin0\itap0 \rtlch\fcs1 _x000d__x000a_\af0\afs20\alang1025 \ltrch\fcs0 \b\fs24\lang2057\langfe2057\cgrid\langnp2057\langfenp2057 \sbasedon0 \snext22 \spriority0 \styrsid8473135 NormalBold12b;}}{\*\rsidtbl \rsid24658\rsid223860\rsid735077\rsid1718133\rsid2892074\rsid3565327\rsid4666813_x000d__x000a_\rsid6641733\rsid7823322\rsid8473135\rsid9636012\rsid10377208\rsid11215221\rsid11549030\rsid12154954\rsid14382809\rsid14424199\rsid15204470\rsid15285974\rsid15335601\rsid15950462\rsid16324206\rsid16662270}{\mmathPr\mmathFont34\mbrkBin0\mbrkBinSub0_x000d__x000a_\msmallFrac0\mdispDef1\mlMargin0\mrMargin0\mdefJc1\mwrapIndent1440\mintLim0\mnaryLim1}{\info{\author KRIEG Milena}{\operator KRIEG Milena}{\creatim\yr2023\mo10\dy25\hr17\min9}{\revtim\yr2023\mo10\dy25\hr17\min9}{\version1}{\edmins0}{\nofpages1}_x000d__x000a_{\nofwords24}{\nofchars139}{\nofcharsws162}{\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473135\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15335601 \chftnsep _x000d__x000a_\par }}{\*\ftnsepc \ltrpar \pard\plain \ltrpar\ql \li0\ri0\widctlpar\wrapdefault\aspalpha\aspnum\faauto\adjustright\rin0\lin0\itap0 \rtlch\fcs1 \af0\afs20\alang1025 \ltrch\fcs0 \fs24\lang2057\langfe2057\cgrid\langnp2057\langfenp2057 {\rtlch\fcs1 \af0 _x000d__x000a_\ltrch\fcs0 \insrsid15335601 \chftnsepc _x000d__x000a_\par }}{\*\aftnsep \ltrpar \pard\plain \ltrpar\ql \li0\ri0\widctlpar\wrapdefault\aspalpha\aspnum\faauto\adjustright\rin0\lin0\itap0 \rtlch\fcs1 \af0\afs20\alang1025 \ltrch\fcs0 \fs24\lang2057\langfe2057\cgrid\langnp2057\langfenp2057 {\rtlch\fcs1 \af0 _x000d__x000a_\ltrch\fcs0 \insrsid15335601 \chftnsep _x000d__x000a_\par }}{\*\aftnsepc \ltrpar \pard\plain \ltrpar\ql \li0\ri0\widctlpar\wrapdefault\aspalpha\aspnum\faauto\adjustright\rin0\lin0\itap0 \rtlch\fcs1 \af0\afs20\alang1025 \ltrch\fcs0 \fs24\lang2057\langfe2057\cgrid\langnp2057\langfenp2057 {\rtlch\fcs1 \af0 _x000d__x000a_\ltrch\fcs0 \insrsid1533560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8473135 \rtlch\fcs1 _x000d__x000a_\af0\afs20\alang1025 \ltrch\fcs0 \b\fs24\lang2057\langfe2057\cgrid\langnp2057\langfenp2057 {\rtlch\fcs1 \af0 \ltrch\fcs0 \cs17\b0\v\fs20\cf9\lang1024\langfe1024\loch\af1\hich\af1\dbch\af31501\noproof\insrsid8473135\charrsid15879488 {\*\bkmkstart restartA}_x000d__x000a_\hich\af1\dbch\af31501\loch\f1 &lt;AmendA&gt;}{\rtlch\fcs1 \af0 \ltrch\fcs0 \insrsid8473135\charrsid15879488 [ZAMENDMENT]\tab \tab }{\rtlch\fcs1 \af0 \ltrch\fcs0 _x000d__x000a_\cs17\b0\v\fs20\cf9\lang1024\langfe1024\loch\af1\hich\af1\dbch\af31501\noproof\insrsid8473135\charrsid15879488 \hich\af1\dbch\af31501\loch\f1 &lt;NumAmA&gt;}{\rtlch\fcs1 \af0 \ltrch\fcs0 \insrsid8473135\charrsid15879488 [ZNRAM]}{\rtlch\fcs1 \af0 \ltrch\fcs0 _x000d__x000a_\cs17\b0\v\fs20\cf9\lang1024\langfe1024\loch\af1\hich\af1\dbch\af31501\noproof\insrsid8473135\charrsid15879488 \hich\af1\dbch\af31501\loch\f1 &lt;/NumAmA&gt;}{\rtlch\fcs1 \af0 \ltrch\fcs0 \insrsid8473135\charrsid15879488 _x000d__x000a_\par }\pard\plain \ltrpar\s22\ql \li0\ri0\sb240\keepn\nowidctlpar\wrapdefault\aspalpha\aspnum\faauto\adjustright\rin0\lin0\itap0\pararsid8473135 \rtlch\fcs1 \af0\afs20\alang1025 \ltrch\fcs0 \b\fs24\lang2057\langfe2057\cgrid\langnp2057\langfenp2057 {_x000d__x000a_\rtlch\fcs1 \af0 \ltrch\fcs0 \cs17\b0\v\fs20\cf9\lang1024\langfe1024\loch\af1\hich\af1\dbch\af31501\noproof\langnp1036\insrsid8473135\charrsid11356624 \hich\af1\dbch\af31501\loch\f1 &lt;DocAmend&gt;}{\rtlch\fcs1 \af0 \ltrch\fcs0 _x000d__x000a_\lang1036\langfe2057\langnp1036\insrsid8473135\charrsid11356624 [ZRESOLUTION]}{\rtlch\fcs1 \af0 \ltrch\fcs0 \cs17\b0\v\fs20\cf9\lang1024\langfe1024\loch\af1\hich\af1\dbch\af31501\noproof\langnp1036\insrsid8473135\charrsid11356624 _x000d__x000a_\hich\af1\dbch\af31501\loch\f1 &lt;/DocAmend&gt;}{\rtlch\fcs1 \af0 \ltrch\fcs0 \lang1036\langfe2057\langnp1036\insrsid8473135\charrsid11356624 _x000d__x000a_\par }\pard\plain \ltrpar\s19\ql \li0\ri0\nowidctlpar\wrapdefault\aspalpha\aspnum\faauto\adjustright\rin0\lin0\itap0\pararsid8473135 \rtlch\fcs1 \af0\afs20\alang1025 \ltrch\fcs0 \b\fs24\lang2057\langfe2057\cgrid\langnp2057\langfenp2057 {\rtlch\fcs1 \af0 _x000d__x000a_\ltrch\fcs0 \cs17\b0\v\fs20\cf9\lang1024\langfe1024\loch\af1\hich\af1\dbch\af31501\noproof\langnp1036\insrsid8473135\charrsid11356624 \hich\af1\dbch\af31501\loch\f1 &lt;Article&gt;}{\rtlch\fcs1 \af0 \ltrch\fcs0 _x000d__x000a_\lang1036\langfe2057\langnp1036\insrsid8473135\charrsid11356624 [ZRESPART]}{\rtlch\fcs1 \af0 \ltrch\fcs0 \cs17\b0\v\fs20\cf9\lang1024\langfe1024\loch\af1\hich\af1\dbch\af31501\noproof\langnp1036\insrsid8473135\charrsid11356624 _x000d__x000a_\hich\af1\dbch\af31501\loch\f1 &lt;/Article&gt;}{\rtlch\fcs1 \af0 \ltrch\fcs0 \lang1036\langfe2057\langnp1036\insrsid8473135\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8473135\charrsid11356624 \cell }\pard \ltrpar_x000d__x000a_\ql \li0\ri0\widctlpar\intbl\wrapdefault\aspalpha\aspnum\faauto\adjustright\rin0\lin0 {\rtlch\fcs1 \af0 \ltrch\fcs0 \insrsid8473135\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8473135\charrsid15879488 [ZLEFTA]\cell [ZRIGHT]\cell }\pard\plain \ltrpar\ql \li0\ri0\widctlpar\intbl\wrapdefault\aspalpha\aspnum\faauto\adjustright\rin0\lin0 _x000d__x000a_\rtlch\fcs1 \af0\afs20\alang1025 \ltrch\fcs0 \fs24\lang2057\langfe2057\cgrid\langnp2057\langfenp2057 {\rtlch\fcs1 \af0 \ltrch\fcs0 \insrsid8473135\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8473135\charrsid15879488 [ZTEXTL]\cell [ZTEXTR]}{\rtlch\fcs1 \af0\afs24 \ltrch\fcs0 \insrsid8473135\charrsid15879488 \cell }\pard\plain \ltrpar\ql \li0\ri0\widctlpar\intbl\wrapdefault\aspalpha\aspnum\faauto\adjustright\rin0\lin0 \rtlch\fcs1 _x000d__x000a_\af0\afs20\alang1025 \ltrch\fcs0 \fs24\lang2057\langfe2057\cgrid\langnp2057\langfenp2057 {\rtlch\fcs1 \af0 \ltrch\fcs0 \insrsid8473135\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8473135 {\rtlch\fcs1 \af0 \ltrch\fcs0 \cs17\v\fs20\cf9\lang1024\langfe1024\loch\af1\hich\af1\dbch\af31501\noproof\insrsid8473135\charrsid15879488 _x000d__x000a_\hich\af1\dbch\af31501\loch\f1 &lt;/AmendA&gt;}{\rtlch\fcs1 \af0 \ltrch\fcs0 \insrsid8473135\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9_x000d__x000a_3041550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22627 HideTWBExt;}{_x000d__x000a_\s18\ql \li0\ri0\sa120\nowidctlpar\wrapdefault\aspalpha\aspnum\faauto\adjustright\rin0\lin0\itap0 \rtlch\fcs1 \af0\afs20\alang1025 \ltrch\fcs0 \fs24\lang2057\langfe2057\cgrid\langnp2057\langfenp2057 \sbasedon0 \snext18 \spriority0 \styrsid722627 _x000d__x000a_Normal6a;}{\s19\ql \li0\ri0\nowidctlpar\wrapdefault\aspalpha\aspnum\faauto\adjustright\rin0\lin0\itap0 \rtlch\fcs1 \af0\afs20\alang1025 \ltrch\fcs0 \b\fs24\lang2057\langfe2057\cgrid\langnp2057\langfenp2057 \sbasedon0 \snext19 \spriority0 \styrsid722627 _x000d__x000a_NormalBold;}{\s20\ql \li0\ri0\sa240\nowidctlpar\wrapdefault\aspalpha\aspnum\faauto\adjustright\rin0\lin0\itap0 \rtlch\fcs1 \af0\afs20\alang1025 \ltrch\fcs0 \i\fs24\lang2057\langfe2057\cgrid\langnp2057\langfenp2057 _x000d__x000a_\sbasedon0 \snext20 \spriority0 \styrsid722627 AmJustText;}{\s21\qc \li0\ri0\sb240\sa240\nowidctlpar\wrapdefault\aspalpha\aspnum\faauto\adjustright\rin0\lin0\itap0 \rtlch\fcs1 \af0\afs20\alang1025 \ltrch\fcs0 _x000d__x000a_\i\fs24\lang2057\langfe2057\cgrid\langnp2057\langfenp2057 \sbasedon0 \snext21 \spriority0 \styrsid722627 AmCrossRef;}{\s22\qc \li0\ri0\sb240\sa240\keepn\nowidctlpar\wrapdefault\aspalpha\aspnum\faauto\adjustright\rin0\lin0\itap0 \rtlch\fcs1 _x000d__x000a_\af0\afs20\alang1025 \ltrch\fcs0 \i\fs24\lang2057\langfe2057\cgrid\langnp2057\langfenp2057 \sbasedon0 \snext20 \spriority0 \styrsid722627 AmJustTitle;}{\s23\qc \li0\ri0\sa240\nowidctlpar\wrapdefault\aspalpha\aspnum\faauto\adjustright\rin0\lin0\itap0 _x000d__x000a_\rtlch\fcs1 \af0\afs20\alang1025 \ltrch\fcs0 \i\fs24\lang2057\langfe2057\cgrid\langnp2057\langfenp2057 \sbasedon0 \snext23 \spriority0 \styrsid722627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722627 AmNumberTabs;}{\s25\ql \li0\ri0\sb240\nowidctlpar\wrapdefault\aspalpha\aspnum\faauto\adjustright\rin0\lin0\itap0 \rtlch\fcs1 _x000d__x000a_\af0\afs20\alang1025 \ltrch\fcs0 \b\fs24\lang2057\langfe2057\cgrid\langnp2057\langfenp2057 \sbasedon0 \snext25 \spriority0 \styrsid722627 NormalBold12b;}}{\*\rsidtbl \rsid24658\rsid223860\rsid722627\rsid735077\rsid1718133\rsid2375206\rsid2892074_x000d__x000a_\rsid3565327\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KRIEG Milena}{\operator KRIEG Milena}{\creatim\yr2023\mo10\dy25\hr17\min9}{\revtim\yr2023\mo10\dy25\hr17\min9}{\version1}{\edmins0}{\nofpages1}_x000d__x000a_{\nofwords55}{\nofchars317}{\nofcharsws36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22627\newtblstyruls\nogrowautofit\usenormstyforlist\noindnmbrts\felnbrelev\nocxsptable\indrlsweleven\noafcnsttbl\afelev\utinl\hwelev\spltpgpar\notcvasp\notbrkcnstfrctbl\notvatxbx\krnprsnet\cachedcolbal \nouicompat \fet0_x000d__x000a_{\*\wgrffmtfilter 013f}\nofeaturethrottle1\ilfomacatclnup0{\*\template C:\\Users\\mkrieg\\AppData\\Local\\Temp\\Blank1.dotx}{\*\ftnsep \ltrpar \pard\plain \ltrpar\ql \li0\ri0\widctlpar\wrapdefault\aspalpha\aspnum\faauto\adjustright\rin0\lin0\itap0 _x000d__x000a_\rtlch\fcs1 \af0\afs20\alang1025 \ltrch\fcs0 \fs24\lang2057\langfe2057\cgrid\langnp2057\langfenp2057 {\rtlch\fcs1 \af0 \ltrch\fcs0 \insrsid2375206 \chftnsep _x000d__x000a_\par }}{\*\ftnsepc \ltrpar \pard\plain \ltrpar\ql \li0\ri0\widctlpar\wrapdefault\aspalpha\aspnum\faauto\adjustright\rin0\lin0\itap0 \rtlch\fcs1 \af0\afs20\alang1025 \ltrch\fcs0 \fs24\lang2057\langfe2057\cgrid\langnp2057\langfenp2057 {\rtlch\fcs1 \af0 _x000d__x000a_\ltrch\fcs0 \insrsid2375206 \chftnsepc _x000d__x000a_\par }}{\*\aftnsep \ltrpar \pard\plain \ltrpar\ql \li0\ri0\widctlpar\wrapdefault\aspalpha\aspnum\faauto\adjustright\rin0\lin0\itap0 \rtlch\fcs1 \af0\afs20\alang1025 \ltrch\fcs0 \fs24\lang2057\langfe2057\cgrid\langnp2057\langfenp2057 {\rtlch\fcs1 \af0 _x000d__x000a_\ltrch\fcs0 \insrsid2375206 \chftnsep _x000d__x000a_\par }}{\*\aftnsepc \ltrpar \pard\plain \ltrpar\ql \li0\ri0\widctlpar\wrapdefault\aspalpha\aspnum\faauto\adjustright\rin0\lin0\itap0 \rtlch\fcs1 \af0\afs20\alang1025 \ltrch\fcs0 \fs24\lang2057\langfe2057\cgrid\langnp2057\langfenp2057 {\rtlch\fcs1 \af0 _x000d__x000a_\ltrch\fcs0 \insrsid237520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722627 \rtlch\fcs1 _x000d__x000a_\af0\afs20\alang1025 \ltrch\fcs0 \b\fs24\lang2057\langfe2057\cgrid\langnp2057\langfenp2057 {\rtlch\fcs1 \af0 \ltrch\fcs0 \cs17\b0\v\fs20\cf9\lang1024\langfe1024\loch\af1\hich\af1\dbch\af31501\noproof\insrsid722627\charrsid15879488 {\*\bkmkstart restartB}_x000d__x000a_\hich\af1\dbch\af31501\loch\f1 &lt;AmendB&gt;}{\rtlch\fcs1 \af0 \ltrch\fcs0 \insrsid722627\charrsid15879488 [ZAMENDMENT]\tab \tab }{\rtlch\fcs1 \af0 \ltrch\fcs0 _x000d__x000a_\cs17\b0\v\fs20\cf9\lang1024\langfe1024\loch\af1\hich\af1\dbch\af31501\noproof\insrsid722627\charrsid15879488 \hich\af1\dbch\af31501\loch\f1 &lt;NumAmB&gt;}{\rtlch\fcs1 \af0 \ltrch\fcs0 \insrsid722627\charrsid15879488 [ZNRAM]}{\rtlch\fcs1 \af0 \ltrch\fcs0 _x000d__x000a_\cs17\b0\v\fs20\cf9\lang1024\langfe1024\loch\af1\hich\af1\dbch\af31501\noproof\insrsid722627\charrsid15879488 \hich\af1\dbch\af31501\loch\f1 &lt;/NumAmB&gt;}{\rtlch\fcs1 \af0 \ltrch\fcs0 \insrsid722627\charrsid15879488 _x000d__x000a_\par }\pard\plain \ltrpar\s25\ql \li0\ri0\sb240\keepn\nowidctlpar\wrapdefault\aspalpha\aspnum\faauto\adjustright\rin0\lin0\itap0\pararsid722627 \rtlch\fcs1 \af0\afs20\alang1025 \ltrch\fcs0 \b\fs24\lang2057\langfe2057\cgrid\langnp2057\langfenp2057 {\rtlch\fcs1 _x000d__x000a_\af0 \ltrch\fcs0 \cs17\b0\v\fs20\cf9\lang1024\langfe1024\loch\af1\hich\af1\dbch\af31501\noproof\insrsid722627\charrsid15879488 \hich\af1\dbch\af31501\loch\f1 &lt;DocAmend&gt;}{\rtlch\fcs1 \af0 \ltrch\fcs0 \insrsid722627\charrsid15879488 [ZPROPOSAL][ZAMACT]}{_x000d__x000a_\rtlch\fcs1 \af0 \ltrch\fcs0 \cs17\b0\v\fs20\cf9\lang1024\langfe1024\loch\af1\hich\af1\dbch\af31501\noproof\insrsid722627\charrsid15879488 \hich\af1\dbch\af31501\loch\f1 &lt;/DocAmend&gt;}{\rtlch\fcs1 \af0 \ltrch\fcs0 \insrsid722627\charrsid15879488 _x000d__x000a_\par }\pard\plain \ltrpar\s19\ql \li0\ri0\keepn\nowidctlpar\wrapdefault\aspalpha\aspnum\faauto\adjustright\rin0\lin0\itap0\pararsid722627 \rtlch\fcs1 \af0\afs20\alang1025 \ltrch\fcs0 \b\fs24\lang2057\langfe2057\cgrid\langnp2057\langfenp2057 {\rtlch\fcs1 \af0 _x000d__x000a_\ltrch\fcs0 \cs17\b0\v\fs20\cf9\lang1024\langfe1024\loch\af1\hich\af1\dbch\af31501\noproof\insrsid722627\charrsid15879488 \hich\af1\dbch\af31501\loch\f1 &lt;Article&gt;}{\rtlch\fcs1 \af0 \ltrch\fcs0 \insrsid722627\charrsid15879488 [ZAMPART]}{\rtlch\fcs1 \af0 _x000d__x000a_\ltrch\fcs0 \cs17\b0\v\fs20\cf9\lang1024\langfe1024\loch\af1\hich\af1\dbch\af31501\noproof\insrsid722627\charrsid15879488 \hich\af1\dbch\af31501\loch\f1 &lt;/Article&gt;}{\rtlch\fcs1 \af0 \ltrch\fcs0 \insrsid722627\charrsid15879488 _x000d__x000a_\par }\pard\plain \ltrpar\ql \li0\ri0\keepn\widctlpar\wrapdefault\aspalpha\aspnum\faauto\adjustright\rin0\lin0\itap0\pararsid722627 \rtlch\fcs1 \af0\afs20\alang1025 \ltrch\fcs0 \fs24\lang2057\langfe2057\cgrid\langnp2057\langfenp2057 {\rtlch\fcs1 \af0 _x000d__x000a_\ltrch\fcs0 \cs17\v\fs20\cf9\lang1024\langfe1024\loch\af1\hich\af1\dbch\af31501\noproof\insrsid722627\charrsid15879488 \hich\af1\dbch\af31501\loch\f1 &lt;DocAmend2&gt;&lt;OptDel&gt;}{\rtlch\fcs1 \af0 \ltrch\fcs0 \insrsid722627\charrsid15879488 [ZNRACT]}{\rtlch\fcs1 _x000d__x000a_\af0 \ltrch\fcs0 \cs17\v\fs20\cf9\lang1024\langfe1024\loch\af1\hich\af1\dbch\af31501\noproof\insrsid722627\charrsid15879488 \hich\af1\dbch\af31501\loch\f1 &lt;/OptDel&gt;&lt;/DocAmend2&gt;}{\rtlch\fcs1 \af0 \ltrch\fcs0 \insrsid722627\charrsid15879488 _x000d__x000a_\par }\pard \ltrpar\ql \li0\ri0\widctlpar\wrapdefault\aspalpha\aspnum\faauto\adjustright\rin0\lin0\itap0\pararsid722627 {\rtlch\fcs1 \af0 \ltrch\fcs0 _x000d__x000a_\cs17\v\fs20\cf9\lang1024\langfe1024\loch\af1\hich\af1\dbch\af31501\noproof\langnp1036\insrsid722627\charrsid11356624 \hich\af1\dbch\af31501\loch\f1 &lt;Article2&gt;&lt;OptDel&gt;}{\rtlch\fcs1 \af0 \ltrch\fcs0 _x000d__x000a_\lang1036\langfe2057\langnp1036\insrsid722627\charrsid11356624 [ZACTPART]}{\rtlch\fcs1 \af0 \ltrch\fcs0 \cs17\v\fs20\cf9\lang1024\langfe1024\loch\af1\hich\af1\dbch\af31501\noproof\langnp1036\insrsid722627\charrsid11356624 \hich\af1\dbch\af31501\loch\f1 _x000d__x000a_&lt;/OptDel&gt;&lt;/Article2&gt;}{\rtlch\fcs1 \af0 \ltrch\fcs0 \lang1036\langfe2057\langnp1036\insrsid722627\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722627\charrsid11356624 \cell }\pard \ltrpar\ql \li0\ri0\widctlpar\intbl\wrapdefault\aspalpha\aspnum\faauto\adjustright\rin0\lin0 {\rtlch\fcs1 \af0 \ltrch\fcs0 \insrsid722627\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722627\charrsid15879488 [ZLEFTB]\cell [ZRIGHT]\cell }\pard\plain \ltrpar\ql \li0\ri0\widctlpar\intbl\wrapdefault\aspalpha\aspnum\faauto\adjustright\rin0\lin0 \rtlch\fcs1 \af0\afs20\alang1025 \ltrch\fcs0 _x000d__x000a_\fs24\lang2057\langfe2057\cgrid\langnp2057\langfenp2057 {\rtlch\fcs1 \af0 \ltrch\fcs0 \insrsid722627\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722627\charrsid15879488 [ZTEXTL]\cell [ZTEXTR]}{\rtlch\fcs1 \af0\afs24 \ltrch\fcs0 \insrsid722627\charrsid15879488 \cell }\pard\plain \ltrpar\ql \li0\ri0\widctlpar\intbl\wrapdefault\aspalpha\aspnum\faauto\adjustright\rin0\lin0 \rtlch\fcs1 _x000d__x000a_\af0\afs20\alang1025 \ltrch\fcs0 \fs24\lang2057\langfe2057\cgrid\langnp2057\langfenp2057 {\rtlch\fcs1 \af0 \ltrch\fcs0 \insrsid722627\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722627 \rtlch\fcs1 \af0\afs20\alang1025 \ltrch\fcs0 \i\fs24\lang2057\langfe2057\cgrid\langnp2057\langfenp2057 {\rtlch\fcs1 \af0 \ltrch\fcs0 _x000d__x000a_\cs17\i0\v\fs20\cf9\lang1024\langfe1024\loch\af1\hich\af1\dbch\af31501\noproof\insrsid722627\charrsid15879488 \hich\af1\dbch\af31501\loch\f1 &lt;OptDel&gt;}{\rtlch\fcs1 \af0 \ltrch\fcs0 \insrsid722627\charrsid15879488 [ZCROSSREF]}{\rtlch\fcs1 \af0 \ltrch\fcs0 _x000d__x000a_\cs17\i0\v\fs20\cf9\lang1024\langfe1024\loch\af1\hich\af1\dbch\af31501\noproof\insrsid722627\charrsid15879488 \hich\af1\dbch\af31501\loch\f1 &lt;/OptDel&gt;}{\rtlch\fcs1 \af0 \ltrch\fcs0 \insrsid722627\charrsid15879488 _x000d__x000a_\par }\pard\plain \ltrpar\s22\qc \li0\ri0\sb240\sa240\keepn\nowidctlpar\wrapdefault\aspalpha\aspnum\faauto\adjustright\rin0\lin0\itap0\pararsid722627 \rtlch\fcs1 \af0\afs20\alang1025 \ltrch\fcs0 \i\fs24\lang2057\langfe2057\cgrid\langnp2057\langfenp2057 {_x000d__x000a_\rtlch\fcs1 \af0 \ltrch\fcs0 \cs17\i0\v\fs20\cf9\lang1024\langfe1024\loch\af1\hich\af1\dbch\af31501\noproof\insrsid722627\charrsid15879488 \hich\af1\dbch\af31501\loch\f1 &lt;TitreJust&gt;}{\rtlch\fcs1 \af0 \ltrch\fcs0 \insrsid722627\charrsid15879488 _x000d__x000a_[ZJUSTIFICATION]}{\rtlch\fcs1 \af0 \ltrch\fcs0 \cs17\i0\v\fs20\cf9\lang1024\langfe1024\loch\af1\hich\af1\dbch\af31501\noproof\insrsid722627\charrsid15879488 \hich\af1\dbch\af31501\loch\f1 &lt;/TitreJust&gt;}{\rtlch\fcs1 \af0 \ltrch\fcs0 _x000d__x000a_\insrsid722627\charrsid15879488 _x000d__x000a_\par }\pard\plain \ltrpar\s20\ql \li0\ri0\sa240\nowidctlpar\wrapdefault\aspalpha\aspnum\faauto\adjustright\rin0\lin0\itap0\pararsid722627 \rtlch\fcs1 \af0\afs20\alang1025 \ltrch\fcs0 \i\fs24\lang2057\langfe2057\cgrid\langnp2057\langfenp2057 {\rtlch\fcs1 \af0 _x000d__x000a_\ltrch\fcs0 \cs17\i0\v\fs20\cf9\lang1024\langfe1024\loch\af1\hich\af1\dbch\af31501\noproof\insrsid722627\charrsid15879488 \hich\af1\dbch\af31501\loch\f1 &lt;OptDelPrev&gt;}{\rtlch\fcs1 \af0 \ltrch\fcs0 \insrsid722627\charrsid15879488 [ZTEXTJUST]}{\rtlch\fcs1 _x000d__x000a_\af0 \ltrch\fcs0 \cs17\i0\v\fs20\cf9\lang1024\langfe1024\loch\af1\hich\af1\dbch\af31501\noproof\insrsid722627\charrsid15879488 \hich\af1\dbch\af31501\loch\f1 &lt;/OptDelPrev&gt;}{\rtlch\fcs1 \af0 \ltrch\fcs0 \insrsid722627\charrsid15879488 _x000d__x000a_\par }\pard\plain \ltrpar\ql \li0\ri0\widctlpar\wrapdefault\aspalpha\aspnum\faauto\adjustright\rin0\lin0\itap0\pararsid722627 \rtlch\fcs1 \af0\afs20\alang1025 \ltrch\fcs0 \fs24\lang2057\langfe2057\cgrid\langnp2057\langfenp2057 {\rtlch\fcs1 \af0 \ltrch\fcs0 _x000d__x000a_\cs17\v\fs20\cf9\lang1024\langfe1024\loch\af1\hich\af1\dbch\af31501\noproof\insrsid722627\charrsid15879488 \hich\af1\dbch\af31501\loch\f1 &lt;/AmendB&gt;}{\rtlch\fcs1 \af0 \ltrch\fcs0 \insrsid722627\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87_x000d__x000a_1543550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88"/>
    <w:docVar w:name="TITLECODMNU" w:val=" 1"/>
    <w:docVar w:name="TVTAMACTPART" w:val="abc"/>
    <w:docVar w:name="TVTRESPART" w:val="abc"/>
    <w:docVar w:name="TXTLANGUE" w:val="RO"/>
    <w:docVar w:name="TXTLANGUEMIN" w:val="ro"/>
    <w:docVar w:name="TXTNRC" w:val="0150/2023"/>
    <w:docVar w:name="TXTNRCOM" w:val="(2023)0240"/>
    <w:docVar w:name="TXTNRFIRSTAM" w:val="1"/>
    <w:docVar w:name="TXTNRLASTAM" w:val="5"/>
    <w:docVar w:name="TXTNRPE" w:val="752.621"/>
    <w:docVar w:name="TXTNRPROC" w:val="2023/0138"/>
    <w:docVar w:name="TXTPEorAP" w:val="PE"/>
    <w:docVar w:name="TXTROUTE" w:val="AD\1288324RO.docx"/>
    <w:docVar w:name="TXTVERSION" w:val="02-00"/>
  </w:docVars>
  <w:rsids>
    <w:rsidRoot w:val="007426EC"/>
    <w:rsid w:val="00026559"/>
    <w:rsid w:val="00027FA8"/>
    <w:rsid w:val="0004474F"/>
    <w:rsid w:val="000522F2"/>
    <w:rsid w:val="00082EC4"/>
    <w:rsid w:val="000C751C"/>
    <w:rsid w:val="000D44A6"/>
    <w:rsid w:val="00121470"/>
    <w:rsid w:val="00122C05"/>
    <w:rsid w:val="00122CC3"/>
    <w:rsid w:val="00134974"/>
    <w:rsid w:val="00141CD7"/>
    <w:rsid w:val="00147DFE"/>
    <w:rsid w:val="001616BD"/>
    <w:rsid w:val="00180E36"/>
    <w:rsid w:val="001820A9"/>
    <w:rsid w:val="001A0556"/>
    <w:rsid w:val="001A7452"/>
    <w:rsid w:val="001B0A1E"/>
    <w:rsid w:val="001C0886"/>
    <w:rsid w:val="001D5154"/>
    <w:rsid w:val="001E3AC4"/>
    <w:rsid w:val="0020077A"/>
    <w:rsid w:val="00220500"/>
    <w:rsid w:val="002258E0"/>
    <w:rsid w:val="0023131B"/>
    <w:rsid w:val="002A67EE"/>
    <w:rsid w:val="002C26F8"/>
    <w:rsid w:val="002D23D0"/>
    <w:rsid w:val="00304EA8"/>
    <w:rsid w:val="003300D9"/>
    <w:rsid w:val="00341A99"/>
    <w:rsid w:val="00360FAA"/>
    <w:rsid w:val="003668DD"/>
    <w:rsid w:val="0038294E"/>
    <w:rsid w:val="003A2F84"/>
    <w:rsid w:val="003A6A67"/>
    <w:rsid w:val="003B07E2"/>
    <w:rsid w:val="003B0D2A"/>
    <w:rsid w:val="003C7390"/>
    <w:rsid w:val="003D6066"/>
    <w:rsid w:val="003E00BF"/>
    <w:rsid w:val="003E1280"/>
    <w:rsid w:val="003F128E"/>
    <w:rsid w:val="0040055C"/>
    <w:rsid w:val="00415589"/>
    <w:rsid w:val="004515F9"/>
    <w:rsid w:val="00487596"/>
    <w:rsid w:val="004B3A53"/>
    <w:rsid w:val="004C2A0D"/>
    <w:rsid w:val="004F1D2F"/>
    <w:rsid w:val="00502B76"/>
    <w:rsid w:val="00513F6F"/>
    <w:rsid w:val="00522B51"/>
    <w:rsid w:val="00524707"/>
    <w:rsid w:val="00525B43"/>
    <w:rsid w:val="00543D1E"/>
    <w:rsid w:val="005539B7"/>
    <w:rsid w:val="00565298"/>
    <w:rsid w:val="00571233"/>
    <w:rsid w:val="005716CD"/>
    <w:rsid w:val="00586041"/>
    <w:rsid w:val="005922EC"/>
    <w:rsid w:val="005D22C6"/>
    <w:rsid w:val="00600087"/>
    <w:rsid w:val="00613134"/>
    <w:rsid w:val="0062175F"/>
    <w:rsid w:val="00626D52"/>
    <w:rsid w:val="006315F6"/>
    <w:rsid w:val="00632FD4"/>
    <w:rsid w:val="00643DA8"/>
    <w:rsid w:val="00653EDA"/>
    <w:rsid w:val="00657D5C"/>
    <w:rsid w:val="00683DD1"/>
    <w:rsid w:val="00691B1C"/>
    <w:rsid w:val="006A0F0A"/>
    <w:rsid w:val="006A48AA"/>
    <w:rsid w:val="006B1267"/>
    <w:rsid w:val="006D292E"/>
    <w:rsid w:val="006F1531"/>
    <w:rsid w:val="00712462"/>
    <w:rsid w:val="00716BAA"/>
    <w:rsid w:val="0073137C"/>
    <w:rsid w:val="00740A09"/>
    <w:rsid w:val="00741A65"/>
    <w:rsid w:val="007426EC"/>
    <w:rsid w:val="0078548A"/>
    <w:rsid w:val="007875FA"/>
    <w:rsid w:val="007B7CE3"/>
    <w:rsid w:val="007D04FC"/>
    <w:rsid w:val="007F187F"/>
    <w:rsid w:val="00817D13"/>
    <w:rsid w:val="00820C7D"/>
    <w:rsid w:val="00832841"/>
    <w:rsid w:val="00833D11"/>
    <w:rsid w:val="00836FD3"/>
    <w:rsid w:val="008375A8"/>
    <w:rsid w:val="008506A6"/>
    <w:rsid w:val="008652A4"/>
    <w:rsid w:val="00872A52"/>
    <w:rsid w:val="00876A73"/>
    <w:rsid w:val="0089388A"/>
    <w:rsid w:val="008F3DB0"/>
    <w:rsid w:val="00904864"/>
    <w:rsid w:val="009052FE"/>
    <w:rsid w:val="009215FC"/>
    <w:rsid w:val="00921659"/>
    <w:rsid w:val="009230BA"/>
    <w:rsid w:val="00924555"/>
    <w:rsid w:val="00930617"/>
    <w:rsid w:val="009368B3"/>
    <w:rsid w:val="00982B83"/>
    <w:rsid w:val="009857B4"/>
    <w:rsid w:val="009B6583"/>
    <w:rsid w:val="009E7319"/>
    <w:rsid w:val="00A36CA0"/>
    <w:rsid w:val="00A71228"/>
    <w:rsid w:val="00A74E25"/>
    <w:rsid w:val="00A9371F"/>
    <w:rsid w:val="00AC2A60"/>
    <w:rsid w:val="00AC6CD7"/>
    <w:rsid w:val="00AD49D0"/>
    <w:rsid w:val="00AF0131"/>
    <w:rsid w:val="00B0002A"/>
    <w:rsid w:val="00B00EE6"/>
    <w:rsid w:val="00B1322B"/>
    <w:rsid w:val="00B31BC8"/>
    <w:rsid w:val="00B476DC"/>
    <w:rsid w:val="00B556CD"/>
    <w:rsid w:val="00B62D4B"/>
    <w:rsid w:val="00B703CF"/>
    <w:rsid w:val="00B904FA"/>
    <w:rsid w:val="00BA3E40"/>
    <w:rsid w:val="00BA7875"/>
    <w:rsid w:val="00BB2414"/>
    <w:rsid w:val="00BD1F76"/>
    <w:rsid w:val="00BD41AD"/>
    <w:rsid w:val="00BE20CF"/>
    <w:rsid w:val="00C22327"/>
    <w:rsid w:val="00C22F30"/>
    <w:rsid w:val="00C335C6"/>
    <w:rsid w:val="00C33FBD"/>
    <w:rsid w:val="00C4219C"/>
    <w:rsid w:val="00C46349"/>
    <w:rsid w:val="00C47E8C"/>
    <w:rsid w:val="00C52A28"/>
    <w:rsid w:val="00C56375"/>
    <w:rsid w:val="00C709B7"/>
    <w:rsid w:val="00C75E98"/>
    <w:rsid w:val="00C81C5B"/>
    <w:rsid w:val="00C83B35"/>
    <w:rsid w:val="00CB34A7"/>
    <w:rsid w:val="00CB6296"/>
    <w:rsid w:val="00D25CF2"/>
    <w:rsid w:val="00D56CE0"/>
    <w:rsid w:val="00D6254D"/>
    <w:rsid w:val="00D65AA8"/>
    <w:rsid w:val="00D6771F"/>
    <w:rsid w:val="00D67D0A"/>
    <w:rsid w:val="00D74FD1"/>
    <w:rsid w:val="00D851D4"/>
    <w:rsid w:val="00D943A5"/>
    <w:rsid w:val="00D9581F"/>
    <w:rsid w:val="00DB56E4"/>
    <w:rsid w:val="00E27F01"/>
    <w:rsid w:val="00E34A5C"/>
    <w:rsid w:val="00E602B4"/>
    <w:rsid w:val="00E6766A"/>
    <w:rsid w:val="00E77FF5"/>
    <w:rsid w:val="00E9018C"/>
    <w:rsid w:val="00E94D64"/>
    <w:rsid w:val="00EA24D0"/>
    <w:rsid w:val="00EA29B5"/>
    <w:rsid w:val="00EA3802"/>
    <w:rsid w:val="00EF1432"/>
    <w:rsid w:val="00EF33D5"/>
    <w:rsid w:val="00EF3E37"/>
    <w:rsid w:val="00F15744"/>
    <w:rsid w:val="00F24D40"/>
    <w:rsid w:val="00FA3C27"/>
    <w:rsid w:val="00FD3BC6"/>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E6E4EB"/>
  <w15:chartTrackingRefBased/>
  <w15:docId w15:val="{170D76C4-8E8F-426E-A880-D61A29C27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character" w:customStyle="1" w:styleId="NormalBoldChar">
    <w:name w:val="NormalBold Char"/>
    <w:link w:val="NormalBold"/>
    <w:locked/>
    <w:rsid w:val="00525B43"/>
    <w:rPr>
      <w:b/>
      <w:sz w:val="24"/>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character" w:customStyle="1" w:styleId="HeaderChar">
    <w:name w:val="Header Char"/>
    <w:basedOn w:val="DefaultParagraphFont"/>
    <w:link w:val="Header"/>
    <w:semiHidden/>
    <w:rsid w:val="00626D52"/>
    <w:rPr>
      <w:sz w:val="24"/>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A71228"/>
    <w:pPr>
      <w:spacing w:after="240"/>
    </w:pPr>
  </w:style>
  <w:style w:type="character" w:customStyle="1" w:styleId="FooterChar">
    <w:name w:val="Footer Char"/>
    <w:basedOn w:val="DefaultParagraphFont"/>
    <w:link w:val="Footer"/>
    <w:rsid w:val="00525B43"/>
    <w:rPr>
      <w:sz w:val="22"/>
    </w:rPr>
  </w:style>
  <w:style w:type="paragraph" w:styleId="Footer">
    <w:name w:val="footer"/>
    <w:link w:val="FooterChar"/>
    <w:unhideWhenUsed/>
    <w:rsid w:val="00525B43"/>
    <w:pPr>
      <w:tabs>
        <w:tab w:val="center" w:pos="4536"/>
        <w:tab w:val="right" w:pos="9072"/>
      </w:tabs>
      <w:spacing w:before="240" w:after="240" w:line="220" w:lineRule="auto"/>
    </w:pPr>
    <w:rPr>
      <w:sz w:val="22"/>
    </w:rPr>
  </w:style>
  <w:style w:type="character" w:customStyle="1" w:styleId="Normal12Char">
    <w:name w:val="Normal12 Char"/>
    <w:link w:val="Normal12"/>
    <w:locked/>
    <w:rsid w:val="00525B43"/>
    <w:rPr>
      <w:noProof/>
      <w:sz w:val="24"/>
    </w:rPr>
  </w:style>
  <w:style w:type="paragraph" w:customStyle="1" w:styleId="Normal12">
    <w:name w:val="Normal12"/>
    <w:basedOn w:val="Normal"/>
    <w:link w:val="Normal12Char"/>
    <w:rsid w:val="00525B43"/>
    <w:pPr>
      <w:spacing w:after="240"/>
    </w:pPr>
    <w:rPr>
      <w:noProof/>
      <w:szCs w:val="20"/>
    </w:rPr>
  </w:style>
  <w:style w:type="character" w:customStyle="1" w:styleId="Normal6Char">
    <w:name w:val="Normal6 Char"/>
    <w:link w:val="Normal6"/>
    <w:locked/>
    <w:rsid w:val="00525B43"/>
    <w:rPr>
      <w:sz w:val="24"/>
      <w:lang w:val="ro-RO"/>
    </w:rPr>
  </w:style>
  <w:style w:type="paragraph" w:customStyle="1" w:styleId="Normal6">
    <w:name w:val="Normal6"/>
    <w:basedOn w:val="Normal"/>
    <w:link w:val="Normal6Char"/>
    <w:rsid w:val="00525B43"/>
    <w:pPr>
      <w:spacing w:after="120"/>
    </w:pPr>
    <w:rPr>
      <w:szCs w:val="20"/>
    </w:rPr>
  </w:style>
  <w:style w:type="paragraph" w:customStyle="1" w:styleId="Normal12Italic">
    <w:name w:val="Normal12Italic"/>
    <w:basedOn w:val="Normal12"/>
    <w:rsid w:val="00525B43"/>
    <w:rPr>
      <w:i/>
    </w:rPr>
  </w:style>
  <w:style w:type="paragraph" w:customStyle="1" w:styleId="Footer2">
    <w:name w:val="Footer2"/>
    <w:basedOn w:val="Normal12"/>
    <w:rsid w:val="00525B43"/>
    <w:pPr>
      <w:tabs>
        <w:tab w:val="center" w:pos="4535"/>
        <w:tab w:val="right" w:pos="9923"/>
      </w:tabs>
      <w:spacing w:line="480" w:lineRule="auto"/>
      <w:ind w:left="-851"/>
    </w:pPr>
    <w:rPr>
      <w:rFonts w:ascii="Arial" w:cs="Arial"/>
      <w:b/>
      <w:sz w:val="48"/>
    </w:rPr>
  </w:style>
  <w:style w:type="paragraph" w:customStyle="1" w:styleId="EntPE">
    <w:name w:val="EntPE"/>
    <w:basedOn w:val="Normal12"/>
    <w:rsid w:val="00525B43"/>
    <w:pPr>
      <w:jc w:val="center"/>
    </w:pPr>
    <w:rPr>
      <w:noProof w:val="0"/>
      <w:sz w:val="56"/>
    </w:rPr>
  </w:style>
  <w:style w:type="paragraph" w:customStyle="1" w:styleId="AMNumberTabs0">
    <w:name w:val="AMNumberTabs"/>
    <w:basedOn w:val="Normal"/>
    <w:rsid w:val="00525B4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ColumnHeading">
    <w:name w:val="ColumnHeading"/>
    <w:basedOn w:val="Normal"/>
    <w:rsid w:val="00525B43"/>
    <w:pPr>
      <w:spacing w:after="240"/>
      <w:jc w:val="center"/>
    </w:pPr>
    <w:rPr>
      <w:i/>
      <w:szCs w:val="20"/>
    </w:rPr>
  </w:style>
  <w:style w:type="paragraph" w:customStyle="1" w:styleId="Olang">
    <w:name w:val="Olang"/>
    <w:basedOn w:val="Normal"/>
    <w:rsid w:val="00525B43"/>
    <w:pPr>
      <w:spacing w:before="240" w:after="240"/>
      <w:jc w:val="right"/>
    </w:pPr>
    <w:rPr>
      <w:noProof/>
    </w:rPr>
  </w:style>
  <w:style w:type="paragraph" w:styleId="BalloonText">
    <w:name w:val="Balloon Text"/>
    <w:basedOn w:val="Normal"/>
    <w:link w:val="BalloonTextChar"/>
    <w:semiHidden/>
    <w:unhideWhenUsed/>
    <w:rsid w:val="000522F2"/>
    <w:rPr>
      <w:rFonts w:ascii="Segoe UI" w:hAnsi="Segoe UI" w:cs="Segoe UI"/>
      <w:sz w:val="18"/>
      <w:szCs w:val="18"/>
    </w:rPr>
  </w:style>
  <w:style w:type="character" w:customStyle="1" w:styleId="BalloonTextChar">
    <w:name w:val="Balloon Text Char"/>
    <w:basedOn w:val="DefaultParagraphFont"/>
    <w:link w:val="BalloonText"/>
    <w:semiHidden/>
    <w:rsid w:val="000522F2"/>
    <w:rPr>
      <w:rFonts w:ascii="Segoe UI" w:hAnsi="Segoe UI" w:cs="Segoe UI"/>
      <w:sz w:val="18"/>
      <w:szCs w:val="18"/>
    </w:rPr>
  </w:style>
  <w:style w:type="paragraph" w:customStyle="1" w:styleId="RollCallSymbols14pt">
    <w:name w:val="RollCallSymbols14pt"/>
    <w:basedOn w:val="Normal"/>
    <w:rsid w:val="00565298"/>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565298"/>
    <w:pPr>
      <w:tabs>
        <w:tab w:val="center" w:pos="284"/>
        <w:tab w:val="left" w:pos="426"/>
      </w:tabs>
    </w:pPr>
    <w:rPr>
      <w:snapToGrid w:val="0"/>
      <w:szCs w:val="20"/>
      <w:lang w:eastAsia="en-US"/>
    </w:rPr>
  </w:style>
  <w:style w:type="paragraph" w:customStyle="1" w:styleId="RollCallVotes">
    <w:name w:val="RollCallVotes"/>
    <w:basedOn w:val="Normal"/>
    <w:rsid w:val="00565298"/>
    <w:pPr>
      <w:spacing w:before="120" w:after="120"/>
      <w:jc w:val="center"/>
    </w:pPr>
    <w:rPr>
      <w:b/>
      <w:bCs/>
      <w:snapToGrid w:val="0"/>
      <w:sz w:val="16"/>
      <w:szCs w:val="20"/>
      <w:lang w:eastAsia="en-US"/>
    </w:rPr>
  </w:style>
  <w:style w:type="paragraph" w:customStyle="1" w:styleId="RollCallTable">
    <w:name w:val="RollCallTable"/>
    <w:basedOn w:val="Normal"/>
    <w:rsid w:val="00565298"/>
    <w:pPr>
      <w:spacing w:before="120" w:after="120"/>
    </w:pPr>
    <w:rPr>
      <w:snapToGrid w:val="0"/>
      <w:sz w:val="16"/>
      <w:szCs w:val="20"/>
      <w:lang w:eastAsia="en-US"/>
    </w:rPr>
  </w:style>
  <w:style w:type="character" w:styleId="CommentReference">
    <w:name w:val="annotation reference"/>
    <w:basedOn w:val="DefaultParagraphFont"/>
    <w:rsid w:val="00AF0131"/>
    <w:rPr>
      <w:sz w:val="16"/>
      <w:szCs w:val="16"/>
    </w:rPr>
  </w:style>
  <w:style w:type="paragraph" w:styleId="CommentText">
    <w:name w:val="annotation text"/>
    <w:basedOn w:val="Normal"/>
    <w:link w:val="CommentTextChar"/>
    <w:rsid w:val="00AF0131"/>
    <w:rPr>
      <w:sz w:val="20"/>
      <w:szCs w:val="20"/>
    </w:rPr>
  </w:style>
  <w:style w:type="character" w:customStyle="1" w:styleId="CommentTextChar">
    <w:name w:val="Comment Text Char"/>
    <w:basedOn w:val="DefaultParagraphFont"/>
    <w:link w:val="CommentText"/>
    <w:rsid w:val="00AF0131"/>
  </w:style>
  <w:style w:type="paragraph" w:styleId="CommentSubject">
    <w:name w:val="annotation subject"/>
    <w:basedOn w:val="CommentText"/>
    <w:next w:val="CommentText"/>
    <w:link w:val="CommentSubjectChar"/>
    <w:semiHidden/>
    <w:unhideWhenUsed/>
    <w:rsid w:val="00AF0131"/>
    <w:rPr>
      <w:b/>
      <w:bCs/>
    </w:rPr>
  </w:style>
  <w:style w:type="character" w:customStyle="1" w:styleId="CommentSubjectChar">
    <w:name w:val="Comment Subject Char"/>
    <w:basedOn w:val="CommentTextChar"/>
    <w:link w:val="CommentSubject"/>
    <w:semiHidden/>
    <w:rsid w:val="00AF01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9B3A3-59D9-4DFE-91BE-4C6E5A314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7611</Words>
  <Characters>47673</Characters>
  <Application>Microsoft Office Word</Application>
  <DocSecurity>0</DocSecurity>
  <Lines>1736</Lines>
  <Paragraphs>435</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55003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2023-11-15T15:49:00Z</dcterms:created>
  <dcterms:modified xsi:type="dcterms:W3CDTF">2023-11-15T15:49:00Z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1288324</vt:lpwstr>
  </property>
  <property fmtid="{D5CDD505-2E9C-101B-9397-08002B2CF9AE}" pid="4" name="&lt;Model&gt;">
    <vt:lpwstr>PA_Legam</vt:lpwstr>
  </property>
  <property fmtid="{D5CDD505-2E9C-101B-9397-08002B2CF9AE}" pid="5" name="&lt;ModelCod&gt;">
    <vt:lpwstr>\\eiciBRUpr1\pdocep$\DocEP\DOCS\General\PA\PA_Leg\PA_Legam.dotx(19/12/2022 07:51:18)</vt:lpwstr>
  </property>
  <property fmtid="{D5CDD505-2E9C-101B-9397-08002B2CF9AE}" pid="6" name="&lt;ModelTra&gt;">
    <vt:lpwstr>\\eiciBRUpr1\pdocep$\DocEP\TRANSFIL\EN\PA_Legam.EN(21/03/2023 17:53:01)</vt:lpwstr>
  </property>
  <property fmtid="{D5CDD505-2E9C-101B-9397-08002B2CF9AE}" pid="7" name="&lt;Type&gt;">
    <vt:lpwstr>AD</vt:lpwstr>
  </property>
  <property fmtid="{D5CDD505-2E9C-101B-9397-08002B2CF9AE}" pid="8" name="Created with">
    <vt:lpwstr>9.14.1 Build [20230315]</vt:lpwstr>
  </property>
  <property fmtid="{D5CDD505-2E9C-101B-9397-08002B2CF9AE}" pid="9" name="FooterPath">
    <vt:lpwstr>AD\1288324RO.docx</vt:lpwstr>
  </property>
  <property fmtid="{D5CDD505-2E9C-101B-9397-08002B2CF9AE}" pid="10" name="LastEdited with">
    <vt:lpwstr>9.16.1 Build [20230915]</vt:lpwstr>
  </property>
  <property fmtid="{D5CDD505-2E9C-101B-9397-08002B2CF9AE}" pid="11" name="PE number">
    <vt:lpwstr>752.621</vt:lpwstr>
  </property>
  <property fmtid="{D5CDD505-2E9C-101B-9397-08002B2CF9AE}" pid="12" name="SDLStudio">
    <vt:lpwstr/>
  </property>
  <property fmtid="{D5CDD505-2E9C-101B-9397-08002B2CF9AE}" pid="13" name="SendToEpades">
    <vt:lpwstr>OK - 2023/10/30 08:33</vt:lpwstr>
  </property>
  <property fmtid="{D5CDD505-2E9C-101B-9397-08002B2CF9AE}" pid="14" name="Bookout">
    <vt:lpwstr>OK - 2023/11/15 16:49</vt:lpwstr>
  </property>
</Properties>
</file>