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6B66" w:rsidRPr="005D125E" w:rsidTr="00E34A5C">
        <w:trPr>
          <w:trHeight w:hRule="exact" w:val="1418"/>
        </w:trPr>
        <w:tc>
          <w:tcPr>
            <w:tcW w:w="6804" w:type="dxa"/>
            <w:shd w:val="clear" w:color="auto" w:fill="auto"/>
            <w:vAlign w:val="center"/>
          </w:tcPr>
          <w:p w:rsidR="00BA3E40" w:rsidRPr="005D125E" w:rsidRDefault="00617C3C" w:rsidP="00E34A5C">
            <w:pPr>
              <w:pStyle w:val="EPName"/>
            </w:pPr>
            <w:bookmarkStart w:id="0" w:name="_GoBack"/>
            <w:bookmarkEnd w:id="0"/>
            <w:r w:rsidRPr="005D125E">
              <w:t>Európsky parlament</w:t>
            </w:r>
          </w:p>
          <w:p w:rsidR="00BA3E40" w:rsidRPr="005D125E" w:rsidRDefault="00617C3C" w:rsidP="009B6583">
            <w:pPr>
              <w:pStyle w:val="EPTerm"/>
            </w:pPr>
            <w:r w:rsidRPr="005D125E">
              <w:t>2019 – 2024</w:t>
            </w:r>
          </w:p>
        </w:tc>
        <w:tc>
          <w:tcPr>
            <w:tcW w:w="2268" w:type="dxa"/>
            <w:shd w:val="clear" w:color="auto" w:fill="auto"/>
          </w:tcPr>
          <w:p w:rsidR="00BA3E40" w:rsidRPr="005D125E" w:rsidRDefault="00617C3C" w:rsidP="00E34A5C">
            <w:pPr>
              <w:pStyle w:val="EPLogo"/>
            </w:pPr>
            <w:r w:rsidRPr="005D125E">
              <w:rPr>
                <w:noProof/>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D125E" w:rsidRDefault="00F24D40" w:rsidP="00F24D40">
      <w:pPr>
        <w:pStyle w:val="LineTop"/>
      </w:pPr>
    </w:p>
    <w:p w:rsidR="00F24D40" w:rsidRPr="005D125E" w:rsidRDefault="00617C3C" w:rsidP="00F24D40">
      <w:pPr>
        <w:pStyle w:val="EPBody"/>
      </w:pPr>
      <w:r w:rsidRPr="005D125E">
        <w:rPr>
          <w:rStyle w:val="HideTWBExt"/>
        </w:rPr>
        <w:t>&lt;</w:t>
      </w:r>
      <w:r w:rsidRPr="005D125E">
        <w:rPr>
          <w:rStyle w:val="HideTWBExt"/>
          <w:i w:val="0"/>
        </w:rPr>
        <w:t>Commission</w:t>
      </w:r>
      <w:r w:rsidRPr="005D125E">
        <w:rPr>
          <w:rStyle w:val="HideTWBExt"/>
        </w:rPr>
        <w:t>&gt;</w:t>
      </w:r>
      <w:r w:rsidRPr="005D125E">
        <w:rPr>
          <w:rStyle w:val="HideTWBInt"/>
          <w:color w:val="auto"/>
        </w:rPr>
        <w:t>{EMPL}</w:t>
      </w:r>
      <w:r w:rsidRPr="005D125E">
        <w:t>Výbor pre zamestnanosť a sociálne veci</w:t>
      </w:r>
      <w:r w:rsidRPr="005D125E">
        <w:rPr>
          <w:rStyle w:val="HideTWBExt"/>
        </w:rPr>
        <w:t>&lt;/</w:t>
      </w:r>
      <w:r w:rsidRPr="005D125E">
        <w:rPr>
          <w:rStyle w:val="HideTWBExt"/>
          <w:i w:val="0"/>
        </w:rPr>
        <w:t>Commission</w:t>
      </w:r>
      <w:r w:rsidRPr="005D125E">
        <w:rPr>
          <w:rStyle w:val="HideTWBExt"/>
        </w:rPr>
        <w:t>&gt;</w:t>
      </w:r>
    </w:p>
    <w:p w:rsidR="00F24D40" w:rsidRPr="005D125E" w:rsidRDefault="00F24D40" w:rsidP="00F24D40">
      <w:pPr>
        <w:pStyle w:val="LineBottom"/>
      </w:pPr>
    </w:p>
    <w:p w:rsidR="00AF0131" w:rsidRPr="005D125E" w:rsidRDefault="00617C3C" w:rsidP="00AF0131">
      <w:pPr>
        <w:pStyle w:val="CoverReference"/>
      </w:pPr>
      <w:r w:rsidRPr="005D125E">
        <w:rPr>
          <w:rStyle w:val="HideTWBExt"/>
          <w:b w:val="0"/>
        </w:rPr>
        <w:t>&lt;RefProc&gt;</w:t>
      </w:r>
      <w:r w:rsidRPr="005D125E">
        <w:t>2023/0138</w:t>
      </w:r>
      <w:r w:rsidRPr="005D125E">
        <w:rPr>
          <w:rStyle w:val="HideTWBExt"/>
          <w:b w:val="0"/>
        </w:rPr>
        <w:t>&lt;/RefProc&gt;&lt;RefTypeProc&gt;</w:t>
      </w:r>
      <w:r w:rsidRPr="005D125E">
        <w:t>(COD)</w:t>
      </w:r>
      <w:r w:rsidRPr="005D125E">
        <w:rPr>
          <w:rStyle w:val="HideTWBExt"/>
          <w:b w:val="0"/>
        </w:rPr>
        <w:t>&lt;/RefTypeProc&gt;</w:t>
      </w:r>
    </w:p>
    <w:p w:rsidR="00AF0131" w:rsidRPr="005D125E" w:rsidRDefault="00617C3C" w:rsidP="00AF0131">
      <w:pPr>
        <w:pStyle w:val="CoverDate"/>
      </w:pPr>
      <w:r w:rsidRPr="005D125E">
        <w:rPr>
          <w:rStyle w:val="HideTWBExt"/>
        </w:rPr>
        <w:t>&lt;Date&gt;</w:t>
      </w:r>
      <w:r w:rsidRPr="005D125E">
        <w:rPr>
          <w:rStyle w:val="HideTWBInt"/>
          <w:color w:val="auto"/>
        </w:rPr>
        <w:t>{30/10/2023}</w:t>
      </w:r>
      <w:r w:rsidRPr="005D125E">
        <w:t>30. 10. 2023</w:t>
      </w:r>
      <w:r w:rsidRPr="005D125E">
        <w:rPr>
          <w:rStyle w:val="HideTWBExt"/>
        </w:rPr>
        <w:t>&lt;/Date&gt;</w:t>
      </w:r>
    </w:p>
    <w:p w:rsidR="00AF0131" w:rsidRPr="005D125E" w:rsidRDefault="00617C3C" w:rsidP="00AF0131">
      <w:pPr>
        <w:pStyle w:val="CoverDocType24a"/>
      </w:pPr>
      <w:r w:rsidRPr="005D125E">
        <w:rPr>
          <w:rStyle w:val="HideTWBExt"/>
          <w:b w:val="0"/>
        </w:rPr>
        <w:t>&lt;TitreType&gt;</w:t>
      </w:r>
      <w:r w:rsidRPr="005D125E">
        <w:t>STANOVISKO</w:t>
      </w:r>
      <w:r w:rsidRPr="005D125E">
        <w:rPr>
          <w:rStyle w:val="HideTWBExt"/>
          <w:b w:val="0"/>
        </w:rPr>
        <w:t>&lt;/TitreType&gt;</w:t>
      </w:r>
    </w:p>
    <w:p w:rsidR="00AF0131" w:rsidRPr="005D125E" w:rsidRDefault="00617C3C" w:rsidP="00AF0131">
      <w:pPr>
        <w:pStyle w:val="CoverNormal24a"/>
      </w:pPr>
      <w:r w:rsidRPr="005D125E">
        <w:rPr>
          <w:rStyle w:val="HideTWBExt"/>
        </w:rPr>
        <w:t>&lt;CommissionResp&gt;</w:t>
      </w:r>
      <w:r w:rsidRPr="005D125E">
        <w:t>Výboru pre zamestnanosť a sociálne veci</w:t>
      </w:r>
      <w:r w:rsidRPr="005D125E">
        <w:rPr>
          <w:rStyle w:val="HideTWBExt"/>
        </w:rPr>
        <w:t>&lt;/CommissionResp&gt;</w:t>
      </w:r>
    </w:p>
    <w:p w:rsidR="00AF0131" w:rsidRPr="005D125E" w:rsidRDefault="00617C3C" w:rsidP="00AF0131">
      <w:pPr>
        <w:pStyle w:val="CoverNormal24a"/>
      </w:pPr>
      <w:r w:rsidRPr="005D125E">
        <w:rPr>
          <w:rStyle w:val="HideTWBExt"/>
        </w:rPr>
        <w:t>&lt;CommissionInt&gt;</w:t>
      </w:r>
      <w:r w:rsidRPr="005D125E">
        <w:t>pre Výbor pre hospodárske a menové veci</w:t>
      </w:r>
      <w:r w:rsidRPr="005D125E">
        <w:rPr>
          <w:rStyle w:val="HideTWBExt"/>
        </w:rPr>
        <w:t>&lt;/CommissionInt&gt;</w:t>
      </w:r>
    </w:p>
    <w:p w:rsidR="00AF0131" w:rsidRPr="005D125E" w:rsidRDefault="00617C3C" w:rsidP="00AF0131">
      <w:pPr>
        <w:pStyle w:val="CoverNormal"/>
      </w:pPr>
      <w:r w:rsidRPr="005D125E">
        <w:rPr>
          <w:rStyle w:val="HideTWBExt"/>
        </w:rPr>
        <w:t>&lt;Titre&gt;</w:t>
      </w:r>
      <w:r w:rsidRPr="005D125E">
        <w:t xml:space="preserve">k návrhu nariadenia Európskeho parlamentu a Rady o účinnej koordinácii hospodárskych politík a mnohostrannom rozpočtovom </w:t>
      </w:r>
      <w:r w:rsidRPr="005D125E">
        <w:t>dohľade a o zrušení nariadenia Rady (ES) č. 1466/97</w:t>
      </w:r>
      <w:r w:rsidRPr="005D125E">
        <w:rPr>
          <w:rStyle w:val="HideTWBExt"/>
        </w:rPr>
        <w:t>&lt;/Titre&gt;</w:t>
      </w:r>
    </w:p>
    <w:p w:rsidR="00AF0131" w:rsidRPr="005D125E" w:rsidRDefault="00617C3C" w:rsidP="00AF0131">
      <w:pPr>
        <w:pStyle w:val="CoverNormal24a"/>
      </w:pPr>
      <w:r w:rsidRPr="005D125E">
        <w:rPr>
          <w:rStyle w:val="HideTWBExt"/>
        </w:rPr>
        <w:t>&lt;DocRef&gt;</w:t>
      </w:r>
      <w:r w:rsidRPr="005D125E">
        <w:t>(COM(2023)0240 – C9</w:t>
      </w:r>
      <w:r w:rsidRPr="005D125E">
        <w:noBreakHyphen/>
        <w:t>0150/2023 – 2023/0138(COD))</w:t>
      </w:r>
      <w:r w:rsidRPr="005D125E">
        <w:rPr>
          <w:rStyle w:val="HideTWBExt"/>
        </w:rPr>
        <w:t>&lt;/DocRef&gt;</w:t>
      </w:r>
    </w:p>
    <w:p w:rsidR="00AF0131" w:rsidRPr="005D125E" w:rsidRDefault="00617C3C" w:rsidP="00AF0131">
      <w:pPr>
        <w:pStyle w:val="CoverNormal24a"/>
      </w:pPr>
      <w:r w:rsidRPr="005D125E">
        <w:t xml:space="preserve">Spravodajkyňa výboru požiadaného o stanovisko </w:t>
      </w:r>
      <w:r w:rsidRPr="005D125E">
        <w:rPr>
          <w:snapToGrid w:val="0"/>
        </w:rPr>
        <w:t>(*)</w:t>
      </w:r>
      <w:r w:rsidRPr="005D125E">
        <w:t xml:space="preserve">: </w:t>
      </w:r>
      <w:r w:rsidRPr="005D125E">
        <w:rPr>
          <w:rStyle w:val="HideTWBExt"/>
        </w:rPr>
        <w:t>&lt;Depute&gt;</w:t>
      </w:r>
      <w:r w:rsidRPr="005D125E">
        <w:t>Gabriele Bischoff</w:t>
      </w:r>
      <w:r w:rsidRPr="005D125E">
        <w:rPr>
          <w:rStyle w:val="HideTWBExt"/>
        </w:rPr>
        <w:t>&lt;/Depute&gt;</w:t>
      </w:r>
    </w:p>
    <w:p w:rsidR="00AF0131" w:rsidRPr="005D125E" w:rsidRDefault="00617C3C" w:rsidP="00AF0131">
      <w:pPr>
        <w:pStyle w:val="CoverNormal"/>
        <w:rPr>
          <w:snapToGrid w:val="0"/>
          <w:szCs w:val="24"/>
        </w:rPr>
      </w:pPr>
      <w:r w:rsidRPr="005D125E">
        <w:rPr>
          <w:snapToGrid w:val="0"/>
        </w:rPr>
        <w:t xml:space="preserve">(*) Postup pridružených výborov – článok 57 </w:t>
      </w:r>
      <w:r w:rsidRPr="005D125E">
        <w:rPr>
          <w:snapToGrid w:val="0"/>
        </w:rPr>
        <w:t>rokovacieho poriadku</w:t>
      </w:r>
    </w:p>
    <w:p w:rsidR="00AF0131" w:rsidRPr="005D125E" w:rsidRDefault="00AF0131" w:rsidP="00AF0131">
      <w:pPr>
        <w:pStyle w:val="CoverNormal"/>
        <w:rPr>
          <w:snapToGrid w:val="0"/>
          <w:szCs w:val="24"/>
        </w:rPr>
      </w:pPr>
    </w:p>
    <w:p w:rsidR="00AF0131" w:rsidRPr="005D125E" w:rsidRDefault="00AF0131" w:rsidP="00AF0131">
      <w:pPr>
        <w:pStyle w:val="CoverNormal"/>
        <w:rPr>
          <w:snapToGrid w:val="0"/>
          <w:szCs w:val="24"/>
        </w:rPr>
      </w:pPr>
    </w:p>
    <w:p w:rsidR="00AF0131" w:rsidRPr="005D125E" w:rsidRDefault="00AF0131" w:rsidP="00AF0131">
      <w:pPr>
        <w:pStyle w:val="CoverNormal"/>
        <w:rPr>
          <w:snapToGrid w:val="0"/>
          <w:szCs w:val="24"/>
        </w:rPr>
      </w:pPr>
    </w:p>
    <w:p w:rsidR="00AF0131" w:rsidRPr="005D125E" w:rsidRDefault="00AF0131" w:rsidP="00AF0131">
      <w:pPr>
        <w:pStyle w:val="CoverNormal"/>
        <w:rPr>
          <w:snapToGrid w:val="0"/>
          <w:szCs w:val="24"/>
        </w:rPr>
      </w:pPr>
    </w:p>
    <w:p w:rsidR="00AF0131" w:rsidRPr="005D125E" w:rsidRDefault="00617C3C" w:rsidP="00AF0131">
      <w:pPr>
        <w:tabs>
          <w:tab w:val="center" w:pos="4677"/>
        </w:tabs>
      </w:pPr>
      <w:r w:rsidRPr="005D125E">
        <w:br w:type="page"/>
      </w:r>
      <w:r w:rsidRPr="005D125E">
        <w:lastRenderedPageBreak/>
        <w:t>PA_Legam</w:t>
      </w:r>
    </w:p>
    <w:p w:rsidR="00AF0131" w:rsidRPr="005D125E" w:rsidRDefault="00617C3C" w:rsidP="00C56375">
      <w:pPr>
        <w:pStyle w:val="PageHeadingNotTOC"/>
      </w:pPr>
      <w:r w:rsidRPr="005D125E">
        <w:br w:type="page"/>
      </w:r>
      <w:r w:rsidRPr="005D125E">
        <w:lastRenderedPageBreak/>
        <w:t>POZMEŇUJÚCE NÁVRHY</w:t>
      </w:r>
    </w:p>
    <w:p w:rsidR="00AF0131" w:rsidRPr="005D125E" w:rsidRDefault="00617C3C" w:rsidP="00AF0131">
      <w:pPr>
        <w:pStyle w:val="Normal12a"/>
      </w:pPr>
      <w:bookmarkStart w:id="1" w:name="IntroA"/>
      <w:r w:rsidRPr="005D125E">
        <w:t>Výbor pre zamestnanosť a sociálne veci vyzýva Výbor pre hospodárske a menové veci, aby ako gestorský výbor vzal do úvahy:</w:t>
      </w:r>
    </w:p>
    <w:bookmarkEnd w:id="1"/>
    <w:p w:rsidR="00AF0131" w:rsidRPr="005D125E" w:rsidRDefault="00617C3C" w:rsidP="00C56375">
      <w:r w:rsidRPr="005D125E">
        <w:rPr>
          <w:rStyle w:val="HideTWBExt"/>
          <w:b/>
        </w:rPr>
        <w:t>&lt;RepeatBlock-Amend&gt;</w:t>
      </w:r>
      <w:r w:rsidRPr="005D125E">
        <w:rPr>
          <w:rStyle w:val="HideTWBExt"/>
        </w:rPr>
        <w:t>&lt;Amend&gt;</w:t>
      </w:r>
      <w:r w:rsidRPr="005D125E">
        <w:t>Pozmeňujúci návrh</w:t>
      </w:r>
      <w:r w:rsidRPr="005D125E">
        <w:tab/>
      </w:r>
      <w:r w:rsidRPr="005D125E">
        <w:rPr>
          <w:rStyle w:val="HideTWBExt"/>
        </w:rPr>
        <w:t>&lt;NumAm&gt;</w:t>
      </w:r>
      <w:r w:rsidRPr="005D125E">
        <w:t>1</w:t>
      </w:r>
      <w:r w:rsidRPr="005D125E">
        <w:rPr>
          <w:rStyle w:val="HideTWBExt"/>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 xml:space="preserve">Návrh </w:t>
      </w:r>
      <w:r w:rsidRPr="005D125E">
        <w:t>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2</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(2)</w:t>
            </w:r>
            <w:r w:rsidRPr="005D125E">
              <w:tab/>
              <w:t>Pakt stability a rastu, ktorý pôvodne pozostával z nariadenia Rady (ES) č. 1466/97</w:t>
            </w:r>
            <w:r w:rsidRPr="005D125E">
              <w:rPr>
                <w:vertAlign w:val="superscript"/>
              </w:rPr>
              <w:t>19</w:t>
            </w:r>
            <w:r w:rsidRPr="005D125E">
              <w:t>, nariadenia Rady (ES) č. 1467/97</w:t>
            </w:r>
            <w:r w:rsidRPr="005D125E">
              <w:rPr>
                <w:vertAlign w:val="superscript"/>
              </w:rPr>
              <w:t>20</w:t>
            </w:r>
            <w:r w:rsidRPr="005D125E">
              <w:t xml:space="preserve"> zo 7. júla 1997 a uznesenia Európskej rady zo 17. júna 1997 o Pakte stability a rastu</w:t>
            </w:r>
            <w:r w:rsidRPr="005D125E">
              <w:rPr>
                <w:vertAlign w:val="superscript"/>
              </w:rPr>
              <w:t>21</w:t>
            </w:r>
            <w:r w:rsidRPr="005D125E">
              <w:t>, je založený na cieli zdravých a udržateľných verejných financií ako prostriedku na posilnenie podmienok cenovej stability a silného udržateľného rastu podporeného fin</w:t>
            </w:r>
            <w:r w:rsidRPr="005D125E">
              <w:t xml:space="preserve">ančnou stabilitou, čím sa podporuje dosahovanie cieľov Únie v oblasti udržateľného a inkluzívneho rastu </w:t>
            </w:r>
            <w:r w:rsidRPr="005D125E">
              <w:rPr>
                <w:b/>
                <w:bCs/>
                <w:i/>
                <w:iCs/>
              </w:rPr>
              <w:t>a</w:t>
            </w:r>
            <w:r w:rsidRPr="005D125E">
              <w:t> zamestnanosti.</w:t>
            </w:r>
          </w:p>
        </w:tc>
        <w:tc>
          <w:tcPr>
            <w:tcW w:w="4876" w:type="dxa"/>
            <w:hideMark/>
          </w:tcPr>
          <w:p w:rsidR="00AF0131" w:rsidRPr="005D125E" w:rsidRDefault="00617C3C" w:rsidP="00C33FBD">
            <w:pPr>
              <w:pStyle w:val="Normal6"/>
              <w:rPr>
                <w:szCs w:val="24"/>
              </w:rPr>
            </w:pPr>
            <w:r w:rsidRPr="005D125E">
              <w:t>(2)</w:t>
            </w:r>
            <w:r w:rsidRPr="005D125E">
              <w:tab/>
              <w:t>Pakt stability a rastu, ktorý pôvodne pozostával z nariadenia Rady (ES) č. 1466/97</w:t>
            </w:r>
            <w:r w:rsidRPr="005D125E">
              <w:rPr>
                <w:vertAlign w:val="superscript"/>
              </w:rPr>
              <w:t>19</w:t>
            </w:r>
            <w:r w:rsidRPr="005D125E">
              <w:t>, nariadenia Rady (ES) č. 1467/97</w:t>
            </w:r>
            <w:r w:rsidRPr="005D125E">
              <w:rPr>
                <w:vertAlign w:val="superscript"/>
              </w:rPr>
              <w:t>20</w:t>
            </w:r>
            <w:r w:rsidRPr="005D125E">
              <w:t xml:space="preserve"> zo 7. júla </w:t>
            </w:r>
            <w:r w:rsidRPr="005D125E">
              <w:t>199720 a uznesenia Európskej rady zo 17. júna 1997 o Pakte stability a rastu</w:t>
            </w:r>
            <w:r w:rsidRPr="005D125E">
              <w:rPr>
                <w:vertAlign w:val="superscript"/>
              </w:rPr>
              <w:t>21</w:t>
            </w:r>
            <w:r w:rsidRPr="005D125E">
              <w:t xml:space="preserve">, je založený na cieli zdravých a udržateľných verejných financií ako prostriedku na posilnenie podmienok cenovej stability a silného udržateľného rastu, </w:t>
            </w:r>
            <w:r w:rsidRPr="005D125E">
              <w:rPr>
                <w:b/>
                <w:bCs/>
                <w:i/>
                <w:iCs/>
              </w:rPr>
              <w:t>ktorý prispieva k tvorbe</w:t>
            </w:r>
            <w:r w:rsidRPr="005D125E">
              <w:rPr>
                <w:b/>
                <w:bCs/>
                <w:i/>
                <w:iCs/>
              </w:rPr>
              <w:t xml:space="preserve"> pracovných miest</w:t>
            </w:r>
            <w:r w:rsidRPr="005D125E">
              <w:t xml:space="preserve">, podporeného finančnou stabilitou, čím sa podporuje dosahovanie cieľov Únie v oblasti udržateľného a inkluzívneho rastu </w:t>
            </w:r>
            <w:r w:rsidRPr="005D125E">
              <w:rPr>
                <w:b/>
                <w:bCs/>
                <w:i/>
                <w:iCs/>
              </w:rPr>
              <w:t xml:space="preserve">zameraného na plnú </w:t>
            </w:r>
            <w:r w:rsidRPr="005D125E">
              <w:t xml:space="preserve">zamestnanosť </w:t>
            </w:r>
            <w:r w:rsidRPr="005D125E">
              <w:rPr>
                <w:b/>
                <w:bCs/>
                <w:i/>
                <w:iCs/>
              </w:rPr>
              <w:t>a sociálny pokrok</w:t>
            </w:r>
            <w:r w:rsidRPr="005D125E">
              <w:t>.</w:t>
            </w:r>
          </w:p>
        </w:tc>
      </w:tr>
      <w:tr w:rsidR="00DF6B66" w:rsidRPr="005D125E" w:rsidTr="00C33FBD">
        <w:trPr>
          <w:jc w:val="center"/>
        </w:trPr>
        <w:tc>
          <w:tcPr>
            <w:tcW w:w="4876" w:type="dxa"/>
            <w:hideMark/>
          </w:tcPr>
          <w:p w:rsidR="00AF0131" w:rsidRPr="005D125E" w:rsidRDefault="00617C3C" w:rsidP="00C33FBD">
            <w:pPr>
              <w:pStyle w:val="Normal6"/>
            </w:pPr>
            <w:r w:rsidRPr="005D125E">
              <w:t>__________________</w:t>
            </w:r>
          </w:p>
        </w:tc>
        <w:tc>
          <w:tcPr>
            <w:tcW w:w="4876" w:type="dxa"/>
            <w:hideMark/>
          </w:tcPr>
          <w:p w:rsidR="00AF0131" w:rsidRPr="005D125E" w:rsidRDefault="00617C3C" w:rsidP="00C33FBD">
            <w:pPr>
              <w:pStyle w:val="Normal6"/>
              <w:rPr>
                <w:szCs w:val="24"/>
              </w:rPr>
            </w:pPr>
            <w:r w:rsidRPr="005D125E">
              <w:t>__________________</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19</w:t>
            </w:r>
            <w:r w:rsidRPr="005D125E">
              <w:t xml:space="preserve"> Nariadenie Rady (ES) č. </w:t>
            </w:r>
            <w:r w:rsidRPr="005D125E">
              <w:t>1466/97 zo 7. júla 1997 o posilnení dohľadu nad stavmi rozpočtov a o dohľade nad hospodárskymi politikami a ich koordinácii (Ú. v. ES L 209, 2.8.1997, s. 1).</w:t>
            </w:r>
          </w:p>
        </w:tc>
        <w:tc>
          <w:tcPr>
            <w:tcW w:w="4876" w:type="dxa"/>
            <w:hideMark/>
          </w:tcPr>
          <w:p w:rsidR="00AF0131" w:rsidRPr="005D125E" w:rsidRDefault="00617C3C" w:rsidP="00C33FBD">
            <w:pPr>
              <w:pStyle w:val="Normal6"/>
              <w:rPr>
                <w:szCs w:val="24"/>
              </w:rPr>
            </w:pPr>
            <w:r w:rsidRPr="005D125E">
              <w:rPr>
                <w:vertAlign w:val="superscript"/>
              </w:rPr>
              <w:t>19</w:t>
            </w:r>
            <w:r w:rsidRPr="005D125E">
              <w:t xml:space="preserve"> Nariadenie Rady (ES) č. 1466/97 zo 7. júla 1997 o posilnení dohľadu nad stavmi rozpočtov a o do</w:t>
            </w:r>
            <w:r w:rsidRPr="005D125E">
              <w:t>hľade nad hospodárskymi politikami a ich koordinácii (Ú. v. ES L 209, 2.8.1997, s. 1).</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20</w:t>
            </w:r>
            <w:r w:rsidRPr="005D125E">
              <w:t xml:space="preserve"> Nariadenie Rady (ES) č. 1467/97 zo 7. júla 1997 o urýchľovaní a objasňovaní vykonania postupu pri nadmernom schodku (Ú. v. ES L 209, 2.8.1997, s. 6).</w:t>
            </w:r>
          </w:p>
        </w:tc>
        <w:tc>
          <w:tcPr>
            <w:tcW w:w="4876" w:type="dxa"/>
            <w:hideMark/>
          </w:tcPr>
          <w:p w:rsidR="00AF0131" w:rsidRPr="005D125E" w:rsidRDefault="00617C3C" w:rsidP="00C33FBD">
            <w:pPr>
              <w:pStyle w:val="Normal6"/>
              <w:rPr>
                <w:szCs w:val="24"/>
              </w:rPr>
            </w:pPr>
            <w:r w:rsidRPr="005D125E">
              <w:rPr>
                <w:vertAlign w:val="superscript"/>
              </w:rPr>
              <w:t>20</w:t>
            </w:r>
            <w:r w:rsidRPr="005D125E">
              <w:t xml:space="preserve"> Nariadenie R</w:t>
            </w:r>
            <w:r w:rsidRPr="005D125E">
              <w:t>ady (ES) č. 1467/97 zo 7. júla 1997 o urýchľovaní a objasňovaní vykonania postupu pri nadmernom schodku (Ú. v. ES L 209, 2.8.1997, s. 6).</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21</w:t>
            </w:r>
            <w:r w:rsidRPr="005D125E">
              <w:t xml:space="preserve"> Uznesenie Európskej rady o Pakte stability a rastu (Amsterdam) zo 17. júna 1997 (Ú. v. ES C 236, 2.8.1997, s. 1).</w:t>
            </w:r>
          </w:p>
        </w:tc>
        <w:tc>
          <w:tcPr>
            <w:tcW w:w="4876" w:type="dxa"/>
            <w:hideMark/>
          </w:tcPr>
          <w:p w:rsidR="00AF0131" w:rsidRPr="005D125E" w:rsidRDefault="00617C3C" w:rsidP="00C33FBD">
            <w:pPr>
              <w:pStyle w:val="Normal6"/>
              <w:rPr>
                <w:szCs w:val="24"/>
              </w:rPr>
            </w:pPr>
            <w:r w:rsidRPr="005D125E">
              <w:rPr>
                <w:vertAlign w:val="superscript"/>
              </w:rPr>
              <w:t>21</w:t>
            </w:r>
            <w:r w:rsidRPr="005D125E">
              <w:t xml:space="preserve"> Uznesenie Európskej rady o Pakte stability a rastu (Amsterdam) zo 17. júna 1997 (Ú. v. ES C 236, 2.8.1997, s. 1).</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5</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 xml:space="preserve">Text </w:t>
            </w:r>
            <w:r w:rsidRPr="005D125E">
              <w:t>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(5)</w:t>
            </w:r>
            <w:r w:rsidRPr="005D125E">
              <w:tab/>
              <w:t>Rámec správy hospodárskych záležitostí Únie by sa mal prispôsobiť tak, aby lepšie zohľadňoval čoraz väčšiu rôznorodosť fiškálnych pozícií, problémy súvisiace s verejným dlhom a iné zraniteľné miesta v členských št</w:t>
            </w:r>
            <w:r w:rsidRPr="005D125E">
              <w:t>átoch. Dôrazná reakcia na pandémiu COVID-19 v príslušných oblastiach politiky sa ukázala ako vysoko účinná pri zmierňovaní hospodárskych a sociálnych škôd spôsobených krízou, ale kríza mala za následok značné zvýšenie dlhového pomeru verejného aj súkromnéh</w:t>
            </w:r>
            <w:r w:rsidRPr="005D125E">
              <w:t>o sektora. Zdôraznil sa tým význam postupného a udržateľného znižovania dlhového pomeru, ktoré zároveň podporuje rast, na obozretnú úroveň a riešenia makroekonomických nerovnováh, pričom náležitú pozornosť treba venovať aj cieľom v oblasti zamestnanosti a </w:t>
            </w:r>
            <w:r w:rsidRPr="005D125E">
              <w:t>sociálnej oblasti. Zároveň by sa mal upraviť rámec správy hospodárskych záležitostí Únie tak, aby pomohol riešiť strednodobé a dlhodobé výzvy, ktorým Únia čelí, vrátane dosiahnutia spravodlivej digitálnej a zelenej transformácie vrátane právneho predpisu v</w:t>
            </w:r>
            <w:r w:rsidRPr="005D125E">
              <w:t> oblasti klímy</w:t>
            </w:r>
            <w:r w:rsidRPr="005D125E">
              <w:rPr>
                <w:vertAlign w:val="superscript"/>
              </w:rPr>
              <w:t>22</w:t>
            </w:r>
            <w:r w:rsidRPr="005D125E">
              <w:t>, zaistenia energetickej bezpečnosti, otvorenej strategickej autonómie, riešenia demografických zmien, posilňovania sociálnej a hospodárskej odolnosti a implementácie Strategického kompasu pre bezpečnosť a obranu. To všetko si v nadchádzajú</w:t>
            </w:r>
            <w:r w:rsidRPr="005D125E">
              <w:t>cich rokoch vyžaduje reformy a udržateľnú vysokú úroveň investícií.</w:t>
            </w:r>
          </w:p>
        </w:tc>
        <w:tc>
          <w:tcPr>
            <w:tcW w:w="4876" w:type="dxa"/>
            <w:hideMark/>
          </w:tcPr>
          <w:p w:rsidR="00AF0131" w:rsidRPr="005D125E" w:rsidRDefault="00617C3C" w:rsidP="00C33FBD">
            <w:pPr>
              <w:pStyle w:val="Normal6"/>
              <w:rPr>
                <w:szCs w:val="24"/>
              </w:rPr>
            </w:pPr>
            <w:r w:rsidRPr="005D125E">
              <w:t>(5)</w:t>
            </w:r>
            <w:r w:rsidRPr="005D125E">
              <w:tab/>
              <w:t>Rámec správy hospodárskych záležitostí Únie by sa mal prispôsobiť tak, aby lepšie zohľadňoval čoraz väčšiu rôznorodosť fiškálnych pozícií, problémy súvisiace s verejným dlhom a iné zra</w:t>
            </w:r>
            <w:r w:rsidRPr="005D125E">
              <w:t xml:space="preserve">niteľné miesta v členských štátoch. Dôrazná reakcia na pandémiu COVID-19 v príslušných oblastiach politiky sa ukázala ako vysoko účinná pri zmierňovaní hospodárskych a sociálnych škôd spôsobených krízou, ale kríza mala za následok značné zvýšenie dlhového </w:t>
            </w:r>
            <w:r w:rsidRPr="005D125E">
              <w:t xml:space="preserve">pomeru verejného aj súkromného sektora a zdôraznil sa tým význam postupného, udržateľného </w:t>
            </w:r>
            <w:r w:rsidRPr="005D125E">
              <w:rPr>
                <w:b/>
                <w:bCs/>
                <w:i/>
                <w:iCs/>
              </w:rPr>
              <w:t>a inkluzívneho</w:t>
            </w:r>
            <w:r w:rsidRPr="005D125E">
              <w:t xml:space="preserve"> znižovania dlhového pomeru, ktoré zároveň podporuje rast, na obozretnú úroveň a riešenia makroekonomických nerovnováh</w:t>
            </w:r>
            <w:r w:rsidRPr="005D125E">
              <w:rPr>
                <w:b/>
                <w:bCs/>
                <w:i/>
                <w:iCs/>
              </w:rPr>
              <w:t>, ako aj podpory vzostupnej sociál</w:t>
            </w:r>
            <w:r w:rsidRPr="005D125E">
              <w:rPr>
                <w:b/>
                <w:bCs/>
                <w:i/>
                <w:iCs/>
              </w:rPr>
              <w:t>nej konvergencie</w:t>
            </w:r>
            <w:r w:rsidRPr="005D125E">
              <w:t xml:space="preserve">, pričom náležitú pozornosť treba venovať aj cieľom v oblasti </w:t>
            </w:r>
            <w:r w:rsidRPr="005D125E">
              <w:rPr>
                <w:b/>
                <w:bCs/>
                <w:i/>
                <w:iCs/>
              </w:rPr>
              <w:t>kvalitnej</w:t>
            </w:r>
            <w:r w:rsidRPr="005D125E">
              <w:t xml:space="preserve"> zamestnanosti a sociálnej oblasti. Zároveň by sa mal upraviť rámec správy hospodárskych záležitostí Únie tak, aby pomohol riešiť strednodobé a dlhodobé výzvy, ktorým Ún</w:t>
            </w:r>
            <w:r w:rsidRPr="005D125E">
              <w:t>ia čelí, vrátane dosiahnutia spravodlivej digitálnej a zelenej transformácie vrátane právneho predpisu v oblasti klímy</w:t>
            </w:r>
            <w:r w:rsidRPr="005D125E">
              <w:rPr>
                <w:vertAlign w:val="superscript"/>
              </w:rPr>
              <w:t>22</w:t>
            </w:r>
            <w:r w:rsidRPr="005D125E">
              <w:t xml:space="preserve"> </w:t>
            </w:r>
            <w:r w:rsidRPr="005D125E">
              <w:rPr>
                <w:b/>
                <w:bCs/>
                <w:i/>
                <w:iCs/>
              </w:rPr>
              <w:t>a vykonávania Európskeho piliera sociálnych práv</w:t>
            </w:r>
            <w:r w:rsidRPr="005D125E">
              <w:t>, zaistenia energetickej bezpečnosti, otvorenej strategickej autonómie, riešenia demogr</w:t>
            </w:r>
            <w:r w:rsidRPr="005D125E">
              <w:t>afických zmien, posilňovania sociálnej a hospodárskej odolnosti</w:t>
            </w:r>
            <w:r w:rsidRPr="005D125E">
              <w:rPr>
                <w:b/>
                <w:bCs/>
                <w:i/>
                <w:iCs/>
              </w:rPr>
              <w:t>, a to aj posilnením sociálnych investícií,</w:t>
            </w:r>
            <w:r w:rsidRPr="005D125E">
              <w:t xml:space="preserve"> a implementácie Strategického kompasu pre bezpečnosť a obranu, pričom to všetko si v nadchádzajúcich rokoch vyžaduje reformy a udržateľnú vysokú úrov</w:t>
            </w:r>
            <w:r w:rsidRPr="005D125E">
              <w:t>eň investícií.</w:t>
            </w:r>
          </w:p>
        </w:tc>
      </w:tr>
      <w:tr w:rsidR="00DF6B66" w:rsidRPr="005D125E" w:rsidTr="00C33FBD">
        <w:trPr>
          <w:jc w:val="center"/>
        </w:trPr>
        <w:tc>
          <w:tcPr>
            <w:tcW w:w="4876" w:type="dxa"/>
            <w:hideMark/>
          </w:tcPr>
          <w:p w:rsidR="00AF0131" w:rsidRPr="005D125E" w:rsidRDefault="00617C3C" w:rsidP="00C33FBD">
            <w:pPr>
              <w:pStyle w:val="Normal6"/>
            </w:pPr>
            <w:r w:rsidRPr="005D125E">
              <w:t>__________________</w:t>
            </w:r>
          </w:p>
        </w:tc>
        <w:tc>
          <w:tcPr>
            <w:tcW w:w="4876" w:type="dxa"/>
            <w:hideMark/>
          </w:tcPr>
          <w:p w:rsidR="00AF0131" w:rsidRPr="005D125E" w:rsidRDefault="00617C3C" w:rsidP="00C33FBD">
            <w:pPr>
              <w:pStyle w:val="Normal6"/>
              <w:rPr>
                <w:szCs w:val="24"/>
              </w:rPr>
            </w:pPr>
            <w:r w:rsidRPr="005D125E">
              <w:t>__________________</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 xml:space="preserve">22 </w:t>
            </w:r>
            <w:r w:rsidRPr="005D125E">
              <w:t xml:space="preserve">V európskom právnom predpise v oblasti klímy sa stanovuje cieľ dosiahnutia klimatickej neutrality v celej Únii do roku 2050 a vyžaduje sa v ňom, aby inštitúcie Únie a členské štáty dosiahli pokrok </w:t>
            </w:r>
            <w:r w:rsidRPr="005D125E">
              <w:t>v posilňovaní adaptívnej kapacity, čo si vyžaduje značné verejné investície na zníženie negatívnych sociálno-ekonomických vplyvov zmeny klímy na EÚ a jej členské štáty vrátane negatívnych vplyvov na rast a fiškálnu udržateľnosť.</w:t>
            </w:r>
          </w:p>
        </w:tc>
        <w:tc>
          <w:tcPr>
            <w:tcW w:w="4876" w:type="dxa"/>
            <w:hideMark/>
          </w:tcPr>
          <w:p w:rsidR="00AF0131" w:rsidRPr="005D125E" w:rsidRDefault="00617C3C" w:rsidP="00C33FBD">
            <w:pPr>
              <w:pStyle w:val="Normal6"/>
              <w:rPr>
                <w:szCs w:val="24"/>
              </w:rPr>
            </w:pPr>
            <w:r w:rsidRPr="005D125E">
              <w:rPr>
                <w:vertAlign w:val="superscript"/>
              </w:rPr>
              <w:t xml:space="preserve">22 </w:t>
            </w:r>
            <w:r w:rsidRPr="005D125E">
              <w:t>V európskom právnom pred</w:t>
            </w:r>
            <w:r w:rsidRPr="005D125E">
              <w:t>pise v oblasti klímy sa stanovuje cieľ dosiahnutia klimatickej neutrality v celej Únii do roku 2050 a vyžaduje sa v ňom, aby inštitúcie Únie a členské štáty dosiahli pokrok v posilňovaní adaptívnej kapacity, čo si vyžaduje značné verejné investície na zníž</w:t>
            </w:r>
            <w:r w:rsidRPr="005D125E">
              <w:t>enie negatívnych sociálno-ekonomických vplyvov zmeny klímy na EÚ a jej členské štáty vrátane negatívnych vplyvov na rast a fiškálnu udržateľnosť.</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w:t>
      </w:r>
      <w:r w:rsidRPr="005D125E">
        <w:t>ie 7</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(7)</w:t>
            </w:r>
            <w:r w:rsidRPr="005D125E">
              <w:tab/>
              <w:t xml:space="preserve">Postup mnohostranného dohľadu stanovený v článku 121 ods. 2, 3 a 4 a článku 148 ods. 4 ZFEÚ by mal v súlade s podrobnejšími pravidlami monitorovať celú škálu vývoja v oblasti hospodárstva </w:t>
            </w:r>
            <w:r w:rsidRPr="005D125E">
              <w:rPr>
                <w:b/>
                <w:bCs/>
                <w:i/>
                <w:iCs/>
              </w:rPr>
              <w:t>a</w:t>
            </w:r>
            <w:r w:rsidRPr="005D125E">
              <w:t> zamestnanosti v každom z členských štátov a v Únii. To zahŕňa zisťovanie makroekonomických nerovnováh a prevenciu a nápravu nadmerných nerovnováh, ako sa stanovuje v nariadeniach Európskeho parlamentu a Rady (EÚ) č. 1174/2011</w:t>
            </w:r>
            <w:r w:rsidRPr="005D125E">
              <w:rPr>
                <w:vertAlign w:val="superscript"/>
              </w:rPr>
              <w:t>23</w:t>
            </w:r>
            <w:r w:rsidRPr="005D125E">
              <w:t xml:space="preserve"> a (EÚ) č. 1176/2011</w:t>
            </w:r>
            <w:r w:rsidRPr="005D125E">
              <w:rPr>
                <w:vertAlign w:val="superscript"/>
              </w:rPr>
              <w:t>24</w:t>
            </w:r>
            <w:r w:rsidRPr="005D125E">
              <w:t xml:space="preserve">. Pri </w:t>
            </w:r>
            <w:r w:rsidRPr="005D125E">
              <w:t xml:space="preserve">monitorovaní takéhoto vývoja v oblasti hospodárstva </w:t>
            </w:r>
            <w:r w:rsidRPr="005D125E">
              <w:rPr>
                <w:b/>
                <w:bCs/>
                <w:i/>
                <w:iCs/>
              </w:rPr>
              <w:t>a</w:t>
            </w:r>
            <w:r w:rsidRPr="005D125E">
              <w:t> zamestnanosti by členské štáty mali predkladať informácie vo forme strednodobých fiškálno-štrukturálnych plánov.</w:t>
            </w:r>
          </w:p>
        </w:tc>
        <w:tc>
          <w:tcPr>
            <w:tcW w:w="4876" w:type="dxa"/>
            <w:hideMark/>
          </w:tcPr>
          <w:p w:rsidR="00AF0131" w:rsidRPr="005D125E" w:rsidRDefault="00617C3C" w:rsidP="00C33FBD">
            <w:pPr>
              <w:pStyle w:val="Normal6"/>
              <w:rPr>
                <w:szCs w:val="24"/>
              </w:rPr>
            </w:pPr>
            <w:r w:rsidRPr="005D125E">
              <w:t>(7)</w:t>
            </w:r>
            <w:r w:rsidRPr="005D125E">
              <w:tab/>
              <w:t xml:space="preserve">Postup mnohostranného dohľadu stanovený v článku 121 ods. 2, 3 a 4 a článku 148 ods. </w:t>
            </w:r>
            <w:r w:rsidRPr="005D125E">
              <w:t>4 ZFEÚ by mal v súlade s podrobnejšími pravidlami monitorovať celú škálu vývoja v oblasti hospodárstva</w:t>
            </w:r>
            <w:r w:rsidRPr="005D125E">
              <w:rPr>
                <w:b/>
                <w:bCs/>
                <w:i/>
                <w:iCs/>
              </w:rPr>
              <w:t>,</w:t>
            </w:r>
            <w:r w:rsidRPr="005D125E">
              <w:t xml:space="preserve"> zamestnanosti </w:t>
            </w:r>
            <w:r w:rsidRPr="005D125E">
              <w:rPr>
                <w:b/>
                <w:bCs/>
                <w:i/>
                <w:iCs/>
              </w:rPr>
              <w:t>a relevantného vývoja v sociálnej</w:t>
            </w:r>
            <w:r w:rsidRPr="005D125E">
              <w:t xml:space="preserve"> oblasti v každom z členských štátov a v Únii</w:t>
            </w:r>
            <w:r w:rsidRPr="005D125E">
              <w:rPr>
                <w:b/>
                <w:bCs/>
                <w:i/>
                <w:iCs/>
              </w:rPr>
              <w:t xml:space="preserve"> spojeného s hlavnými cieľmi, vrátane pokroku pri dosahovaní</w:t>
            </w:r>
            <w:r w:rsidRPr="005D125E">
              <w:rPr>
                <w:b/>
                <w:bCs/>
                <w:i/>
                <w:iCs/>
              </w:rPr>
              <w:t xml:space="preserve"> vnútroštátnych cieľov, a ich hlavnými a sekundárnymi ukazovateľmi Európskeho piliera sociálnych práv</w:t>
            </w:r>
            <w:r w:rsidRPr="005D125E">
              <w:t>. To zahŕňa zisťovanie makroekonomických nerovnováh a prevenciu a nápravu nadmerných nerovnováh, ako sa stanovuje v nariadeniach Európskeho parlamentu a Ra</w:t>
            </w:r>
            <w:r w:rsidRPr="005D125E">
              <w:t>dy (EÚ) č. 1174/2011</w:t>
            </w:r>
            <w:r w:rsidRPr="005D125E">
              <w:rPr>
                <w:vertAlign w:val="superscript"/>
              </w:rPr>
              <w:t>23</w:t>
            </w:r>
            <w:r w:rsidRPr="005D125E">
              <w:t xml:space="preserve"> a (EÚ) č. 1176/2011</w:t>
            </w:r>
            <w:r w:rsidRPr="005D125E">
              <w:rPr>
                <w:vertAlign w:val="superscript"/>
              </w:rPr>
              <w:t>24</w:t>
            </w:r>
            <w:r w:rsidRPr="005D125E">
              <w:t xml:space="preserve">. Pri monitorovaní takéhoto vývoja v oblasti hospodárstva, zamestnanosti </w:t>
            </w:r>
            <w:r w:rsidRPr="005D125E">
              <w:rPr>
                <w:b/>
                <w:bCs/>
                <w:i/>
                <w:iCs/>
              </w:rPr>
              <w:t>a sociálnej konvergencie</w:t>
            </w:r>
            <w:r w:rsidRPr="005D125E">
              <w:t xml:space="preserve"> by členské štáty mali predkladať informácie vo forme strednodobých fiškálno-štrukturálnych plánov.</w:t>
            </w:r>
          </w:p>
        </w:tc>
      </w:tr>
      <w:tr w:rsidR="00DF6B66" w:rsidRPr="005D125E" w:rsidTr="00C33FBD">
        <w:trPr>
          <w:jc w:val="center"/>
        </w:trPr>
        <w:tc>
          <w:tcPr>
            <w:tcW w:w="4876" w:type="dxa"/>
            <w:hideMark/>
          </w:tcPr>
          <w:p w:rsidR="00AF0131" w:rsidRPr="005D125E" w:rsidRDefault="00617C3C" w:rsidP="00C33FBD">
            <w:pPr>
              <w:pStyle w:val="Normal6"/>
            </w:pPr>
            <w:r w:rsidRPr="005D125E">
              <w:t>______________</w:t>
            </w:r>
            <w:r w:rsidRPr="005D125E">
              <w:t>____</w:t>
            </w:r>
          </w:p>
        </w:tc>
        <w:tc>
          <w:tcPr>
            <w:tcW w:w="4876" w:type="dxa"/>
            <w:hideMark/>
          </w:tcPr>
          <w:p w:rsidR="00AF0131" w:rsidRPr="005D125E" w:rsidRDefault="00617C3C" w:rsidP="00C33FBD">
            <w:pPr>
              <w:pStyle w:val="Normal6"/>
              <w:rPr>
                <w:szCs w:val="24"/>
              </w:rPr>
            </w:pPr>
            <w:r w:rsidRPr="005D125E">
              <w:t>__________________</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23</w:t>
            </w:r>
            <w:r w:rsidRPr="005D125E">
              <w:t xml:space="preserve"> Nariadenie Európskeho parlamentu a Rady (EÚ) č. 1174/2011 zo 16. novembra 2011 o opatreniach na presadzovanie vykonávania nápravy nadmernej makroekonomickej nerovnováhy v rámci eurozóny (Ú. v. EÚ L 306, 23.11.2011, s. 8).</w:t>
            </w:r>
          </w:p>
        </w:tc>
        <w:tc>
          <w:tcPr>
            <w:tcW w:w="4876" w:type="dxa"/>
            <w:hideMark/>
          </w:tcPr>
          <w:p w:rsidR="00AF0131" w:rsidRPr="005D125E" w:rsidRDefault="00617C3C" w:rsidP="00C33FBD">
            <w:pPr>
              <w:pStyle w:val="Normal6"/>
              <w:rPr>
                <w:szCs w:val="24"/>
              </w:rPr>
            </w:pPr>
            <w:r w:rsidRPr="005D125E">
              <w:rPr>
                <w:vertAlign w:val="superscript"/>
              </w:rPr>
              <w:t>23</w:t>
            </w:r>
            <w:r w:rsidRPr="005D125E">
              <w:t xml:space="preserve"> Nar</w:t>
            </w:r>
            <w:r w:rsidRPr="005D125E">
              <w:t>iadenie Európskeho parlamentu a Rady (EÚ) č. 1174/2011 zo 16. novembra 2011 o opatreniach na presadzovanie vykonávania nápravy nadmernej makroekonomickej nerovnováhy v rámci eurozóny (Ú. v. EÚ L 306, 23.11.2011, s. 8).</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24</w:t>
            </w:r>
            <w:r w:rsidRPr="005D125E">
              <w:t xml:space="preserve"> Nariadenie Európskeho parlamentu </w:t>
            </w:r>
            <w:r w:rsidRPr="005D125E">
              <w:t>a Rady (EÚ) č. 1176/2011 zo 16. novembra 2011 o prevencii a náprave makroekonomických nerovnováh (Ú. v. EÚ L 306, 23.11.2011, s. 25).</w:t>
            </w:r>
          </w:p>
        </w:tc>
        <w:tc>
          <w:tcPr>
            <w:tcW w:w="4876" w:type="dxa"/>
            <w:hideMark/>
          </w:tcPr>
          <w:p w:rsidR="00AF0131" w:rsidRPr="005D125E" w:rsidRDefault="00617C3C" w:rsidP="00C33FBD">
            <w:pPr>
              <w:pStyle w:val="Normal6"/>
              <w:rPr>
                <w:szCs w:val="24"/>
              </w:rPr>
            </w:pPr>
            <w:r w:rsidRPr="005D125E">
              <w:rPr>
                <w:vertAlign w:val="superscript"/>
              </w:rPr>
              <w:t>24</w:t>
            </w:r>
            <w:r w:rsidRPr="005D125E">
              <w:t xml:space="preserve"> Nariadenie Európskeho parlamentu a Rady (EÚ) č. 1176/2011 zo 16. novembra 2011 o prevencii a náprave makroekonomických </w:t>
            </w:r>
            <w:r w:rsidRPr="005D125E">
              <w:t>nerovnováh (Ú. v. EÚ L 306, 23.11.2011, s. 25).</w:t>
            </w:r>
          </w:p>
        </w:tc>
      </w:tr>
    </w:tbl>
    <w:p w:rsidR="00AF0131" w:rsidRPr="005D125E" w:rsidRDefault="00617C3C" w:rsidP="00C56375">
      <w:pPr>
        <w:rPr>
          <w:rStyle w:val="HideTWBExt"/>
          <w:rFonts w:eastAsiaTheme="majorEastAsia"/>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7 a (nové)</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(7a)</w:t>
            </w:r>
            <w:r w:rsidRPr="005D125E">
              <w:rPr>
                <w:b/>
                <w:i/>
              </w:rPr>
              <w:tab/>
              <w:t xml:space="preserve">S cieľom podporiť </w:t>
            </w:r>
            <w:r w:rsidRPr="005D125E">
              <w:rPr>
                <w:b/>
                <w:i/>
              </w:rPr>
              <w:t>vzostupnú sociálnu konvergenciu je postup mnohostranného dohľadu stanovený v článku 148 ods. 4 ZFEÚ doplnený systémom včasného varovania v rámci európskeho semestra (rámec sociálnej konvergencie). Komisia v rámci sociálnej konvergencie podľa článku 148 ZFE</w:t>
            </w:r>
            <w:r w:rsidRPr="005D125E">
              <w:rPr>
                <w:b/>
                <w:i/>
              </w:rPr>
              <w:t>Ú najprv identifikuje riziká členských štátov pre vzostupnú konvergenciu v spoločnej správe o zamestnanosti na základe hlavných ukazovateľov sociálneho prehľadu. V druhej fáze Komisia identifikuje členské štáty, ktoré si vyžadujú ďalšie preskúmanie, a zver</w:t>
            </w:r>
            <w:r w:rsidRPr="005D125E">
              <w:rPr>
                <w:b/>
                <w:i/>
              </w:rPr>
              <w:t xml:space="preserve">ejňuje „správy o sociálnej konvergencii“ pre tie členské štáty, u ktorých sa zistili riziká pre vzostupnú sociálnu konvergenciu. Závery pre jednotlivé krajiny vyplývajúce z činnosti mnohostranného dohľadu v novom rámci by mali byť podkladom pre zvažovanie </w:t>
            </w:r>
            <w:r w:rsidRPr="005D125E">
              <w:rPr>
                <w:b/>
                <w:i/>
              </w:rPr>
              <w:t>návrhov odporúčaní Komisie pre jednotlivé krajiny.</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5</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8</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(8)</w:t>
            </w:r>
            <w:r w:rsidRPr="005D125E">
              <w:tab/>
            </w:r>
            <w:r w:rsidRPr="005D125E">
              <w:t xml:space="preserve">Mali by sa teda stanoviť podrobné pravidlá týkajúce sa obsahu, predkladania, posudzovania a monitorovania národných strednodobých fiškálno-štrukturálnych plánov s cieľom podporiť udržateľnosť dlhovej služby </w:t>
            </w:r>
            <w:r w:rsidRPr="005D125E">
              <w:rPr>
                <w:b/>
                <w:bCs/>
                <w:i/>
                <w:iCs/>
              </w:rPr>
              <w:t>a</w:t>
            </w:r>
            <w:r w:rsidRPr="005D125E">
              <w:t> udržateľný a inkluzívny rast v členských štátoc</w:t>
            </w:r>
            <w:r w:rsidRPr="005D125E">
              <w:t>h a zabrániť vzniku nadmerných deficitov verejných financií prostredníctvom strednodobého plánovania.</w:t>
            </w:r>
          </w:p>
        </w:tc>
        <w:tc>
          <w:tcPr>
            <w:tcW w:w="4876" w:type="dxa"/>
            <w:hideMark/>
          </w:tcPr>
          <w:p w:rsidR="00AF0131" w:rsidRPr="005D125E" w:rsidRDefault="00617C3C" w:rsidP="00C33FBD">
            <w:pPr>
              <w:pStyle w:val="Normal6"/>
              <w:rPr>
                <w:szCs w:val="24"/>
              </w:rPr>
            </w:pPr>
            <w:r w:rsidRPr="005D125E">
              <w:t>(8)</w:t>
            </w:r>
            <w:r w:rsidRPr="005D125E">
              <w:tab/>
              <w:t>Mali by sa teda stanoviť podrobné pravidlá týkajúce sa obsahu, predkladania, posudzovania a monitorovania národných strednodobých fiškálno-štrukturáln</w:t>
            </w:r>
            <w:r w:rsidRPr="005D125E">
              <w:t xml:space="preserve">ych plánov s cieľom podporiť udržateľnosť dlhovej služby, udržateľný a inkluzívny rast </w:t>
            </w:r>
            <w:r w:rsidRPr="005D125E">
              <w:rPr>
                <w:b/>
                <w:bCs/>
                <w:i/>
                <w:iCs/>
              </w:rPr>
              <w:t>a vzostupnú sociálnu konvergenciu</w:t>
            </w:r>
            <w:r w:rsidRPr="005D125E">
              <w:t xml:space="preserve"> v členských štátoch a zabrániť vzniku nadmerných deficitov verejných financií prostredníctvom strednodobého plánovania.</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w:t>
      </w:r>
      <w:r w:rsidRPr="005D125E">
        <w:rPr>
          <w:rStyle w:val="HideTWBExt"/>
          <w:b w:val="0"/>
        </w:rPr>
        <w:t>d&gt;</w:t>
      </w:r>
      <w:r w:rsidRPr="005D125E">
        <w:t>Pozmeňujúci návrh</w:t>
      </w:r>
      <w:r w:rsidRPr="005D125E">
        <w:tab/>
      </w:r>
      <w:r w:rsidRPr="005D125E">
        <w:tab/>
      </w:r>
      <w:r w:rsidRPr="005D125E">
        <w:rPr>
          <w:rStyle w:val="HideTWBExt"/>
          <w:b w:val="0"/>
        </w:rPr>
        <w:t>&lt;NumAm&gt;</w:t>
      </w:r>
      <w:r w:rsidRPr="005D125E">
        <w:t>6</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9</w:t>
      </w:r>
      <w:r w:rsidRPr="005D125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(9)</w:t>
            </w:r>
            <w:r w:rsidRPr="005D125E">
              <w:tab/>
              <w:t xml:space="preserve">Národné strednodobé fiškálno-štrukturálne plány by mali spájať fiškálne a štrukturálne reformy </w:t>
            </w:r>
            <w:r w:rsidRPr="005D125E">
              <w:t>a investičné záväzky každého členského štátu, pričom by mali predstavovať základný kameň rámca správy hospodárskych záležitostí Únie. Každý členský štát by mal predložiť strednodobý plán, v ktorom sa stanoví jeho fiškálna trajektória spolu s prioritnými zá</w:t>
            </w:r>
            <w:r w:rsidRPr="005D125E">
              <w:t>väzkami v oblasti verejných investícií a reforiem, ktorými sa spoločne zabezpečí udržateľné a postupné znižovanie dlhu a udržateľný a inkluzívny rast, pričom sa zabráni procyklickej fiškálnej politike, ako aj širšie reformné a investičné záväzky vrátane zá</w:t>
            </w:r>
            <w:r w:rsidRPr="005D125E">
              <w:t xml:space="preserve">väzkov týkajúcich sa zelenej a digitálnej transformácie, sociálnej a hospodárskej odolnosti a vykonávania </w:t>
            </w:r>
            <w:r w:rsidRPr="005D125E">
              <w:rPr>
                <w:b/>
                <w:bCs/>
                <w:i/>
                <w:iCs/>
              </w:rPr>
              <w:t xml:space="preserve">Európskeho </w:t>
            </w:r>
            <w:r w:rsidRPr="005D125E">
              <w:t>piliera</w:t>
            </w:r>
            <w:r w:rsidRPr="005D125E">
              <w:rPr>
                <w:b/>
                <w:bCs/>
                <w:i/>
                <w:iCs/>
              </w:rPr>
              <w:t xml:space="preserve"> sociálnych práv</w:t>
            </w:r>
            <w:r w:rsidRPr="005D125E">
              <w:t>. Počas trvania Mechanizmu na podporu obnovy a odolnosti</w:t>
            </w:r>
            <w:r w:rsidRPr="005D125E">
              <w:rPr>
                <w:vertAlign w:val="superscript"/>
              </w:rPr>
              <w:t>25</w:t>
            </w:r>
            <w:r w:rsidRPr="005D125E">
              <w:t xml:space="preserve"> by sa mali náležite zohľadňovať záväzky prijaté v národných plánoch obnovy a odolnosti.</w:t>
            </w:r>
          </w:p>
        </w:tc>
        <w:tc>
          <w:tcPr>
            <w:tcW w:w="4876" w:type="dxa"/>
            <w:hideMark/>
          </w:tcPr>
          <w:p w:rsidR="00AF0131" w:rsidRPr="005D125E" w:rsidRDefault="00617C3C" w:rsidP="00C33FBD">
            <w:pPr>
              <w:pStyle w:val="Normal6"/>
              <w:rPr>
                <w:szCs w:val="24"/>
              </w:rPr>
            </w:pPr>
            <w:r w:rsidRPr="005D125E">
              <w:t>(9)</w:t>
            </w:r>
            <w:r w:rsidRPr="005D125E">
              <w:tab/>
              <w:t>Národné strednodobé fiškálno-štrukturálne plány by mali spájať fiškálne a štrukturálne reformy a investičné záväzky každého členského štátu, pričom by mali predsta</w:t>
            </w:r>
            <w:r w:rsidRPr="005D125E">
              <w:t xml:space="preserve">vovať základný kameň rámca správy hospodárskych </w:t>
            </w:r>
            <w:r w:rsidRPr="005D125E">
              <w:rPr>
                <w:b/>
                <w:bCs/>
                <w:i/>
                <w:iCs/>
              </w:rPr>
              <w:t>a sociálnych</w:t>
            </w:r>
            <w:r w:rsidRPr="005D125E">
              <w:t xml:space="preserve"> záležitostí Únie. Každý členský štát by mal predložiť strednodobý plán, v ktorom sa stanoví jeho fiškálna trajektória spolu s prioritnými záväzkami v oblasti verejných investícií a reforiem, ktor</w:t>
            </w:r>
            <w:r w:rsidRPr="005D125E">
              <w:t>ými sa spoločne zabezpečí udržateľné a postupné znižovanie dlhu a udržateľný a inkluzívny rast, pričom sa zabráni procyklickej fiškálnej politike, ako aj širšie reformné a investičné záväzky vrátane záväzkov týkajúcich sa zelenej a digitálnej transformácie</w:t>
            </w:r>
            <w:r w:rsidRPr="005D125E">
              <w:t xml:space="preserve">, sociálnej a hospodárskej odolnosti a vykonávania Európskeho piliera sociálnych práv </w:t>
            </w:r>
            <w:r w:rsidRPr="005D125E">
              <w:rPr>
                <w:b/>
                <w:bCs/>
                <w:i/>
                <w:iCs/>
              </w:rPr>
              <w:t>vrátane súvisiacich cieľov v oblasti zamestnanosti, zručností a znižovania chudoby do roku 2030</w:t>
            </w:r>
            <w:r w:rsidRPr="005D125E">
              <w:rPr>
                <w:b/>
                <w:bCs/>
                <w:i/>
                <w:iCs/>
                <w:vertAlign w:val="superscript"/>
              </w:rPr>
              <w:t>1a</w:t>
            </w:r>
            <w:r w:rsidRPr="005D125E">
              <w:t>. Počas trvania Mechanizmu na podporu obnovy a odolnosti</w:t>
            </w:r>
            <w:r w:rsidRPr="005D125E">
              <w:rPr>
                <w:vertAlign w:val="superscript"/>
              </w:rPr>
              <w:t>25</w:t>
            </w:r>
            <w:r w:rsidRPr="005D125E">
              <w:t xml:space="preserve"> by sa mali nál</w:t>
            </w:r>
            <w:r w:rsidRPr="005D125E">
              <w:t>ežite zohľadňovať záväzky prijaté v národných plánoch obnovy a odolnosti.</w:t>
            </w:r>
          </w:p>
        </w:tc>
      </w:tr>
      <w:tr w:rsidR="00DF6B66" w:rsidRPr="005D125E" w:rsidTr="00C33FBD">
        <w:trPr>
          <w:jc w:val="center"/>
        </w:trPr>
        <w:tc>
          <w:tcPr>
            <w:tcW w:w="4876" w:type="dxa"/>
            <w:hideMark/>
          </w:tcPr>
          <w:p w:rsidR="00AF0131" w:rsidRPr="005D125E" w:rsidRDefault="00617C3C" w:rsidP="00C33FBD">
            <w:pPr>
              <w:pStyle w:val="Normal6"/>
            </w:pPr>
            <w:r w:rsidRPr="005D125E">
              <w:t>__________________</w:t>
            </w:r>
          </w:p>
        </w:tc>
        <w:tc>
          <w:tcPr>
            <w:tcW w:w="4876" w:type="dxa"/>
            <w:hideMark/>
          </w:tcPr>
          <w:p w:rsidR="00AF0131" w:rsidRPr="005D125E" w:rsidRDefault="00617C3C" w:rsidP="00C33FBD">
            <w:pPr>
              <w:pStyle w:val="Normal6"/>
              <w:rPr>
                <w:szCs w:val="24"/>
              </w:rPr>
            </w:pPr>
            <w:r w:rsidRPr="005D125E">
              <w:t>__________________</w:t>
            </w:r>
          </w:p>
        </w:tc>
      </w:tr>
      <w:tr w:rsidR="00DF6B66" w:rsidRPr="005D125E" w:rsidTr="00C33FBD">
        <w:trPr>
          <w:jc w:val="center"/>
        </w:trPr>
        <w:tc>
          <w:tcPr>
            <w:tcW w:w="4876" w:type="dxa"/>
          </w:tcPr>
          <w:p w:rsidR="00AF0131" w:rsidRPr="005D125E" w:rsidRDefault="00AF0131" w:rsidP="00C33FBD">
            <w:pPr>
              <w:pStyle w:val="Normal6"/>
              <w:rPr>
                <w:vertAlign w:val="superscript"/>
              </w:rPr>
            </w:pPr>
          </w:p>
        </w:tc>
        <w:tc>
          <w:tcPr>
            <w:tcW w:w="4876" w:type="dxa"/>
          </w:tcPr>
          <w:p w:rsidR="00AF0131" w:rsidRPr="005D125E" w:rsidRDefault="00617C3C" w:rsidP="00C33FBD">
            <w:pPr>
              <w:pStyle w:val="Normal6"/>
              <w:rPr>
                <w:vertAlign w:val="superscript"/>
              </w:rPr>
            </w:pPr>
            <w:r w:rsidRPr="005D125E">
              <w:rPr>
                <w:b/>
                <w:bCs/>
                <w:i/>
                <w:iCs/>
                <w:vertAlign w:val="superscript"/>
              </w:rPr>
              <w:t xml:space="preserve">25a </w:t>
            </w:r>
            <w:r w:rsidRPr="005D125E">
              <w:rPr>
                <w:b/>
                <w:bCs/>
                <w:i/>
                <w:iCs/>
              </w:rPr>
              <w:t>Oznámenie Komisie Európskemu parlamentu, Rade, Európskemu hospodárskemu a sociálnemu výboru a Výboru regiónov s názvom Akčný plán na real</w:t>
            </w:r>
            <w:r w:rsidRPr="005D125E">
              <w:rPr>
                <w:b/>
                <w:bCs/>
                <w:i/>
                <w:iCs/>
              </w:rPr>
              <w:t>izáciu Európskeho piliera sociálnych práv zo 4. marca 2021 (COM(2021) 0102).</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25</w:t>
            </w:r>
            <w:r w:rsidRPr="005D125E">
              <w:t xml:space="preserve"> Nariadenie Európskeho parlamentu a Rady (EÚ) 2021/241 z 12. februára 2021, ktorým sa zriaďuje Mechanizmus na podporu obnovy a odolnosti (Ú. v. EÚ L 57, 18.2.2021, s. 17).</w:t>
            </w:r>
          </w:p>
        </w:tc>
        <w:tc>
          <w:tcPr>
            <w:tcW w:w="4876" w:type="dxa"/>
            <w:hideMark/>
          </w:tcPr>
          <w:p w:rsidR="00AF0131" w:rsidRPr="005D125E" w:rsidRDefault="00617C3C" w:rsidP="00C33FBD">
            <w:pPr>
              <w:pStyle w:val="Normal6"/>
              <w:rPr>
                <w:szCs w:val="24"/>
              </w:rPr>
            </w:pPr>
            <w:r w:rsidRPr="005D125E">
              <w:rPr>
                <w:vertAlign w:val="superscript"/>
              </w:rPr>
              <w:t>25</w:t>
            </w:r>
            <w:r w:rsidRPr="005D125E">
              <w:t xml:space="preserve"> N</w:t>
            </w:r>
            <w:r w:rsidRPr="005D125E">
              <w:t>ariadenie Európskeho parlamentu a Rady (EÚ) 2021/241 z 12. februára 2021, ktorým sa zriaďuje Mechanizmus na podporu obnovy a odolnosti (Ú. v. EÚ L 57, 18.2.2021, s. 17).</w:t>
            </w:r>
          </w:p>
        </w:tc>
      </w:tr>
    </w:tbl>
    <w:p w:rsidR="002D23D0" w:rsidRPr="005D125E" w:rsidRDefault="00617C3C" w:rsidP="00C56375">
      <w:pPr>
        <w:rPr>
          <w:rFonts w:eastAsiaTheme="majorEastAsia"/>
        </w:rPr>
      </w:pPr>
      <w:r w:rsidRPr="005D125E">
        <w:rPr>
          <w:rStyle w:val="HideTWBExt"/>
        </w:rPr>
        <w:t>&lt;/Amend&gt;</w:t>
      </w:r>
    </w:p>
    <w:p w:rsidR="00AF0131" w:rsidRPr="005D125E" w:rsidRDefault="00617C3C" w:rsidP="002D23D0">
      <w:pPr>
        <w:pStyle w:val="AmNumberTabs"/>
      </w:pPr>
      <w:r w:rsidRPr="005D125E">
        <w:rPr>
          <w:rStyle w:val="HideTWBExt"/>
        </w:rPr>
        <w:t>&lt;Amend&gt;</w:t>
      </w:r>
      <w:r w:rsidRPr="005D125E">
        <w:t>Pozmeňujúci návrh</w:t>
      </w:r>
      <w:r w:rsidRPr="005D125E">
        <w:tab/>
      </w:r>
      <w:r w:rsidRPr="005D125E">
        <w:tab/>
      </w:r>
      <w:r w:rsidRPr="005D125E">
        <w:rPr>
          <w:rStyle w:val="HideTWBExt"/>
          <w:b w:val="0"/>
        </w:rPr>
        <w:t>&lt;NumAm&gt;</w:t>
      </w:r>
      <w:r w:rsidRPr="005D125E">
        <w:t>7</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10</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(10)</w:t>
            </w:r>
            <w:r w:rsidRPr="005D125E">
              <w:tab/>
              <w:t>Fondy politiky súdržnosti sú synchronizované aj s procesom európskeho semestra. Pri vypracúvaní národných strednodobých fiškálno-štrukturálnych plánov by sa ma</w:t>
            </w:r>
            <w:r w:rsidRPr="005D125E">
              <w:t>li náležite zohľadňovať aj investície a reformy politiky súdržnosti predstavujúce dlhodobú investičnú politiku rozpočtu EÚ. Každý členský štát by mal takisto vysvetliť, ako sa v jeho národnom strednodobom fiškálno-štrukturálnom pláne zabezpečí súlad s výda</w:t>
            </w:r>
            <w:r w:rsidRPr="005D125E">
              <w:t>vkami na programy EÚ plne krytými príjmami z fondov EÚ a príslušným vnútroštátnym spolufinancovaním.</w:t>
            </w:r>
          </w:p>
        </w:tc>
        <w:tc>
          <w:tcPr>
            <w:tcW w:w="4876" w:type="dxa"/>
            <w:hideMark/>
          </w:tcPr>
          <w:p w:rsidR="00AF0131" w:rsidRPr="005D125E" w:rsidRDefault="00617C3C" w:rsidP="00C33FBD">
            <w:pPr>
              <w:pStyle w:val="Normal6"/>
              <w:rPr>
                <w:szCs w:val="24"/>
              </w:rPr>
            </w:pPr>
            <w:r w:rsidRPr="005D125E">
              <w:t>(10)</w:t>
            </w:r>
            <w:r w:rsidRPr="005D125E">
              <w:tab/>
              <w:t>Fondy politiky súdržnosti sú synchronizované aj s procesom európskeho semestra. Pri vypracúvaní národných strednodobých fiškálno-štrukturálnych plánov</w:t>
            </w:r>
            <w:r w:rsidRPr="005D125E">
              <w:t xml:space="preserve"> by sa mali náležite zohľadňovať aj investície a reformy politiky súdržnosti predstavujúce dlhodobú investičnú politiku rozpočtu EÚ </w:t>
            </w:r>
            <w:r w:rsidRPr="005D125E">
              <w:rPr>
                <w:b/>
                <w:bCs/>
                <w:i/>
                <w:iCs/>
              </w:rPr>
              <w:t>na posilnenie hospodárskej, sociálnej a územnej súdržnosti</w:t>
            </w:r>
            <w:r w:rsidRPr="005D125E">
              <w:t>. Každý členský štát by mal takisto vysvetliť, ako sa v jeho národ</w:t>
            </w:r>
            <w:r w:rsidRPr="005D125E">
              <w:t>nom strednodobom fiškálno-štrukturálnom pláne zabezpečí súlad s výdavkami na programy EÚ plne krytými príjmami z fondov EÚ a príslušným vnútroštátnym spolufinancovaním.</w:t>
            </w:r>
          </w:p>
        </w:tc>
      </w:tr>
    </w:tbl>
    <w:p w:rsidR="00AF0131" w:rsidRPr="005D125E" w:rsidRDefault="00617C3C" w:rsidP="00C56375">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8</w:t>
      </w:r>
      <w:r w:rsidRPr="005D125E">
        <w:rPr>
          <w:rStyle w:val="HideTWBExt"/>
          <w:b w:val="0"/>
        </w:rPr>
        <w:t>&lt;/NumAm&gt;</w:t>
      </w:r>
    </w:p>
    <w:p w:rsidR="00AF0131" w:rsidRPr="005D125E" w:rsidRDefault="00AF0131" w:rsidP="00AF0131">
      <w:pPr>
        <w:rPr>
          <w:b/>
        </w:rPr>
      </w:pPr>
    </w:p>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13</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(13)</w:t>
            </w:r>
            <w:r w:rsidRPr="005D125E">
              <w:tab/>
              <w:t>V snahe poskytnúť členským štátom usmernenia pri vypracúvaní ich strednodobých fiškálno-štrukturálnych plánov by Komisia mala predložiť technickú trajektóriu z</w:t>
            </w:r>
            <w:r w:rsidRPr="005D125E">
              <w:t xml:space="preserve">aloženú na minimálnej fiškálnej úprave, ktorou sa hodnoverne zníži vývoj dlhu členského štátu alebo sa dlh udrží na obozretnej úrovni. Malo by sa ňou takisto zabezpečiť, aby pomer verejného dlhu k HDP na konci plánovacieho horizontu klesol pod jeho úroveň </w:t>
            </w:r>
            <w:r w:rsidRPr="005D125E">
              <w:t xml:space="preserve">v roku predchádzajúcom začiatku technickej trajektórie. </w:t>
            </w:r>
            <w:r w:rsidRPr="005D125E">
              <w:rPr>
                <w:b/>
                <w:i/>
              </w:rPr>
              <w:t>Udržateľnosť tohto znižovania dlhu by mala vyplývať z primeraných fiškálnych politík.</w:t>
            </w:r>
          </w:p>
        </w:tc>
        <w:tc>
          <w:tcPr>
            <w:tcW w:w="4876" w:type="dxa"/>
            <w:hideMark/>
          </w:tcPr>
          <w:p w:rsidR="00AF0131" w:rsidRPr="005D125E" w:rsidRDefault="00617C3C" w:rsidP="00C33FBD">
            <w:pPr>
              <w:pStyle w:val="Normal6"/>
              <w:rPr>
                <w:szCs w:val="24"/>
              </w:rPr>
            </w:pPr>
            <w:r w:rsidRPr="005D125E">
              <w:t>(13)</w:t>
            </w:r>
            <w:r w:rsidRPr="005D125E">
              <w:tab/>
            </w:r>
            <w:r w:rsidRPr="005D125E">
              <w:t>V snahe poskytnúť členským štátom usmernenia pri vypracúvaní ich strednodobých fiškálno-štrukturálnych plánov by Komisia mala predložiť technickú trajektóriu založenú na minimálnej fiškálnej úprave, ktorou sa hodnoverne zníži vývoj dlhu členského štátu ale</w:t>
            </w:r>
            <w:r w:rsidRPr="005D125E">
              <w:t xml:space="preserve">bo sa dlh udrží na obozretnej úrovni, </w:t>
            </w:r>
            <w:r w:rsidRPr="005D125E">
              <w:rPr>
                <w:b/>
                <w:bCs/>
                <w:i/>
                <w:iCs/>
              </w:rPr>
              <w:t>pričom sa takisto zohľadnia cielené investície potrebné na dosiahnutie spoločných priorít Únie</w:t>
            </w:r>
            <w:r w:rsidRPr="005D125E">
              <w:t>. Malo by sa ňou takisto zabezpečiť, aby pomer verejného dlhu k HDP na konci plánovacieho horizontu klesol pod jeho úroveň v</w:t>
            </w:r>
            <w:r w:rsidRPr="005D125E">
              <w:t> roku predchádzajúcom začiatku technickej trajektórie.</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C56375">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9</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Odôvodnenie 22</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(22)</w:t>
            </w:r>
            <w:r w:rsidRPr="005D125E">
              <w:tab/>
              <w:t xml:space="preserve">V záujme zabezpečenia </w:t>
            </w:r>
            <w:r w:rsidRPr="005D125E">
              <w:t xml:space="preserve">pozvoľnejšieho znižovania dlhu možno obdobie úprav predĺžiť najviac o tri roky, ak je strednodobý fiškálno-štrukturálny plán členského štátu podporený súborom overiteľných a časovo ohraničených reforiem a investícií, ktoré spolu </w:t>
            </w:r>
            <w:r w:rsidRPr="005D125E">
              <w:rPr>
                <w:b/>
                <w:bCs/>
                <w:i/>
                <w:iCs/>
              </w:rPr>
              <w:t>posilňujú rast</w:t>
            </w:r>
            <w:r w:rsidRPr="005D125E">
              <w:t>, podporujú f</w:t>
            </w:r>
            <w:r w:rsidRPr="005D125E">
              <w:t>iškálnu udržateľnosť, riešia spoločné priority Únie, riešia príslušné odporúčania pre jednotlivé krajiny adresované dotknutému členskému štátu v rámci európskeho semestra a venujú sa investičným prioritám jednotlivých krajín bez toho, aby viedli k škrtom v</w:t>
            </w:r>
            <w:r w:rsidRPr="005D125E">
              <w:t> iných verejných investíciách financovaných z vnútroštátnych zdrojov počas obdobia úprav, aby sa zabezpečil makroekonomický vplyv investícií a zabránilo sa vytláčaniu iných investičných priorít.</w:t>
            </w:r>
          </w:p>
        </w:tc>
        <w:tc>
          <w:tcPr>
            <w:tcW w:w="4876" w:type="dxa"/>
            <w:hideMark/>
          </w:tcPr>
          <w:p w:rsidR="00AF0131" w:rsidRPr="005D125E" w:rsidRDefault="00617C3C" w:rsidP="00C33FBD">
            <w:pPr>
              <w:pStyle w:val="Normal6"/>
              <w:rPr>
                <w:szCs w:val="24"/>
              </w:rPr>
            </w:pPr>
            <w:r w:rsidRPr="005D125E">
              <w:t>(22)</w:t>
            </w:r>
            <w:r w:rsidRPr="005D125E">
              <w:tab/>
              <w:t>V záujme zabezpečenia pozvoľnejšieho znižovania dlhu mož</w:t>
            </w:r>
            <w:r w:rsidRPr="005D125E">
              <w:t xml:space="preserve">no obdobie úprav predĺžiť najviac o tri roky, ak je strednodobý fiškálno-štrukturálny plán členského štátu podporený súborom overiteľných a časovo ohraničených reforiem a investícií, ktoré spolu </w:t>
            </w:r>
            <w:r w:rsidRPr="005D125E">
              <w:rPr>
                <w:b/>
                <w:bCs/>
                <w:i/>
                <w:iCs/>
              </w:rPr>
              <w:t xml:space="preserve">posilňujú udržateľný a inkluzívny rast, presadzujú vzostupnú </w:t>
            </w:r>
            <w:r w:rsidRPr="005D125E">
              <w:rPr>
                <w:b/>
                <w:bCs/>
                <w:i/>
                <w:iCs/>
              </w:rPr>
              <w:t>sociálnu konvergenciu</w:t>
            </w:r>
            <w:r w:rsidRPr="005D125E">
              <w:t>, podporujú fiškálnu udržateľnosť, riešia spoločné priority Únie, riešia príslušné odporúčania pre jednotlivé krajiny adresované dotknutému členskému štátu v rámci európskeho semestra a venujú sa investičným prioritám jednotlivých kraj</w:t>
            </w:r>
            <w:r w:rsidRPr="005D125E">
              <w:t>ín bez toho, aby viedli k škrtom v iných verejných investíciách financovaných z vnútroštátnych zdrojov vrátane sociálnych investícií počas obdobia úprav, aby sa zabezpečil makroekonomický vplyv investícií a zabránilo sa vytláčaniu iných investičných priorí</w:t>
            </w:r>
            <w:r w:rsidRPr="005D125E">
              <w:t>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rPr>
          <w:rStyle w:val="HideTWBExt"/>
          <w:b w:val="0"/>
        </w:rPr>
        <w:t>&lt;NumAm&gt;</w:t>
      </w:r>
      <w:r w:rsidRPr="005D125E">
        <w:t>10</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1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 xml:space="preserve">Týmto nariadením sa stanovujú pravidlá na zabezpečenie účinnej koordinácie hospodárskych politík členských štátov, čím sa podporí dosahovanie cieľov Únie v oblasti rastu </w:t>
            </w:r>
            <w:r w:rsidRPr="005D125E">
              <w:rPr>
                <w:b/>
                <w:bCs/>
                <w:i/>
                <w:iCs/>
              </w:rPr>
              <w:t>a</w:t>
            </w:r>
            <w:r w:rsidRPr="005D125E">
              <w:t> zamestnanosti.</w:t>
            </w:r>
          </w:p>
        </w:tc>
        <w:tc>
          <w:tcPr>
            <w:tcW w:w="4876" w:type="dxa"/>
            <w:hideMark/>
          </w:tcPr>
          <w:p w:rsidR="00AF0131" w:rsidRPr="005D125E" w:rsidRDefault="00617C3C" w:rsidP="00C33FBD">
            <w:pPr>
              <w:pStyle w:val="Normal6"/>
              <w:rPr>
                <w:szCs w:val="24"/>
              </w:rPr>
            </w:pPr>
            <w:r w:rsidRPr="005D125E">
              <w:t>Týmto nariadením sa stanovujú pravidlá na zabezpečenie účinnej koordi</w:t>
            </w:r>
            <w:r w:rsidRPr="005D125E">
              <w:t xml:space="preserve">nácie hospodárskych politík členských štátov, čím sa podporí dosahovanie cieľov Únie v oblasti </w:t>
            </w:r>
            <w:r w:rsidRPr="005D125E">
              <w:rPr>
                <w:b/>
                <w:bCs/>
                <w:i/>
                <w:iCs/>
              </w:rPr>
              <w:t xml:space="preserve">udržateľného a inkluzívneho </w:t>
            </w:r>
            <w:r w:rsidRPr="005D125E">
              <w:t xml:space="preserve">rastu </w:t>
            </w:r>
            <w:r w:rsidRPr="005D125E">
              <w:rPr>
                <w:b/>
                <w:bCs/>
                <w:i/>
                <w:iCs/>
              </w:rPr>
              <w:t>a kvalitnej</w:t>
            </w:r>
            <w:r w:rsidRPr="005D125E">
              <w:t xml:space="preserve"> zamestnanosti.</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11</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w:t>
      </w:r>
      <w:r w:rsidRPr="005D125E">
        <w:rPr>
          <w:rStyle w:val="HideTWBExt"/>
          <w:b w:val="0"/>
        </w:rPr>
        <w:t>e&gt;</w:t>
      </w:r>
      <w:r w:rsidRPr="005D125E">
        <w:t>Článok 1 – odsek 2</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Stanovujú sa v ňom podrobné pravidlá týkajúce sa obsahu, predkladania, posudzovania a monitorovania národných strednodobých fiškálno-štrukturálnych plánov v rámci mnohostranného rozpočtového dohľadu vykonávaného Radou a Komisiou s cieľom podporiť udržateľn</w:t>
            </w:r>
            <w:r w:rsidRPr="005D125E">
              <w:t xml:space="preserve">osť dlhovej služby a udržateľný </w:t>
            </w:r>
            <w:r w:rsidRPr="005D125E">
              <w:rPr>
                <w:b/>
                <w:bCs/>
                <w:i/>
                <w:iCs/>
              </w:rPr>
              <w:t>a</w:t>
            </w:r>
            <w:r w:rsidRPr="005D125E">
              <w:t> inkluzívny rast v členských štátoch, a zabrániť vzniku nadmerných deficitov verejných financií prostredníctvom strednodobého plánovania.</w:t>
            </w:r>
          </w:p>
        </w:tc>
        <w:tc>
          <w:tcPr>
            <w:tcW w:w="4876" w:type="dxa"/>
            <w:hideMark/>
          </w:tcPr>
          <w:p w:rsidR="00AF0131" w:rsidRPr="005D125E" w:rsidRDefault="00617C3C" w:rsidP="00C33FBD">
            <w:pPr>
              <w:pStyle w:val="Normal6"/>
              <w:rPr>
                <w:szCs w:val="24"/>
              </w:rPr>
            </w:pPr>
            <w:r w:rsidRPr="005D125E">
              <w:t>Stanovujú sa v ňom podrobné pravidlá týkajúce sa obsahu, predkladania, posudzovania a</w:t>
            </w:r>
            <w:r w:rsidRPr="005D125E">
              <w:t xml:space="preserve"> monitorovania národných strednodobých fiškálno-štrukturálnych plánov </w:t>
            </w:r>
            <w:r w:rsidRPr="005D125E">
              <w:rPr>
                <w:b/>
                <w:bCs/>
                <w:i/>
                <w:iCs/>
              </w:rPr>
              <w:t>ako súčasti</w:t>
            </w:r>
            <w:r w:rsidRPr="005D125E">
              <w:t xml:space="preserve"> mnohostranného rozpočtového dohľadu vykonávaného Radou a Komisiou s cieľom podporiť udržateľnosť dlhovej služby, udržateľný a inkluzívny rast </w:t>
            </w:r>
            <w:r w:rsidRPr="005D125E">
              <w:rPr>
                <w:b/>
                <w:bCs/>
                <w:i/>
                <w:iCs/>
              </w:rPr>
              <w:t>a vzostupnú sociálnu konvergenci</w:t>
            </w:r>
            <w:r w:rsidRPr="005D125E">
              <w:rPr>
                <w:b/>
                <w:bCs/>
                <w:i/>
                <w:iCs/>
              </w:rPr>
              <w:t>u</w:t>
            </w:r>
            <w:r w:rsidRPr="005D125E">
              <w:t xml:space="preserve"> v členských štátoch, a zabrániť vzniku nadmerných deficitov verejných financií prostredníctvom strednodobého plánovania </w:t>
            </w:r>
            <w:r w:rsidRPr="005D125E">
              <w:rPr>
                <w:b/>
                <w:bCs/>
                <w:i/>
                <w:iCs/>
              </w:rPr>
              <w:t>pri súčasnom zabezpečení cielených ekonomických a sociálnych investícií v súlade so spoločnými prioritami Únie</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C56375">
      <w:pPr>
        <w:pStyle w:val="AmNumberTabs"/>
      </w:pPr>
      <w:r w:rsidRPr="005D125E">
        <w:rPr>
          <w:rStyle w:val="HideTWBExt"/>
          <w:b w:val="0"/>
        </w:rPr>
        <w:t>&lt;Amend&gt;</w:t>
      </w:r>
      <w:r w:rsidRPr="005D125E">
        <w:t>Pozme</w:t>
      </w:r>
      <w:r w:rsidRPr="005D125E">
        <w:t>ňujúci návrh</w:t>
      </w:r>
      <w:r w:rsidRPr="005D125E">
        <w:tab/>
      </w:r>
      <w:r w:rsidRPr="005D125E">
        <w:tab/>
      </w:r>
      <w:r w:rsidRPr="005D125E">
        <w:rPr>
          <w:rStyle w:val="HideTWBExt"/>
          <w:b w:val="0"/>
        </w:rPr>
        <w:t>&lt;NumAm&gt;</w:t>
      </w:r>
      <w:r w:rsidRPr="005D125E">
        <w:t>12</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3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V záujme zabezpečenia užšej koordinácie hospodárskych politík a </w:t>
            </w:r>
            <w:r w:rsidRPr="005D125E">
              <w:rPr>
                <w:b/>
                <w:bCs/>
                <w:i/>
                <w:iCs/>
              </w:rPr>
              <w:t>nepretržitej</w:t>
            </w:r>
            <w:r w:rsidRPr="005D125E">
              <w:t xml:space="preserve"> konvergencie hospodárskej a sociálnej výkonnosti členských štátov Rada a Komisia vykonávajú v rámci európskeho semestra mnohostranný dohľad v súlade s cieľmi a požiadavkami stanovenými v ZFEÚ. Mnohostranný dohľad vychádza z vysokokvalitných a nezávislých </w:t>
            </w:r>
            <w:r w:rsidRPr="005D125E">
              <w:t>štatistík vypracovaných v súlade so zásadami stanovenými v nariadení Európskeho parlamentu a Rady (ES) č. 223/2009.</w:t>
            </w:r>
          </w:p>
        </w:tc>
        <w:tc>
          <w:tcPr>
            <w:tcW w:w="4876" w:type="dxa"/>
            <w:hideMark/>
          </w:tcPr>
          <w:p w:rsidR="00AF0131" w:rsidRPr="005D125E" w:rsidRDefault="00617C3C" w:rsidP="00C33FBD">
            <w:pPr>
              <w:pStyle w:val="Normal6"/>
              <w:rPr>
                <w:szCs w:val="24"/>
              </w:rPr>
            </w:pPr>
            <w:r w:rsidRPr="005D125E">
              <w:t xml:space="preserve">V záujme zabezpečenia užšej koordinácie hospodárskych politík </w:t>
            </w:r>
            <w:r w:rsidRPr="005D125E">
              <w:rPr>
                <w:b/>
                <w:bCs/>
                <w:i/>
                <w:iCs/>
              </w:rPr>
              <w:t>a politík zamestnanosti</w:t>
            </w:r>
            <w:r w:rsidRPr="005D125E">
              <w:t xml:space="preserve"> a nepretržitej vzostupnej konvergencie hospodárskej a </w:t>
            </w:r>
            <w:r w:rsidRPr="005D125E">
              <w:t xml:space="preserve">sociálnej výkonnosti členských štátov </w:t>
            </w:r>
            <w:r w:rsidRPr="005D125E">
              <w:rPr>
                <w:b/>
                <w:bCs/>
                <w:i/>
                <w:iCs/>
              </w:rPr>
              <w:t>v súlade so spoločnými prioritami Únie</w:t>
            </w:r>
            <w:r w:rsidRPr="005D125E">
              <w:t xml:space="preserve"> Rada a Komisia vykonávajú v rámci európskeho semestra mnohostranný dohľad v súlade s cieľmi a požiadavkami stanovenými v ZFEÚ. Mnohostranný dohľad vychádza z vysokokvalitných a ne</w:t>
            </w:r>
            <w:r w:rsidRPr="005D125E">
              <w:t>závislých štatistík vypracovaných v súlade so zásadami stanovenými v nariadení Európskeho parlamentu a Rady (ES) č. 223/2009.</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13</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3 – odsek 2 – písmeno</w:t>
      </w:r>
      <w:r w:rsidRPr="005D125E">
        <w:t xml:space="preserve"> b</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b)</w:t>
            </w:r>
            <w:r w:rsidRPr="005D125E">
              <w:tab/>
              <w:t xml:space="preserve">formulovanie usmernení pre politiky zamestnanosti, ktoré majú členské štáty zohľadniť v súlade s článkom 148 ods. 2 ZFEÚ </w:t>
            </w:r>
            <w:r w:rsidRPr="005D125E">
              <w:rPr>
                <w:b/>
                <w:bCs/>
                <w:i/>
                <w:iCs/>
              </w:rPr>
              <w:t>vrátane Európskeho</w:t>
            </w:r>
            <w:r w:rsidRPr="005D125E">
              <w:t xml:space="preserve"> piliera </w:t>
            </w:r>
            <w:r w:rsidRPr="005D125E">
              <w:rPr>
                <w:b/>
                <w:bCs/>
                <w:i/>
                <w:iCs/>
              </w:rPr>
              <w:t>sociálnych práv</w:t>
            </w:r>
            <w:r w:rsidRPr="005D125E">
              <w:t xml:space="preserve">, a súvisiacich odporúčaní pre </w:t>
            </w:r>
            <w:r w:rsidRPr="005D125E">
              <w:t>jednotlivé krajiny a dohľad nad ich vykonávaním</w:t>
            </w:r>
            <w:r w:rsidRPr="005D125E">
              <w:rPr>
                <w:b/>
                <w:bCs/>
                <w:i/>
                <w:iCs/>
              </w:rPr>
              <w:t>;</w:t>
            </w:r>
          </w:p>
        </w:tc>
        <w:tc>
          <w:tcPr>
            <w:tcW w:w="4876" w:type="dxa"/>
            <w:hideMark/>
          </w:tcPr>
          <w:p w:rsidR="00AF0131" w:rsidRPr="005D125E" w:rsidRDefault="00617C3C" w:rsidP="00C33FBD">
            <w:pPr>
              <w:pStyle w:val="Normal6"/>
              <w:rPr>
                <w:szCs w:val="24"/>
              </w:rPr>
            </w:pPr>
            <w:r w:rsidRPr="005D125E">
              <w:t>b)</w:t>
            </w:r>
            <w:r w:rsidRPr="005D125E">
              <w:tab/>
              <w:t xml:space="preserve">formulovanie usmernení pre politiky zamestnanosti, ktoré majú členské štáty zohľadniť v súlade s článkom 148 ods. 2 ZFEÚ vrátane Európskeho piliera sociálnych práv </w:t>
            </w:r>
            <w:r w:rsidRPr="005D125E">
              <w:rPr>
                <w:b/>
                <w:bCs/>
                <w:i/>
                <w:iCs/>
              </w:rPr>
              <w:t>a jeho hlavných cieľov</w:t>
            </w:r>
            <w:r w:rsidRPr="005D125E">
              <w:t>, súvisiacich odpo</w:t>
            </w:r>
            <w:r w:rsidRPr="005D125E">
              <w:t>rúčaní pre jednotlivé krajiny</w:t>
            </w:r>
            <w:r w:rsidRPr="005D125E">
              <w:rPr>
                <w:b/>
                <w:bCs/>
                <w:i/>
                <w:iCs/>
              </w:rPr>
              <w:t>, ako aj sociálneho prehľadu a jeho hlavných a sekundárnych ukazovateľov a rámca sociálnej konvergencie na predchádzanie rizikám sociálnej konvergencie a ich identifikáciu.</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14</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4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1.</w:t>
            </w:r>
            <w:r w:rsidRPr="005D125E">
              <w:tab/>
            </w:r>
            <w:r w:rsidRPr="005D125E">
              <w:t>V prípade potreby v nadväznosti na posúdenie strednodobých fiškálno-štrukturálnych plánov, výročných správ o pokroku a sociálno-ekonomickej situácie dotknutých členských štátov podľa tohto nariadenia Rada na základe odporúčaní Komisie adresuje týmto člensk</w:t>
            </w:r>
            <w:r w:rsidRPr="005D125E">
              <w:t xml:space="preserve">ým štátom odporúčania, pričom v plnej miere využije právne nástroje stanovené v článkoch 121 a 148 ZFEÚ </w:t>
            </w:r>
            <w:r w:rsidRPr="005D125E">
              <w:rPr>
                <w:b/>
                <w:bCs/>
                <w:i/>
                <w:iCs/>
              </w:rPr>
              <w:t>a</w:t>
            </w:r>
            <w:r w:rsidRPr="005D125E">
              <w:t> súvisiacich sekundárnych právnych predpisoch.</w:t>
            </w:r>
          </w:p>
        </w:tc>
        <w:tc>
          <w:tcPr>
            <w:tcW w:w="4876" w:type="dxa"/>
            <w:hideMark/>
          </w:tcPr>
          <w:p w:rsidR="00AF0131" w:rsidRPr="005D125E" w:rsidRDefault="00617C3C" w:rsidP="00C33FBD">
            <w:pPr>
              <w:pStyle w:val="Normal6"/>
              <w:rPr>
                <w:szCs w:val="24"/>
              </w:rPr>
            </w:pPr>
            <w:r w:rsidRPr="005D125E">
              <w:t>1.</w:t>
            </w:r>
            <w:r w:rsidRPr="005D125E">
              <w:tab/>
              <w:t xml:space="preserve">V prípade potreby v nadväznosti na posúdenie strednodobých fiškálno-štrukturálnych plánov, výročných </w:t>
            </w:r>
            <w:r w:rsidRPr="005D125E">
              <w:t xml:space="preserve">správ o pokroku a sociálno-ekonomickej situácie dotknutých členských štátov podľa tohto nariadenia Rada na základe odporúčaní Komisie adresuje týmto členským štátom odporúčania, pričom v plnej miere využije </w:t>
            </w:r>
            <w:r w:rsidRPr="005D125E">
              <w:rPr>
                <w:b/>
                <w:bCs/>
                <w:i/>
                <w:iCs/>
              </w:rPr>
              <w:t xml:space="preserve">Európsky pilier sociálnych práv a </w:t>
            </w:r>
            <w:r w:rsidRPr="005D125E">
              <w:t>právne nástroje</w:t>
            </w:r>
            <w:r w:rsidRPr="005D125E">
              <w:t xml:space="preserve"> stanovené v článkoch 121 a 148 ZFEÚ a </w:t>
            </w:r>
            <w:r w:rsidRPr="005D125E">
              <w:rPr>
                <w:b/>
                <w:bCs/>
                <w:i/>
                <w:iCs/>
              </w:rPr>
              <w:t>súvisiace sekundárne právne predpisy</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15</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4 – odsek 3 – písmeno b a (nové)</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ba)</w:t>
            </w:r>
            <w:r w:rsidRPr="005D125E">
              <w:rPr>
                <w:b/>
                <w:i/>
              </w:rPr>
              <w:tab/>
              <w:t>odporúčaniu Rady na základe návrhu Komisie podľa článku 148 ods. 4 ZFEÚ alebo na základe výsledkov rámca sociálnej konvergencie;</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rPr>
          <w:rStyle w:val="HideTWBExt"/>
          <w:b w:val="0"/>
        </w:rPr>
        <w:t>&lt;NumAm&gt;</w:t>
      </w:r>
      <w:r w:rsidRPr="005D125E">
        <w:t>16</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7 – odsek 1 – písmeno b</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b)</w:t>
            </w:r>
            <w:r w:rsidRPr="005D125E">
              <w:tab/>
              <w:t>svoju makroekonomickú prognózu a predpoklady;</w:t>
            </w:r>
          </w:p>
        </w:tc>
        <w:tc>
          <w:tcPr>
            <w:tcW w:w="4876" w:type="dxa"/>
            <w:hideMark/>
          </w:tcPr>
          <w:p w:rsidR="00AF0131" w:rsidRPr="005D125E" w:rsidRDefault="00617C3C" w:rsidP="00C33FBD">
            <w:pPr>
              <w:pStyle w:val="Normal6"/>
              <w:rPr>
                <w:szCs w:val="24"/>
              </w:rPr>
            </w:pPr>
            <w:r w:rsidRPr="005D125E">
              <w:t>b)</w:t>
            </w:r>
            <w:r w:rsidRPr="005D125E">
              <w:tab/>
              <w:t xml:space="preserve">svoju makroekonomickú prognózu a predpoklady; </w:t>
            </w:r>
            <w:r w:rsidRPr="005D125E">
              <w:rPr>
                <w:b/>
                <w:i/>
              </w:rPr>
              <w:t>svoju prognózu a predpoklady týkajúce sa sociálnych rizík;</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17</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11 – odsek 1 – pododsek 2</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V národnom strednodobom fiškálno-štrukturálnom pláne sa opisujú aj opatrenia dotknutého členského štátu na plnenie odporúčaní pre jednotlivé krajiny vrátane tých odporúčaní, ktoré sú relevantné pre postup pri makroekonomickej nerovnováhe, a prípadne varova</w:t>
            </w:r>
            <w:r w:rsidRPr="005D125E">
              <w:t xml:space="preserve">ní zo strany Komisie alebo odporúčaní Rady prijatých podľa </w:t>
            </w:r>
            <w:r w:rsidRPr="005D125E">
              <w:rPr>
                <w:b/>
                <w:bCs/>
                <w:i/>
                <w:iCs/>
              </w:rPr>
              <w:t>článku</w:t>
            </w:r>
            <w:r w:rsidRPr="005D125E">
              <w:t xml:space="preserve"> 121 ods. 4 ZFEÚ.</w:t>
            </w:r>
          </w:p>
        </w:tc>
        <w:tc>
          <w:tcPr>
            <w:tcW w:w="4876" w:type="dxa"/>
            <w:hideMark/>
          </w:tcPr>
          <w:p w:rsidR="00AF0131" w:rsidRPr="005D125E" w:rsidRDefault="00617C3C" w:rsidP="00C33FBD">
            <w:pPr>
              <w:pStyle w:val="Normal6"/>
              <w:rPr>
                <w:szCs w:val="24"/>
              </w:rPr>
            </w:pPr>
            <w:r w:rsidRPr="005D125E">
              <w:t>V národnom strednodobom fiškálno-štrukturálnom pláne sa opisujú aj opatrenia dotknutého členského štátu na plnenie odporúčaní pre jednotlivé krajiny vrátane tých odporúčaní,</w:t>
            </w:r>
            <w:r w:rsidRPr="005D125E">
              <w:t xml:space="preserve"> ktoré sú relevantné pre postup pri makroekonomickej nerovnováhe, </w:t>
            </w:r>
            <w:r w:rsidRPr="005D125E">
              <w:rPr>
                <w:b/>
                <w:bCs/>
                <w:i/>
                <w:iCs/>
              </w:rPr>
              <w:t>ako aj výziev identifikovaných v správach o sociálnej konvergencii podľa rámca sociálnej konvergencie</w:t>
            </w:r>
            <w:r w:rsidRPr="005D125E">
              <w:t xml:space="preserve"> a prípadne upozornení zo strany Komisie alebo prípadne odporúčaní Rady prijatých podľa b</w:t>
            </w:r>
            <w:r w:rsidRPr="005D125E">
              <w:t xml:space="preserve">i121 ods. 4 ZFEÚ </w:t>
            </w:r>
            <w:r w:rsidRPr="005D125E">
              <w:rPr>
                <w:b/>
                <w:bCs/>
                <w:i/>
                <w:iCs/>
              </w:rPr>
              <w:t>a článku 148 ods. 4 ZFEÚ</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18</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12 – odsek 1 – písmeno b</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b)</w:t>
            </w:r>
            <w:r w:rsidRPr="005D125E">
              <w:tab/>
            </w:r>
            <w:r w:rsidRPr="005D125E">
              <w:t xml:space="preserve">vysvetľuje, ako sa ním zabezpečí realizácia investícií a reforiem reagujúcich na hlavné výzvy identifikované v rámci európskeho semestra, v odporúčaniach pre jednotlivé krajiny, prípadne ako sa ním budú naprávať zistené makroekonomické nerovnováhy v rámci </w:t>
            </w:r>
            <w:r w:rsidRPr="005D125E">
              <w:t xml:space="preserve">postupu pri makroekonomickej nerovnováhe a ako sa ním budú riešiť spoločné priority Únie uvedené v prílohe VI k tomuto nariadeniu vrátane Európskej zelenej dohody, </w:t>
            </w:r>
            <w:r w:rsidRPr="005D125E">
              <w:rPr>
                <w:b/>
                <w:bCs/>
                <w:i/>
                <w:iCs/>
              </w:rPr>
              <w:t xml:space="preserve">Európskeho </w:t>
            </w:r>
            <w:r w:rsidRPr="005D125E">
              <w:t xml:space="preserve">piliera </w:t>
            </w:r>
            <w:r w:rsidRPr="005D125E">
              <w:rPr>
                <w:b/>
                <w:bCs/>
                <w:i/>
                <w:iCs/>
              </w:rPr>
              <w:t>sociálnych práv</w:t>
            </w:r>
            <w:r w:rsidRPr="005D125E">
              <w:t xml:space="preserve"> a digitálneho desaťročia, pričom bude v súlade s aktualiz</w:t>
            </w:r>
            <w:r w:rsidRPr="005D125E">
              <w:t>ovanými národnými energetickými a klimatickými plánmi a národnými plánmi pre digitálne desaťročie;</w:t>
            </w:r>
          </w:p>
        </w:tc>
        <w:tc>
          <w:tcPr>
            <w:tcW w:w="4876" w:type="dxa"/>
            <w:hideMark/>
          </w:tcPr>
          <w:p w:rsidR="00AF0131" w:rsidRPr="005D125E" w:rsidRDefault="00617C3C" w:rsidP="00C33FBD">
            <w:pPr>
              <w:pStyle w:val="Normal6"/>
              <w:rPr>
                <w:szCs w:val="24"/>
              </w:rPr>
            </w:pPr>
            <w:r w:rsidRPr="005D125E">
              <w:t>b)</w:t>
            </w:r>
            <w:r w:rsidRPr="005D125E">
              <w:tab/>
            </w:r>
            <w:r w:rsidRPr="005D125E">
              <w:rPr>
                <w:b/>
                <w:i/>
              </w:rPr>
              <w:t>posúdiť nedostatky vnútroštátnych verejných investícií s cieľom dosiahnuť spoločné priority; na tomto základe sa stanoví, že plánovaná fiškálna úprava umo</w:t>
            </w:r>
            <w:r w:rsidRPr="005D125E">
              <w:rPr>
                <w:b/>
                <w:i/>
              </w:rPr>
              <w:t xml:space="preserve">žní potrebné sociálne investície na vykonávanie zásad Európskeho piliera sociálnych práv. </w:t>
            </w:r>
            <w:r w:rsidRPr="005D125E">
              <w:rPr>
                <w:b/>
                <w:bCs/>
                <w:i/>
                <w:iCs/>
              </w:rPr>
              <w:t>Okrem toho</w:t>
            </w:r>
            <w:r w:rsidRPr="005D125E">
              <w:t xml:space="preserve"> vysvetľuje, ako sa ním zabezpečí realizácia investícií a reforiem reagujúcich na hlavné výzvy identifikované v rámci európskeho semestra, v odporúčaniach p</w:t>
            </w:r>
            <w:r w:rsidRPr="005D125E">
              <w:t>re jednotlivé krajiny, prípadne ako sa ním budú naprávať prípadne zistené makroekonomické nerovnováhy v rámci postupu pri makroekonomickej nerovnováhe</w:t>
            </w:r>
            <w:r w:rsidRPr="005D125E">
              <w:rPr>
                <w:b/>
                <w:bCs/>
                <w:i/>
                <w:iCs/>
              </w:rPr>
              <w:t xml:space="preserve">, naprávať prípadné riziká sociálnej konvergencie identifikované v rámci sociálnej konvergencie </w:t>
            </w:r>
            <w:r w:rsidRPr="005D125E">
              <w:t xml:space="preserve"> a ako sa </w:t>
            </w:r>
            <w:r w:rsidRPr="005D125E">
              <w:t>ním budú riešiť spoločné priority Únie uvedené v prílohe VI tohto nariadenia vrátane Európskej zelenej dohody, Európskeho piliera sociálnych práv</w:t>
            </w:r>
            <w:r w:rsidRPr="005D125E">
              <w:rPr>
                <w:b/>
                <w:bCs/>
                <w:i/>
                <w:iCs/>
              </w:rPr>
              <w:t>, vrátane súvisiacich cieľov v oblasti zamestnanosti, vzdelávania a zníženia chudoby do roku 2030,</w:t>
            </w:r>
            <w:r w:rsidRPr="005D125E">
              <w:t xml:space="preserve"> a digitálneh</w:t>
            </w:r>
            <w:r w:rsidRPr="005D125E">
              <w:t>o desaťročia, pričom bude v súlade s aktualizovanými národnými energetickými a klimatickými plánmi a národnými plánmi pre digitálne desaťročie</w:t>
            </w:r>
            <w:r w:rsidRPr="005D125E">
              <w:rPr>
                <w:b/>
                <w:bCs/>
              </w:rPr>
              <w:t>.</w:t>
            </w:r>
            <w:r w:rsidRPr="005D125E">
              <w:rPr>
                <w:b/>
                <w:i/>
              </w:rPr>
              <w:t xml:space="preserve"> </w:t>
            </w:r>
            <w:r w:rsidRPr="005D125E">
              <w:rPr>
                <w:b/>
                <w:bCs/>
                <w:i/>
                <w:iCs/>
              </w:rPr>
              <w:t>Okrem toho sa v ňom vysvetľuje, ako prispieva k vykonávaniu všeobecných usmernení pre hospodársku politiku člens</w:t>
            </w:r>
            <w:r w:rsidRPr="005D125E">
              <w:rPr>
                <w:b/>
                <w:bCs/>
                <w:i/>
                <w:iCs/>
              </w:rPr>
              <w:t>kých štátov a usmernení pre politiky zamestnanosti v súlade s článkom 121 ods. 2 a článkom 148 ods. 2 ZFEÚ</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19</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12 – odsek 1 – písmeno d a (nové)</w:t>
      </w:r>
      <w:r w:rsidRPr="005D125E">
        <w:rPr>
          <w:rStyle w:val="HideTWBExt"/>
          <w:b w:val="0"/>
        </w:rPr>
        <w:t>&lt;/Arti</w:t>
      </w:r>
      <w:r w:rsidRPr="005D125E">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d a)</w:t>
            </w:r>
            <w:r w:rsidRPr="005D125E">
              <w:rPr>
                <w:b/>
                <w:i/>
              </w:rPr>
              <w:tab/>
              <w:t xml:space="preserve">vysvetľuje konzultačný proces, ktorý vedú miestne a regionálne orgány, sociálni partneri, organizácie občianskej spoločnosti a iné príslušné zainteresované strany v súlade s vnútroštátnym právnym </w:t>
            </w:r>
            <w:r w:rsidRPr="005D125E">
              <w:rPr>
                <w:b/>
                <w:i/>
              </w:rPr>
              <w:t>rámcom, ako aj spôsob, akým sa príspevky zainteresovaných strán odrážajú v pláne a v procese vykonávania; ako aj</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20</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 xml:space="preserve">Článok 13 – odsek 2 – pododsek 2 – </w:t>
      </w:r>
      <w:r w:rsidRPr="005D125E">
        <w:t>písmeno iv</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iv)</w:t>
            </w:r>
            <w:r w:rsidRPr="005D125E">
              <w:tab/>
              <w:t>rieši príslušné odporúčania pre jednotlivé krajiny adresované dotknutému členskému štátu vrátane prípadných odporúčaní prijatých v rámci postupu pri makroekonomickej nerovnováhe;</w:t>
            </w:r>
          </w:p>
        </w:tc>
        <w:tc>
          <w:tcPr>
            <w:tcW w:w="4876" w:type="dxa"/>
            <w:hideMark/>
          </w:tcPr>
          <w:p w:rsidR="00AF0131" w:rsidRPr="005D125E" w:rsidRDefault="00617C3C" w:rsidP="00C33FBD">
            <w:pPr>
              <w:pStyle w:val="Normal6"/>
              <w:rPr>
                <w:szCs w:val="24"/>
              </w:rPr>
            </w:pPr>
            <w:r w:rsidRPr="005D125E">
              <w:t>iv)</w:t>
            </w:r>
            <w:r w:rsidRPr="005D125E">
              <w:tab/>
              <w:t>ri</w:t>
            </w:r>
            <w:r w:rsidRPr="005D125E">
              <w:t xml:space="preserve">eši príslušné odporúčania pre jednotlivé krajiny adresované dotknutému členskému štátu </w:t>
            </w:r>
            <w:r w:rsidRPr="005D125E">
              <w:rPr>
                <w:b/>
                <w:bCs/>
                <w:i/>
                <w:iCs/>
              </w:rPr>
              <w:t>podľa článku 121 ods. 4 a článku 148 ods. 4 ZFEÚ</w:t>
            </w:r>
            <w:r w:rsidRPr="005D125E">
              <w:t xml:space="preserve"> vrátane prípadných odporúčaní prijatých v rámci postupu pri makroekonomickej nerovnováhe</w:t>
            </w:r>
            <w:r w:rsidRPr="005D125E">
              <w:rPr>
                <w:b/>
                <w:bCs/>
                <w:i/>
                <w:iCs/>
              </w:rPr>
              <w:t>, ako aj podľa rámca sociálnej k</w:t>
            </w:r>
            <w:r w:rsidRPr="005D125E">
              <w:rPr>
                <w:b/>
                <w:bCs/>
                <w:i/>
                <w:iCs/>
              </w:rPr>
              <w:t>onvergencie</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21</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16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 xml:space="preserve">Rada na základe odporúčania Komisie prijme odporúčanie, v ktorom </w:t>
            </w:r>
            <w:r w:rsidRPr="005D125E">
              <w:t>stanoví trajektóriu vývoja čistých výdavkov dotknutého členského štátu a v prípade potreby schváli súbor reformných a investičných záväzkov, ktoré tvoria základ pre predĺženie obdobia úprav zahrnutého v jeho národnom strednodobom fiškálno-štrukturálnom plá</w:t>
            </w:r>
            <w:r w:rsidRPr="005D125E">
              <w:t>ne, spravidla</w:t>
            </w:r>
            <w:r w:rsidRPr="005D125E">
              <w:rPr>
                <w:b/>
                <w:bCs/>
                <w:i/>
                <w:iCs/>
              </w:rPr>
              <w:t xml:space="preserve"> do štyroch týždňov od</w:t>
            </w:r>
            <w:r w:rsidRPr="005D125E">
              <w:t xml:space="preserve"> prijatia odporúčania Komisiou.</w:t>
            </w:r>
          </w:p>
        </w:tc>
        <w:tc>
          <w:tcPr>
            <w:tcW w:w="4876" w:type="dxa"/>
            <w:hideMark/>
          </w:tcPr>
          <w:p w:rsidR="00AF0131" w:rsidRPr="005D125E" w:rsidRDefault="00617C3C" w:rsidP="00C33FBD">
            <w:pPr>
              <w:pStyle w:val="Normal6"/>
              <w:rPr>
                <w:szCs w:val="24"/>
              </w:rPr>
            </w:pPr>
            <w:r w:rsidRPr="005D125E">
              <w:t xml:space="preserve">Rada na základe odporúčania Komisie </w:t>
            </w:r>
            <w:r w:rsidRPr="005D125E">
              <w:rPr>
                <w:b/>
                <w:bCs/>
                <w:i/>
                <w:iCs/>
              </w:rPr>
              <w:t>a po konzultácii s príslušnými poradnými výbormi uvedenými v článku 26</w:t>
            </w:r>
            <w:r w:rsidRPr="005D125E">
              <w:t xml:space="preserve"> prijme odporúčanie, v ktorom stanoví trajektóriu vývoja čistých výdavkov dotknutého členského štátu a v prípade potreby schváli súbor reformných a investičných záväzkov, ktoré tvoria základ pre predĺženie obdobia úprav zahrnutého v jeho národnom strednodo</w:t>
            </w:r>
            <w:r w:rsidRPr="005D125E">
              <w:t xml:space="preserve">bom fiškálno-štrukturálnom pláne, spravidla </w:t>
            </w:r>
            <w:r w:rsidRPr="005D125E">
              <w:rPr>
                <w:b/>
                <w:bCs/>
                <w:i/>
                <w:iCs/>
              </w:rPr>
              <w:t>od šiestich do desiatich</w:t>
            </w:r>
            <w:r w:rsidRPr="005D125E">
              <w:t xml:space="preserve"> týždňov </w:t>
            </w:r>
            <w:r w:rsidRPr="005D125E">
              <w:rPr>
                <w:b/>
                <w:bCs/>
                <w:i/>
                <w:iCs/>
              </w:rPr>
              <w:t>od</w:t>
            </w:r>
            <w:r w:rsidRPr="005D125E">
              <w:t xml:space="preserve"> prijatia odporúčania Komisiou.</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22</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17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w:t>
            </w:r>
            <w:r w:rsidRPr="005D125E">
              <w:t>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Ak sa Rada domnieva, že plán nespĺňa požiadavky stanovené v článku 15 ods. 2 a ods. 3 písm. a), na odporúčanie Komisie odporučí, aby dotknutý členský štát predložil revidovaný národný strednodobý fiškálno-štrukturálny plán.</w:t>
            </w:r>
          </w:p>
        </w:tc>
        <w:tc>
          <w:tcPr>
            <w:tcW w:w="4876" w:type="dxa"/>
            <w:hideMark/>
          </w:tcPr>
          <w:p w:rsidR="00AF0131" w:rsidRPr="005D125E" w:rsidRDefault="00617C3C" w:rsidP="00C33FBD">
            <w:pPr>
              <w:pStyle w:val="Normal6"/>
              <w:rPr>
                <w:szCs w:val="24"/>
              </w:rPr>
            </w:pPr>
            <w:r w:rsidRPr="005D125E">
              <w:t xml:space="preserve">Ak sa Rada domnieva, že plán nespĺňa požiadavky stanovené v článku 15 ods. 2 a ods. 3 písm. a) </w:t>
            </w:r>
            <w:r w:rsidRPr="005D125E">
              <w:rPr>
                <w:b/>
                <w:bCs/>
                <w:i/>
                <w:iCs/>
              </w:rPr>
              <w:t>a b)</w:t>
            </w:r>
            <w:r w:rsidRPr="005D125E">
              <w:t xml:space="preserve">, na odporúčanie Komisie </w:t>
            </w:r>
            <w:r w:rsidRPr="005D125E">
              <w:rPr>
                <w:b/>
                <w:bCs/>
                <w:i/>
                <w:iCs/>
              </w:rPr>
              <w:t>a po konzultácii s príslušnými poradnými výbormi identifikovanými v súlade s článkom 26</w:t>
            </w:r>
            <w:r w:rsidRPr="005D125E">
              <w:t xml:space="preserve"> odporučí, aby dotknutý členský štát predlož</w:t>
            </w:r>
            <w:r w:rsidRPr="005D125E">
              <w:t>il revidovaný národný strednodobý fiškálno-štrukturálny plán.</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23</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20 – odsek 2</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2.</w:t>
            </w:r>
            <w:r w:rsidRPr="005D125E">
              <w:tab/>
              <w:t xml:space="preserve">Výročná </w:t>
            </w:r>
            <w:r w:rsidRPr="005D125E">
              <w:t>správa o pokroku uvedená v odseku 1 obsahuje najmä informácie o pokroku pri realizácii trajektórie vývoja čistých výdavkov, uskutočňovaní všeobecných reformných a investičných záväzkov v kontexte európskeho semestra a prípadne pri uskutočňovaní súboru refo</w:t>
            </w:r>
            <w:r w:rsidRPr="005D125E">
              <w:t>rmných a investičných záväzkov, ktoré tvoria základ pre predĺženie obdobia úprav.</w:t>
            </w:r>
          </w:p>
        </w:tc>
        <w:tc>
          <w:tcPr>
            <w:tcW w:w="4876" w:type="dxa"/>
            <w:hideMark/>
          </w:tcPr>
          <w:p w:rsidR="00AF0131" w:rsidRPr="005D125E" w:rsidRDefault="00617C3C" w:rsidP="00C33FBD">
            <w:pPr>
              <w:pStyle w:val="Normal6"/>
              <w:rPr>
                <w:szCs w:val="24"/>
              </w:rPr>
            </w:pPr>
            <w:r w:rsidRPr="005D125E">
              <w:t>2.</w:t>
            </w:r>
            <w:r w:rsidRPr="005D125E">
              <w:tab/>
              <w:t>Výročná správa o pokroku uvedená v odseku 1 obsahuje najmä informácie o pokroku pri realizácii trajektórie vývoja čistých výdavkov, uskutočňovaní všeobecných reformných a </w:t>
            </w:r>
            <w:r w:rsidRPr="005D125E">
              <w:t xml:space="preserve">investičných záväzkov v kontexte európskeho semestra </w:t>
            </w:r>
            <w:r w:rsidRPr="005D125E">
              <w:rPr>
                <w:b/>
                <w:bCs/>
                <w:i/>
                <w:iCs/>
              </w:rPr>
              <w:t>vrátane pokroku pri dosahovaní cieľov Únie a členských štátov v oblasti zamestnanosti, odbornej prípravy a zníženia chudoby do roku 2030, ako aj spoločných priorít Únie uvedených v prílohe VI,</w:t>
            </w:r>
            <w:r w:rsidRPr="005D125E">
              <w:t xml:space="preserve"> a prípadne</w:t>
            </w:r>
            <w:r w:rsidRPr="005D125E">
              <w:t xml:space="preserve"> pri uskutočňovaní súboru reformných a investičných záväzkov, ktoré tvoria základ pre predĺženie obdobia úprav.</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24</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22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 xml:space="preserve">Text </w:t>
            </w:r>
            <w:r w:rsidRPr="005D125E">
              <w:t>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Každá národná nezávislá fiškálna inštitúcia uvedená v článku 8 smernice Rady [...]</w:t>
            </w:r>
            <w:r w:rsidRPr="005D125E">
              <w:rPr>
                <w:vertAlign w:val="superscript"/>
              </w:rPr>
              <w:t>32</w:t>
            </w:r>
            <w:r w:rsidRPr="005D125E">
              <w:t xml:space="preserve"> [o vnútroštátnych rozpočtových rámcoch] poskytuje posúdenie súladu údajov o výsledkoch rozpočtového hospodárenia uvedených v správe </w:t>
            </w:r>
            <w:r w:rsidRPr="005D125E">
              <w:t>o pokroku uvedenej v článku 20 s trajektóriou vývoja čistých výdavkov. Každá národná nezávislá fiškálna inštitúcia v prípade potreby analyzuje aj faktory, ktoré podmieňujú odchýlky od trajektórie vývoja čistých výdavkov.</w:t>
            </w:r>
          </w:p>
        </w:tc>
        <w:tc>
          <w:tcPr>
            <w:tcW w:w="4876" w:type="dxa"/>
            <w:hideMark/>
          </w:tcPr>
          <w:p w:rsidR="00AF0131" w:rsidRPr="005D125E" w:rsidRDefault="00617C3C" w:rsidP="00C33FBD">
            <w:pPr>
              <w:pStyle w:val="Normal6"/>
              <w:rPr>
                <w:szCs w:val="24"/>
              </w:rPr>
            </w:pPr>
            <w:r w:rsidRPr="005D125E">
              <w:t>Každá národná nezávislá fiškálna in</w:t>
            </w:r>
            <w:r w:rsidRPr="005D125E">
              <w:t>štitúcia uvedená v článku 8 smernice Rady [...]</w:t>
            </w:r>
            <w:r w:rsidRPr="005D125E">
              <w:rPr>
                <w:vertAlign w:val="superscript"/>
              </w:rPr>
              <w:t>32</w:t>
            </w:r>
            <w:r w:rsidRPr="005D125E">
              <w:t xml:space="preserve"> [o vnútroštátnych rozpočtových rámcoch]: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a)</w:t>
            </w:r>
            <w:r w:rsidRPr="005D125E">
              <w:t xml:space="preserve"> </w:t>
            </w:r>
            <w:r w:rsidRPr="005D125E">
              <w:tab/>
              <w:t>poskytuje posúdenie súladu údajov o výsledkoch rozpočtového hospodárenia uvedených v správe o pokroku uvedenej v článku 20 tohto nariadenia s trajektóriou vývo</w:t>
            </w:r>
            <w:r w:rsidRPr="005D125E">
              <w:t>ja čistých výdavkov</w:t>
            </w:r>
            <w:r w:rsidRPr="005D125E">
              <w:rPr>
                <w:b/>
                <w:bCs/>
                <w:i/>
                <w:iCs/>
              </w:rPr>
              <w:t>;</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b)</w:t>
            </w:r>
            <w:r w:rsidRPr="005D125E">
              <w:t xml:space="preserve"> </w:t>
            </w:r>
            <w:r w:rsidRPr="005D125E">
              <w:tab/>
              <w:t>v prípade potreby analyzuje aj faktory, ktoré podmieňujú odchýlky od trajektórie vývoja čistých výdavkov</w:t>
            </w:r>
            <w:r w:rsidRPr="005D125E">
              <w:rPr>
                <w:b/>
                <w:bCs/>
                <w:i/>
                <w:iCs/>
              </w:rPr>
              <w:t>;</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 xml:space="preserve">c) </w:t>
            </w:r>
            <w:r w:rsidRPr="005D125E">
              <w:tab/>
            </w:r>
            <w:r w:rsidRPr="005D125E">
              <w:rPr>
                <w:b/>
                <w:bCs/>
                <w:i/>
                <w:iCs/>
              </w:rPr>
              <w:t>poskytuje posúdenie sociálnych vplyvov rozhodnutí politiky fiškálnych úprav.</w:t>
            </w:r>
          </w:p>
        </w:tc>
      </w:tr>
      <w:tr w:rsidR="00DF6B66" w:rsidRPr="005D125E" w:rsidTr="00C33FBD">
        <w:trPr>
          <w:jc w:val="center"/>
        </w:trPr>
        <w:tc>
          <w:tcPr>
            <w:tcW w:w="4876" w:type="dxa"/>
            <w:hideMark/>
          </w:tcPr>
          <w:p w:rsidR="00AF0131" w:rsidRPr="005D125E" w:rsidRDefault="00617C3C" w:rsidP="00C33FBD">
            <w:pPr>
              <w:pStyle w:val="Normal6"/>
            </w:pPr>
            <w:r w:rsidRPr="005D125E">
              <w:t>__________________</w:t>
            </w:r>
          </w:p>
        </w:tc>
        <w:tc>
          <w:tcPr>
            <w:tcW w:w="4876" w:type="dxa"/>
            <w:hideMark/>
          </w:tcPr>
          <w:p w:rsidR="00AF0131" w:rsidRPr="005D125E" w:rsidRDefault="00617C3C" w:rsidP="00C33FBD">
            <w:pPr>
              <w:pStyle w:val="Normal6"/>
              <w:rPr>
                <w:szCs w:val="24"/>
              </w:rPr>
            </w:pPr>
            <w:r w:rsidRPr="005D125E">
              <w:t>__________________</w:t>
            </w:r>
          </w:p>
        </w:tc>
      </w:tr>
      <w:tr w:rsidR="00DF6B66" w:rsidRPr="005D125E" w:rsidTr="00C33FBD">
        <w:trPr>
          <w:jc w:val="center"/>
        </w:trPr>
        <w:tc>
          <w:tcPr>
            <w:tcW w:w="4876" w:type="dxa"/>
            <w:hideMark/>
          </w:tcPr>
          <w:p w:rsidR="00AF0131" w:rsidRPr="005D125E" w:rsidRDefault="00617C3C" w:rsidP="00C33FBD">
            <w:pPr>
              <w:pStyle w:val="Normal6"/>
            </w:pPr>
            <w:r w:rsidRPr="005D125E">
              <w:rPr>
                <w:vertAlign w:val="superscript"/>
              </w:rPr>
              <w:t>32</w:t>
            </w:r>
            <w:r w:rsidRPr="005D125E">
              <w:t xml:space="preserve"> Smernica Rady [...] z [...] [ktorou sa mení smernica Rady 2011/85/EÚ o požiadavkách na rozpočtové rámce členských štátov] (Ú. v. EÚ ..., ..., s…).</w:t>
            </w:r>
          </w:p>
        </w:tc>
        <w:tc>
          <w:tcPr>
            <w:tcW w:w="4876" w:type="dxa"/>
            <w:hideMark/>
          </w:tcPr>
          <w:p w:rsidR="00AF0131" w:rsidRPr="005D125E" w:rsidRDefault="00617C3C" w:rsidP="00C33FBD">
            <w:pPr>
              <w:pStyle w:val="Normal6"/>
              <w:rPr>
                <w:szCs w:val="24"/>
              </w:rPr>
            </w:pPr>
            <w:r w:rsidRPr="005D125E">
              <w:rPr>
                <w:vertAlign w:val="superscript"/>
              </w:rPr>
              <w:t>32</w:t>
            </w:r>
            <w:r w:rsidRPr="005D125E">
              <w:t xml:space="preserve"> Smernica Rady [...] z [...] [ktorou sa mení smernica Rady 2011/85/EÚ o požiadavkách na rozpočtové rámce</w:t>
            </w:r>
            <w:r w:rsidRPr="005D125E">
              <w:t xml:space="preserve"> členských štátov] (Ú. v. EÚ ..., ..., s…).</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25</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26 – odsek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 xml:space="preserve">Európsky parlament musí byť </w:t>
            </w:r>
            <w:r w:rsidRPr="005D125E">
              <w:t>náležite zapojený do európskeho semestra s cieľom zvýšiť transparentnosť a zodpovednosť za prijímané rozhodnutia a vzťah k nim, najmä prostredníctvom hospodárskeho dialógu. V prípade potreby sa v rámci európskeho semestra konzultuje s Hospodárskym a finanč</w:t>
            </w:r>
            <w:r w:rsidRPr="005D125E">
              <w:t>ným výborom, Výborom pre hospodársku politiku, Výborom pre zamestnanosť a Výborom pre sociálnu ochranu. V prípade potreby sú v súlade s ustanoveniami ZFEÚ a národnými právnymi a politickými opatreniami v rámci európskeho semestra zapojené v súvislosti s hl</w:t>
            </w:r>
            <w:r w:rsidRPr="005D125E">
              <w:t>avnými otázkami v príslušných oblastiach politiky relevantné zainteresované strany, najmä sociálni partneri.</w:t>
            </w:r>
          </w:p>
        </w:tc>
        <w:tc>
          <w:tcPr>
            <w:tcW w:w="4876" w:type="dxa"/>
            <w:hideMark/>
          </w:tcPr>
          <w:p w:rsidR="00AF0131" w:rsidRPr="005D125E" w:rsidRDefault="00617C3C" w:rsidP="00C33FBD">
            <w:pPr>
              <w:pStyle w:val="Normal6"/>
              <w:rPr>
                <w:szCs w:val="24"/>
              </w:rPr>
            </w:pPr>
            <w:r w:rsidRPr="005D125E">
              <w:t>Európsky parlament musí byť náležite zapojený do európskeho semestra s cieľom zvýšiť transparentnosť a zodpovednosť za prijímané rozhodnutia a vzťa</w:t>
            </w:r>
            <w:r w:rsidRPr="005D125E">
              <w:t xml:space="preserve">h k nim, najmä prostredníctvom hospodárskeho dialógu </w:t>
            </w:r>
            <w:r w:rsidRPr="005D125E">
              <w:rPr>
                <w:b/>
                <w:bCs/>
                <w:i/>
                <w:iCs/>
              </w:rPr>
              <w:t xml:space="preserve">a </w:t>
            </w:r>
            <w:r w:rsidRPr="005D125E">
              <w:t xml:space="preserve">dialógu </w:t>
            </w:r>
            <w:r w:rsidRPr="005D125E">
              <w:rPr>
                <w:b/>
                <w:bCs/>
                <w:i/>
                <w:iCs/>
              </w:rPr>
              <w:t>o zamestnanosti, ako aj za určovanie priorít makroekonomickej a sociálnej politiky</w:t>
            </w:r>
            <w:r w:rsidRPr="005D125E">
              <w:t>. V prípade potreby sa v rámci európskeho semestra konzultuje s Hospodárskym a finančným výborom, Výborom pre h</w:t>
            </w:r>
            <w:r w:rsidRPr="005D125E">
              <w:t xml:space="preserve">ospodársku politiku, Výborom pre zamestnanosť a Výborom pre sociálnu ochranu. </w:t>
            </w:r>
            <w:r w:rsidRPr="005D125E">
              <w:rPr>
                <w:b/>
                <w:bCs/>
                <w:i/>
                <w:iCs/>
              </w:rPr>
              <w:t>V rámci európskeho semestra sa v prípade potreby konzultuje aj s Európskym hospodárskym a sociálnym výborom a s Výborom regiónov.</w:t>
            </w:r>
            <w:r w:rsidRPr="005D125E">
              <w:t xml:space="preserve"> V prípade potreby sú v súlade s ustanoveniami ZF</w:t>
            </w:r>
            <w:r w:rsidRPr="005D125E">
              <w:t xml:space="preserve">EÚ a národnými právnymi a politickými opatreniami v rámci európskeho semestra zapojené v súvislosti s hlavnými otázkami v príslušných oblastiach politiky relevantné zainteresované strany, najmä sociálni partneri </w:t>
            </w:r>
            <w:r w:rsidRPr="005D125E">
              <w:rPr>
                <w:b/>
                <w:bCs/>
                <w:i/>
                <w:iCs/>
              </w:rPr>
              <w:t>a organizácie občianskej spoločnosti</w:t>
            </w:r>
            <w:r w:rsidRPr="005D125E">
              <w:t>.</w:t>
            </w:r>
          </w:p>
        </w:tc>
      </w:tr>
    </w:tbl>
    <w:p w:rsidR="00AF0131" w:rsidRPr="005D125E" w:rsidRDefault="00617C3C" w:rsidP="00C56375">
      <w:pPr>
        <w:rPr>
          <w:rFonts w:eastAsiaTheme="majorEastAsia"/>
        </w:rPr>
      </w:pPr>
      <w:r w:rsidRPr="005D125E">
        <w:rPr>
          <w:rStyle w:val="HideTWBExt"/>
        </w:rPr>
        <w:t>&lt;/Ame</w:t>
      </w:r>
      <w:r w:rsidRPr="005D125E">
        <w:rPr>
          <w:rStyle w:val="HideTWBExt"/>
        </w:rPr>
        <w:t>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26</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26 – odsek 2</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 xml:space="preserve">V záujme posilnenia dialógu medzi inštitúciami Únie, najmä medzi Európskym </w:t>
            </w:r>
            <w:r w:rsidRPr="005D125E">
              <w:t>parlamentom, Radou a Komisiou, ako aj v záujme zabezpečenia transparentnosti a zodpovednosti môže Európsky parlament vyzvať predsedu Rady, Komisiu a prípadne predsedu Európskej rady alebo predsedu Euroskupiny, aby vystúpili v Parlamente a diskutovali o usm</w:t>
            </w:r>
            <w:r w:rsidRPr="005D125E">
              <w:t>erneniach pre členské štáty, ktoré v príslušných oblastiach politiky vydala Komisia, záveroch Európskej rady a o výsledkoch mnohostranného dohľadu vykonávaného na základe tohto nariadenia.</w:t>
            </w:r>
          </w:p>
        </w:tc>
        <w:tc>
          <w:tcPr>
            <w:tcW w:w="4876" w:type="dxa"/>
            <w:hideMark/>
          </w:tcPr>
          <w:p w:rsidR="00AF0131" w:rsidRPr="005D125E" w:rsidRDefault="00617C3C" w:rsidP="00C33FBD">
            <w:pPr>
              <w:pStyle w:val="Normal6"/>
              <w:rPr>
                <w:szCs w:val="24"/>
              </w:rPr>
            </w:pPr>
            <w:r w:rsidRPr="005D125E">
              <w:t>V záujme posilnenia dialógu medzi inštitúciami Únie, najmä medzi Eu</w:t>
            </w:r>
            <w:r w:rsidRPr="005D125E">
              <w:t>rópskym parlamentom, Radou a Komisiou, ako aj v záujme zabezpečenia transparentnosti a zodpovednosti môže Európsky parlament vyzvať predsedu Rady, Komisiu a prípadne predsedu Európskej rady alebo predsedu Euroskupiny, aby vystúpili v Parlamente a diskutova</w:t>
            </w:r>
            <w:r w:rsidRPr="005D125E">
              <w:t xml:space="preserve">li o usmerneniach pre členské štáty, ktoré v príslušných oblastiach politiky vydala Komisia, záveroch Európskej rady a o výsledkoch mnohostranného dohľadu vykonávaného na základe tohto nariadenia </w:t>
            </w:r>
            <w:r w:rsidRPr="005D125E">
              <w:rPr>
                <w:b/>
                <w:bCs/>
                <w:i/>
                <w:iCs/>
              </w:rPr>
              <w:t xml:space="preserve">vrátane systémov včasného varovania zriadených podľa článku </w:t>
            </w:r>
            <w:r w:rsidRPr="005D125E">
              <w:rPr>
                <w:b/>
                <w:bCs/>
                <w:i/>
                <w:iCs/>
              </w:rPr>
              <w:t>121 ods. 4 a článku 148 ZFEÚ</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27</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Článok 26 – odsek 3 a (nový)</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Príslušné výbory Európskeho parlamentu</w:t>
            </w:r>
            <w:r w:rsidRPr="005D125E">
              <w:rPr>
                <w:b/>
                <w:i/>
              </w:rPr>
              <w:t xml:space="preserve"> môžu vyzvať Komisiu, aby prerokovala tieto záležitosti:</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a)</w:t>
            </w:r>
            <w:r w:rsidRPr="005D125E">
              <w:rPr>
                <w:b/>
                <w:i/>
              </w:rPr>
              <w:tab/>
              <w:t>posúdenie strednodobej prognózy verejného dlhu zo strany Komisie na základe národných strednodobých fiškálno-štrukturálnych plánov, ako aj analýzu udržateľnosti dlhu;</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b)</w:t>
            </w:r>
            <w:r w:rsidRPr="005D125E">
              <w:rPr>
                <w:b/>
                <w:i/>
              </w:rPr>
              <w:tab/>
              <w:t xml:space="preserve"> posúdenie informácií,</w:t>
            </w:r>
            <w:r w:rsidRPr="005D125E">
              <w:rPr>
                <w:b/>
                <w:i/>
              </w:rPr>
              <w:t xml:space="preserve"> ktoré členské štáty poskytujú vo výročných správach o pokroku;</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c)</w:t>
            </w:r>
            <w:r w:rsidRPr="005D125E">
              <w:rPr>
                <w:b/>
                <w:i/>
              </w:rPr>
              <w:tab/>
              <w:t>posúdenie súboru reformných a investičných záväzkov, ktoré tvoria základ pre predĺženie obdobia úprav;</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d) hodnotenie odporúčaní pre jednotlivé krajiny, rizík sociálnej konvergencie a po</w:t>
            </w:r>
            <w:r w:rsidRPr="005D125E">
              <w:rPr>
                <w:b/>
                <w:i/>
              </w:rPr>
              <w:t>kroku pri vykonávaní zásad Európskeho piliera sociálnych práv.</w:t>
            </w:r>
          </w:p>
        </w:tc>
      </w:tr>
    </w:tbl>
    <w:p w:rsidR="00AF0131" w:rsidRPr="005D125E" w:rsidRDefault="00617C3C" w:rsidP="00C56375">
      <w:pPr>
        <w:rPr>
          <w:rStyle w:val="HideTWBExt"/>
          <w:rFonts w:eastAsiaTheme="majorEastAsia"/>
          <w:b/>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28</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d</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d)</w:t>
            </w:r>
            <w:r w:rsidRPr="005D125E">
              <w:tab/>
              <w:t xml:space="preserve">Informácie o implicitných </w:t>
            </w:r>
            <w:r w:rsidRPr="005D125E">
              <w:rPr>
                <w:b/>
                <w:bCs/>
                <w:i/>
                <w:iCs/>
              </w:rPr>
              <w:t>záväzkoch súvisiacich so starnutím</w:t>
            </w:r>
            <w:r w:rsidRPr="005D125E">
              <w:t xml:space="preserve"> obyvateľstva a podmienených záväzkoch s prípadným veľkým vplyvom na štátne rozpočty vrátane štátnych záruk, nesplácaných úverov a záväzkov vyplývajúcich z činnosti verejných subjektov vrátane ich rozsahu, potenciálnych výdavkov a záväzkov vyplývajúcich zo</w:t>
            </w:r>
            <w:r w:rsidRPr="005D125E">
              <w:t xml:space="preserve"> súdnych prípadov a v rámci možností aj informácie o podmienených záväzkoch súvisiacich s katastrofami a klímou.</w:t>
            </w:r>
          </w:p>
        </w:tc>
        <w:tc>
          <w:tcPr>
            <w:tcW w:w="4876" w:type="dxa"/>
            <w:hideMark/>
          </w:tcPr>
          <w:p w:rsidR="00AF0131" w:rsidRPr="005D125E" w:rsidRDefault="00617C3C" w:rsidP="00C33FBD">
            <w:pPr>
              <w:pStyle w:val="Normal6"/>
              <w:rPr>
                <w:szCs w:val="24"/>
              </w:rPr>
            </w:pPr>
            <w:r w:rsidRPr="005D125E">
              <w:t>d)</w:t>
            </w:r>
            <w:r w:rsidRPr="005D125E">
              <w:tab/>
              <w:t>Informácie o implicitných a podmienených záväzkoch s prípadným veľkým vplyvom na štátne rozpočty vrátane štátnych záruk, nesplácaných úverov</w:t>
            </w:r>
            <w:r w:rsidRPr="005D125E">
              <w:t xml:space="preserve"> a záväzkov vyplývajúcich z činnosti verejných subjektov vrátane ich rozsahu, potenciálnych výdavkov a záväzkov vyplývajúcich zo súdnych prípadov a v rámci možností aj informácie o podmienených záväzkoch súvisiacich s katastrofami a klímou.</w:t>
            </w:r>
          </w:p>
        </w:tc>
      </w:tr>
    </w:tbl>
    <w:p w:rsidR="00AF0131" w:rsidRPr="005D125E" w:rsidRDefault="00617C3C" w:rsidP="00AF0131">
      <w:pPr>
        <w:pStyle w:val="AMNumberTabs0"/>
        <w:keepNext/>
      </w:pPr>
      <w:r w:rsidRPr="005D125E">
        <w:rPr>
          <w:rStyle w:val="HideTWBExt"/>
        </w:rPr>
        <w:t>&lt;/Amend&gt;</w:t>
      </w:r>
    </w:p>
    <w:p w:rsidR="00AF0131" w:rsidRPr="005D125E" w:rsidRDefault="00617C3C" w:rsidP="00AF0131">
      <w:pPr>
        <w:pStyle w:val="AmNumberTabs"/>
      </w:pPr>
      <w:r w:rsidRPr="005D125E">
        <w:rPr>
          <w:rStyle w:val="HideTWBExt"/>
          <w:b w:val="0"/>
        </w:rPr>
        <w:t>&lt;Amen</w:t>
      </w:r>
      <w:r w:rsidRPr="005D125E">
        <w:rPr>
          <w:rStyle w:val="HideTWBExt"/>
          <w:b w:val="0"/>
        </w:rPr>
        <w:t>d&gt;</w:t>
      </w:r>
      <w:r w:rsidRPr="005D125E">
        <w:t>Pozmeňujúci návrh</w:t>
      </w:r>
      <w:r w:rsidRPr="005D125E">
        <w:tab/>
      </w:r>
      <w:r w:rsidRPr="005D125E">
        <w:tab/>
      </w:r>
      <w:r w:rsidRPr="005D125E">
        <w:rPr>
          <w:rStyle w:val="HideTWBExt"/>
          <w:b w:val="0"/>
        </w:rPr>
        <w:t>&lt;NumAm&gt;</w:t>
      </w:r>
      <w:r w:rsidRPr="005D125E">
        <w:t>29</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f</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f)</w:t>
            </w:r>
            <w:r w:rsidRPr="005D125E">
              <w:tab/>
              <w:t>V prípade, že členský štát použije predpoklady uvedené v písmene e), ktoré sa</w:t>
            </w:r>
            <w:r w:rsidRPr="005D125E">
              <w:t xml:space="preserve"> líšia od predpokladov Komisie počas obdobia úprav národného strednodobého fiškálno-štrukturálneho plánu a nasledujúceho desaťročného obdobia, ak sa neprijmú ďalšie rozpočtové opatrenia, náležité vysvetlenia a odôvodnenia založené na spoľahlivých ekonomick</w:t>
            </w:r>
            <w:r w:rsidRPr="005D125E">
              <w:t>ých argumentoch týkajúcich sa týchto rozdielov.</w:t>
            </w:r>
          </w:p>
        </w:tc>
        <w:tc>
          <w:tcPr>
            <w:tcW w:w="4876" w:type="dxa"/>
            <w:hideMark/>
          </w:tcPr>
          <w:p w:rsidR="00AF0131" w:rsidRPr="005D125E" w:rsidRDefault="00617C3C" w:rsidP="00C33FBD">
            <w:pPr>
              <w:pStyle w:val="Normal6"/>
              <w:rPr>
                <w:szCs w:val="24"/>
              </w:rPr>
            </w:pPr>
            <w:r w:rsidRPr="005D125E">
              <w:t>f)</w:t>
            </w:r>
            <w:r w:rsidRPr="005D125E">
              <w:tab/>
              <w:t>V prípade, že členský štát použije predpoklady uvedené v písmene e), ktoré sa líšia od predpokladov Komisie počas obdobia úprav národného strednodobého fiškálno-štrukturálneho plánu a nasledujúceho desaťro</w:t>
            </w:r>
            <w:r w:rsidRPr="005D125E">
              <w:t xml:space="preserve">čného obdobia, ak sa neprijmú ďalšie rozpočtové opatrenia, náležité vysvetlenia a odôvodnenia založené na spoľahlivých ekonomických </w:t>
            </w:r>
            <w:r w:rsidRPr="005D125E">
              <w:rPr>
                <w:b/>
                <w:bCs/>
                <w:i/>
                <w:iCs/>
              </w:rPr>
              <w:t>a sociálnych</w:t>
            </w:r>
            <w:r w:rsidRPr="005D125E">
              <w:t xml:space="preserve"> argumentoch týkajúcich sa týchto rozdielov.</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30</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g</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g)</w:t>
            </w:r>
            <w:r w:rsidRPr="005D125E">
              <w:tab/>
              <w:t>Analýzu znázorňujúcu, aký vplyv by mali zmeny hlavných hospodárskych predpokladov na rozpočtovú a dlhovú pozíciu členského štát</w:t>
            </w:r>
            <w:r w:rsidRPr="005D125E">
              <w:t>u.</w:t>
            </w:r>
          </w:p>
        </w:tc>
        <w:tc>
          <w:tcPr>
            <w:tcW w:w="4876" w:type="dxa"/>
            <w:hideMark/>
          </w:tcPr>
          <w:p w:rsidR="00AF0131" w:rsidRPr="005D125E" w:rsidRDefault="00617C3C" w:rsidP="00C33FBD">
            <w:pPr>
              <w:pStyle w:val="Normal6"/>
              <w:rPr>
                <w:szCs w:val="24"/>
              </w:rPr>
            </w:pPr>
            <w:r w:rsidRPr="005D125E">
              <w:t>g)</w:t>
            </w:r>
            <w:r w:rsidRPr="005D125E">
              <w:tab/>
              <w:t xml:space="preserve">Analýzu znázorňujúcu, aký vplyv by mali zmeny hlavných hospodárskych </w:t>
            </w:r>
            <w:r w:rsidRPr="005D125E">
              <w:rPr>
                <w:b/>
                <w:bCs/>
                <w:i/>
                <w:iCs/>
              </w:rPr>
              <w:t>a sociálnych</w:t>
            </w:r>
            <w:r w:rsidRPr="005D125E">
              <w:t xml:space="preserve"> predpokladov na rozpočtovú a dlhovú pozíciu členského štátu</w:t>
            </w:r>
            <w:r w:rsidRPr="005D125E">
              <w:rPr>
                <w:b/>
                <w:bCs/>
                <w:i/>
                <w:iCs/>
              </w:rPr>
              <w:t>, ako aj na dosiahnutie národných cieľov spojených s hlavnými cieľmi Európskeho piliera sociálnych práv a ich</w:t>
            </w:r>
            <w:r w:rsidRPr="005D125E">
              <w:rPr>
                <w:b/>
                <w:bCs/>
                <w:i/>
                <w:iCs/>
              </w:rPr>
              <w:t xml:space="preserve"> hlavnými sekundárnymi ukazovateľmi a spoločnými prioritami Únie</w:t>
            </w:r>
            <w:r w:rsidRPr="005D125E">
              <w:t>.</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31</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h</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h)</w:t>
            </w:r>
            <w:r w:rsidRPr="005D125E">
              <w:tab/>
              <w:t>V prípade potreby riadne podložené dôvody (s relevantnými spoľahlivými a overiteľnými ekonomickými argumentmi) na odchýlenie sa od technickej trajektórie predloženej Komisiou.</w:t>
            </w:r>
          </w:p>
        </w:tc>
        <w:tc>
          <w:tcPr>
            <w:tcW w:w="4876" w:type="dxa"/>
            <w:hideMark/>
          </w:tcPr>
          <w:p w:rsidR="00AF0131" w:rsidRPr="005D125E" w:rsidRDefault="00617C3C" w:rsidP="00C33FBD">
            <w:pPr>
              <w:pStyle w:val="Normal6"/>
              <w:rPr>
                <w:szCs w:val="24"/>
              </w:rPr>
            </w:pPr>
            <w:r w:rsidRPr="005D125E">
              <w:t>h)</w:t>
            </w:r>
            <w:r w:rsidRPr="005D125E">
              <w:tab/>
              <w:t>V prípade potreby riadne podložené dôvody (s relevantnými spoľahlivými a </w:t>
            </w:r>
            <w:r w:rsidRPr="005D125E">
              <w:t xml:space="preserve">overiteľnými ekonomickými </w:t>
            </w:r>
            <w:r w:rsidRPr="005D125E">
              <w:rPr>
                <w:b/>
                <w:bCs/>
                <w:i/>
                <w:iCs/>
              </w:rPr>
              <w:t xml:space="preserve">a sociálnymi </w:t>
            </w:r>
            <w:r w:rsidRPr="005D125E">
              <w:t>argumentmi)  na odchýlenie sa od technickej trajektórie predloženej Komisiou.</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32</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j</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j)</w:t>
            </w:r>
            <w:r w:rsidRPr="005D125E">
              <w:tab/>
              <w:t>Celkové verejné investičné výdavky, ako aj výdavky na reformy a verejné investície zamerané na riešenie spoločných priorít Únie uvedených v prílohe VI.</w:t>
            </w:r>
          </w:p>
        </w:tc>
        <w:tc>
          <w:tcPr>
            <w:tcW w:w="4876" w:type="dxa"/>
            <w:hideMark/>
          </w:tcPr>
          <w:p w:rsidR="00AF0131" w:rsidRPr="005D125E" w:rsidRDefault="00617C3C" w:rsidP="00C33FBD">
            <w:pPr>
              <w:pStyle w:val="Normal6"/>
              <w:rPr>
                <w:szCs w:val="24"/>
              </w:rPr>
            </w:pPr>
            <w:r w:rsidRPr="005D125E">
              <w:t>j)</w:t>
            </w:r>
            <w:r w:rsidRPr="005D125E">
              <w:tab/>
              <w:t>Celkové verejné investičné výdavky, ako a</w:t>
            </w:r>
            <w:r w:rsidRPr="005D125E">
              <w:t>j výdavky na reformy a verejné investície zamerané na riešenie každej zo spoločných priorít Únie uvedených v prílohe VI.</w:t>
            </w:r>
          </w:p>
        </w:tc>
      </w:tr>
    </w:tbl>
    <w:p w:rsidR="00AF0131" w:rsidRPr="005D125E" w:rsidRDefault="00617C3C" w:rsidP="00C56375">
      <w:pPr>
        <w:rPr>
          <w:rFonts w:eastAsiaTheme="majorEastAsia"/>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33</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k</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k)</w:t>
            </w:r>
            <w:r w:rsidRPr="005D125E">
              <w:tab/>
              <w:t>V prípade potreby informácie o súbore konkrétnych, časovo ohraničených a overiteľných reformných a investičných záväzkov, ktoré tvoria základ pre predĺženie obdobia úprav podľa článku 13, harmonog</w:t>
            </w:r>
            <w:r w:rsidRPr="005D125E">
              <w:t>ram ich vykonávania, ako aj spoľahlivé ekonomické argumenty dokazujúce, že tento súbor reformných a investičných záväzkov spĺňa kritériá podľa článku 13, pričom sa zohľadňujú kritériá posudzovania uvedené v prílohe VII.</w:t>
            </w:r>
          </w:p>
        </w:tc>
        <w:tc>
          <w:tcPr>
            <w:tcW w:w="4876" w:type="dxa"/>
            <w:hideMark/>
          </w:tcPr>
          <w:p w:rsidR="00AF0131" w:rsidRPr="005D125E" w:rsidRDefault="00617C3C" w:rsidP="00C33FBD">
            <w:pPr>
              <w:pStyle w:val="Normal6"/>
              <w:rPr>
                <w:szCs w:val="24"/>
              </w:rPr>
            </w:pPr>
            <w:r w:rsidRPr="005D125E">
              <w:t>k)</w:t>
            </w:r>
            <w:r w:rsidRPr="005D125E">
              <w:tab/>
            </w:r>
            <w:r w:rsidRPr="005D125E">
              <w:t xml:space="preserve">V prípade potreby informácie o súbore konkrétnych, časovo ohraničených a overiteľných reformných a investičných záväzkov, ktoré tvoria základ pre predĺženie obdobia úprav podľa článku 13, harmonogram ich vykonávania, ako aj spoľahlivé ekonomické </w:t>
            </w:r>
            <w:r w:rsidRPr="005D125E">
              <w:rPr>
                <w:b/>
                <w:bCs/>
                <w:i/>
                <w:iCs/>
              </w:rPr>
              <w:t>a sociálne</w:t>
            </w:r>
            <w:r w:rsidRPr="005D125E">
              <w:t xml:space="preserve"> argumenty dokazujúce, že tento súbor reformných a investičných záväzkov spĺňa kritériá podľa článku 13, pričom sa zohľadňujú kritériá posudzovania uvedené v prílohe VII.</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34</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w:t>
      </w:r>
      <w:r w:rsidRPr="005D125E">
        <w:rPr>
          <w:rStyle w:val="HideTWBExt"/>
          <w:b w:val="0"/>
        </w:rPr>
        <w:t>cAmend&gt;</w:t>
      </w:r>
    </w:p>
    <w:p w:rsidR="00AF0131" w:rsidRPr="005D125E" w:rsidRDefault="00617C3C" w:rsidP="00AF0131">
      <w:pPr>
        <w:pStyle w:val="NormalBold"/>
      </w:pPr>
      <w:r w:rsidRPr="005D125E">
        <w:rPr>
          <w:rStyle w:val="HideTWBExt"/>
          <w:b w:val="0"/>
        </w:rPr>
        <w:t>&lt;Article&gt;</w:t>
      </w:r>
      <w:r w:rsidRPr="005D125E">
        <w:t>Príloha II – odsek 1 – písmeno l</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l)</w:t>
            </w:r>
            <w:r w:rsidRPr="005D125E">
              <w:tab/>
              <w:t xml:space="preserve">Čo najrozsiahlejšiu kvantifikáciu očakávaných vplyvov reforiem a investícií uvedených v písmene k) na fiškálnu udržateľnosť, rast a zamestnanosť, </w:t>
            </w:r>
            <w:r w:rsidRPr="005D125E">
              <w:t>v prípade potreby v súlade so spoločne dohodnutými metodikami.</w:t>
            </w:r>
          </w:p>
        </w:tc>
        <w:tc>
          <w:tcPr>
            <w:tcW w:w="4876" w:type="dxa"/>
            <w:hideMark/>
          </w:tcPr>
          <w:p w:rsidR="00AF0131" w:rsidRPr="005D125E" w:rsidRDefault="00617C3C" w:rsidP="00C33FBD">
            <w:pPr>
              <w:pStyle w:val="Normal6"/>
              <w:rPr>
                <w:szCs w:val="24"/>
              </w:rPr>
            </w:pPr>
            <w:r w:rsidRPr="005D125E">
              <w:t>l)</w:t>
            </w:r>
            <w:r w:rsidRPr="005D125E">
              <w:tab/>
              <w:t xml:space="preserve">Čo najrozsiahlejšiu kvantifikáciu očakávaných vplyvov reforiem a investícií uvedených v písmene k) na fiškálnu udržateľnosť, </w:t>
            </w:r>
            <w:r w:rsidRPr="005D125E">
              <w:rPr>
                <w:b/>
                <w:bCs/>
                <w:i/>
                <w:iCs/>
              </w:rPr>
              <w:t xml:space="preserve">udržateľný a inkluzívny </w:t>
            </w:r>
            <w:r w:rsidRPr="005D125E">
              <w:t>rast a </w:t>
            </w:r>
            <w:r w:rsidRPr="005D125E">
              <w:rPr>
                <w:b/>
                <w:bCs/>
                <w:i/>
                <w:iCs/>
              </w:rPr>
              <w:t>konkurencieschopnosť, kvalitnú</w:t>
            </w:r>
            <w:r w:rsidRPr="005D125E">
              <w:t xml:space="preserve"> zam</w:t>
            </w:r>
            <w:r w:rsidRPr="005D125E">
              <w:t>estnanosť</w:t>
            </w:r>
            <w:r w:rsidRPr="005D125E">
              <w:rPr>
                <w:b/>
                <w:bCs/>
                <w:i/>
                <w:iCs/>
              </w:rPr>
              <w:t>, ako aj vzostupnú sociálnu konvergenciu</w:t>
            </w:r>
            <w:r w:rsidRPr="005D125E">
              <w:t>, v príslušných prípadoch v súlade so spoločne dohodnutými metodikami.</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35</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n a</w:t>
      </w:r>
      <w:r w:rsidRPr="005D125E">
        <w:t xml:space="preserve"> (nové)</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na)</w:t>
            </w:r>
            <w:r w:rsidRPr="005D125E">
              <w:rPr>
                <w:b/>
                <w:i/>
              </w:rPr>
              <w:tab/>
              <w:t>Prípadné reformy a investície na nápravu zistených rizík sociálnej konvergencie podľa rámca sociálnej konvergencie.</w:t>
            </w:r>
          </w:p>
        </w:tc>
      </w:tr>
    </w:tbl>
    <w:p w:rsidR="00AF0131" w:rsidRPr="005D125E" w:rsidRDefault="00617C3C" w:rsidP="00C56375">
      <w:pPr>
        <w:rPr>
          <w:rFonts w:eastAsiaTheme="majorEastAsia"/>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36</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 xml:space="preserve">Návrh </w:t>
      </w:r>
      <w:r w:rsidRPr="005D125E">
        <w:t>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p</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p)</w:t>
            </w:r>
            <w:r w:rsidRPr="005D125E">
              <w:tab/>
              <w:t xml:space="preserve">V prípade členských štátov s nízkym verejným dlhom, ale s veľkými implicitnými záväzkami </w:t>
            </w:r>
            <w:r w:rsidRPr="005D125E">
              <w:rPr>
                <w:b/>
                <w:bCs/>
                <w:i/>
                <w:iCs/>
              </w:rPr>
              <w:t>v dôsledku starnutia obyvateľstva</w:t>
            </w:r>
            <w:r w:rsidRPr="005D125E">
              <w:t xml:space="preserve">, by sa </w:t>
            </w:r>
            <w:r w:rsidRPr="005D125E">
              <w:t>v trajektórii vnútroštátnych čistých výdavkov a reformách národných strednodobých fiškálno-štrukturálnych plánov mali náležite zohľadniť výzvy spojené s dlhodobou fiškálnou udržateľnosťou verejných financií.</w:t>
            </w:r>
          </w:p>
        </w:tc>
        <w:tc>
          <w:tcPr>
            <w:tcW w:w="4876" w:type="dxa"/>
            <w:hideMark/>
          </w:tcPr>
          <w:p w:rsidR="00AF0131" w:rsidRPr="005D125E" w:rsidRDefault="00617C3C" w:rsidP="00C33FBD">
            <w:pPr>
              <w:pStyle w:val="Normal6"/>
              <w:rPr>
                <w:szCs w:val="24"/>
              </w:rPr>
            </w:pPr>
            <w:r w:rsidRPr="005D125E">
              <w:t>p)</w:t>
            </w:r>
            <w:r w:rsidRPr="005D125E">
              <w:tab/>
              <w:t xml:space="preserve">V prípade členských štátov s nízkym verejným </w:t>
            </w:r>
            <w:r w:rsidRPr="005D125E">
              <w:t>dlhom, ale s veľkými implicitnými záväzkami, by sa v trajektórii vnútroštátnych čistých výdavkov a reformách národných strednodobých fiškálno-štrukturálnych plánov mali náležite zohľadniť výzvy spojené s dlhodobou fiškálnou udržateľnosťou verejných financi</w:t>
            </w:r>
            <w:r w:rsidRPr="005D125E">
              <w:t>í</w:t>
            </w:r>
            <w:r w:rsidRPr="005D125E">
              <w:rPr>
                <w:b/>
                <w:bCs/>
                <w:i/>
                <w:iCs/>
              </w:rPr>
              <w:t>, ako aj riziká sociálnej konvergencie preukázané v najnovšom monitorovaní</w:t>
            </w:r>
            <w:r w:rsidRPr="005D125E">
              <w:t>.</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37</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 – odsek 1 – písmeno q</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q)</w:t>
            </w:r>
            <w:r w:rsidRPr="005D125E">
              <w:tab/>
              <w:t>Informácie o konzultáciách so sociálnymi partnermi, organizáciami občianskej spoločnosti a inými príslušnými zainteresovanými stranami na účely prípravy plánu.</w:t>
            </w:r>
          </w:p>
        </w:tc>
        <w:tc>
          <w:tcPr>
            <w:tcW w:w="4876" w:type="dxa"/>
            <w:hideMark/>
          </w:tcPr>
          <w:p w:rsidR="00AF0131" w:rsidRPr="005D125E" w:rsidRDefault="00617C3C" w:rsidP="00C33FBD">
            <w:pPr>
              <w:pStyle w:val="Normal6"/>
              <w:rPr>
                <w:szCs w:val="24"/>
              </w:rPr>
            </w:pPr>
            <w:r w:rsidRPr="005D125E">
              <w:t>q)</w:t>
            </w:r>
            <w:r w:rsidRPr="005D125E">
              <w:tab/>
              <w:t>Informácie o </w:t>
            </w:r>
            <w:r w:rsidRPr="005D125E">
              <w:rPr>
                <w:b/>
                <w:bCs/>
                <w:i/>
                <w:iCs/>
              </w:rPr>
              <w:t>účinných</w:t>
            </w:r>
            <w:r w:rsidRPr="005D125E">
              <w:t xml:space="preserve"> konzultáciách so sociálnymi partnermi, organizáci</w:t>
            </w:r>
            <w:r w:rsidRPr="005D125E">
              <w:t>ami občianskej spoločnosti a inými príslušnými zainteresovanými stranami na účely prípravy plánu.</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38</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III – odsek 1 – písmeno b</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 xml:space="preserve">Text </w:t>
            </w:r>
            <w:r w:rsidRPr="005D125E">
              <w:t>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b)</w:t>
            </w:r>
            <w:r w:rsidRPr="005D125E">
              <w:tab/>
              <w:t>Porovnanie od začiatku národného strednodobého fiškálno-štrukturálneho plánu medzi prognózami hlavných ekonomických premenných predložených v uvedenom pláne a výslednými údajmi pre tieto premenné, ako aj dôsledky p</w:t>
            </w:r>
            <w:r w:rsidRPr="005D125E">
              <w:t>re dodržiavanie trajektórie vývoja čistých výdavkov stanovenej Radou a dôsledky na plánovanú trajektóriu vývoja pomeru verejného dlhu k HDP uvedenú v danom pláne.</w:t>
            </w:r>
          </w:p>
        </w:tc>
        <w:tc>
          <w:tcPr>
            <w:tcW w:w="4876" w:type="dxa"/>
            <w:hideMark/>
          </w:tcPr>
          <w:p w:rsidR="00AF0131" w:rsidRPr="005D125E" w:rsidRDefault="00617C3C" w:rsidP="00C33FBD">
            <w:pPr>
              <w:pStyle w:val="Normal6"/>
              <w:rPr>
                <w:szCs w:val="24"/>
              </w:rPr>
            </w:pPr>
            <w:r w:rsidRPr="005D125E">
              <w:t>b)</w:t>
            </w:r>
            <w:r w:rsidRPr="005D125E">
              <w:tab/>
              <w:t>Porovnanie od začiatku národného strednodobého fiškálno-štrukturálneho plánu medzi prognóz</w:t>
            </w:r>
            <w:r w:rsidRPr="005D125E">
              <w:t xml:space="preserve">ami hlavných ekonomických </w:t>
            </w:r>
            <w:r w:rsidRPr="005D125E">
              <w:rPr>
                <w:b/>
                <w:bCs/>
                <w:i/>
                <w:iCs/>
              </w:rPr>
              <w:t>a sociálnych</w:t>
            </w:r>
            <w:r w:rsidRPr="005D125E">
              <w:t xml:space="preserve"> premenných predložených v uvedenom pláne a výslednými údajmi pre tieto premenné, ako aj dôsledky pre dodržiavanie trajektórie vývoja čistých výdavkov stanovenej Radou a dôsledky na plánovanú trajektóriu vývoja pomeru </w:t>
            </w:r>
            <w:r w:rsidRPr="005D125E">
              <w:t>verejného dlhu k HDP uvedenú v danom pláne</w:t>
            </w:r>
            <w:r w:rsidRPr="005D125E">
              <w:rPr>
                <w:b/>
                <w:bCs/>
                <w:i/>
                <w:iCs/>
              </w:rPr>
              <w:t>, ako aj dosiahnutie národných cieľov spojených s hlavnými cieľmi Európskeho piliera sociálnych práv</w:t>
            </w:r>
            <w:r w:rsidRPr="005D125E">
              <w:t>.</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39</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 xml:space="preserve">Príloha </w:t>
      </w:r>
      <w:r w:rsidRPr="005D125E">
        <w:t>III – odsek 1 – písmeno h</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h)</w:t>
            </w:r>
            <w:r w:rsidRPr="005D125E">
              <w:tab/>
              <w:t>Hlavné predpoklady týkajúce sa očakávaného hospodárskeho vývoja a hlavných ekonomických premenných na nasledujúce roky obdobia úprav vrátane pomeru verejného dlhu k HDP.</w:t>
            </w:r>
          </w:p>
        </w:tc>
        <w:tc>
          <w:tcPr>
            <w:tcW w:w="4876" w:type="dxa"/>
            <w:hideMark/>
          </w:tcPr>
          <w:p w:rsidR="00AF0131" w:rsidRPr="005D125E" w:rsidRDefault="00617C3C" w:rsidP="00C33FBD">
            <w:pPr>
              <w:pStyle w:val="Normal6"/>
              <w:rPr>
                <w:szCs w:val="24"/>
              </w:rPr>
            </w:pPr>
            <w:r w:rsidRPr="005D125E">
              <w:t>h</w:t>
            </w:r>
            <w:r w:rsidRPr="005D125E">
              <w:t>)</w:t>
            </w:r>
            <w:r w:rsidRPr="005D125E">
              <w:tab/>
              <w:t xml:space="preserve">Hlavné predpoklady týkajúce sa očakávaného hospodárskeho </w:t>
            </w:r>
            <w:r w:rsidRPr="005D125E">
              <w:rPr>
                <w:b/>
                <w:bCs/>
                <w:i/>
                <w:iCs/>
              </w:rPr>
              <w:t>a sociálneho vývoja</w:t>
            </w:r>
            <w:r w:rsidRPr="005D125E">
              <w:t xml:space="preserve"> a hlavných ekonomických </w:t>
            </w:r>
            <w:r w:rsidRPr="005D125E">
              <w:rPr>
                <w:b/>
                <w:bCs/>
                <w:i/>
                <w:iCs/>
              </w:rPr>
              <w:t>a sociálnych</w:t>
            </w:r>
            <w:r w:rsidRPr="005D125E">
              <w:t xml:space="preserve"> premenných na nasledujúce roky obdobia úprav vrátane pomeru verejného dlhu k HDP.</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40</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III – odsek 1 – písmeno l</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l)</w:t>
            </w:r>
            <w:r w:rsidRPr="005D125E">
              <w:tab/>
              <w:t>V prípade potreby analýzu vývoja makroekonomických nerovnováh zistených v rámci postupu pri makroekonomickej nerovno</w:t>
            </w:r>
            <w:r w:rsidRPr="005D125E">
              <w:t xml:space="preserve">váhe a vplyvu vykonávania príslušných reforiem a investícií, ktoré boli oznámené v národnom strednodobom fiškálno-štrukturálnom pláne v súlade s prílohou II </w:t>
            </w:r>
            <w:r w:rsidRPr="005D125E">
              <w:rPr>
                <w:b/>
                <w:bCs/>
                <w:i/>
                <w:iCs/>
              </w:rPr>
              <w:t>písm.</w:t>
            </w:r>
            <w:r w:rsidRPr="005D125E">
              <w:t xml:space="preserve"> n), na tieto nerovnováhy.</w:t>
            </w:r>
          </w:p>
        </w:tc>
        <w:tc>
          <w:tcPr>
            <w:tcW w:w="4876" w:type="dxa"/>
            <w:hideMark/>
          </w:tcPr>
          <w:p w:rsidR="00AF0131" w:rsidRPr="005D125E" w:rsidRDefault="00617C3C" w:rsidP="00C33FBD">
            <w:pPr>
              <w:pStyle w:val="Normal6"/>
              <w:rPr>
                <w:szCs w:val="24"/>
              </w:rPr>
            </w:pPr>
            <w:r w:rsidRPr="005D125E">
              <w:t>l)</w:t>
            </w:r>
            <w:r w:rsidRPr="005D125E">
              <w:tab/>
              <w:t>V prípade potreby analýzu vývoja makroekonomických nerovnováh zi</w:t>
            </w:r>
            <w:r w:rsidRPr="005D125E">
              <w:t>stených v rámci postupu pri makroekonomickej nerovnováhe</w:t>
            </w:r>
            <w:r w:rsidRPr="005D125E">
              <w:rPr>
                <w:b/>
                <w:bCs/>
                <w:i/>
                <w:iCs/>
              </w:rPr>
              <w:t>, ako aj rizík sociálnej konvergencie identifikovaných podľa rámca sociálnej konvergencie</w:t>
            </w:r>
            <w:r w:rsidRPr="005D125E">
              <w:t xml:space="preserve"> a vplyvu vykonávania príslušných reforiem a investícií, ktoré boli oznámené v národnom strednodobom fiškálno-š</w:t>
            </w:r>
            <w:r w:rsidRPr="005D125E">
              <w:t xml:space="preserve">trukturálnom pláne v súlade s prílohou II </w:t>
            </w:r>
            <w:r w:rsidRPr="005D125E">
              <w:rPr>
                <w:b/>
                <w:bCs/>
                <w:i/>
                <w:iCs/>
              </w:rPr>
              <w:t>písm.</w:t>
            </w:r>
            <w:r w:rsidRPr="005D125E">
              <w:t xml:space="preserve"> n) </w:t>
            </w:r>
            <w:r w:rsidRPr="005D125E">
              <w:rPr>
                <w:b/>
                <w:bCs/>
                <w:i/>
                <w:iCs/>
              </w:rPr>
              <w:t>ao)</w:t>
            </w:r>
            <w:r w:rsidRPr="005D125E">
              <w:t>, na tieto nerovnováhy.</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41</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III – odsek 1 – písmeno n</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n)</w:t>
            </w:r>
            <w:r w:rsidRPr="005D125E">
              <w:tab/>
              <w:t>Informácie o vývoji na trhu práce a v oblasti zručností a sociálnej politiky, ako aj o vykonávaní prijatých opatrení v príslušných oblastiach politík, ktoré podporujú vzostupnú sociálnu konvergenciu medzi členskými štátmi smerom k lep</w:t>
            </w:r>
            <w:r w:rsidRPr="005D125E">
              <w:t xml:space="preserve">ším pracovným a životným podmienkam v súlade so zásadami </w:t>
            </w:r>
            <w:r w:rsidRPr="005D125E">
              <w:rPr>
                <w:b/>
                <w:bCs/>
                <w:i/>
                <w:iCs/>
              </w:rPr>
              <w:t>Európskeho</w:t>
            </w:r>
            <w:r w:rsidRPr="005D125E">
              <w:t xml:space="preserve"> piliera </w:t>
            </w:r>
            <w:r w:rsidRPr="005D125E">
              <w:rPr>
                <w:b/>
                <w:bCs/>
                <w:i/>
                <w:iCs/>
              </w:rPr>
              <w:t>sociálnych práv</w:t>
            </w:r>
            <w:r w:rsidRPr="005D125E">
              <w:t xml:space="preserve"> a usmerneniami politík zamestnanosti podľa článku 148 ZFEÚ. To zahŕňa očakávaný vplyv opatrení vo vzťahu k pokroku pri dosahovaní národných cieľov v oblasti zamestn</w:t>
            </w:r>
            <w:r w:rsidRPr="005D125E">
              <w:t>anosti, zručností a znižovania chudoby do roku 2030.</w:t>
            </w:r>
          </w:p>
        </w:tc>
        <w:tc>
          <w:tcPr>
            <w:tcW w:w="4876" w:type="dxa"/>
            <w:hideMark/>
          </w:tcPr>
          <w:p w:rsidR="00AF0131" w:rsidRPr="005D125E" w:rsidRDefault="00617C3C" w:rsidP="00C33FBD">
            <w:pPr>
              <w:pStyle w:val="Normal6"/>
              <w:rPr>
                <w:szCs w:val="24"/>
              </w:rPr>
            </w:pPr>
            <w:r w:rsidRPr="005D125E">
              <w:t>n)</w:t>
            </w:r>
            <w:r w:rsidRPr="005D125E">
              <w:tab/>
            </w:r>
            <w:r w:rsidRPr="005D125E">
              <w:t>Informácie o vývoji na trhu práce a v oblasti zručností a sociálnej politiky, ako aj o vykonávaní prijatých opatrení v príslušných oblastiach politík, ktoré podporujú vzostupnú sociálnu konvergenciu medzi členskými štátmi smerom k lepším pracovným a životn</w:t>
            </w:r>
            <w:r w:rsidRPr="005D125E">
              <w:t xml:space="preserve">ým podmienkam v súlade so zásadami Európskeho piliera sociálnych práv, s usmerneniami politík zamestnanosti podľa článku 148 ZFEÚ </w:t>
            </w:r>
            <w:r w:rsidRPr="005D125E">
              <w:rPr>
                <w:b/>
                <w:bCs/>
                <w:i/>
                <w:iCs/>
              </w:rPr>
              <w:t>a rámcom sociálnej konvergencie</w:t>
            </w:r>
            <w:r w:rsidRPr="005D125E">
              <w:t>. To zahŕňa očakávaný vplyv opatrení vo vzťahu k pokroku pri dosahovaní národných cieľov v obla</w:t>
            </w:r>
            <w:r w:rsidRPr="005D125E">
              <w:t xml:space="preserve">sti zamestnanosti, zručností a znižovania chudoby do roku 2030 </w:t>
            </w:r>
            <w:r w:rsidRPr="005D125E">
              <w:rPr>
                <w:b/>
                <w:bCs/>
                <w:i/>
                <w:iCs/>
              </w:rPr>
              <w:t>a prípadne predpokladaný vplyv opatrení na nápravu zistených rizík sociálnej konvergencie podľa rámca sociálnej konvergencie</w:t>
            </w:r>
            <w:r w:rsidRPr="005D125E">
              <w:t>.</w:t>
            </w:r>
          </w:p>
        </w:tc>
      </w:tr>
    </w:tbl>
    <w:p w:rsidR="00AF0131" w:rsidRPr="005D125E" w:rsidRDefault="00617C3C" w:rsidP="00AF0131">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42</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w:t>
      </w:r>
      <w:r w:rsidRPr="005D125E">
        <w:t>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III – odsek 1 – písmeno o a (nové)</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o a)</w:t>
            </w:r>
            <w:r w:rsidRPr="005D125E">
              <w:tab/>
            </w:r>
            <w:r w:rsidRPr="005D125E">
              <w:rPr>
                <w:b/>
                <w:bCs/>
                <w:i/>
                <w:iCs/>
              </w:rPr>
              <w:t xml:space="preserve">Informácie o konzultáciách so sociálnymi partnermi, organizáciami občianskej spoločnosti a inými príslušnými </w:t>
            </w:r>
            <w:r w:rsidRPr="005D125E">
              <w:rPr>
                <w:b/>
                <w:bCs/>
                <w:i/>
                <w:iCs/>
              </w:rPr>
              <w:t>zainteresovanými stranami na účely prípravy správy.</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C56375">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43</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VII – bod 2 – odsek 2 – bod 2.1 – úvodná časť</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w:t>
            </w:r>
            <w:r w:rsidRPr="005D125E">
              <w:t xml:space="preserve"> návrh</w:t>
            </w:r>
          </w:p>
        </w:tc>
      </w:tr>
      <w:tr w:rsidR="00DF6B66" w:rsidRPr="005D125E" w:rsidTr="00C33FBD">
        <w:trPr>
          <w:jc w:val="center"/>
        </w:trPr>
        <w:tc>
          <w:tcPr>
            <w:tcW w:w="4876" w:type="dxa"/>
            <w:hideMark/>
          </w:tcPr>
          <w:p w:rsidR="00AF0131" w:rsidRPr="005D125E" w:rsidRDefault="00617C3C" w:rsidP="00C33FBD">
            <w:pPr>
              <w:pStyle w:val="Normal6"/>
            </w:pPr>
            <w:r w:rsidRPr="005D125E">
              <w:t>2.1</w:t>
            </w:r>
            <w:r w:rsidRPr="005D125E">
              <w:tab/>
              <w:t>Súbor reformných a investičných záväzkov posilňuje rast</w:t>
            </w:r>
          </w:p>
        </w:tc>
        <w:tc>
          <w:tcPr>
            <w:tcW w:w="4876" w:type="dxa"/>
            <w:hideMark/>
          </w:tcPr>
          <w:p w:rsidR="00AF0131" w:rsidRPr="005D125E" w:rsidRDefault="00617C3C" w:rsidP="00C33FBD">
            <w:pPr>
              <w:pStyle w:val="Normal6"/>
              <w:rPr>
                <w:szCs w:val="24"/>
              </w:rPr>
            </w:pPr>
            <w:r w:rsidRPr="005D125E">
              <w:t>2.1</w:t>
            </w:r>
            <w:r w:rsidRPr="005D125E">
              <w:tab/>
              <w:t xml:space="preserve">Súbor reformných a investičných záväzkov posilňuje </w:t>
            </w:r>
            <w:r w:rsidRPr="005D125E">
              <w:rPr>
                <w:b/>
                <w:bCs/>
                <w:i/>
                <w:iCs/>
              </w:rPr>
              <w:t>udržateľný</w:t>
            </w:r>
            <w:r w:rsidRPr="005D125E">
              <w:t xml:space="preserve"> rast. </w:t>
            </w:r>
            <w:r w:rsidRPr="005D125E">
              <w:rPr>
                <w:b/>
                <w:i/>
              </w:rPr>
              <w:t>Predpokladá sa, že súbor reformných a investičných záväzkov prinesie dostatočný pokrok pri dosahovaní národných cieľ</w:t>
            </w:r>
            <w:r w:rsidRPr="005D125E">
              <w:rPr>
                <w:b/>
                <w:i/>
              </w:rPr>
              <w:t>ov spojených s hlavnými cieľmi Európskeho piliera sociálnych práv a ich hlavnými a sekundárnymi ukazovateľmi;</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44</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VII – bod 2 – odsek 2 – bod 2.2 a (n</w:t>
      </w:r>
      <w:r w:rsidRPr="005D125E">
        <w:t>ový)</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tcPr>
          <w:p w:rsidR="00AF0131" w:rsidRPr="005D125E" w:rsidRDefault="00AF0131" w:rsidP="00C33FBD">
            <w:pPr>
              <w:pStyle w:val="Normal6"/>
            </w:pPr>
          </w:p>
        </w:tc>
        <w:tc>
          <w:tcPr>
            <w:tcW w:w="4876" w:type="dxa"/>
            <w:hideMark/>
          </w:tcPr>
          <w:p w:rsidR="00AF0131" w:rsidRPr="005D125E" w:rsidRDefault="00617C3C" w:rsidP="00C33FBD">
            <w:pPr>
              <w:pStyle w:val="Normal6"/>
              <w:rPr>
                <w:szCs w:val="24"/>
              </w:rPr>
            </w:pPr>
            <w:r w:rsidRPr="005D125E">
              <w:rPr>
                <w:b/>
                <w:i/>
              </w:rPr>
              <w:t>2.2a</w:t>
            </w:r>
            <w:r w:rsidRPr="005D125E">
              <w:rPr>
                <w:b/>
                <w:i/>
              </w:rPr>
              <w:tab/>
              <w:t>Súbor reformných a investičných záväzkov podporuje vzostupnú sociálnu konvergenciu</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45</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VII – bod 2 – odsek 2 – bod 2.4 – úvodná časť</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2.4</w:t>
            </w:r>
            <w:r w:rsidRPr="005D125E">
              <w:tab/>
              <w:t>Súbor reformných a investičných záväzkov ako celok rieši príslušné odporúčania pre jednotlivé krajiny vrátane prípadných odporúčaní vydaných v</w:t>
            </w:r>
            <w:r w:rsidRPr="005D125E">
              <w:t> rámci postupu pri makroekonomickej nerovnováhe</w:t>
            </w:r>
          </w:p>
        </w:tc>
        <w:tc>
          <w:tcPr>
            <w:tcW w:w="4876" w:type="dxa"/>
            <w:hideMark/>
          </w:tcPr>
          <w:p w:rsidR="00AF0131" w:rsidRPr="005D125E" w:rsidRDefault="00617C3C" w:rsidP="00C33FBD">
            <w:pPr>
              <w:pStyle w:val="Normal6"/>
              <w:rPr>
                <w:szCs w:val="24"/>
              </w:rPr>
            </w:pPr>
            <w:r w:rsidRPr="005D125E">
              <w:t>2.4</w:t>
            </w:r>
            <w:r w:rsidRPr="005D125E">
              <w:tab/>
              <w:t xml:space="preserve">Súbor reformných a investičných záväzkov ako celok rieši príslušné odporúčania pre jednotlivé krajiny </w:t>
            </w:r>
            <w:r w:rsidRPr="005D125E">
              <w:rPr>
                <w:b/>
                <w:bCs/>
                <w:i/>
                <w:iCs/>
              </w:rPr>
              <w:t>podľa článku 121 ods. 4 a článku 148 ods. 4 ZFEÚ</w:t>
            </w:r>
            <w:r w:rsidRPr="005D125E">
              <w:t xml:space="preserve"> vrátane prípadných odporúčaní vydaných v rámci postup</w:t>
            </w:r>
            <w:r w:rsidRPr="005D125E">
              <w:t>u pri makroekonomickej nerovnováhe</w:t>
            </w:r>
          </w:p>
        </w:tc>
      </w:tr>
    </w:tbl>
    <w:p w:rsidR="00AF0131" w:rsidRPr="005D125E" w:rsidRDefault="00617C3C" w:rsidP="00C56375">
      <w:pPr>
        <w:rPr>
          <w:rStyle w:val="HideTWBExt"/>
          <w:rFonts w:ascii="Times New Roman" w:hAnsi="Times New Roman" w:cs="Times New Roman"/>
          <w:noProof w:val="0"/>
          <w:vanish w:val="0"/>
          <w:color w:val="auto"/>
          <w:sz w:val="24"/>
        </w:rPr>
      </w:pPr>
      <w:r w:rsidRPr="005D125E">
        <w:rPr>
          <w:rStyle w:val="HideTWBExt"/>
        </w:rPr>
        <w:t>&lt;/Amend&gt;</w:t>
      </w:r>
    </w:p>
    <w:p w:rsidR="00AF0131" w:rsidRPr="005D125E" w:rsidRDefault="00AF0131" w:rsidP="00AF0131">
      <w:pPr>
        <w:rPr>
          <w:rStyle w:val="HideTWBExt"/>
        </w:rPr>
      </w:pPr>
    </w:p>
    <w:p w:rsidR="00AF0131" w:rsidRPr="005D125E" w:rsidRDefault="00617C3C" w:rsidP="00AF0131">
      <w:pPr>
        <w:pStyle w:val="AmNumberTabs"/>
      </w:pPr>
      <w:r w:rsidRPr="005D125E">
        <w:rPr>
          <w:rStyle w:val="HideTWBExt"/>
          <w:b w:val="0"/>
        </w:rPr>
        <w:t>&lt;Amend&gt;</w:t>
      </w:r>
      <w:r w:rsidRPr="005D125E">
        <w:t>Pozmeňujúci návrh</w:t>
      </w:r>
      <w:r w:rsidRPr="005D125E">
        <w:tab/>
      </w:r>
      <w:r w:rsidRPr="005D125E">
        <w:tab/>
      </w:r>
      <w:r w:rsidRPr="005D125E">
        <w:rPr>
          <w:rStyle w:val="HideTWBExt"/>
          <w:b w:val="0"/>
        </w:rPr>
        <w:t>&lt;NumAm&gt;</w:t>
      </w:r>
      <w:r w:rsidRPr="005D125E">
        <w:t>46</w:t>
      </w:r>
      <w:r w:rsidRPr="005D125E">
        <w:rPr>
          <w:rStyle w:val="HideTWBExt"/>
          <w:b w:val="0"/>
        </w:rPr>
        <w:t>&lt;/NumAm&gt;</w:t>
      </w:r>
    </w:p>
    <w:p w:rsidR="00AF0131" w:rsidRPr="005D125E" w:rsidRDefault="00AF0131" w:rsidP="00AF0131"/>
    <w:p w:rsidR="00AF0131" w:rsidRPr="005D125E" w:rsidRDefault="00617C3C" w:rsidP="00AF0131">
      <w:pPr>
        <w:pStyle w:val="NormalBold"/>
        <w:keepNext/>
      </w:pPr>
      <w:r w:rsidRPr="005D125E">
        <w:rPr>
          <w:rStyle w:val="HideTWBExt"/>
          <w:b w:val="0"/>
        </w:rPr>
        <w:t>&lt;DocAmend&gt;</w:t>
      </w:r>
      <w:r w:rsidRPr="005D125E">
        <w:t>Návrh nariadenia</w:t>
      </w:r>
      <w:r w:rsidRPr="005D125E">
        <w:rPr>
          <w:rStyle w:val="HideTWBExt"/>
          <w:b w:val="0"/>
        </w:rPr>
        <w:t>&lt;/DocAmend&gt;</w:t>
      </w:r>
    </w:p>
    <w:p w:rsidR="00AF0131" w:rsidRPr="005D125E" w:rsidRDefault="00617C3C" w:rsidP="00AF0131">
      <w:pPr>
        <w:pStyle w:val="NormalBold"/>
      </w:pPr>
      <w:r w:rsidRPr="005D125E">
        <w:rPr>
          <w:rStyle w:val="HideTWBExt"/>
          <w:b w:val="0"/>
        </w:rPr>
        <w:t>&lt;Article&gt;</w:t>
      </w:r>
      <w:r w:rsidRPr="005D125E">
        <w:t>Príloha VII – bod 2 – odsek 2 – bod 2.4 – zarážka 1</w:t>
      </w:r>
      <w:r w:rsidRPr="005D12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B66" w:rsidRPr="005D125E" w:rsidTr="00C33FBD">
        <w:trPr>
          <w:jc w:val="center"/>
        </w:trPr>
        <w:tc>
          <w:tcPr>
            <w:tcW w:w="9752" w:type="dxa"/>
            <w:gridSpan w:val="2"/>
          </w:tcPr>
          <w:p w:rsidR="00AF0131" w:rsidRPr="005D125E" w:rsidRDefault="00AF0131" w:rsidP="00C33FBD">
            <w:pPr>
              <w:keepNext/>
            </w:pPr>
          </w:p>
        </w:tc>
      </w:tr>
      <w:tr w:rsidR="00DF6B66" w:rsidRPr="005D125E" w:rsidTr="00C33FBD">
        <w:trPr>
          <w:jc w:val="center"/>
        </w:trPr>
        <w:tc>
          <w:tcPr>
            <w:tcW w:w="4876" w:type="dxa"/>
            <w:hideMark/>
          </w:tcPr>
          <w:p w:rsidR="00AF0131" w:rsidRPr="005D125E" w:rsidRDefault="00617C3C" w:rsidP="00C33FBD">
            <w:pPr>
              <w:pStyle w:val="ColumnHeading"/>
              <w:keepNext/>
            </w:pPr>
            <w:r w:rsidRPr="005D125E">
              <w:t>Text predložený Komisiou</w:t>
            </w:r>
          </w:p>
        </w:tc>
        <w:tc>
          <w:tcPr>
            <w:tcW w:w="4876" w:type="dxa"/>
            <w:hideMark/>
          </w:tcPr>
          <w:p w:rsidR="00AF0131" w:rsidRPr="005D125E" w:rsidRDefault="00617C3C" w:rsidP="00C33FBD">
            <w:pPr>
              <w:pStyle w:val="ColumnHeading"/>
              <w:keepNext/>
            </w:pPr>
            <w:r w:rsidRPr="005D125E">
              <w:t>Pozmeňujúci návrh</w:t>
            </w:r>
          </w:p>
        </w:tc>
      </w:tr>
      <w:tr w:rsidR="00DF6B66" w:rsidRPr="005D125E" w:rsidTr="00C33FBD">
        <w:trPr>
          <w:jc w:val="center"/>
        </w:trPr>
        <w:tc>
          <w:tcPr>
            <w:tcW w:w="4876" w:type="dxa"/>
            <w:hideMark/>
          </w:tcPr>
          <w:p w:rsidR="00AF0131" w:rsidRPr="005D125E" w:rsidRDefault="00617C3C" w:rsidP="00C33FBD">
            <w:pPr>
              <w:pStyle w:val="Normal6"/>
            </w:pPr>
            <w:r w:rsidRPr="005D125E">
              <w:t>–</w:t>
            </w:r>
            <w:r w:rsidRPr="005D125E">
              <w:tab/>
              <w:t xml:space="preserve">Očakáva </w:t>
            </w:r>
            <w:r w:rsidRPr="005D125E">
              <w:t>sa, že súbor príslušných reformných a investičných záväzkov, ktoré tvoria základ pre predĺženie obdobia úprav, bude ako celok riešiť výzvy identifikované v príslušných odporúčaniach pre jednotlivé krajiny vrátane prípadných odporúčaní vydaných v rámci post</w:t>
            </w:r>
            <w:r w:rsidRPr="005D125E">
              <w:t>upu pri makroekonomickej nerovnováhe, pričom sa v relevantných prípadoch zohľadní rozsah výziev špecifických pre danú krajinu a záväzky prijaté v rámci plánov obnovy a odolnosti.</w:t>
            </w:r>
          </w:p>
        </w:tc>
        <w:tc>
          <w:tcPr>
            <w:tcW w:w="4876" w:type="dxa"/>
            <w:hideMark/>
          </w:tcPr>
          <w:p w:rsidR="00AF0131" w:rsidRPr="005D125E" w:rsidRDefault="00617C3C" w:rsidP="00C33FBD">
            <w:pPr>
              <w:pStyle w:val="Normal6"/>
              <w:rPr>
                <w:szCs w:val="24"/>
              </w:rPr>
            </w:pPr>
            <w:r w:rsidRPr="005D125E">
              <w:t>–</w:t>
            </w:r>
            <w:r w:rsidRPr="005D125E">
              <w:tab/>
              <w:t xml:space="preserve">Očakáva sa, že súbor príslušných reformných a investičných záväzkov, ktoré </w:t>
            </w:r>
            <w:r w:rsidRPr="005D125E">
              <w:t>tvoria základ pre predĺženie obdobia úprav, bude ako celok riešiť výzvy identifikované v príslušných odporúčaniach pre jednotlivé krajiny vrátane prípadných odporúčaní vydaných v rámci postupu pri makroekonomickej nerovnováhe</w:t>
            </w:r>
            <w:r w:rsidRPr="005D125E">
              <w:rPr>
                <w:b/>
                <w:bCs/>
                <w:i/>
                <w:iCs/>
              </w:rPr>
              <w:t>, ako aj odporúčaní vydaných po</w:t>
            </w:r>
            <w:r w:rsidRPr="005D125E">
              <w:rPr>
                <w:b/>
                <w:bCs/>
                <w:i/>
                <w:iCs/>
              </w:rPr>
              <w:t>dľa článku 148 ods. 4 ZFEÚ</w:t>
            </w:r>
            <w:r w:rsidRPr="005D125E">
              <w:t>, pričom sa v relevantných prípadoch zohľadní rozsah výziev špecifických pre danú krajinu a záväzky prijaté v rámci plánov obnovy a odolnosti;</w:t>
            </w:r>
          </w:p>
        </w:tc>
      </w:tr>
    </w:tbl>
    <w:p w:rsidR="00AF0131" w:rsidRPr="005D125E" w:rsidRDefault="00617C3C" w:rsidP="00AF0131">
      <w:pPr>
        <w:rPr>
          <w:rStyle w:val="HideTWBExt"/>
        </w:rPr>
      </w:pPr>
      <w:r w:rsidRPr="005D125E">
        <w:rPr>
          <w:rStyle w:val="HideTWBExt"/>
        </w:rPr>
        <w:t>&lt;/Amend&gt;</w:t>
      </w:r>
    </w:p>
    <w:p w:rsidR="00AF0131" w:rsidRPr="005D125E" w:rsidRDefault="00617C3C" w:rsidP="00AF0131">
      <w:pPr>
        <w:rPr>
          <w:rStyle w:val="HideTWBExt"/>
          <w:szCs w:val="20"/>
        </w:rPr>
      </w:pPr>
      <w:r w:rsidRPr="005D125E">
        <w:rPr>
          <w:rStyle w:val="HideTWBExt"/>
        </w:rPr>
        <w:t>&lt;/RepeatBlock-Amend&gt;</w:t>
      </w:r>
    </w:p>
    <w:p w:rsidR="00AF0131" w:rsidRPr="005D125E" w:rsidRDefault="00617C3C" w:rsidP="00AF0131">
      <w:r w:rsidRPr="005D125E">
        <w:br w:type="page"/>
      </w:r>
    </w:p>
    <w:p w:rsidR="00AF0131" w:rsidRPr="005D125E" w:rsidRDefault="00617C3C" w:rsidP="00AF0131">
      <w:pPr>
        <w:pStyle w:val="PageHeadingNotTOC"/>
      </w:pPr>
      <w:bookmarkStart w:id="2" w:name="ProcPageAD"/>
      <w:r w:rsidRPr="005D125E">
        <w:t>POSTUP VÝBORU POŽIADANÉHO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 xml:space="preserve">Účinná </w:t>
            </w:r>
            <w:r w:rsidRPr="005D125E">
              <w:rPr>
                <w:color w:val="000000"/>
                <w:sz w:val="20"/>
              </w:rPr>
              <w:t>koordinácia hospodárskych politík a mnohostranný rozpočtový dohľad a zrušenie nariadenia Rady (ES) č. 1466/97</w:t>
            </w:r>
          </w:p>
        </w:tc>
      </w:tr>
      <w:tr w:rsidR="00DF6B66" w:rsidRPr="005D125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COM(2023)0240 – C9-0150/2023 – 2023/0138(COD)</w:t>
            </w:r>
          </w:p>
        </w:tc>
      </w:tr>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Gestorský výbor</w:t>
            </w:r>
          </w:p>
          <w:p w:rsidR="00AF0131" w:rsidRPr="005D125E" w:rsidRDefault="00617C3C" w:rsidP="00C33FBD">
            <w:pPr>
              <w:autoSpaceDE w:val="0"/>
              <w:autoSpaceDN w:val="0"/>
              <w:adjustRightInd w:val="0"/>
              <w:rPr>
                <w:color w:val="000000"/>
                <w:sz w:val="20"/>
                <w:szCs w:val="20"/>
              </w:rPr>
            </w:pPr>
            <w:r w:rsidRPr="005D125E">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ECON</w:t>
            </w:r>
          </w:p>
          <w:p w:rsidR="00AF0131" w:rsidRPr="005D125E" w:rsidRDefault="00617C3C" w:rsidP="00C33FBD">
            <w:pPr>
              <w:autoSpaceDE w:val="0"/>
              <w:autoSpaceDN w:val="0"/>
              <w:adjustRightInd w:val="0"/>
              <w:rPr>
                <w:color w:val="000000"/>
                <w:sz w:val="20"/>
                <w:szCs w:val="20"/>
              </w:rPr>
            </w:pPr>
            <w:r w:rsidRPr="005D125E">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r>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 xml:space="preserve">Výbor </w:t>
            </w:r>
            <w:r w:rsidRPr="005D125E">
              <w:rPr>
                <w:b/>
                <w:color w:val="000000"/>
                <w:sz w:val="20"/>
              </w:rPr>
              <w:t>požiadaný o stanovisko</w:t>
            </w:r>
          </w:p>
          <w:p w:rsidR="00AF0131" w:rsidRPr="005D125E" w:rsidRDefault="00617C3C" w:rsidP="00C33FBD">
            <w:pPr>
              <w:autoSpaceDE w:val="0"/>
              <w:autoSpaceDN w:val="0"/>
              <w:adjustRightInd w:val="0"/>
              <w:rPr>
                <w:color w:val="000000"/>
                <w:sz w:val="20"/>
                <w:szCs w:val="20"/>
              </w:rPr>
            </w:pPr>
            <w:r w:rsidRPr="005D125E">
              <w:rPr>
                <w:color w:val="000000"/>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EMPL</w:t>
            </w:r>
          </w:p>
          <w:p w:rsidR="00AF0131" w:rsidRPr="005D125E" w:rsidRDefault="00617C3C" w:rsidP="00C33FBD">
            <w:pPr>
              <w:autoSpaceDE w:val="0"/>
              <w:autoSpaceDN w:val="0"/>
              <w:adjustRightInd w:val="0"/>
              <w:rPr>
                <w:color w:val="000000"/>
                <w:sz w:val="20"/>
                <w:szCs w:val="20"/>
              </w:rPr>
            </w:pPr>
            <w:r w:rsidRPr="005D125E">
              <w:rPr>
                <w:color w:val="000000"/>
                <w:sz w:val="20"/>
              </w:rPr>
              <w:t>12.6.2023</w:t>
            </w:r>
          </w:p>
        </w:tc>
      </w:tr>
      <w:tr w:rsidR="00DF6B66" w:rsidRPr="005D125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Pridružené výbory - dátum oznámenia na schôdzi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14.9.2023</w:t>
            </w:r>
          </w:p>
        </w:tc>
      </w:tr>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Spravodajkyňa výboru požiadaného o stanovisko</w:t>
            </w:r>
          </w:p>
          <w:p w:rsidR="00AF0131" w:rsidRPr="005D125E" w:rsidRDefault="00617C3C" w:rsidP="00C33FBD">
            <w:pPr>
              <w:autoSpaceDE w:val="0"/>
              <w:autoSpaceDN w:val="0"/>
              <w:adjustRightInd w:val="0"/>
              <w:rPr>
                <w:color w:val="000000"/>
                <w:sz w:val="20"/>
                <w:szCs w:val="20"/>
              </w:rPr>
            </w:pPr>
            <w:r w:rsidRPr="005D125E">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Gabriele Bischoff</w:t>
            </w:r>
          </w:p>
          <w:p w:rsidR="00AF0131" w:rsidRPr="005D125E" w:rsidRDefault="00617C3C" w:rsidP="00C33FBD">
            <w:pPr>
              <w:autoSpaceDE w:val="0"/>
              <w:autoSpaceDN w:val="0"/>
              <w:adjustRightInd w:val="0"/>
              <w:rPr>
                <w:color w:val="000000"/>
                <w:sz w:val="20"/>
                <w:szCs w:val="20"/>
              </w:rPr>
            </w:pPr>
            <w:r w:rsidRPr="005D125E">
              <w:rPr>
                <w:color w:val="000000"/>
                <w:sz w:val="20"/>
              </w:rPr>
              <w:t>29.6.2023</w:t>
            </w:r>
          </w:p>
        </w:tc>
      </w:tr>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r>
      <w:tr w:rsidR="00DF6B66" w:rsidRPr="005D125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5D125E" w:rsidRDefault="00AF0131" w:rsidP="00C33FBD">
            <w:pPr>
              <w:autoSpaceDE w:val="0"/>
              <w:autoSpaceDN w:val="0"/>
              <w:adjustRightInd w:val="0"/>
              <w:rPr>
                <w:rFonts w:ascii="sans-serif" w:hAnsi="sans-serif" w:cs="sans-serif"/>
                <w:color w:val="000000"/>
              </w:rPr>
            </w:pPr>
          </w:p>
        </w:tc>
      </w:tr>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w:t>
            </w:r>
          </w:p>
          <w:p w:rsidR="00AF0131" w:rsidRPr="005D125E" w:rsidRDefault="00617C3C" w:rsidP="00C33FBD">
            <w:pPr>
              <w:autoSpaceDE w:val="0"/>
              <w:autoSpaceDN w:val="0"/>
              <w:adjustRightInd w:val="0"/>
              <w:rPr>
                <w:color w:val="000000"/>
                <w:sz w:val="20"/>
                <w:szCs w:val="20"/>
              </w:rPr>
            </w:pPr>
            <w:r w:rsidRPr="005D125E">
              <w:rPr>
                <w:color w:val="000000"/>
                <w:sz w:val="20"/>
              </w:rPr>
              <w:t>–:</w:t>
            </w:r>
          </w:p>
          <w:p w:rsidR="00AF0131" w:rsidRPr="005D125E" w:rsidRDefault="00617C3C" w:rsidP="00C33FBD">
            <w:pPr>
              <w:autoSpaceDE w:val="0"/>
              <w:autoSpaceDN w:val="0"/>
              <w:adjustRightInd w:val="0"/>
              <w:rPr>
                <w:color w:val="000000"/>
                <w:sz w:val="20"/>
                <w:szCs w:val="20"/>
              </w:rPr>
            </w:pPr>
            <w:r w:rsidRPr="005D125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29</w:t>
            </w:r>
          </w:p>
          <w:p w:rsidR="00AF0131" w:rsidRPr="005D125E" w:rsidRDefault="00617C3C" w:rsidP="00C33FBD">
            <w:pPr>
              <w:autoSpaceDE w:val="0"/>
              <w:autoSpaceDN w:val="0"/>
              <w:adjustRightInd w:val="0"/>
              <w:rPr>
                <w:color w:val="000000"/>
                <w:sz w:val="20"/>
                <w:szCs w:val="20"/>
              </w:rPr>
            </w:pPr>
            <w:r w:rsidRPr="005D125E">
              <w:rPr>
                <w:color w:val="000000"/>
                <w:sz w:val="20"/>
              </w:rPr>
              <w:t>4</w:t>
            </w:r>
          </w:p>
          <w:p w:rsidR="00AF0131" w:rsidRPr="005D125E" w:rsidRDefault="00617C3C" w:rsidP="00C33FBD">
            <w:pPr>
              <w:autoSpaceDE w:val="0"/>
              <w:autoSpaceDN w:val="0"/>
              <w:adjustRightInd w:val="0"/>
              <w:rPr>
                <w:color w:val="000000"/>
                <w:sz w:val="20"/>
                <w:szCs w:val="20"/>
              </w:rPr>
            </w:pPr>
            <w:r w:rsidRPr="005D125E">
              <w:rPr>
                <w:color w:val="000000"/>
                <w:sz w:val="20"/>
              </w:rPr>
              <w:t>10</w:t>
            </w:r>
          </w:p>
        </w:tc>
      </w:tr>
      <w:tr w:rsidR="00DF6B66" w:rsidRPr="005D125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 xml:space="preserve">João Albuquerque, Marc Angel, Dominique Bilde, Gabriele Bischoff, Milan Brglez, Jordi Cañas, David Casa, Ilan De Basso, </w:t>
            </w:r>
            <w:r w:rsidRPr="005D125E">
              <w:rPr>
                <w:color w:val="000000"/>
                <w:sz w:val="20"/>
              </w:rPr>
              <w:t>Margarita de la Pisa Carrión, Özlem Demirel, Klára Dobrev, Jarosław Duda, Estrella Durá Ferrandis, Lucia Ďuriš Nicholsonová, Loucas Fourlas, Cindy Franssen, Chiara Gemma, Helmut Geuking, Elisabetta Gualmini, Alicia Homs Ginel, Agnes Jongerius, Stelios Kymp</w:t>
            </w:r>
            <w:r w:rsidRPr="005D125E">
              <w:rPr>
                <w:color w:val="000000"/>
                <w:sz w:val="20"/>
              </w:rPr>
              <w:t xml:space="preserve">ouropoulos, Katrin Langensiepen, Miriam Lexmann, Elena Lizzi, Sara Matthieu, Max Orville, Kira Marie Peter-Hansen, Dragoş Pîslaru, Elżbieta Rafalska, Daniela Rondinelli, Pirkko Ruohonen-Lerner, Monica Semedo, Romana Tomc, Nikolaj Villumsen, Marianne Vind, </w:t>
            </w:r>
            <w:r w:rsidRPr="005D125E">
              <w:rPr>
                <w:color w:val="000000"/>
                <w:sz w:val="20"/>
              </w:rPr>
              <w:t>Maria Walsh, Tomáš Zdechovský</w:t>
            </w:r>
          </w:p>
        </w:tc>
      </w:tr>
      <w:tr w:rsidR="00DF6B66" w:rsidRPr="005D125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Alexander Alexandrov Yordanov, Aurore Lalucq, Eugenia Rodríguez Palop</w:t>
            </w:r>
          </w:p>
        </w:tc>
      </w:tr>
      <w:tr w:rsidR="00DF6B66" w:rsidRPr="005D125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b/>
                <w:bCs/>
                <w:color w:val="000000"/>
                <w:sz w:val="20"/>
                <w:szCs w:val="20"/>
              </w:rPr>
            </w:pPr>
            <w:r w:rsidRPr="005D125E">
              <w:rPr>
                <w:b/>
                <w:color w:val="000000"/>
                <w:sz w:val="20"/>
              </w:rPr>
              <w:t>Náhradníci (čl. 209 ods. 7)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5D125E" w:rsidRDefault="00617C3C" w:rsidP="00C33FBD">
            <w:pPr>
              <w:autoSpaceDE w:val="0"/>
              <w:autoSpaceDN w:val="0"/>
              <w:adjustRightInd w:val="0"/>
              <w:rPr>
                <w:color w:val="000000"/>
                <w:sz w:val="20"/>
                <w:szCs w:val="20"/>
              </w:rPr>
            </w:pPr>
            <w:r w:rsidRPr="005D125E">
              <w:rPr>
                <w:color w:val="000000"/>
                <w:sz w:val="20"/>
              </w:rPr>
              <w:t>Sirpa Pietikäinen, Caroline Roose</w:t>
            </w:r>
          </w:p>
        </w:tc>
      </w:tr>
    </w:tbl>
    <w:p w:rsidR="00AF0131" w:rsidRPr="005D125E" w:rsidRDefault="00AF0131" w:rsidP="00AF0131"/>
    <w:bookmarkEnd w:id="2"/>
    <w:p w:rsidR="00AF0131" w:rsidRPr="005D125E" w:rsidRDefault="00AF0131" w:rsidP="00AF0131">
      <w:pPr>
        <w:sectPr w:rsidR="00AF0131" w:rsidRPr="005D125E" w:rsidSect="005D125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5D125E" w:rsidRDefault="00617C3C" w:rsidP="00AF0131">
      <w:pPr>
        <w:pStyle w:val="PageHeadingNotTOC"/>
      </w:pPr>
      <w:bookmarkStart w:id="3" w:name="RollCallPageAD"/>
      <w:r w:rsidRPr="005D125E">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F6B66" w:rsidRPr="005D125E" w:rsidTr="00C33FBD">
        <w:trPr>
          <w:cantSplit/>
        </w:trPr>
        <w:tc>
          <w:tcPr>
            <w:tcW w:w="1701" w:type="dxa"/>
            <w:shd w:val="pct10" w:color="000000" w:fill="FFFFFF"/>
            <w:vAlign w:val="center"/>
          </w:tcPr>
          <w:p w:rsidR="00AF0131" w:rsidRPr="005D125E" w:rsidRDefault="00617C3C" w:rsidP="00C33FBD">
            <w:pPr>
              <w:pStyle w:val="RollCallVotes"/>
            </w:pPr>
            <w:r w:rsidRPr="005D125E">
              <w:t>29</w:t>
            </w:r>
          </w:p>
        </w:tc>
        <w:tc>
          <w:tcPr>
            <w:tcW w:w="7371" w:type="dxa"/>
            <w:shd w:val="pct10" w:color="000000" w:fill="FFFFFF"/>
          </w:tcPr>
          <w:p w:rsidR="00AF0131" w:rsidRPr="005D125E" w:rsidRDefault="00617C3C" w:rsidP="00C33FBD">
            <w:pPr>
              <w:pStyle w:val="RollCallSymbols14pt"/>
            </w:pPr>
            <w:r w:rsidRPr="005D125E">
              <w:t>+</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PPE</w:t>
            </w:r>
          </w:p>
        </w:tc>
        <w:tc>
          <w:tcPr>
            <w:tcW w:w="7371" w:type="dxa"/>
            <w:shd w:val="clear" w:color="auto" w:fill="FFFFFF"/>
          </w:tcPr>
          <w:p w:rsidR="00AF0131" w:rsidRPr="005D125E" w:rsidRDefault="00617C3C" w:rsidP="00C33FBD">
            <w:pPr>
              <w:pStyle w:val="RollCallTable"/>
            </w:pPr>
            <w:r w:rsidRPr="005D125E">
              <w:t>David Casa, Loucas Fourlas, Cindy Franssen, Stelios Kympouropoulos, Sirpa Pietikäinen, Maria Walsh</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Renew</w:t>
            </w:r>
          </w:p>
        </w:tc>
        <w:tc>
          <w:tcPr>
            <w:tcW w:w="7371" w:type="dxa"/>
            <w:shd w:val="clear" w:color="auto" w:fill="FFFFFF"/>
          </w:tcPr>
          <w:p w:rsidR="00AF0131" w:rsidRPr="005D125E" w:rsidRDefault="00617C3C" w:rsidP="00C33FBD">
            <w:pPr>
              <w:pStyle w:val="RollCallTable"/>
            </w:pPr>
            <w:r w:rsidRPr="005D125E">
              <w:t xml:space="preserve">Jordi Cañas, Lucia Ďuriš Nicholsonová, </w:t>
            </w:r>
            <w:r w:rsidRPr="005D125E">
              <w:t>Max Orville, Dragoş Pîslaru, Monica Semedo</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S&amp;D</w:t>
            </w:r>
          </w:p>
        </w:tc>
        <w:tc>
          <w:tcPr>
            <w:tcW w:w="7371" w:type="dxa"/>
            <w:shd w:val="clear" w:color="auto" w:fill="FFFFFF"/>
          </w:tcPr>
          <w:p w:rsidR="00AF0131" w:rsidRPr="005D125E" w:rsidRDefault="00617C3C" w:rsidP="00C33FBD">
            <w:pPr>
              <w:pStyle w:val="RollCallTable"/>
            </w:pPr>
            <w:r w:rsidRPr="005D125E">
              <w:t>João Albuquerque, Marc Angel, Gabriele Bischoff, Milan Brglez, Klára Dobrev, Estrella Durá Ferrandis, Elisabetta Gualmini, Alicia Homs Ginel, Agnes Jongerius, Aurore Lalucq, Daniela Rondinelli, Marianne Vind</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The Left</w:t>
            </w:r>
          </w:p>
        </w:tc>
        <w:tc>
          <w:tcPr>
            <w:tcW w:w="7371" w:type="dxa"/>
            <w:shd w:val="clear" w:color="auto" w:fill="FFFFFF"/>
          </w:tcPr>
          <w:p w:rsidR="00AF0131" w:rsidRPr="005D125E" w:rsidRDefault="00617C3C" w:rsidP="00C33FBD">
            <w:pPr>
              <w:pStyle w:val="RollCallTable"/>
            </w:pPr>
            <w:r w:rsidRPr="005D125E">
              <w:t>Eugenia Rodríguez Palop, Nikolaj Villumsen</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Verts/ALE</w:t>
            </w:r>
          </w:p>
        </w:tc>
        <w:tc>
          <w:tcPr>
            <w:tcW w:w="7371" w:type="dxa"/>
            <w:shd w:val="clear" w:color="auto" w:fill="FFFFFF"/>
          </w:tcPr>
          <w:p w:rsidR="00AF0131" w:rsidRPr="005D125E" w:rsidRDefault="00617C3C" w:rsidP="00C33FBD">
            <w:pPr>
              <w:pStyle w:val="RollCallTable"/>
            </w:pPr>
            <w:r w:rsidRPr="005D125E">
              <w:t>Katrin Langensiepen, Sara Matthieu, Kira Marie Peter-Hansen, Caroline Roose</w:t>
            </w:r>
          </w:p>
        </w:tc>
      </w:tr>
    </w:tbl>
    <w:p w:rsidR="00AF0131" w:rsidRPr="005D125E"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F6B66" w:rsidRPr="005D125E" w:rsidTr="00C33FBD">
        <w:trPr>
          <w:cantSplit/>
        </w:trPr>
        <w:tc>
          <w:tcPr>
            <w:tcW w:w="1701" w:type="dxa"/>
            <w:shd w:val="pct10" w:color="000000" w:fill="FFFFFF"/>
            <w:vAlign w:val="center"/>
          </w:tcPr>
          <w:p w:rsidR="00AF0131" w:rsidRPr="005D125E" w:rsidRDefault="00617C3C" w:rsidP="00C33FBD">
            <w:pPr>
              <w:pStyle w:val="RollCallVotes"/>
            </w:pPr>
            <w:r w:rsidRPr="005D125E">
              <w:t>4</w:t>
            </w:r>
          </w:p>
        </w:tc>
        <w:tc>
          <w:tcPr>
            <w:tcW w:w="7371" w:type="dxa"/>
            <w:shd w:val="pct10" w:color="000000" w:fill="FFFFFF"/>
          </w:tcPr>
          <w:p w:rsidR="00AF0131" w:rsidRPr="005D125E" w:rsidRDefault="00617C3C" w:rsidP="00C33FBD">
            <w:pPr>
              <w:pStyle w:val="RollCallSymbols14pt"/>
            </w:pPr>
            <w:r w:rsidRPr="005D125E">
              <w:t>-</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ECR</w:t>
            </w:r>
          </w:p>
        </w:tc>
        <w:tc>
          <w:tcPr>
            <w:tcW w:w="7371" w:type="dxa"/>
            <w:shd w:val="clear" w:color="auto" w:fill="FFFFFF"/>
          </w:tcPr>
          <w:p w:rsidR="00AF0131" w:rsidRPr="005D125E" w:rsidRDefault="00617C3C" w:rsidP="00C33FBD">
            <w:pPr>
              <w:pStyle w:val="RollCallTable"/>
            </w:pPr>
            <w:r w:rsidRPr="005D125E">
              <w:t>Margarita de la Pisa Carrión, Elżbieta Rafalska, Pirkko Ruohonen-Lerner</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ID</w:t>
            </w:r>
          </w:p>
        </w:tc>
        <w:tc>
          <w:tcPr>
            <w:tcW w:w="7371" w:type="dxa"/>
            <w:shd w:val="clear" w:color="auto" w:fill="FFFFFF"/>
          </w:tcPr>
          <w:p w:rsidR="00AF0131" w:rsidRPr="005D125E" w:rsidRDefault="00617C3C" w:rsidP="00C33FBD">
            <w:pPr>
              <w:pStyle w:val="RollCallTable"/>
            </w:pPr>
            <w:r w:rsidRPr="005D125E">
              <w:t>Dominique Bilde</w:t>
            </w:r>
          </w:p>
        </w:tc>
      </w:tr>
    </w:tbl>
    <w:p w:rsidR="00AF0131" w:rsidRPr="005D125E"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F6B66" w:rsidRPr="005D125E" w:rsidTr="00C33FBD">
        <w:trPr>
          <w:cantSplit/>
        </w:trPr>
        <w:tc>
          <w:tcPr>
            <w:tcW w:w="1701" w:type="dxa"/>
            <w:shd w:val="pct10" w:color="000000" w:fill="FFFFFF"/>
            <w:vAlign w:val="center"/>
          </w:tcPr>
          <w:p w:rsidR="00AF0131" w:rsidRPr="005D125E" w:rsidRDefault="00617C3C" w:rsidP="00C33FBD">
            <w:pPr>
              <w:pStyle w:val="RollCallVotes"/>
            </w:pPr>
            <w:r w:rsidRPr="005D125E">
              <w:t>10</w:t>
            </w:r>
          </w:p>
        </w:tc>
        <w:tc>
          <w:tcPr>
            <w:tcW w:w="7371" w:type="dxa"/>
            <w:shd w:val="pct10" w:color="000000" w:fill="FFFFFF"/>
          </w:tcPr>
          <w:p w:rsidR="00AF0131" w:rsidRPr="005D125E" w:rsidRDefault="00617C3C" w:rsidP="00C33FBD">
            <w:pPr>
              <w:pStyle w:val="RollCallSymbols14pt"/>
            </w:pPr>
            <w:r w:rsidRPr="005D125E">
              <w:t>0</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ECR</w:t>
            </w:r>
          </w:p>
        </w:tc>
        <w:tc>
          <w:tcPr>
            <w:tcW w:w="7371" w:type="dxa"/>
            <w:shd w:val="clear" w:color="auto" w:fill="FFFFFF"/>
          </w:tcPr>
          <w:p w:rsidR="00AF0131" w:rsidRPr="005D125E" w:rsidRDefault="00617C3C" w:rsidP="00C33FBD">
            <w:pPr>
              <w:pStyle w:val="RollCallTable"/>
            </w:pPr>
            <w:r w:rsidRPr="005D125E">
              <w:t>Chiara Gemma</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ID</w:t>
            </w:r>
          </w:p>
        </w:tc>
        <w:tc>
          <w:tcPr>
            <w:tcW w:w="7371" w:type="dxa"/>
            <w:shd w:val="clear" w:color="auto" w:fill="FFFFFF"/>
          </w:tcPr>
          <w:p w:rsidR="00AF0131" w:rsidRPr="005D125E" w:rsidRDefault="00617C3C" w:rsidP="00C33FBD">
            <w:pPr>
              <w:pStyle w:val="RollCallTable"/>
            </w:pPr>
            <w:r w:rsidRPr="005D125E">
              <w:t>Elena Lizzi</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PPE</w:t>
            </w:r>
          </w:p>
        </w:tc>
        <w:tc>
          <w:tcPr>
            <w:tcW w:w="7371" w:type="dxa"/>
            <w:shd w:val="clear" w:color="auto" w:fill="FFFFFF"/>
          </w:tcPr>
          <w:p w:rsidR="00AF0131" w:rsidRPr="005D125E" w:rsidRDefault="00617C3C" w:rsidP="00C33FBD">
            <w:pPr>
              <w:pStyle w:val="RollCallTable"/>
            </w:pPr>
            <w:r w:rsidRPr="005D125E">
              <w:t>Alexander Alexandrov Yordanov, Jarosław Duda, Helmut Geuking, Miriam Lexmann, Romana Tomc, Tomáš Zdechovský</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S&amp;D</w:t>
            </w:r>
          </w:p>
        </w:tc>
        <w:tc>
          <w:tcPr>
            <w:tcW w:w="7371" w:type="dxa"/>
            <w:shd w:val="clear" w:color="auto" w:fill="FFFFFF"/>
          </w:tcPr>
          <w:p w:rsidR="00AF0131" w:rsidRPr="005D125E" w:rsidRDefault="00617C3C" w:rsidP="00C33FBD">
            <w:pPr>
              <w:pStyle w:val="RollCallTable"/>
            </w:pPr>
            <w:r w:rsidRPr="005D125E">
              <w:t>Ilan De Basso</w:t>
            </w:r>
          </w:p>
        </w:tc>
      </w:tr>
      <w:tr w:rsidR="00DF6B66" w:rsidRPr="005D125E" w:rsidTr="00C33FBD">
        <w:trPr>
          <w:cantSplit/>
        </w:trPr>
        <w:tc>
          <w:tcPr>
            <w:tcW w:w="1701" w:type="dxa"/>
            <w:shd w:val="clear" w:color="auto" w:fill="FFFFFF"/>
          </w:tcPr>
          <w:p w:rsidR="00AF0131" w:rsidRPr="005D125E" w:rsidRDefault="00617C3C" w:rsidP="00C33FBD">
            <w:pPr>
              <w:pStyle w:val="RollCallTable"/>
            </w:pPr>
            <w:r w:rsidRPr="005D125E">
              <w:t>The Left</w:t>
            </w:r>
          </w:p>
        </w:tc>
        <w:tc>
          <w:tcPr>
            <w:tcW w:w="7371" w:type="dxa"/>
            <w:shd w:val="clear" w:color="auto" w:fill="FFFFFF"/>
          </w:tcPr>
          <w:p w:rsidR="00AF0131" w:rsidRPr="005D125E" w:rsidRDefault="00617C3C" w:rsidP="00C33FBD">
            <w:pPr>
              <w:pStyle w:val="RollCallTable"/>
            </w:pPr>
            <w:r w:rsidRPr="005D125E">
              <w:t>Özlem Demirel</w:t>
            </w:r>
          </w:p>
        </w:tc>
      </w:tr>
    </w:tbl>
    <w:p w:rsidR="00AF0131" w:rsidRPr="005D125E" w:rsidRDefault="00AF0131" w:rsidP="00AF0131">
      <w:pPr>
        <w:pStyle w:val="Normal12a"/>
      </w:pPr>
    </w:p>
    <w:p w:rsidR="00AF0131" w:rsidRPr="005D125E" w:rsidRDefault="00617C3C" w:rsidP="00AF0131">
      <w:r w:rsidRPr="005D125E">
        <w:t>Vysvetlenie použitých znakov:</w:t>
      </w:r>
    </w:p>
    <w:p w:rsidR="00AF0131" w:rsidRPr="005D125E" w:rsidRDefault="00617C3C" w:rsidP="00AF0131">
      <w:pPr>
        <w:pStyle w:val="RollCallTabs"/>
      </w:pPr>
      <w:r w:rsidRPr="005D125E">
        <w:t>+</w:t>
      </w:r>
      <w:r w:rsidRPr="005D125E">
        <w:tab/>
        <w:t>:</w:t>
      </w:r>
      <w:r w:rsidRPr="005D125E">
        <w:tab/>
        <w:t>za</w:t>
      </w:r>
    </w:p>
    <w:p w:rsidR="00AF0131" w:rsidRPr="005D125E" w:rsidRDefault="00617C3C" w:rsidP="00AF0131">
      <w:pPr>
        <w:pStyle w:val="RollCallTabs"/>
      </w:pPr>
      <w:r w:rsidRPr="005D125E">
        <w:t>-</w:t>
      </w:r>
      <w:r w:rsidRPr="005D125E">
        <w:tab/>
        <w:t>:</w:t>
      </w:r>
      <w:r w:rsidRPr="005D125E">
        <w:tab/>
        <w:t>proti</w:t>
      </w:r>
    </w:p>
    <w:p w:rsidR="00AF0131" w:rsidRPr="005D125E" w:rsidRDefault="00617C3C" w:rsidP="00AF0131">
      <w:pPr>
        <w:pStyle w:val="RollCallTabs"/>
      </w:pPr>
      <w:r w:rsidRPr="005D125E">
        <w:t>0</w:t>
      </w:r>
      <w:r w:rsidRPr="005D125E">
        <w:tab/>
        <w:t>:</w:t>
      </w:r>
      <w:r w:rsidRPr="005D125E">
        <w:tab/>
        <w:t xml:space="preserve">zdržali sa </w:t>
      </w:r>
      <w:r w:rsidRPr="005D125E">
        <w:t>hlasovania</w:t>
      </w:r>
    </w:p>
    <w:p w:rsidR="00AF0131" w:rsidRPr="005D125E" w:rsidRDefault="00AF0131" w:rsidP="00AF0131"/>
    <w:bookmarkEnd w:id="3"/>
    <w:p w:rsidR="00AF0131" w:rsidRPr="005D125E" w:rsidRDefault="00AF0131" w:rsidP="00AF0131"/>
    <w:p w:rsidR="00DB56E4" w:rsidRPr="005D125E" w:rsidRDefault="00DB56E4" w:rsidP="00AF0131">
      <w:pPr>
        <w:pStyle w:val="CoverReference"/>
      </w:pPr>
    </w:p>
    <w:sectPr w:rsidR="00DB56E4" w:rsidRPr="005D125E"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D125E" w:rsidRDefault="00617C3C">
      <w:r w:rsidRPr="005D125E">
        <w:separator/>
      </w:r>
    </w:p>
  </w:endnote>
  <w:endnote w:type="continuationSeparator" w:id="0">
    <w:p w:rsidR="00000000" w:rsidRPr="005D125E" w:rsidRDefault="00617C3C">
      <w:r w:rsidRPr="005D12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25E" w:rsidRPr="005D125E" w:rsidRDefault="005D125E" w:rsidP="005D125E">
    <w:pPr>
      <w:pStyle w:val="EPFooter"/>
    </w:pPr>
    <w:r w:rsidRPr="005D125E">
      <w:t>PE</w:t>
    </w:r>
    <w:r w:rsidRPr="005D125E">
      <w:rPr>
        <w:rStyle w:val="HideTWBExt"/>
      </w:rPr>
      <w:t>&lt;NoPE&gt;</w:t>
    </w:r>
    <w:r w:rsidRPr="005D125E">
      <w:t>752.621</w:t>
    </w:r>
    <w:r w:rsidRPr="005D125E">
      <w:rPr>
        <w:rStyle w:val="HideTWBExt"/>
      </w:rPr>
      <w:t>&lt;/NoPE&gt;&lt;Version&gt;</w:t>
    </w:r>
    <w:r w:rsidRPr="005D125E">
      <w:t>v02-00</w:t>
    </w:r>
    <w:r w:rsidRPr="005D125E">
      <w:rPr>
        <w:rStyle w:val="HideTWBExt"/>
      </w:rPr>
      <w:t>&lt;/Version&gt;</w:t>
    </w:r>
    <w:r w:rsidRPr="005D125E">
      <w:tab/>
    </w:r>
    <w:r w:rsidRPr="005D125E">
      <w:fldChar w:fldCharType="begin"/>
    </w:r>
    <w:r w:rsidRPr="005D125E">
      <w:instrText xml:space="preserve"> PAGE  \* MERGEFORMAT </w:instrText>
    </w:r>
    <w:r w:rsidRPr="005D125E">
      <w:fldChar w:fldCharType="separate"/>
    </w:r>
    <w:r w:rsidR="00617C3C">
      <w:rPr>
        <w:noProof/>
      </w:rPr>
      <w:t>4</w:t>
    </w:r>
    <w:r w:rsidRPr="005D125E">
      <w:fldChar w:fldCharType="end"/>
    </w:r>
    <w:r w:rsidRPr="005D125E">
      <w:t>/</w:t>
    </w:r>
    <w:fldSimple w:instr=" NUMPAGES  \* MERGEFORMAT ">
      <w:r w:rsidR="00617C3C">
        <w:rPr>
          <w:noProof/>
        </w:rPr>
        <w:t>28</w:t>
      </w:r>
    </w:fldSimple>
    <w:r w:rsidRPr="005D125E">
      <w:tab/>
    </w:r>
    <w:r w:rsidRPr="005D125E">
      <w:rPr>
        <w:rStyle w:val="HideTWBExt"/>
      </w:rPr>
      <w:t>&lt;PathFdR&gt;</w:t>
    </w:r>
    <w:r w:rsidRPr="005D125E">
      <w:t>AD\1288324SK.docx</w:t>
    </w:r>
    <w:r w:rsidRPr="005D125E">
      <w:rPr>
        <w:rStyle w:val="HideTWBExt"/>
      </w:rPr>
      <w:t>&lt;/PathFdR&gt;</w:t>
    </w:r>
  </w:p>
  <w:p w:rsidR="00AF0131" w:rsidRPr="005D125E" w:rsidRDefault="005D125E" w:rsidP="005D125E">
    <w:pPr>
      <w:pStyle w:val="EPFooter2"/>
    </w:pPr>
    <w:r w:rsidRPr="005D125E">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25E" w:rsidRPr="005D125E" w:rsidRDefault="005D125E" w:rsidP="005D125E">
    <w:pPr>
      <w:pStyle w:val="EPFooter"/>
    </w:pPr>
    <w:r w:rsidRPr="005D125E">
      <w:rPr>
        <w:rStyle w:val="HideTWBExt"/>
      </w:rPr>
      <w:t>&lt;PathFdR&gt;</w:t>
    </w:r>
    <w:r w:rsidRPr="005D125E">
      <w:t>AD\1288324SK.docx</w:t>
    </w:r>
    <w:r w:rsidRPr="005D125E">
      <w:rPr>
        <w:rStyle w:val="HideTWBExt"/>
      </w:rPr>
      <w:t>&lt;/PathFdR&gt;</w:t>
    </w:r>
    <w:r w:rsidRPr="005D125E">
      <w:tab/>
    </w:r>
    <w:r w:rsidRPr="005D125E">
      <w:fldChar w:fldCharType="begin"/>
    </w:r>
    <w:r w:rsidRPr="005D125E">
      <w:instrText xml:space="preserve"> PAGE  \* MERGEFORMAT </w:instrText>
    </w:r>
    <w:r w:rsidRPr="005D125E">
      <w:fldChar w:fldCharType="separate"/>
    </w:r>
    <w:r w:rsidR="00617C3C">
      <w:rPr>
        <w:noProof/>
      </w:rPr>
      <w:t>3</w:t>
    </w:r>
    <w:r w:rsidRPr="005D125E">
      <w:fldChar w:fldCharType="end"/>
    </w:r>
    <w:r w:rsidRPr="005D125E">
      <w:t>/</w:t>
    </w:r>
    <w:fldSimple w:instr=" NUMPAGES  \* MERGEFORMAT ">
      <w:r w:rsidR="00617C3C">
        <w:rPr>
          <w:noProof/>
        </w:rPr>
        <w:t>28</w:t>
      </w:r>
    </w:fldSimple>
    <w:r w:rsidRPr="005D125E">
      <w:tab/>
      <w:t>PE</w:t>
    </w:r>
    <w:r w:rsidRPr="005D125E">
      <w:rPr>
        <w:rStyle w:val="HideTWBExt"/>
      </w:rPr>
      <w:t>&lt;NoPE&gt;</w:t>
    </w:r>
    <w:r w:rsidRPr="005D125E">
      <w:t>752.621</w:t>
    </w:r>
    <w:r w:rsidRPr="005D125E">
      <w:rPr>
        <w:rStyle w:val="HideTWBExt"/>
      </w:rPr>
      <w:t>&lt;/NoPE&gt;&lt;Version&gt;</w:t>
    </w:r>
    <w:r w:rsidRPr="005D125E">
      <w:t>v02-00</w:t>
    </w:r>
    <w:r w:rsidRPr="005D125E">
      <w:rPr>
        <w:rStyle w:val="HideTWBExt"/>
      </w:rPr>
      <w:t>&lt;/Version&gt;</w:t>
    </w:r>
  </w:p>
  <w:p w:rsidR="00AF0131" w:rsidRPr="005D125E" w:rsidRDefault="005D125E" w:rsidP="005D125E">
    <w:pPr>
      <w:pStyle w:val="EPFooter2"/>
    </w:pPr>
    <w:r w:rsidRPr="005D125E">
      <w:tab/>
    </w:r>
    <w:r w:rsidRPr="005D125E">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25E" w:rsidRPr="005D125E" w:rsidRDefault="005D125E" w:rsidP="005D125E">
    <w:pPr>
      <w:pStyle w:val="EPFooter"/>
    </w:pPr>
    <w:r w:rsidRPr="005D125E">
      <w:rPr>
        <w:rStyle w:val="HideTWBExt"/>
      </w:rPr>
      <w:t>&lt;PathFdR&gt;</w:t>
    </w:r>
    <w:r w:rsidRPr="005D125E">
      <w:t>AD\1288324SK.docx</w:t>
    </w:r>
    <w:r w:rsidRPr="005D125E">
      <w:rPr>
        <w:rStyle w:val="HideTWBExt"/>
      </w:rPr>
      <w:t>&lt;/PathFdR&gt;</w:t>
    </w:r>
    <w:r w:rsidRPr="005D125E">
      <w:tab/>
    </w:r>
    <w:r w:rsidRPr="005D125E">
      <w:tab/>
      <w:t>PE</w:t>
    </w:r>
    <w:r w:rsidRPr="005D125E">
      <w:rPr>
        <w:rStyle w:val="HideTWBExt"/>
      </w:rPr>
      <w:t>&lt;NoPE&gt;</w:t>
    </w:r>
    <w:r w:rsidRPr="005D125E">
      <w:t>752.621</w:t>
    </w:r>
    <w:r w:rsidRPr="005D125E">
      <w:rPr>
        <w:rStyle w:val="HideTWBExt"/>
      </w:rPr>
      <w:t>&lt;/NoPE&gt;&lt;Version&gt;</w:t>
    </w:r>
    <w:r w:rsidRPr="005D125E">
      <w:t>v02-00</w:t>
    </w:r>
    <w:r w:rsidRPr="005D125E">
      <w:rPr>
        <w:rStyle w:val="HideTWBExt"/>
      </w:rPr>
      <w:t>&lt;/Version&gt;</w:t>
    </w:r>
  </w:p>
  <w:p w:rsidR="00AF0131" w:rsidRPr="005D125E" w:rsidRDefault="005D125E" w:rsidP="005D125E">
    <w:pPr>
      <w:pStyle w:val="EPFooter2"/>
    </w:pPr>
    <w:r w:rsidRPr="005D125E">
      <w:t>SK</w:t>
    </w:r>
    <w:r w:rsidRPr="005D125E">
      <w:tab/>
    </w:r>
    <w:r w:rsidRPr="005D125E">
      <w:rPr>
        <w:b w:val="0"/>
        <w:i/>
        <w:color w:val="C0C0C0"/>
        <w:sz w:val="22"/>
      </w:rPr>
      <w:t>Zjednotení v rozmanitosti</w:t>
    </w:r>
    <w:r w:rsidRPr="005D125E">
      <w:tab/>
      <w:t>SK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5D125E" w:rsidRDefault="00617C3C" w:rsidP="002258E0">
    <w:pPr>
      <w:pStyle w:val="EPFooter"/>
    </w:pPr>
    <w:r w:rsidRPr="005D125E">
      <w:rPr>
        <w:rStyle w:val="HideTWBExt"/>
      </w:rPr>
      <w:t>&lt;PathFdR&gt;</w:t>
    </w:r>
    <w:r w:rsidRPr="005D125E">
      <w:t>AD\1288324EN.docx</w:t>
    </w:r>
    <w:r w:rsidRPr="005D125E">
      <w:rPr>
        <w:rStyle w:val="HideTWBExt"/>
      </w:rPr>
      <w:t>&lt;/PathFdR&gt;</w:t>
    </w:r>
    <w:r w:rsidRPr="005D125E">
      <w:tab/>
    </w:r>
    <w:r w:rsidRPr="005D125E">
      <w:tab/>
      <w:t>PE</w:t>
    </w:r>
    <w:r w:rsidRPr="005D125E">
      <w:rPr>
        <w:rStyle w:val="HideTWBExt"/>
      </w:rPr>
      <w:t>&lt;NoPE&gt;</w:t>
    </w:r>
    <w:r w:rsidRPr="005D125E">
      <w:t>752.621</w:t>
    </w:r>
    <w:r w:rsidRPr="005D125E">
      <w:rPr>
        <w:rStyle w:val="HideTWBExt"/>
      </w:rPr>
      <w:t>&lt;/NoPE&gt;&lt;Version&gt;</w:t>
    </w:r>
    <w:r w:rsidRPr="005D125E">
      <w:t>v02-00</w:t>
    </w:r>
    <w:r w:rsidRPr="005D125E">
      <w:rPr>
        <w:rStyle w:val="HideTWBExt"/>
      </w:rPr>
      <w:t>&lt;/Version&gt;</w:t>
    </w:r>
  </w:p>
  <w:p w:rsidR="001A7452" w:rsidRPr="005D125E" w:rsidRDefault="00617C3C" w:rsidP="002258E0">
    <w:pPr>
      <w:pStyle w:val="EPFooter2"/>
    </w:pPr>
    <w:r w:rsidRPr="005D125E">
      <w:t>EN</w:t>
    </w:r>
    <w:r w:rsidRPr="005D125E">
      <w:tab/>
    </w:r>
    <w:r w:rsidRPr="005D125E">
      <w:rPr>
        <w:b w:val="0"/>
        <w:i/>
        <w:color w:val="C0C0C0"/>
        <w:sz w:val="22"/>
      </w:rPr>
      <w:t>United in diversity</w:t>
    </w:r>
    <w:r w:rsidRPr="005D125E">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D125E" w:rsidRDefault="00617C3C">
      <w:r w:rsidRPr="005D125E">
        <w:separator/>
      </w:r>
    </w:p>
  </w:footnote>
  <w:footnote w:type="continuationSeparator" w:id="0">
    <w:p w:rsidR="00000000" w:rsidRPr="005D125E" w:rsidRDefault="00617C3C">
      <w:r w:rsidRPr="005D12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F47" w:rsidRDefault="00900F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F47" w:rsidRDefault="00900F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F47" w:rsidRDefault="00900F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125E"/>
    <w:rsid w:val="005D22C6"/>
    <w:rsid w:val="00600087"/>
    <w:rsid w:val="00613134"/>
    <w:rsid w:val="00617C3C"/>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0F47"/>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DF6B66"/>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sk-SK"/>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DC80C-26F3-48DA-BDB2-9E44B327B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6612</Words>
  <Characters>42486</Characters>
  <Application>Microsoft Office Word</Application>
  <DocSecurity>0</DocSecurity>
  <Lines>1653</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2023-11-09T10:49:00Z</dcterms:created>
  <dcterms:modified xsi:type="dcterms:W3CDTF">2023-11-09T10:49:00Z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AD\1288324SK.docx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- 2023/11/09 11:48</vt:lpwstr>
  </property>
</Properties>
</file>