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32263" w:rsidTr="00E34A5C">
        <w:trPr>
          <w:trHeight w:hRule="exact" w:val="1418"/>
        </w:trPr>
        <w:tc>
          <w:tcPr>
            <w:tcW w:w="6804" w:type="dxa"/>
            <w:shd w:val="clear" w:color="auto" w:fill="auto"/>
            <w:vAlign w:val="center"/>
          </w:tcPr>
          <w:p w:rsidR="00BA3E40" w:rsidRPr="00C3576B" w:rsidRDefault="009136E1" w:rsidP="00E34A5C">
            <w:pPr>
              <w:pStyle w:val="EPName"/>
            </w:pPr>
            <w:bookmarkStart w:id="0" w:name="_GoBack"/>
            <w:bookmarkEnd w:id="0"/>
            <w:r>
              <w:t>Evropski parlament</w:t>
            </w:r>
          </w:p>
          <w:p w:rsidR="00BA3E40" w:rsidRPr="00C3576B" w:rsidRDefault="009136E1" w:rsidP="009B6583">
            <w:pPr>
              <w:pStyle w:val="EPTerm"/>
            </w:pPr>
            <w:r>
              <w:t>2019-2024</w:t>
            </w:r>
          </w:p>
        </w:tc>
        <w:tc>
          <w:tcPr>
            <w:tcW w:w="2268" w:type="dxa"/>
            <w:shd w:val="clear" w:color="auto" w:fill="auto"/>
          </w:tcPr>
          <w:p w:rsidR="00BA3E40" w:rsidRPr="00C3576B" w:rsidRDefault="009136E1" w:rsidP="00E34A5C">
            <w:pPr>
              <w:pStyle w:val="EPLogo"/>
            </w:pPr>
            <w:r w:rsidRPr="00C357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3576B" w:rsidRDefault="00F24D40" w:rsidP="00F24D40">
      <w:pPr>
        <w:pStyle w:val="LineTop"/>
      </w:pPr>
    </w:p>
    <w:p w:rsidR="00F24D40" w:rsidRPr="00C3576B" w:rsidRDefault="009136E1" w:rsidP="00F24D40">
      <w:pPr>
        <w:pStyle w:val="EPBody"/>
      </w:pPr>
      <w:r>
        <w:rPr>
          <w:rStyle w:val="HideTWBExt"/>
          <w:i w:val="0"/>
        </w:rPr>
        <w:t>&lt;Commission&gt;</w:t>
      </w:r>
      <w:r>
        <w:rPr>
          <w:rStyle w:val="HideTWBInt"/>
          <w:i w:val="0"/>
          <w:color w:val="auto"/>
        </w:rPr>
        <w:t>{EMPL}</w:t>
      </w:r>
      <w:r>
        <w:t>Odbor za zaposlovanje in socialne zadeve</w:t>
      </w:r>
      <w:r>
        <w:rPr>
          <w:rStyle w:val="HideTWBExt"/>
          <w:i w:val="0"/>
        </w:rPr>
        <w:t>&lt;/Commission&gt;</w:t>
      </w:r>
    </w:p>
    <w:p w:rsidR="00F24D40" w:rsidRPr="00C3576B" w:rsidRDefault="00F24D40" w:rsidP="00F24D40">
      <w:pPr>
        <w:pStyle w:val="LineBottom"/>
      </w:pPr>
    </w:p>
    <w:p w:rsidR="00DB56E4" w:rsidRPr="00C3576B" w:rsidRDefault="009136E1" w:rsidP="00DB56E4">
      <w:pPr>
        <w:pStyle w:val="CoverReference"/>
      </w:pPr>
      <w:r>
        <w:rPr>
          <w:rStyle w:val="HideTWBExt"/>
          <w:b w:val="0"/>
        </w:rPr>
        <w:t>&lt;RefProc&gt;</w:t>
      </w:r>
      <w:r>
        <w:t>2023/0138</w:t>
      </w:r>
      <w:r>
        <w:rPr>
          <w:rStyle w:val="HideTWBExt"/>
          <w:b w:val="0"/>
        </w:rPr>
        <w:t>&lt;/RefProc&gt;&lt;RefTypeProc&gt;</w:t>
      </w:r>
      <w:r>
        <w:t>(COD)</w:t>
      </w:r>
      <w:r>
        <w:rPr>
          <w:rStyle w:val="HideTWBExt"/>
          <w:b w:val="0"/>
        </w:rPr>
        <w:t>&lt;/RefTypeProc&gt;</w:t>
      </w:r>
    </w:p>
    <w:p w:rsidR="00DB56E4" w:rsidRPr="00C3576B" w:rsidRDefault="009136E1" w:rsidP="00DB56E4">
      <w:pPr>
        <w:pStyle w:val="CoverDate"/>
      </w:pPr>
      <w:r>
        <w:rPr>
          <w:rStyle w:val="HideTWBExt"/>
        </w:rPr>
        <w:t>&lt;Date&gt;</w:t>
      </w:r>
      <w:r>
        <w:rPr>
          <w:rStyle w:val="HideTWBInt"/>
          <w:color w:val="auto"/>
        </w:rPr>
        <w:t>{30/10/2023}</w:t>
      </w:r>
      <w:r>
        <w:t>30.10.2023</w:t>
      </w:r>
      <w:r>
        <w:rPr>
          <w:rStyle w:val="HideTWBExt"/>
        </w:rPr>
        <w:t>&lt;/Date&gt;</w:t>
      </w:r>
    </w:p>
    <w:p w:rsidR="00DB56E4" w:rsidRPr="00C3576B" w:rsidRDefault="009136E1" w:rsidP="00DB56E4">
      <w:pPr>
        <w:pStyle w:val="CoverDocType24a"/>
      </w:pPr>
      <w:r>
        <w:rPr>
          <w:rStyle w:val="HideTWBExt"/>
          <w:b w:val="0"/>
        </w:rPr>
        <w:t>&lt;TitreType&gt;</w:t>
      </w:r>
      <w:r>
        <w:t>MNENJE</w:t>
      </w:r>
      <w:r>
        <w:rPr>
          <w:rStyle w:val="HideTWBExt"/>
          <w:b w:val="0"/>
        </w:rPr>
        <w:t>&lt;/TitreType&gt;</w:t>
      </w:r>
    </w:p>
    <w:p w:rsidR="00DB56E4" w:rsidRPr="00C3576B" w:rsidRDefault="009136E1" w:rsidP="00DB56E4">
      <w:pPr>
        <w:pStyle w:val="CoverNormal24a"/>
      </w:pPr>
      <w:r>
        <w:rPr>
          <w:rStyle w:val="HideTWBExt"/>
        </w:rPr>
        <w:t>&lt;CommissionResp&gt;</w:t>
      </w:r>
      <w:r>
        <w:t>Odbora</w:t>
      </w:r>
      <w:r>
        <w:t xml:space="preserve"> za zaposlovanje in socialne zadeve</w:t>
      </w:r>
      <w:r>
        <w:rPr>
          <w:rStyle w:val="HideTWBExt"/>
        </w:rPr>
        <w:t>&lt;/CommissionResp&gt;</w:t>
      </w:r>
    </w:p>
    <w:p w:rsidR="00DB56E4" w:rsidRPr="00C3576B" w:rsidRDefault="009136E1" w:rsidP="00DB56E4">
      <w:pPr>
        <w:pStyle w:val="CoverNormal24a"/>
      </w:pPr>
      <w:r>
        <w:rPr>
          <w:rStyle w:val="HideTWBExt"/>
        </w:rPr>
        <w:t>&lt;CommissionInt&gt;</w:t>
      </w:r>
      <w:r>
        <w:t>za Odbor za ekonomske in monetarne zadeve</w:t>
      </w:r>
      <w:r>
        <w:rPr>
          <w:rStyle w:val="HideTWBExt"/>
        </w:rPr>
        <w:t>&lt;/CommissionInt&gt;</w:t>
      </w:r>
    </w:p>
    <w:p w:rsidR="00DB56E4" w:rsidRPr="00C3576B" w:rsidRDefault="009136E1" w:rsidP="00DB56E4">
      <w:pPr>
        <w:pStyle w:val="CoverNormal"/>
      </w:pPr>
      <w:r>
        <w:rPr>
          <w:rStyle w:val="HideTWBExt"/>
        </w:rPr>
        <w:t>&lt;Titre&gt;</w:t>
      </w:r>
      <w:r>
        <w:t>o predlogu uredbe Evropskega parlamenta in Sveta o učinkovitem usklajevanju ekonomskih politik in večstranskem proračunskem</w:t>
      </w:r>
      <w:r>
        <w:t xml:space="preserve"> nadzoru ter razveljavitvi Uredbe Sveta (ES) št. 1466/97</w:t>
      </w:r>
      <w:r>
        <w:rPr>
          <w:rStyle w:val="HideTWBExt"/>
        </w:rPr>
        <w:t>&lt;/Titre&gt;</w:t>
      </w:r>
    </w:p>
    <w:p w:rsidR="00DB56E4" w:rsidRPr="00C3576B" w:rsidRDefault="009136E1" w:rsidP="00DB56E4">
      <w:pPr>
        <w:pStyle w:val="CoverNormal24a"/>
      </w:pPr>
      <w:r>
        <w:rPr>
          <w:rStyle w:val="HideTWBExt"/>
        </w:rPr>
        <w:t>&lt;DocRef&gt;</w:t>
      </w:r>
      <w:r>
        <w:t>(COM(2023)0240 – C9</w:t>
      </w:r>
      <w:r>
        <w:noBreakHyphen/>
        <w:t>0150/2023 – 2023/0138(COD))</w:t>
      </w:r>
      <w:r>
        <w:rPr>
          <w:rStyle w:val="HideTWBExt"/>
        </w:rPr>
        <w:t>&lt;/DocRef&gt;</w:t>
      </w:r>
    </w:p>
    <w:p w:rsidR="00921659" w:rsidRPr="00C3576B" w:rsidRDefault="009136E1" w:rsidP="00FA3C27">
      <w:pPr>
        <w:pStyle w:val="CoverNormal24a"/>
      </w:pPr>
      <w:r>
        <w:t xml:space="preserve">Pripravljavka mnenja </w:t>
      </w:r>
      <w:r>
        <w:rPr>
          <w:snapToGrid w:val="0"/>
        </w:rPr>
        <w:t>(*)</w:t>
      </w:r>
      <w:r>
        <w:t xml:space="preserve">: </w:t>
      </w:r>
      <w:r>
        <w:rPr>
          <w:rStyle w:val="HideTWBExt"/>
        </w:rPr>
        <w:t>&lt;Depute&gt;</w:t>
      </w:r>
      <w:r>
        <w:t>Gabriele Bischoff</w:t>
      </w:r>
      <w:r>
        <w:rPr>
          <w:rStyle w:val="HideTWBExt"/>
        </w:rPr>
        <w:t>&lt;/Depute&gt;</w:t>
      </w:r>
    </w:p>
    <w:p w:rsidR="00921659" w:rsidRPr="00C3576B" w:rsidRDefault="009136E1" w:rsidP="00487596">
      <w:pPr>
        <w:pStyle w:val="CoverNormal"/>
      </w:pPr>
      <w:r>
        <w:rPr>
          <w:snapToGrid w:val="0"/>
        </w:rPr>
        <w:t>(*) Postopek s pridruženim odborom - člen 57 Poslovnika</w:t>
      </w:r>
    </w:p>
    <w:p w:rsidR="00DB56E4" w:rsidRPr="00C3576B" w:rsidRDefault="009136E1" w:rsidP="0004474F">
      <w:pPr>
        <w:tabs>
          <w:tab w:val="center" w:pos="4677"/>
        </w:tabs>
      </w:pPr>
      <w:r>
        <w:br w:type="page"/>
      </w:r>
      <w:r>
        <w:lastRenderedPageBreak/>
        <w:t>PA_Legam</w:t>
      </w:r>
    </w:p>
    <w:p w:rsidR="00DB56E4" w:rsidRPr="00C3576B" w:rsidRDefault="009136E1" w:rsidP="009508DE">
      <w:pPr>
        <w:pStyle w:val="PageHeadingNotTOC"/>
      </w:pPr>
      <w:r>
        <w:br w:type="page"/>
      </w:r>
      <w:r>
        <w:lastRenderedPageBreak/>
        <w:t>PREDLOG SPREMEMBE</w:t>
      </w:r>
    </w:p>
    <w:p w:rsidR="00DB56E4" w:rsidRPr="00C3576B" w:rsidRDefault="009136E1" w:rsidP="001E3AC4">
      <w:pPr>
        <w:pStyle w:val="Normal12a"/>
      </w:pPr>
      <w:bookmarkStart w:id="1" w:name="IntroA"/>
      <w:r>
        <w:t>Odbor za zaposlovanje in socialne zadeve poziva Odbor za ekonomske in monetarne zadeve kot pristojni odbor, da upošteva naslednje:</w:t>
      </w:r>
    </w:p>
    <w:bookmarkEnd w:id="1"/>
    <w:p w:rsidR="009508DE" w:rsidRPr="00C56375" w:rsidRDefault="009136E1" w:rsidP="009508DE">
      <w:r>
        <w:rPr>
          <w:rStyle w:val="HideTWBExt"/>
          <w:b/>
        </w:rPr>
        <w:t>&lt;RepeatBlock-Amend&gt;</w:t>
      </w:r>
      <w:r>
        <w:rPr>
          <w:rStyle w:val="HideTWBExt"/>
        </w:rPr>
        <w:t>&lt;Amend&gt;</w:t>
      </w:r>
      <w:r>
        <w:t>Predlog spremembe</w:t>
      </w:r>
      <w:r>
        <w:tab/>
      </w:r>
      <w:r>
        <w:rPr>
          <w:rStyle w:val="HideTWBExt"/>
        </w:rPr>
        <w:t>&lt;NumAm&gt;</w:t>
      </w:r>
      <w:r>
        <w:t>1</w:t>
      </w:r>
      <w:r>
        <w:rPr>
          <w:rStyle w:val="HideTWBExt"/>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(2)</w:t>
            </w:r>
            <w:r>
              <w:tab/>
              <w:t>Pakt za stabilnost in rast, ki so ga prvotno sestavljale Uredba Sveta (ES) št. 1466/97, Uredba Sveta (ES) št. 1467/97</w:t>
            </w:r>
            <w:r>
              <w:rPr>
                <w:vertAlign w:val="superscript"/>
              </w:rPr>
              <w:t>19</w:t>
            </w:r>
            <w:r>
              <w:t xml:space="preserve"> z dne 7. julija 1997</w:t>
            </w:r>
            <w:r>
              <w:rPr>
                <w:vertAlign w:val="superscript"/>
              </w:rPr>
              <w:t>20</w:t>
            </w:r>
            <w:r>
              <w:t xml:space="preserve"> in Resolucija Evropskega sveta z dne 17. junija 1997 o Paktu za stabilnost in rast</w:t>
            </w:r>
            <w:r>
              <w:rPr>
                <w:vertAlign w:val="superscript"/>
              </w:rPr>
              <w:t>21</w:t>
            </w:r>
            <w:r>
              <w:t xml:space="preserve"> , temelji na cilju zdravih in vzdržnih javnih financ kot sredstvu za izboljšanje pogojev za stabilnost cen in močno trajnostno rast, podprto s finančno stabilnostjo, in t</w:t>
            </w:r>
            <w:r>
              <w:t xml:space="preserve">ako podpira doseganje ciljev Unije na področju trajnostne in vključujoče rasti </w:t>
            </w:r>
            <w:r>
              <w:rPr>
                <w:b/>
                <w:bCs/>
                <w:i/>
                <w:iCs/>
              </w:rPr>
              <w:t>in</w:t>
            </w:r>
            <w:r>
              <w:t xml:space="preserve"> </w:t>
            </w:r>
            <w:r>
              <w:rPr>
                <w:b/>
                <w:bCs/>
                <w:i/>
                <w:iCs/>
              </w:rPr>
              <w:t>zaposlovanja</w:t>
            </w:r>
            <w:r>
              <w:t>.</w:t>
            </w:r>
          </w:p>
        </w:tc>
        <w:tc>
          <w:tcPr>
            <w:tcW w:w="4876" w:type="dxa"/>
            <w:hideMark/>
          </w:tcPr>
          <w:p w:rsidR="009508DE" w:rsidRPr="00C56375" w:rsidRDefault="009136E1" w:rsidP="005E217A">
            <w:pPr>
              <w:pStyle w:val="Normal6"/>
              <w:rPr>
                <w:szCs w:val="24"/>
              </w:rPr>
            </w:pPr>
            <w:r>
              <w:t>(2)</w:t>
            </w:r>
            <w:r>
              <w:tab/>
              <w:t>Pakt za stabilnost in rast, ki so ga prvotno sestavljale Uredba Sveta (ES) št. 1466/19, Uredba Sveta (ES) št. 1467/9720 z dne 7. julija 1997 in Resolucija E</w:t>
            </w:r>
            <w:r>
              <w:t>vropskega sveta z dne 17. junija 1997 o Paktu za stabilnost in rast21, temelji na cilju zdravih in vzdržnih javnih financ kot sredstvu za izboljšanje pogojev za stabilnost cen in močno trajnostno rast</w:t>
            </w:r>
            <w:r>
              <w:rPr>
                <w:b/>
                <w:bCs/>
                <w:i/>
                <w:iCs/>
              </w:rPr>
              <w:t>, ki prispeva k ustvarjanju delovnih mest</w:t>
            </w:r>
            <w:r>
              <w:t xml:space="preserve"> in ki je podpr</w:t>
            </w:r>
            <w:r>
              <w:t>ta s finančno stabilnostjo, in tako podpira doseganje ciljev Unije na področju trajnostne in vključujoče rasti</w:t>
            </w:r>
            <w:r>
              <w:rPr>
                <w:b/>
                <w:bCs/>
                <w:i/>
                <w:iCs/>
              </w:rPr>
              <w:t>, katere cilj je polna zaposlenost in socialni napredek</w:t>
            </w:r>
            <w:r>
              <w:t>.</w:t>
            </w:r>
          </w:p>
        </w:tc>
      </w:tr>
      <w:tr w:rsidR="00432263" w:rsidTr="005E217A">
        <w:trPr>
          <w:jc w:val="center"/>
        </w:trPr>
        <w:tc>
          <w:tcPr>
            <w:tcW w:w="4876" w:type="dxa"/>
            <w:hideMark/>
          </w:tcPr>
          <w:p w:rsidR="009508DE" w:rsidRPr="00C56375" w:rsidRDefault="009136E1" w:rsidP="005E217A">
            <w:pPr>
              <w:pStyle w:val="Normal6"/>
            </w:pPr>
            <w:r>
              <w:t>__________________</w:t>
            </w:r>
          </w:p>
        </w:tc>
        <w:tc>
          <w:tcPr>
            <w:tcW w:w="4876" w:type="dxa"/>
            <w:hideMark/>
          </w:tcPr>
          <w:p w:rsidR="009508DE" w:rsidRPr="00C56375" w:rsidRDefault="009136E1" w:rsidP="005E217A">
            <w:pPr>
              <w:pStyle w:val="Normal6"/>
              <w:rPr>
                <w:szCs w:val="24"/>
              </w:rPr>
            </w:pPr>
            <w:r>
              <w:t>__________________</w:t>
            </w:r>
          </w:p>
        </w:tc>
      </w:tr>
      <w:tr w:rsidR="00432263" w:rsidTr="005E217A">
        <w:trPr>
          <w:jc w:val="center"/>
        </w:trPr>
        <w:tc>
          <w:tcPr>
            <w:tcW w:w="4876" w:type="dxa"/>
            <w:hideMark/>
          </w:tcPr>
          <w:p w:rsidR="009508DE" w:rsidRPr="00C56375" w:rsidRDefault="009136E1" w:rsidP="005E217A">
            <w:pPr>
              <w:pStyle w:val="Normal6"/>
            </w:pPr>
            <w:r>
              <w:rPr>
                <w:vertAlign w:val="superscript"/>
              </w:rPr>
              <w:t>19</w:t>
            </w:r>
            <w:r>
              <w:t xml:space="preserve"> Uredba Sveta (ES) št. 1466/97 z dne 7. julija </w:t>
            </w:r>
            <w:r>
              <w:t>1997 o okrepitvi nadzora nad proračunskim stanjem ter o nadzoru in usklajevanju gospodarskih politik (UL L 209, 2.8.1997, str. 1).</w:t>
            </w:r>
          </w:p>
        </w:tc>
        <w:tc>
          <w:tcPr>
            <w:tcW w:w="4876" w:type="dxa"/>
            <w:hideMark/>
          </w:tcPr>
          <w:p w:rsidR="009508DE" w:rsidRPr="00C56375" w:rsidRDefault="009136E1" w:rsidP="005E217A">
            <w:pPr>
              <w:pStyle w:val="Normal6"/>
              <w:rPr>
                <w:szCs w:val="24"/>
              </w:rPr>
            </w:pPr>
            <w:r>
              <w:rPr>
                <w:vertAlign w:val="superscript"/>
              </w:rPr>
              <w:t>19</w:t>
            </w:r>
            <w:r>
              <w:t xml:space="preserve"> Uredba Sveta (ES) št. 1466/97 z dne 7. julija 1997 o okrepitvi nadzora nad proračunskim stanjem ter o nadzoru in usklajeva</w:t>
            </w:r>
            <w:r>
              <w:t>nju gospodarskih politik (UL L 209, 2.8.1997, str. 1).</w:t>
            </w:r>
          </w:p>
        </w:tc>
      </w:tr>
      <w:tr w:rsidR="00432263" w:rsidTr="005E217A">
        <w:trPr>
          <w:jc w:val="center"/>
        </w:trPr>
        <w:tc>
          <w:tcPr>
            <w:tcW w:w="4876" w:type="dxa"/>
            <w:hideMark/>
          </w:tcPr>
          <w:p w:rsidR="009508DE" w:rsidRPr="00C56375" w:rsidRDefault="009136E1" w:rsidP="005E217A">
            <w:pPr>
              <w:pStyle w:val="Normal6"/>
            </w:pPr>
            <w:r>
              <w:rPr>
                <w:vertAlign w:val="superscript"/>
              </w:rPr>
              <w:t>20</w:t>
            </w:r>
            <w:r>
              <w:t xml:space="preserve"> Uredba Sveta (ES) št. 1467/97 z dne 7. julija 1997 o pospešitvi in razjasnitvi izvajanja postopka v zvezi s čezmernim primanjkljajem (UL L 209, 2.8.1997, str. 6).</w:t>
            </w:r>
          </w:p>
        </w:tc>
        <w:tc>
          <w:tcPr>
            <w:tcW w:w="4876" w:type="dxa"/>
            <w:hideMark/>
          </w:tcPr>
          <w:p w:rsidR="009508DE" w:rsidRPr="00C56375" w:rsidRDefault="009136E1" w:rsidP="005E217A">
            <w:pPr>
              <w:pStyle w:val="Normal6"/>
              <w:rPr>
                <w:szCs w:val="24"/>
              </w:rPr>
            </w:pPr>
            <w:r>
              <w:rPr>
                <w:vertAlign w:val="superscript"/>
              </w:rPr>
              <w:t>20</w:t>
            </w:r>
            <w:r>
              <w:t xml:space="preserve"> Uredba Sveta (ES) št. 1467/97 z</w:t>
            </w:r>
            <w:r>
              <w:t xml:space="preserve"> dne 7. julija 1997 o pospešitvi in razjasnitvi izvajanja postopka v zvezi s čezmernim primanjkljajem (UL L 209, 2.8.1997, str. 6).</w:t>
            </w:r>
          </w:p>
        </w:tc>
      </w:tr>
      <w:tr w:rsidR="00432263" w:rsidTr="005E217A">
        <w:trPr>
          <w:jc w:val="center"/>
        </w:trPr>
        <w:tc>
          <w:tcPr>
            <w:tcW w:w="4876" w:type="dxa"/>
            <w:hideMark/>
          </w:tcPr>
          <w:p w:rsidR="009508DE" w:rsidRPr="00C56375" w:rsidRDefault="009136E1" w:rsidP="005E217A">
            <w:pPr>
              <w:pStyle w:val="Normal6"/>
            </w:pPr>
            <w:r>
              <w:rPr>
                <w:vertAlign w:val="superscript"/>
              </w:rPr>
              <w:t>21</w:t>
            </w:r>
            <w:r>
              <w:t xml:space="preserve"> Resolucija Evropskega sveta o Paktu za stabilnost in rast iz Amsterdama z dne 17. junija 1997 (UL C 236, 2.8.1997, str. </w:t>
            </w:r>
            <w:r>
              <w:t>1).</w:t>
            </w:r>
          </w:p>
        </w:tc>
        <w:tc>
          <w:tcPr>
            <w:tcW w:w="4876" w:type="dxa"/>
            <w:hideMark/>
          </w:tcPr>
          <w:p w:rsidR="009508DE" w:rsidRPr="00C56375" w:rsidRDefault="009136E1" w:rsidP="005E217A">
            <w:pPr>
              <w:pStyle w:val="Normal6"/>
              <w:rPr>
                <w:szCs w:val="24"/>
              </w:rPr>
            </w:pPr>
            <w:r>
              <w:rPr>
                <w:vertAlign w:val="superscript"/>
              </w:rPr>
              <w:t>21</w:t>
            </w:r>
            <w:r>
              <w:t xml:space="preserve"> Resolucija Evropskega sveta o Paktu za stabilnost in rast iz Amsterdama z dne 17. junija 1997 (UL C 236, 2.8.1997, str. 1).</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(5)</w:t>
            </w:r>
            <w:r>
              <w:tab/>
              <w:t xml:space="preserve">Okvir ekonomskega upravljanja Unije bi bilo treba prilagoditi, da bi se bolje upoštevale vse večja heterogenost fiskalnih položajev, izzivi na področju javnega dolga in druge ranljivosti v državah </w:t>
            </w:r>
            <w:r>
              <w:t>članicah. Odločen odziv politike na pandemijo COVID-19 se je izkazal za zelo učinkovitega pri blaženju gospodarske in socialne škode, nastale zaradi krize, vendar je kriza povzročila znatno povečanje deleža dolga v javnem in zasebnem sektorju, kar je pouda</w:t>
            </w:r>
            <w:r>
              <w:t xml:space="preserve">rilo pomen postopnega, trajnega </w:t>
            </w:r>
            <w:r>
              <w:rPr>
                <w:b/>
                <w:bCs/>
                <w:i/>
                <w:iCs/>
              </w:rPr>
              <w:t>in</w:t>
            </w:r>
            <w:r>
              <w:t xml:space="preserve"> rasti prijaznega zmanjševanja deležev dolga na preudarne ravni ter odpravljanja makroekonomskih neravnotežij </w:t>
            </w:r>
            <w:r>
              <w:rPr>
                <w:b/>
                <w:bCs/>
                <w:i/>
                <w:iCs/>
              </w:rPr>
              <w:t>ob hkratnem</w:t>
            </w:r>
            <w:r>
              <w:t xml:space="preserve"> posvečanju ustrezne pozornosti ciljem na področju zaposlovanja in socialnim ciljem. Hkrati bi bilo t</w:t>
            </w:r>
            <w:r>
              <w:t>reba prilagoditi okvir ekonomskega upravljanja Unije tako, da bi pomagal obravnavati srednje- in dolgoročne izzive, s katerimi se sooča Unija, vključno z doseganjem pravičnega digitalnega in zelenega prehoda, ki zajema podnebna pravila</w:t>
            </w:r>
            <w:r>
              <w:rPr>
                <w:vertAlign w:val="superscript"/>
              </w:rPr>
              <w:t>22</w:t>
            </w:r>
            <w:r>
              <w:t xml:space="preserve"> , zagotavljanjem e</w:t>
            </w:r>
            <w:r>
              <w:t>nergetske varnosti, odprte strateške avtonomije, obravnavanjem demografskih sprememb, krepitvijo socialne in gospodarske odpornosti ter izvajanjem strateškega kompasa za varnost in obrambo, za vse to pa so v prihodnjih letih potrebne reforme in trajno viso</w:t>
            </w:r>
            <w:r>
              <w:t>ke ravni naložb.</w:t>
            </w:r>
          </w:p>
        </w:tc>
        <w:tc>
          <w:tcPr>
            <w:tcW w:w="4876" w:type="dxa"/>
            <w:hideMark/>
          </w:tcPr>
          <w:p w:rsidR="009508DE" w:rsidRPr="00C56375" w:rsidRDefault="009136E1" w:rsidP="005E217A">
            <w:pPr>
              <w:pStyle w:val="Normal6"/>
              <w:rPr>
                <w:szCs w:val="24"/>
              </w:rPr>
            </w:pPr>
            <w:r>
              <w:t>(5)</w:t>
            </w:r>
            <w:r>
              <w:tab/>
              <w:t>Okvir ekonomskega upravljanja Unije bi bilo treba prilagoditi, da bi se bolje upoštevale vse večja heterogenost fiskalnih položajev, izzivi na področju javnega dolga in druge ranljivosti v državah članicah. Odločen odziv politike na pa</w:t>
            </w:r>
            <w:r>
              <w:t>ndemijo COVID-19 se je izkazal za zelo učinkovitega pri blaženju gospodarske in socialne škode, nastale zaradi krize, vendar je kriza povzročila znatno povečanje deleža dolga v javnem in zasebnem sektorju, kar je poudarilo pomen postopnega, trajnega, rasti</w:t>
            </w:r>
            <w:r>
              <w:t xml:space="preserve"> prijaznega </w:t>
            </w:r>
            <w:r>
              <w:rPr>
                <w:b/>
                <w:bCs/>
                <w:i/>
                <w:iCs/>
              </w:rPr>
              <w:t>in vključujočega</w:t>
            </w:r>
            <w:r>
              <w:t xml:space="preserve"> zmanjševanja deležev dolga na preudarne ravni ter odpravljanja makroekonomskih neravnotežij</w:t>
            </w:r>
            <w:r>
              <w:rPr>
                <w:b/>
                <w:bCs/>
                <w:i/>
                <w:iCs/>
              </w:rPr>
              <w:t xml:space="preserve"> in podpiranja navzgor usmerjene socialne konvergence</w:t>
            </w:r>
            <w:r>
              <w:t xml:space="preserve"> ob posvečanju ustrezne pozornosti ciljem na področju </w:t>
            </w:r>
            <w:r>
              <w:rPr>
                <w:b/>
                <w:bCs/>
                <w:i/>
                <w:iCs/>
              </w:rPr>
              <w:t>kakovostnega</w:t>
            </w:r>
            <w:r>
              <w:t xml:space="preserve"> zaposlovanja in </w:t>
            </w:r>
            <w:r>
              <w:t>socialnim ciljem. Hkrati bi bilo treba prilagoditi okvir ekonomskega upravljanja Unije tako, da bi pomagal obravnavati srednje- in dolgoročne izzive, s katerimi se sooča Unija, vključno z doseganjem pravičnega digitalnega in zelenega prehoda, ki zajema pod</w:t>
            </w:r>
            <w:r>
              <w:t>nebna pravila</w:t>
            </w:r>
            <w:r>
              <w:rPr>
                <w:vertAlign w:val="superscript"/>
              </w:rPr>
              <w:t>22</w:t>
            </w:r>
            <w:r>
              <w:rPr>
                <w:b/>
                <w:bCs/>
                <w:i/>
                <w:iCs/>
              </w:rPr>
              <w:t xml:space="preserve"> in izvajanjem evropskega stebra socialnih pravic</w:t>
            </w:r>
            <w:r>
              <w:t xml:space="preserve">, zagotavljanjem energetske varnosti, odprte strateške avtonomije, obravnavanjem demografskih sprememb, krepitvijo socialne in gospodarske odpornosti, </w:t>
            </w:r>
            <w:r>
              <w:rPr>
                <w:b/>
                <w:bCs/>
                <w:i/>
                <w:iCs/>
              </w:rPr>
              <w:t xml:space="preserve">vključno s povečanjem socialnih naložb, </w:t>
            </w:r>
            <w:r>
              <w:t>t</w:t>
            </w:r>
            <w:r>
              <w:t>er izvajanjem strateškega kompasa za varnost in obrambo, za vse to pa so v prihodnjih letih potrebne reforme in trajno visoke ravni naložb.</w:t>
            </w:r>
          </w:p>
        </w:tc>
      </w:tr>
      <w:tr w:rsidR="00432263" w:rsidTr="005E217A">
        <w:trPr>
          <w:jc w:val="center"/>
        </w:trPr>
        <w:tc>
          <w:tcPr>
            <w:tcW w:w="4876" w:type="dxa"/>
            <w:hideMark/>
          </w:tcPr>
          <w:p w:rsidR="009508DE" w:rsidRPr="00C56375" w:rsidRDefault="009136E1" w:rsidP="005E217A">
            <w:pPr>
              <w:pStyle w:val="Normal6"/>
            </w:pPr>
            <w:r>
              <w:t>__________________</w:t>
            </w:r>
          </w:p>
        </w:tc>
        <w:tc>
          <w:tcPr>
            <w:tcW w:w="4876" w:type="dxa"/>
            <w:hideMark/>
          </w:tcPr>
          <w:p w:rsidR="009508DE" w:rsidRPr="00C56375" w:rsidRDefault="009136E1" w:rsidP="005E217A">
            <w:pPr>
              <w:pStyle w:val="Normal6"/>
              <w:rPr>
                <w:szCs w:val="24"/>
              </w:rPr>
            </w:pPr>
            <w:r>
              <w:t>__________________</w:t>
            </w:r>
          </w:p>
        </w:tc>
      </w:tr>
      <w:tr w:rsidR="00432263" w:rsidTr="005E217A">
        <w:trPr>
          <w:jc w:val="center"/>
        </w:trPr>
        <w:tc>
          <w:tcPr>
            <w:tcW w:w="4876" w:type="dxa"/>
            <w:hideMark/>
          </w:tcPr>
          <w:p w:rsidR="009508DE" w:rsidRPr="00C56375" w:rsidRDefault="009136E1" w:rsidP="005E217A">
            <w:pPr>
              <w:pStyle w:val="Normal6"/>
            </w:pPr>
            <w:r>
              <w:rPr>
                <w:vertAlign w:val="superscript"/>
              </w:rPr>
              <w:t>22</w:t>
            </w:r>
            <w:r>
              <w:t xml:space="preserve"> Evropska podnebna pravila določajo vseevropski cilj podnebne nevtralnosti</w:t>
            </w:r>
            <w:r>
              <w:t xml:space="preserve"> do leta 2050 ter od institucij Unije in držav članic zahtevajo napredek pri krepitvi </w:t>
            </w:r>
            <w:r>
              <w:lastRenderedPageBreak/>
              <w:t>prilagoditvene sposobnosti, za kar so potrebne znatne javne naložbe za zmanjšanje negativnih socialno-ekonomskih učinkov podnebnih sprememb na EU in njene države članice,</w:t>
            </w:r>
            <w:r>
              <w:t xml:space="preserve"> vključno z zmanjšanjem negativnih učinkov na rast in fiskalno vzdržnost.</w:t>
            </w:r>
          </w:p>
        </w:tc>
        <w:tc>
          <w:tcPr>
            <w:tcW w:w="4876" w:type="dxa"/>
            <w:hideMark/>
          </w:tcPr>
          <w:p w:rsidR="009508DE" w:rsidRPr="00C56375" w:rsidRDefault="009136E1" w:rsidP="005E217A">
            <w:pPr>
              <w:pStyle w:val="Normal6"/>
              <w:rPr>
                <w:szCs w:val="24"/>
              </w:rPr>
            </w:pPr>
            <w:r>
              <w:rPr>
                <w:vertAlign w:val="superscript"/>
              </w:rPr>
              <w:lastRenderedPageBreak/>
              <w:t>22</w:t>
            </w:r>
            <w:r>
              <w:t xml:space="preserve"> Evropska podnebna pravila določajo vseevropski cilj podnebne nevtralnosti do leta 2050 ter od institucij Unije in držav članic zahtevajo napredek pri krepitvi </w:t>
            </w:r>
            <w:r>
              <w:lastRenderedPageBreak/>
              <w:t>prilagoditvene sposo</w:t>
            </w:r>
            <w:r>
              <w:t>bnosti, za kar so potrebne znatne javne naložbe za zmanjšanje negativnih socialno-ekonomskih učinkov podnebnih sprememb na EU in njene države članice, vključno z zmanjšanjem negativnih učinkov na rast in fiskalno vzdržnost.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lastRenderedPageBreak/>
        <w:t>&lt;/Amend&gt;</w:t>
      </w:r>
    </w:p>
    <w:p w:rsidR="009508DE" w:rsidRPr="00C56375" w:rsidRDefault="009136E1" w:rsidP="009508DE">
      <w:pPr>
        <w:pStyle w:val="AmNumberTabs"/>
      </w:pPr>
      <w:r>
        <w:rPr>
          <w:rStyle w:val="HideTWBExt"/>
          <w:b w:val="0"/>
        </w:rPr>
        <w:t>&lt;Amend&gt;</w:t>
      </w:r>
      <w:r>
        <w:t xml:space="preserve">Predlog </w:t>
      </w:r>
      <w:r>
        <w:t>spremembe</w:t>
      </w:r>
      <w:r>
        <w:tab/>
      </w:r>
      <w:r>
        <w:tab/>
      </w:r>
      <w:r>
        <w:rPr>
          <w:rStyle w:val="HideTWBExt"/>
          <w:b w:val="0"/>
        </w:rPr>
        <w:t>&lt;NumAm&gt;</w:t>
      </w:r>
      <w:r>
        <w:t>3</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(7)</w:t>
            </w:r>
            <w:r>
              <w:tab/>
            </w:r>
            <w:r>
              <w:t xml:space="preserve">Postopek večstranskega nadzora iz člena 121(2), (3) in (4) ter člena 148(4) PDEU bi moral v skladu s podrobnejšimi pravili spremljati celoten razpon ekonomskih gibanj </w:t>
            </w:r>
            <w:r>
              <w:rPr>
                <w:b/>
                <w:bCs/>
                <w:i/>
                <w:iCs/>
              </w:rPr>
              <w:t>in</w:t>
            </w:r>
            <w:r>
              <w:t xml:space="preserve"> gibanj na področju zaposlovanja v vsaki od držav članic in v Uniji. To vključuje odkri</w:t>
            </w:r>
            <w:r>
              <w:t>vanje makroekonomskih neravnotežij ter preprečevanje in odpravljanje čezmernih neravnotežij, kot je določeno v uredbah (EU) št. 1174/2011</w:t>
            </w:r>
            <w:r>
              <w:rPr>
                <w:vertAlign w:val="superscript"/>
              </w:rPr>
              <w:t>23</w:t>
            </w:r>
            <w:r>
              <w:t xml:space="preserve"> in (EU) št. 1176/2011</w:t>
            </w:r>
            <w:r>
              <w:rPr>
                <w:vertAlign w:val="superscript"/>
              </w:rPr>
              <w:t>24</w:t>
            </w:r>
            <w:r>
              <w:t xml:space="preserve"> Evropskega parlamenta in Sveta. Za spremljanje takih ekonomskih gibanj </w:t>
            </w:r>
            <w:r>
              <w:rPr>
                <w:b/>
                <w:bCs/>
                <w:i/>
                <w:iCs/>
              </w:rPr>
              <w:t>in</w:t>
            </w:r>
            <w:r>
              <w:t xml:space="preserve"> gibanj na področju</w:t>
            </w:r>
            <w:r>
              <w:t xml:space="preserve"> zaposlovanja bi morale države članice predložiti informacije v obliki srednjeročnih fiskalno-strukturnih načrtov.</w:t>
            </w:r>
          </w:p>
        </w:tc>
        <w:tc>
          <w:tcPr>
            <w:tcW w:w="4876" w:type="dxa"/>
            <w:hideMark/>
          </w:tcPr>
          <w:p w:rsidR="009508DE" w:rsidRPr="00C56375" w:rsidRDefault="009136E1" w:rsidP="005E217A">
            <w:pPr>
              <w:pStyle w:val="Normal6"/>
              <w:rPr>
                <w:szCs w:val="24"/>
              </w:rPr>
            </w:pPr>
            <w:r>
              <w:t>(7)</w:t>
            </w:r>
            <w:r>
              <w:tab/>
            </w:r>
            <w:r>
              <w:t xml:space="preserve">Postopek večstranskega nadzora iz člena 121(2), (3) in (4) ter člena 148(4) PDEU bi moral v skladu s podrobnejšimi pravili spremljati celoten razpon ekonomskih gibanj, gibanj na področju zaposlovanja in </w:t>
            </w:r>
            <w:r>
              <w:rPr>
                <w:b/>
                <w:bCs/>
                <w:i/>
                <w:iCs/>
              </w:rPr>
              <w:t>pomembnih gibanj na socialnem področju</w:t>
            </w:r>
            <w:r>
              <w:t xml:space="preserve"> v vsaki od drž</w:t>
            </w:r>
            <w:r>
              <w:t xml:space="preserve">av članic in v Uniji, </w:t>
            </w:r>
            <w:r>
              <w:rPr>
                <w:b/>
                <w:bCs/>
                <w:i/>
                <w:iCs/>
              </w:rPr>
              <w:t xml:space="preserve"> povezanih s krovnimi cilji ter njihovimi glavnimi in sekundarnimi kazalniki evropskega stebra socialnih pravic</w:t>
            </w:r>
            <w:r>
              <w:t xml:space="preserve">, </w:t>
            </w:r>
            <w:r>
              <w:rPr>
                <w:b/>
                <w:bCs/>
                <w:i/>
                <w:iCs/>
              </w:rPr>
              <w:t>vključno z napredkom pri doseganju nacionalnih ciljev</w:t>
            </w:r>
            <w:r>
              <w:t>. To vključuje odkrivanje makroekonomskih neravnotežij ter preprečev</w:t>
            </w:r>
            <w:r>
              <w:t>anje in odpravljanje čezmernih neravnotežij, kot je določeno v uredbah (EU) št. 1174/2011</w:t>
            </w:r>
            <w:r>
              <w:rPr>
                <w:vertAlign w:val="superscript"/>
              </w:rPr>
              <w:t>23</w:t>
            </w:r>
            <w:r>
              <w:t xml:space="preserve"> in (EU) št. 1176/2011</w:t>
            </w:r>
            <w:r>
              <w:rPr>
                <w:vertAlign w:val="superscript"/>
              </w:rPr>
              <w:t>24</w:t>
            </w:r>
            <w:r>
              <w:t xml:space="preserve"> Evropskega parlamenta in Sveta. Za spremljanje takih ekonomskih gibanj, gibanj na področju zaposlovanja </w:t>
            </w:r>
            <w:r>
              <w:rPr>
                <w:b/>
                <w:bCs/>
                <w:i/>
                <w:iCs/>
              </w:rPr>
              <w:t>in socialne konvergence</w:t>
            </w:r>
            <w:r>
              <w:t xml:space="preserve"> bi morale dr</w:t>
            </w:r>
            <w:r>
              <w:t>žave članice predložiti informacije v obliki srednjeročnih fiskalno-strukturnih načrtov.</w:t>
            </w:r>
          </w:p>
        </w:tc>
      </w:tr>
      <w:tr w:rsidR="00432263" w:rsidTr="005E217A">
        <w:trPr>
          <w:jc w:val="center"/>
        </w:trPr>
        <w:tc>
          <w:tcPr>
            <w:tcW w:w="4876" w:type="dxa"/>
            <w:hideMark/>
          </w:tcPr>
          <w:p w:rsidR="009508DE" w:rsidRPr="00C56375" w:rsidRDefault="009136E1" w:rsidP="005E217A">
            <w:pPr>
              <w:pStyle w:val="Normal6"/>
            </w:pPr>
            <w:r>
              <w:t>__________________</w:t>
            </w:r>
          </w:p>
        </w:tc>
        <w:tc>
          <w:tcPr>
            <w:tcW w:w="4876" w:type="dxa"/>
            <w:hideMark/>
          </w:tcPr>
          <w:p w:rsidR="009508DE" w:rsidRPr="00C56375" w:rsidRDefault="009136E1" w:rsidP="005E217A">
            <w:pPr>
              <w:pStyle w:val="Normal6"/>
              <w:rPr>
                <w:szCs w:val="24"/>
              </w:rPr>
            </w:pPr>
            <w:r>
              <w:t>__________________</w:t>
            </w:r>
          </w:p>
        </w:tc>
      </w:tr>
      <w:tr w:rsidR="00432263" w:rsidTr="005E217A">
        <w:trPr>
          <w:jc w:val="center"/>
        </w:trPr>
        <w:tc>
          <w:tcPr>
            <w:tcW w:w="4876" w:type="dxa"/>
            <w:hideMark/>
          </w:tcPr>
          <w:p w:rsidR="009508DE" w:rsidRPr="00C56375" w:rsidRDefault="009136E1" w:rsidP="005E217A">
            <w:pPr>
              <w:pStyle w:val="Normal6"/>
            </w:pPr>
            <w:r>
              <w:rPr>
                <w:vertAlign w:val="superscript"/>
              </w:rPr>
              <w:t>23</w:t>
            </w:r>
            <w:r>
              <w:t xml:space="preserve"> Uredba (EU) št. 1174/2011 Evropskega parlamenta in Sveta z dne 16. novembra 2011 o izvršilnih ukrepih za odpravljanje čezmer</w:t>
            </w:r>
            <w:r>
              <w:t>nih makroekonomskih neravnotežij v euroobmočju (UL L 306, 23.11.2011, str. 8).</w:t>
            </w:r>
          </w:p>
        </w:tc>
        <w:tc>
          <w:tcPr>
            <w:tcW w:w="4876" w:type="dxa"/>
            <w:hideMark/>
          </w:tcPr>
          <w:p w:rsidR="009508DE" w:rsidRPr="00C56375" w:rsidRDefault="009136E1" w:rsidP="005E217A">
            <w:pPr>
              <w:pStyle w:val="Normal6"/>
              <w:rPr>
                <w:szCs w:val="24"/>
              </w:rPr>
            </w:pPr>
            <w:r>
              <w:rPr>
                <w:vertAlign w:val="superscript"/>
              </w:rPr>
              <w:t>23</w:t>
            </w:r>
            <w:r>
              <w:t xml:space="preserve"> Uredba (EU) št. 1174/2011 Evropskega parlamenta in Sveta z dne 16. novembra 2011 o izvršilnih ukrepih za odpravljanje čezmernih makroekonomskih neravnotežij v euroobmočju (UL</w:t>
            </w:r>
            <w:r>
              <w:t xml:space="preserve"> L 306, 23.11.2011, str. 8).</w:t>
            </w:r>
          </w:p>
        </w:tc>
      </w:tr>
      <w:tr w:rsidR="00432263" w:rsidTr="005E217A">
        <w:trPr>
          <w:jc w:val="center"/>
        </w:trPr>
        <w:tc>
          <w:tcPr>
            <w:tcW w:w="4876" w:type="dxa"/>
            <w:hideMark/>
          </w:tcPr>
          <w:p w:rsidR="009508DE" w:rsidRPr="00C56375" w:rsidRDefault="009136E1" w:rsidP="005E217A">
            <w:pPr>
              <w:pStyle w:val="Normal6"/>
            </w:pPr>
            <w:r>
              <w:rPr>
                <w:vertAlign w:val="superscript"/>
              </w:rPr>
              <w:lastRenderedPageBreak/>
              <w:t>24</w:t>
            </w:r>
            <w:r>
              <w:t xml:space="preserve"> Uredba (EU) št. 1176/2011 Evropskega parlamenta in Sveta z dne 16. novembra 2011 o preprečevanju in odpravljanju makroekonomskih neravnotežij (UL L 306, 23.11.2011, str. 25)</w:t>
            </w:r>
          </w:p>
        </w:tc>
        <w:tc>
          <w:tcPr>
            <w:tcW w:w="4876" w:type="dxa"/>
            <w:hideMark/>
          </w:tcPr>
          <w:p w:rsidR="009508DE" w:rsidRPr="00C56375" w:rsidRDefault="009136E1" w:rsidP="005E217A">
            <w:pPr>
              <w:pStyle w:val="Normal6"/>
              <w:rPr>
                <w:szCs w:val="24"/>
              </w:rPr>
            </w:pPr>
            <w:r>
              <w:rPr>
                <w:vertAlign w:val="superscript"/>
              </w:rPr>
              <w:t>24</w:t>
            </w:r>
            <w:r>
              <w:t xml:space="preserve"> Uredba (EU) št. 1176/2011 Evropskega parlament</w:t>
            </w:r>
            <w:r>
              <w:t>a in Sveta z dne 16. novembra 2011 o preprečevanju in odpravljanju makroekonomskih neravnotežij (UL L 306, 23.11.2011, str. 25)</w:t>
            </w:r>
          </w:p>
        </w:tc>
      </w:tr>
    </w:tbl>
    <w:p w:rsidR="009508DE" w:rsidRPr="00C56375" w:rsidRDefault="009136E1" w:rsidP="009508DE">
      <w:pPr>
        <w:rPr>
          <w:rStyle w:val="HideTWBExt"/>
          <w:rFonts w:eastAsiaTheme="majorEastAsia"/>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7 a (novo)</w:t>
      </w:r>
      <w:r>
        <w:rPr>
          <w:rStyle w:val="HideTWBExt"/>
          <w:b w:val="0"/>
        </w:rPr>
        <w:t>&lt;/Art</w:t>
      </w:r>
      <w:r>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(7a)</w:t>
            </w:r>
            <w:r>
              <w:rPr>
                <w:b/>
                <w:i/>
              </w:rPr>
              <w:tab/>
              <w:t xml:space="preserve">Za spodbujanje navzgor usmerjene socialne konvergence se postopek večstranskega nadzora iz člena 148(4) PDEU dopolni s sistemom zgodnjega opozarjanja v okviru evropskega semestra (okvir za </w:t>
            </w:r>
            <w:r>
              <w:rPr>
                <w:b/>
                <w:i/>
              </w:rPr>
              <w:t>socialno konvergenco). V okviru socialne konvergence Komisija v skladu s členom 148 PDEU najprej opredeli tveganja za navzgor usmerjeno konvergenco za države članice v skupnem poročilu o zaposlovanju na podlagi glavnih kazalnikov pregleda socialnih kazalni</w:t>
            </w:r>
            <w:r>
              <w:rPr>
                <w:b/>
                <w:i/>
              </w:rPr>
              <w:t>kov. Komisija v drugi fazi določi države članice, ki potrebujejo nadaljnjo obravnavo, in objavi poročila o socialni konvergenci za tiste države članice, za katere je bilo ugotovljeno, da se soočajo s tveganji za navzgor usmerjeno socialno konvergenco. Skle</w:t>
            </w:r>
            <w:r>
              <w:rPr>
                <w:b/>
                <w:i/>
              </w:rPr>
              <w:t>pi o dejavnostih večstranskega nadzora za posamezne države v novem okviru bi morali prispevati k razmisleku Komisije o predlogih priporočil za posamezne države.</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5</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(8)</w:t>
            </w:r>
            <w:r>
              <w:tab/>
              <w:t xml:space="preserve">Zato bi bilo treba določiti podrobna pravila glede vsebine, predložitve, ocene in </w:t>
            </w:r>
            <w:r>
              <w:lastRenderedPageBreak/>
              <w:t>spremljanja nacionalnih srednjeročnih fiskalno-strukturnih načrtov, da bi spodbu</w:t>
            </w:r>
            <w:r>
              <w:t xml:space="preserve">jali vzdržnost dolga </w:t>
            </w:r>
            <w:r>
              <w:rPr>
                <w:b/>
                <w:bCs/>
                <w:i/>
                <w:iCs/>
              </w:rPr>
              <w:t>ter</w:t>
            </w:r>
            <w:r>
              <w:t xml:space="preserve"> trajnostno in vključujočo rast v državah članicah ter preprečili pojav čezmernih javnofinančnih primanjkljajev s srednjeročnim načrtovanjem.</w:t>
            </w:r>
          </w:p>
        </w:tc>
        <w:tc>
          <w:tcPr>
            <w:tcW w:w="4876" w:type="dxa"/>
            <w:hideMark/>
          </w:tcPr>
          <w:p w:rsidR="009508DE" w:rsidRPr="00C56375" w:rsidRDefault="009136E1" w:rsidP="005E217A">
            <w:pPr>
              <w:pStyle w:val="Normal6"/>
              <w:rPr>
                <w:szCs w:val="24"/>
              </w:rPr>
            </w:pPr>
            <w:r>
              <w:lastRenderedPageBreak/>
              <w:t>(8)</w:t>
            </w:r>
            <w:r>
              <w:tab/>
              <w:t xml:space="preserve">Zato bi bilo treba določiti podrobna pravila glede vsebine, predložitve, ocene in </w:t>
            </w:r>
            <w:r>
              <w:lastRenderedPageBreak/>
              <w:t>spre</w:t>
            </w:r>
            <w:r>
              <w:t xml:space="preserve">mljanja nacionalnih srednjeročnih fiskalno-strukturnih načrtov, da bi spodbujali vzdržnost dolga, trajnostno in vključujočo rast </w:t>
            </w:r>
            <w:r>
              <w:rPr>
                <w:b/>
                <w:bCs/>
                <w:i/>
                <w:iCs/>
              </w:rPr>
              <w:t>in navzgor usmerjeno socialno konvergenco v državah članicah</w:t>
            </w:r>
            <w:r>
              <w:t xml:space="preserve"> ter preprečili pojav čezmernih javnofinančnih primanjkljajev s sre</w:t>
            </w:r>
            <w:r>
              <w:t>dnjeročnim načrtovanjem.</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6</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9</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(9)</w:t>
            </w:r>
            <w:r>
              <w:tab/>
              <w:t xml:space="preserve">V nacionalnih srednjeročnih </w:t>
            </w:r>
            <w:r>
              <w:t>fiskalno-strukturnih načrtih bi morale biti združene fiskalne in strukturne reforme ter naložbene zaveze vsake države članice, ti načrti pa bi morali biti temelj okvira ekonomskega upravljanja Unije. Vsaka država članica bi morala predložiti srednjeročni n</w:t>
            </w:r>
            <w:r>
              <w:t>ačrt, v katerem so določene njena fiskalna referenčna smer ter zaveze glede prednostnih javnih naložb in reform, ki skupaj zagotavljajo vzdržno in postopno zmanjševanje dolga ter trajnostno in vključujočo rast, pri čemer se izogibajo prociklični fiskalni p</w:t>
            </w:r>
            <w:r>
              <w:t xml:space="preserve">olitiki, ter širše reformne in naložbene zaveze, tudi v zvezi z zelenim in digitalnim prehodom, socialno in ekonomsko odpornostjo ter izvajanjem </w:t>
            </w:r>
            <w:r>
              <w:rPr>
                <w:b/>
                <w:bCs/>
                <w:i/>
                <w:iCs/>
              </w:rPr>
              <w:t>evropskega</w:t>
            </w:r>
            <w:r>
              <w:t xml:space="preserve"> stebra </w:t>
            </w:r>
            <w:r>
              <w:rPr>
                <w:b/>
                <w:bCs/>
                <w:i/>
                <w:iCs/>
              </w:rPr>
              <w:t>socialnih pravic</w:t>
            </w:r>
            <w:r>
              <w:t>. V času trajanja mehanizma za okrevanje in odpornost</w:t>
            </w:r>
            <w:r>
              <w:rPr>
                <w:vertAlign w:val="superscript"/>
              </w:rPr>
              <w:t>25</w:t>
            </w:r>
            <w:r>
              <w:t xml:space="preserve"> bi bilo treba ustrezn</w:t>
            </w:r>
            <w:r>
              <w:t>o upoštevati zaveze, sprejete v nacionalnih načrtih za okrevanje in odpornost.</w:t>
            </w:r>
          </w:p>
        </w:tc>
        <w:tc>
          <w:tcPr>
            <w:tcW w:w="4876" w:type="dxa"/>
            <w:hideMark/>
          </w:tcPr>
          <w:p w:rsidR="009508DE" w:rsidRPr="00C56375" w:rsidRDefault="009136E1" w:rsidP="005E217A">
            <w:pPr>
              <w:pStyle w:val="Normal6"/>
              <w:rPr>
                <w:szCs w:val="24"/>
              </w:rPr>
            </w:pPr>
            <w:r>
              <w:t>(9)</w:t>
            </w:r>
            <w:r>
              <w:tab/>
              <w:t>V nacionalnih srednjeročnih fiskalno-strukturnih načrtih bi morale biti združene fiskalne in strukturne reforme ter naložbene zaveze vsake države članice, ti načrti pa bi mo</w:t>
            </w:r>
            <w:r>
              <w:t xml:space="preserve">rali biti temelj okvira ekonomskega </w:t>
            </w:r>
            <w:r>
              <w:rPr>
                <w:b/>
                <w:bCs/>
                <w:i/>
                <w:iCs/>
              </w:rPr>
              <w:t>in socialnega</w:t>
            </w:r>
            <w:r>
              <w:t xml:space="preserve"> upravljanja Unije. Vsaka država članica bi morala predložiti srednjeročni načrt, v katerem so določene njena fiskalna referenčna smer ter zaveze glede prednostnih javnih naložb in reform, ki skupaj </w:t>
            </w:r>
            <w:r>
              <w:t>zagotavljajo vzdržno in postopno zmanjševanje dolga ter trajnostno in vključujočo rast, pri čemer se izogibajo prociklični fiskalni politiki, ter širše reformne in naložbene zaveze, tudi v zvezi z zelenim in digitalnim prehodom, socialno in ekonomsko odpor</w:t>
            </w:r>
            <w:r>
              <w:t>nostjo ter izvajanjem evropskega stebra socialnih pravic</w:t>
            </w:r>
            <w:r>
              <w:rPr>
                <w:b/>
                <w:bCs/>
                <w:i/>
                <w:iCs/>
              </w:rPr>
              <w:t>, vključno s povezanimi cilji glede zaposlovanja, spretnosti in zmanjšanja revščine do leta 2030</w:t>
            </w:r>
            <w:r>
              <w:rPr>
                <w:b/>
                <w:bCs/>
                <w:i/>
                <w:iCs/>
                <w:vertAlign w:val="superscript"/>
              </w:rPr>
              <w:t>1a</w:t>
            </w:r>
            <w:r>
              <w:t>. V času trajanja mehanizma za okrevanje in odpornost bi bilo treba ustrezno upoštevati zaveze, spreje</w:t>
            </w:r>
            <w:r>
              <w:t>te v nacionalnih načrtih za okrevanje in odpornost.</w:t>
            </w:r>
          </w:p>
        </w:tc>
      </w:tr>
      <w:tr w:rsidR="00432263" w:rsidTr="005E217A">
        <w:trPr>
          <w:jc w:val="center"/>
        </w:trPr>
        <w:tc>
          <w:tcPr>
            <w:tcW w:w="4876" w:type="dxa"/>
            <w:hideMark/>
          </w:tcPr>
          <w:p w:rsidR="009508DE" w:rsidRPr="00C56375" w:rsidRDefault="009136E1" w:rsidP="005E217A">
            <w:pPr>
              <w:pStyle w:val="Normal6"/>
            </w:pPr>
            <w:r>
              <w:t>__________________</w:t>
            </w:r>
          </w:p>
        </w:tc>
        <w:tc>
          <w:tcPr>
            <w:tcW w:w="4876" w:type="dxa"/>
            <w:hideMark/>
          </w:tcPr>
          <w:p w:rsidR="009508DE" w:rsidRPr="00C56375" w:rsidRDefault="009136E1" w:rsidP="005E217A">
            <w:pPr>
              <w:pStyle w:val="Normal6"/>
              <w:rPr>
                <w:szCs w:val="24"/>
              </w:rPr>
            </w:pPr>
            <w:r>
              <w:t>__________________</w:t>
            </w:r>
          </w:p>
        </w:tc>
      </w:tr>
      <w:tr w:rsidR="00432263" w:rsidTr="005E217A">
        <w:trPr>
          <w:jc w:val="center"/>
        </w:trPr>
        <w:tc>
          <w:tcPr>
            <w:tcW w:w="4876" w:type="dxa"/>
          </w:tcPr>
          <w:p w:rsidR="009508DE" w:rsidRPr="00C56375" w:rsidRDefault="009508DE" w:rsidP="005E217A">
            <w:pPr>
              <w:pStyle w:val="Normal6"/>
              <w:rPr>
                <w:vertAlign w:val="superscript"/>
                <w:lang w:val="en-GB"/>
              </w:rPr>
            </w:pPr>
          </w:p>
        </w:tc>
        <w:tc>
          <w:tcPr>
            <w:tcW w:w="4876" w:type="dxa"/>
          </w:tcPr>
          <w:p w:rsidR="009508DE" w:rsidRPr="00C56375" w:rsidRDefault="009136E1" w:rsidP="005E217A">
            <w:pPr>
              <w:pStyle w:val="Normal6"/>
              <w:rPr>
                <w:vertAlign w:val="superscript"/>
              </w:rPr>
            </w:pPr>
            <w:r>
              <w:rPr>
                <w:vertAlign w:val="superscript"/>
              </w:rPr>
              <w:t xml:space="preserve">25a </w:t>
            </w:r>
            <w:r>
              <w:rPr>
                <w:b/>
                <w:bCs/>
                <w:i/>
                <w:iCs/>
              </w:rPr>
              <w:t xml:space="preserve">Sporočilo Komisije Evropskemu parlamentu, Svetu, Evropskemu ekonomsko-socialnemu odboru in Odboru regij „Akcijski načrt za evropski steber </w:t>
            </w:r>
            <w:r>
              <w:rPr>
                <w:b/>
                <w:bCs/>
                <w:i/>
                <w:iCs/>
              </w:rPr>
              <w:lastRenderedPageBreak/>
              <w:t xml:space="preserve">socialnih pravic“ z </w:t>
            </w:r>
            <w:r>
              <w:rPr>
                <w:b/>
                <w:bCs/>
                <w:i/>
                <w:iCs/>
              </w:rPr>
              <w:t>dne 4. marca 2021 (COM(2021)0102).</w:t>
            </w:r>
          </w:p>
        </w:tc>
      </w:tr>
      <w:tr w:rsidR="00432263" w:rsidTr="005E217A">
        <w:trPr>
          <w:jc w:val="center"/>
        </w:trPr>
        <w:tc>
          <w:tcPr>
            <w:tcW w:w="4876" w:type="dxa"/>
            <w:hideMark/>
          </w:tcPr>
          <w:p w:rsidR="009508DE" w:rsidRPr="00C56375" w:rsidRDefault="009136E1" w:rsidP="005E217A">
            <w:pPr>
              <w:pStyle w:val="Normal6"/>
            </w:pPr>
            <w:r>
              <w:rPr>
                <w:vertAlign w:val="superscript"/>
              </w:rPr>
              <w:lastRenderedPageBreak/>
              <w:t>25</w:t>
            </w:r>
            <w:r>
              <w:t xml:space="preserve"> Uredba (EU) 2021/241 Evropskega parlamenta in Sveta z dne 12. februarja 2021 o vzpostavitvi Mehanizma za okrevanje in odpornost (UL L 57, 18.2.2021, str. 17).</w:t>
            </w:r>
          </w:p>
        </w:tc>
        <w:tc>
          <w:tcPr>
            <w:tcW w:w="4876" w:type="dxa"/>
            <w:hideMark/>
          </w:tcPr>
          <w:p w:rsidR="009508DE" w:rsidRPr="00C56375" w:rsidRDefault="009136E1" w:rsidP="005E217A">
            <w:pPr>
              <w:pStyle w:val="Normal6"/>
              <w:rPr>
                <w:szCs w:val="24"/>
              </w:rPr>
            </w:pPr>
            <w:r>
              <w:rPr>
                <w:vertAlign w:val="superscript"/>
              </w:rPr>
              <w:t>25</w:t>
            </w:r>
            <w:r>
              <w:t xml:space="preserve"> Uredba (EU) 2021/241 Evropskega parlamenta in Sveta z d</w:t>
            </w:r>
            <w:r>
              <w:t>ne 12. februarja 2021 o vzpostavitvi Mehanizma za okrevanje in odpornost (UL L 57, 18.2.2021, str. 17).</w:t>
            </w:r>
          </w:p>
        </w:tc>
      </w:tr>
    </w:tbl>
    <w:p w:rsidR="009508DE" w:rsidRPr="002D23D0" w:rsidRDefault="009136E1" w:rsidP="009508DE">
      <w:pPr>
        <w:rPr>
          <w:rFonts w:eastAsiaTheme="majorEastAsia"/>
        </w:rPr>
      </w:pPr>
      <w:r>
        <w:rPr>
          <w:rStyle w:val="HideTWBExt"/>
        </w:rPr>
        <w:t>&lt;/Amend&gt;</w:t>
      </w:r>
    </w:p>
    <w:p w:rsidR="009508DE" w:rsidRPr="00C56375" w:rsidRDefault="009136E1" w:rsidP="009508DE">
      <w:pPr>
        <w:pStyle w:val="AmNumberTabs"/>
      </w:pPr>
      <w:r>
        <w:rPr>
          <w:rStyle w:val="HideTWBExt"/>
        </w:rPr>
        <w:t>&lt;Amend&gt;</w:t>
      </w:r>
      <w:r>
        <w:t>Predlog spremembe</w:t>
      </w:r>
      <w:r>
        <w:tab/>
      </w:r>
      <w:r>
        <w:tab/>
      </w:r>
      <w:r>
        <w:rPr>
          <w:rStyle w:val="HideTWBExt"/>
          <w:b w:val="0"/>
        </w:rPr>
        <w:t>&lt;NumAm&gt;</w:t>
      </w:r>
      <w:r>
        <w:t>7</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w:t>
            </w:r>
            <w:r>
              <w:t xml:space="preserve">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(10)</w:t>
            </w:r>
            <w:r>
              <w:tab/>
              <w:t>S procesom evropskega semestra so usklajeni tudi skladi kohezijske politike. Pri pripravi nacionalnih srednjeročnih fiskalno-strukturnih načrtov bi bilo treba ustrezno upoštevati tudi naložbe in reforme kohezijske politike</w:t>
            </w:r>
            <w:r>
              <w:t xml:space="preserve">, ki so dolgoročna naložbena politika proračuna EU. Vsaka država članica bi morala tudi pojasniti, kako bo njen nacionalni srednjeročni fiskalno-strukturni načrt zagotovil skladnost z odhodki za programe EU, ki se v celoti ujemajo s prihodki iz skladov EU </w:t>
            </w:r>
            <w:r>
              <w:t>in ustreznim nacionalnim sofinanciranjem.</w:t>
            </w:r>
          </w:p>
        </w:tc>
        <w:tc>
          <w:tcPr>
            <w:tcW w:w="4876" w:type="dxa"/>
            <w:hideMark/>
          </w:tcPr>
          <w:p w:rsidR="009508DE" w:rsidRPr="00C56375" w:rsidRDefault="009136E1" w:rsidP="005E217A">
            <w:pPr>
              <w:pStyle w:val="Normal6"/>
              <w:rPr>
                <w:szCs w:val="24"/>
              </w:rPr>
            </w:pPr>
            <w:r>
              <w:t>(10)</w:t>
            </w:r>
            <w:r>
              <w:tab/>
              <w:t xml:space="preserve">S procesom evropskega semestra so usklajeni tudi skladi kohezijske politike. Pri pripravi nacionalnih srednjeročnih fiskalno-strukturnih načrtov bi bilo treba ustrezno upoštevati tudi </w:t>
            </w:r>
            <w:r>
              <w:rPr>
                <w:b/>
                <w:bCs/>
                <w:i/>
                <w:iCs/>
              </w:rPr>
              <w:t>krepitev ekonomske, socia</w:t>
            </w:r>
            <w:r>
              <w:rPr>
                <w:b/>
                <w:bCs/>
                <w:i/>
                <w:iCs/>
              </w:rPr>
              <w:t>lne in teritorialne kohezije</w:t>
            </w:r>
            <w:r>
              <w:t xml:space="preserve"> ter naložbe in reforme kohezijske politike, ki so dolgoročna naložbena politika proračuna EU. Vsaka država članica bi morala tudi pojasniti, kako bo njen nacionalni srednjeročni fiskalno-strukturni načrt zagotovil skladnost z o</w:t>
            </w:r>
            <w:r>
              <w:t>dhodki za programe EU, ki se v celoti ujemajo s prihodki iz skladov EU in ustreznim nacionalnim sofinanciranjem.</w:t>
            </w:r>
          </w:p>
        </w:tc>
      </w:tr>
    </w:tbl>
    <w:p w:rsidR="009508DE" w:rsidRPr="002D23D0"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8</w:t>
      </w:r>
      <w:r>
        <w:rPr>
          <w:rStyle w:val="HideTWBExt"/>
          <w:b w:val="0"/>
        </w:rPr>
        <w:t>&lt;/NumAm&gt;</w:t>
      </w:r>
    </w:p>
    <w:p w:rsidR="009508DE" w:rsidRPr="00C56375" w:rsidRDefault="009508DE" w:rsidP="009508DE">
      <w:pPr>
        <w:rPr>
          <w:b/>
        </w:rPr>
      </w:pPr>
    </w:p>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Uvodna izjava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w:t>
            </w:r>
            <w:r>
              <w:t xml:space="preserve">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(13)</w:t>
            </w:r>
            <w:r>
              <w:tab/>
              <w:t>Da bi Komisija državam članicam zagotovila smernice pri pripravi njihovega srednjeročnega fiskalno-strukturnega načrta, bi morala predložiti tehnično referenčno smer na podlagi minimalne fiskalne prilagoditve, s k</w:t>
            </w:r>
            <w:r>
              <w:t xml:space="preserve">atero bi krivulja dolga države članice dovolj verjetno </w:t>
            </w:r>
            <w:r>
              <w:lastRenderedPageBreak/>
              <w:t>upadala ali bi se dolg ohranjal na preudarni ravni. Prav tako bi morala zagotoviti, da se delež javnega dolga ob koncu obdobja načrtovanja zmanjša pod raven v letu pred začetkom tehnične referenčne sme</w:t>
            </w:r>
            <w:r>
              <w:t xml:space="preserve">ri. </w:t>
            </w:r>
            <w:r>
              <w:rPr>
                <w:b/>
                <w:i/>
              </w:rPr>
              <w:t>Vzdržnost tega zmanjševanja dolga bi morala biti rezultat ustreznih fiskalnih politik.</w:t>
            </w:r>
          </w:p>
        </w:tc>
        <w:tc>
          <w:tcPr>
            <w:tcW w:w="4876" w:type="dxa"/>
            <w:hideMark/>
          </w:tcPr>
          <w:p w:rsidR="009508DE" w:rsidRPr="00C56375" w:rsidRDefault="009136E1" w:rsidP="005E217A">
            <w:pPr>
              <w:pStyle w:val="Normal6"/>
              <w:rPr>
                <w:szCs w:val="24"/>
              </w:rPr>
            </w:pPr>
            <w:r>
              <w:lastRenderedPageBreak/>
              <w:t>(13)</w:t>
            </w:r>
            <w:r>
              <w:tab/>
              <w:t>Da bi Komisija državam članicam zagotovila smernice pri pripravi njihovega srednjeročnega fiskalno-strukturnega načrta, bi morala predložiti tehnično referenčno</w:t>
            </w:r>
            <w:r>
              <w:t xml:space="preserve"> smer na podlagi minimalne fiskalne prilagoditve, s katero bi krivulja dolga države članice dovolj verjetno </w:t>
            </w:r>
            <w:r>
              <w:lastRenderedPageBreak/>
              <w:t>upadala ali bi se dolg ohranjal na preudarni ravni</w:t>
            </w:r>
            <w:r>
              <w:rPr>
                <w:b/>
                <w:bCs/>
                <w:i/>
                <w:iCs/>
              </w:rPr>
              <w:t>, pri tem pa bi morala upoštevati potrebe po naložbah v državah članicah, da bi izpolnila skupne p</w:t>
            </w:r>
            <w:r>
              <w:rPr>
                <w:b/>
                <w:bCs/>
                <w:i/>
                <w:iCs/>
              </w:rPr>
              <w:t>rednostne naloge Unije</w:t>
            </w:r>
            <w:r>
              <w:t>. Prav tako bi morala zagotoviti, da se delež javnega dolga ob koncu obdobja načrtovanja zmanjša pod raven v letu pred začetkom tehnične referenčne smeri.</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9</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w:t>
      </w:r>
      <w:r>
        <w:rPr>
          <w:rStyle w:val="HideTWBExt"/>
          <w:b w:val="0"/>
        </w:rPr>
        <w:t>/DocAmend&gt;</w:t>
      </w:r>
    </w:p>
    <w:p w:rsidR="009508DE" w:rsidRPr="00C56375" w:rsidRDefault="009136E1" w:rsidP="009508DE">
      <w:pPr>
        <w:pStyle w:val="NormalBold"/>
      </w:pPr>
      <w:r>
        <w:rPr>
          <w:rStyle w:val="HideTWBExt"/>
          <w:b w:val="0"/>
        </w:rPr>
        <w:t>&lt;Article&gt;</w:t>
      </w:r>
      <w:r>
        <w:t>Uvodna izjava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(22)</w:t>
            </w:r>
            <w:r>
              <w:tab/>
              <w:t xml:space="preserve">Za zagotovitev bolj postopnega zmanjševanja dolga se lahko prilagoditveno obdobje podaljša za največ tri leta, če država članica svoj srednjeročni </w:t>
            </w:r>
            <w:r>
              <w:t xml:space="preserve">fiskalno-strukturni načrt podpre s sklopom preverljivih in časovno omejenih reform in naložb, ki skupaj: </w:t>
            </w:r>
            <w:r>
              <w:rPr>
                <w:b/>
                <w:bCs/>
                <w:i/>
                <w:iCs/>
              </w:rPr>
              <w:t>spodbujajo rast</w:t>
            </w:r>
            <w:r>
              <w:t xml:space="preserve">, podpirajo fiskalno vzdržnost, obravnavajo skupne prednostne naloge Unije, obravnavajo ustrezna specifična priporočila, naslovljena na </w:t>
            </w:r>
            <w:r>
              <w:t>državo članico v okviru evropskega semestra, in obravnavajo prednostne naložbe posamezne države, ne da bi privedle do zmanjšanja drugih nacionalno financiranih javnih naložb v prilagoditvenem obdobju, da se zagotovi makroekonomski učinek naložb in prepreči</w:t>
            </w:r>
            <w:r>
              <w:t xml:space="preserve"> izrinjanje drugih prednostnih naložb.</w:t>
            </w:r>
          </w:p>
        </w:tc>
        <w:tc>
          <w:tcPr>
            <w:tcW w:w="4876" w:type="dxa"/>
            <w:hideMark/>
          </w:tcPr>
          <w:p w:rsidR="009508DE" w:rsidRPr="00C56375" w:rsidRDefault="009136E1" w:rsidP="005E217A">
            <w:pPr>
              <w:pStyle w:val="Normal6"/>
              <w:rPr>
                <w:szCs w:val="24"/>
              </w:rPr>
            </w:pPr>
            <w:r>
              <w:t>(22)</w:t>
            </w:r>
            <w:r>
              <w:tab/>
              <w:t>Za zagotovitev bolj postopnega zmanjševanja dolga se lahko prilagoditveno obdobje podaljša za največ tri leta, če država članica svoj srednjeročni fiskalno-strukturni načrt podpre s sklopom preverljivih in časovn</w:t>
            </w:r>
            <w:r>
              <w:t xml:space="preserve">o omejenih reform in naložb, ki skupaj: </w:t>
            </w:r>
            <w:r>
              <w:rPr>
                <w:b/>
                <w:bCs/>
                <w:i/>
                <w:iCs/>
              </w:rPr>
              <w:t>povečujejo trajnostno in vključujočo rast, spodbujajo navzgor usmerjeno konvergenco</w:t>
            </w:r>
            <w:r>
              <w:t xml:space="preserve">, podpirajo fiskalno vzdržnost, obravnavajo skupne prednostne naloge Unije, obravnavajo ustrezna specifična priporočila, naslovljena </w:t>
            </w:r>
            <w:r>
              <w:t>na državo članico v okviru evropskega semestra, in obravnavajo prednostne naložbe posamezne države, ne da bi privedle do zmanjšanja drugih nacionalno financiranih javnih naložb</w:t>
            </w:r>
            <w:r>
              <w:rPr>
                <w:b/>
                <w:bCs/>
                <w:i/>
                <w:iCs/>
              </w:rPr>
              <w:t>, vključno s socialnimi naložbami,</w:t>
            </w:r>
            <w:r>
              <w:t xml:space="preserve"> v prilagoditvenem obdobju, da se zagotovi mak</w:t>
            </w:r>
            <w:r>
              <w:t>roekonomski učinek naložb in prepreči izrinjanje drugih prednostnih naložb.</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rPr>
          <w:rStyle w:val="HideTWBExt"/>
          <w:b w:val="0"/>
        </w:rPr>
        <w:t>&lt;NumAm&gt;</w:t>
      </w:r>
      <w:r>
        <w:t>10</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1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 xml:space="preserve">Predlog </w:t>
            </w:r>
            <w:r>
              <w:t>spremembe</w:t>
            </w:r>
          </w:p>
        </w:tc>
      </w:tr>
      <w:tr w:rsidR="00432263" w:rsidTr="005E217A">
        <w:trPr>
          <w:jc w:val="center"/>
        </w:trPr>
        <w:tc>
          <w:tcPr>
            <w:tcW w:w="4876" w:type="dxa"/>
            <w:hideMark/>
          </w:tcPr>
          <w:p w:rsidR="009508DE" w:rsidRPr="00C56375" w:rsidRDefault="009136E1" w:rsidP="005E217A">
            <w:pPr>
              <w:pStyle w:val="Normal6"/>
            </w:pPr>
            <w:r>
              <w:t xml:space="preserve">Ta uredba določa pravila, ki zagotavljajo </w:t>
            </w:r>
            <w:r>
              <w:lastRenderedPageBreak/>
              <w:t xml:space="preserve">učinkovito usklajevanje ekonomskih politik držav članic in s tem podpirajo doseganje ciljev Unije za rast </w:t>
            </w:r>
            <w:r>
              <w:rPr>
                <w:b/>
                <w:bCs/>
                <w:i/>
                <w:iCs/>
              </w:rPr>
              <w:t>in</w:t>
            </w:r>
            <w:r>
              <w:t xml:space="preserve"> zaposlovanje.</w:t>
            </w:r>
          </w:p>
        </w:tc>
        <w:tc>
          <w:tcPr>
            <w:tcW w:w="4876" w:type="dxa"/>
            <w:hideMark/>
          </w:tcPr>
          <w:p w:rsidR="009508DE" w:rsidRPr="00C56375" w:rsidRDefault="009136E1" w:rsidP="005E217A">
            <w:pPr>
              <w:pStyle w:val="Normal6"/>
              <w:rPr>
                <w:szCs w:val="24"/>
              </w:rPr>
            </w:pPr>
            <w:r>
              <w:lastRenderedPageBreak/>
              <w:t xml:space="preserve">Ta uredba določa pravila, ki zagotavljajo </w:t>
            </w:r>
            <w:r>
              <w:lastRenderedPageBreak/>
              <w:t>učinkovito usklajevanje ekonomskih pol</w:t>
            </w:r>
            <w:r>
              <w:t xml:space="preserve">itik držav članic in s tem podpirajo doseganje ciljev Unije za </w:t>
            </w:r>
            <w:r>
              <w:rPr>
                <w:b/>
                <w:bCs/>
                <w:i/>
                <w:iCs/>
              </w:rPr>
              <w:t>trajnostno in vključujočo</w:t>
            </w:r>
            <w:r>
              <w:t xml:space="preserve"> rast </w:t>
            </w:r>
            <w:r>
              <w:rPr>
                <w:b/>
                <w:bCs/>
                <w:i/>
                <w:iCs/>
              </w:rPr>
              <w:t>ter kakovostno</w:t>
            </w:r>
            <w:r>
              <w:t xml:space="preserve"> zaposlovanje.</w:t>
            </w:r>
          </w:p>
        </w:tc>
      </w:tr>
    </w:tbl>
    <w:p w:rsidR="009508DE" w:rsidRPr="00C56375" w:rsidRDefault="009136E1" w:rsidP="009508DE">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11</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1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Določa podrobna pravila glede vsebine, predložitve, ocene in spremljanja nacionalnih srednjeročnih fiskalno-strukturnih načrtov kot del večstranskega proračunskega nadzora, ki ga izvajata Svet in Komisij</w:t>
            </w:r>
            <w:r>
              <w:t xml:space="preserve">a, da bi se s srednjeročnim načrtovanjem spodbudili vzdržnost dolga </w:t>
            </w:r>
            <w:r>
              <w:rPr>
                <w:b/>
                <w:bCs/>
                <w:i/>
                <w:iCs/>
              </w:rPr>
              <w:t>ter</w:t>
            </w:r>
            <w:r>
              <w:t xml:space="preserve"> trajnostna in vključujoča rast v državah članicah ter preprečil nastanek čezmernih javnofinančnih primanjkljajev.</w:t>
            </w:r>
          </w:p>
        </w:tc>
        <w:tc>
          <w:tcPr>
            <w:tcW w:w="4876" w:type="dxa"/>
            <w:hideMark/>
          </w:tcPr>
          <w:p w:rsidR="009508DE" w:rsidRPr="00C56375" w:rsidRDefault="009136E1" w:rsidP="005E217A">
            <w:pPr>
              <w:pStyle w:val="Normal6"/>
              <w:rPr>
                <w:szCs w:val="24"/>
              </w:rPr>
            </w:pPr>
            <w:r>
              <w:t>Določa podrobna pravila glede vsebine, predložitve, ocene in spremljan</w:t>
            </w:r>
            <w:r>
              <w:t>ja nacionalnih srednjeročnih fiskalno-strukturnih načrtov v skladu z ekonomskimi, socialnimi in trajnostnimi cilji Unije kot del gospodarskega in večstranskega proračunskega nadzora, ki ga izvajata Svet in Komisija, da bi se s srednjeročnim načrtovanjem sp</w:t>
            </w:r>
            <w:r>
              <w:t xml:space="preserve">odbudili vzdržnost dolga, trajnostna in vključujoča rast </w:t>
            </w:r>
            <w:r>
              <w:rPr>
                <w:b/>
                <w:bCs/>
                <w:i/>
                <w:iCs/>
              </w:rPr>
              <w:t>in navzgor usmerjena socialna konvergenca</w:t>
            </w:r>
            <w:r>
              <w:t xml:space="preserve"> v državah članicah ter preprečil nastanek čezmernih javnofinančnih primanjkljajev</w:t>
            </w:r>
            <w:r>
              <w:rPr>
                <w:b/>
                <w:bCs/>
                <w:i/>
                <w:iCs/>
              </w:rPr>
              <w:t xml:space="preserve">, hkrati pa bi zagotovili potrebne ekonomske in socialne naložbe v skladu s </w:t>
            </w:r>
            <w:r>
              <w:rPr>
                <w:b/>
                <w:bCs/>
                <w:i/>
                <w:iCs/>
              </w:rPr>
              <w:t>skupnimi prednostnimi nalogami Unije.</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12</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3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 xml:space="preserve">Svet in Komisija za zagotovitev tesnejšega usklajevanja ekonomskih politik in </w:t>
            </w:r>
            <w:r>
              <w:rPr>
                <w:b/>
                <w:bCs/>
                <w:i/>
                <w:iCs/>
              </w:rPr>
              <w:t>trajnostne</w:t>
            </w:r>
            <w:r>
              <w:t xml:space="preserve"> konvergence gospodarske in socialne uspešnosti držav članic izvajata večstranski nadzor v okviru evropskega semestra v skladu s cilji in zahtevami iz PDEU. Večstranski</w:t>
            </w:r>
            <w:r>
              <w:t xml:space="preserve"> nadzor temelji na visokokakovostni in neodvisni statistiki, </w:t>
            </w:r>
            <w:r>
              <w:lastRenderedPageBreak/>
              <w:t>pripravljeni v skladu z načeli iz Uredbe (ES) št. 223/2009 Evropskega parlamenta in Sveta.</w:t>
            </w:r>
          </w:p>
        </w:tc>
        <w:tc>
          <w:tcPr>
            <w:tcW w:w="4876" w:type="dxa"/>
            <w:hideMark/>
          </w:tcPr>
          <w:p w:rsidR="009508DE" w:rsidRPr="00C56375" w:rsidRDefault="009136E1" w:rsidP="005E217A">
            <w:pPr>
              <w:pStyle w:val="Normal6"/>
              <w:rPr>
                <w:szCs w:val="24"/>
              </w:rPr>
            </w:pPr>
            <w:r>
              <w:lastRenderedPageBreak/>
              <w:t xml:space="preserve">Svet in Komisija za zagotovitev tesnejšega usklajevanja ekonomskih </w:t>
            </w:r>
            <w:r>
              <w:rPr>
                <w:b/>
                <w:bCs/>
                <w:i/>
                <w:iCs/>
              </w:rPr>
              <w:t>in zaposlovalnih</w:t>
            </w:r>
            <w:r>
              <w:t xml:space="preserve"> politik in trajnostn</w:t>
            </w:r>
            <w:r>
              <w:t xml:space="preserve">e </w:t>
            </w:r>
            <w:r>
              <w:rPr>
                <w:b/>
                <w:bCs/>
                <w:i/>
                <w:iCs/>
              </w:rPr>
              <w:t>navzgor usmerjene</w:t>
            </w:r>
            <w:r>
              <w:t xml:space="preserve"> konvergence gospodarske in socialne uspešnosti držav članic</w:t>
            </w:r>
            <w:r>
              <w:rPr>
                <w:b/>
                <w:bCs/>
                <w:i/>
                <w:iCs/>
              </w:rPr>
              <w:t xml:space="preserve"> v skladu s skupnimi prednostnimi nalogami Unije</w:t>
            </w:r>
            <w:r>
              <w:t xml:space="preserve">, pa tudi doseganja skupnih prednostnih nalog Unije izvajata večstranski nadzor v </w:t>
            </w:r>
            <w:r>
              <w:lastRenderedPageBreak/>
              <w:t xml:space="preserve">okviru evropskega semestra v skladu s cilji in </w:t>
            </w:r>
            <w:r>
              <w:t>zahtevami iz PDEU. Večstranski nadzor temelji na visokokakovostni in neodvisni statistiki, pripravljeni v skladu z načeli iz Uredbe (ES) št. 223/2009 Evropskega parlamenta in Sveta.</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13</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 xml:space="preserve">Predlog </w:t>
      </w:r>
      <w:r>
        <w:t>uredbe</w:t>
      </w:r>
      <w:r>
        <w:rPr>
          <w:rStyle w:val="HideTWBExt"/>
          <w:b w:val="0"/>
        </w:rPr>
        <w:t>&lt;/DocAmend&gt;</w:t>
      </w:r>
    </w:p>
    <w:p w:rsidR="009508DE" w:rsidRPr="00C56375" w:rsidRDefault="009136E1" w:rsidP="009508DE">
      <w:pPr>
        <w:pStyle w:val="NormalBold"/>
      </w:pPr>
      <w:r>
        <w:rPr>
          <w:rStyle w:val="HideTWBExt"/>
          <w:b w:val="0"/>
        </w:rPr>
        <w:t>&lt;Article&gt;</w:t>
      </w:r>
      <w:r>
        <w:t>Člen 3 – odstavek 2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(b)</w:t>
            </w:r>
            <w:r>
              <w:tab/>
              <w:t xml:space="preserve">oblikovanje in nadzor izvajanja smernic za zaposlovanje, ki jih morajo države članice upoštevati v skladu s členom 148(2) PDEU, </w:t>
            </w:r>
            <w:r>
              <w:rPr>
                <w:b/>
                <w:bCs/>
                <w:i/>
                <w:iCs/>
              </w:rPr>
              <w:t>vk</w:t>
            </w:r>
            <w:r>
              <w:rPr>
                <w:b/>
                <w:bCs/>
                <w:i/>
                <w:iCs/>
              </w:rPr>
              <w:t>ljučno z evropskim stebrom socialnih pravic</w:t>
            </w:r>
            <w:r>
              <w:t>, in s tem povezanih specifičnih priporočil za države;</w:t>
            </w:r>
          </w:p>
        </w:tc>
        <w:tc>
          <w:tcPr>
            <w:tcW w:w="4876" w:type="dxa"/>
            <w:hideMark/>
          </w:tcPr>
          <w:p w:rsidR="009508DE" w:rsidRPr="00C56375" w:rsidRDefault="009136E1" w:rsidP="005E217A">
            <w:pPr>
              <w:pStyle w:val="Normal6"/>
              <w:rPr>
                <w:szCs w:val="24"/>
              </w:rPr>
            </w:pPr>
            <w:r>
              <w:t>(b)</w:t>
            </w:r>
            <w:r>
              <w:tab/>
              <w:t xml:space="preserve">oblikovanje in nadzor izvajanja smernic za zaposlovanje, ki jih morajo države članice upoštevati v skladu s členom 148(2) PDEU, </w:t>
            </w:r>
            <w:r>
              <w:rPr>
                <w:b/>
                <w:bCs/>
                <w:i/>
                <w:iCs/>
              </w:rPr>
              <w:t>evropskega stebra socialni</w:t>
            </w:r>
            <w:r>
              <w:rPr>
                <w:b/>
                <w:bCs/>
                <w:i/>
                <w:iCs/>
              </w:rPr>
              <w:t>h pravic in njegovih krovnih ciljev</w:t>
            </w:r>
            <w:r>
              <w:t xml:space="preserve"> in s tem povezanih specifičnih priporočil za države</w:t>
            </w:r>
            <w:r>
              <w:rPr>
                <w:b/>
                <w:bCs/>
                <w:i/>
                <w:iCs/>
              </w:rPr>
              <w:t xml:space="preserve"> ter pregleda socialnih kazalnikov in njegovih krovnih ciljev in sekundarnih kazalnikov ter okvira socialne konvergence za preprečevanje in opredelitev tveganj socialne </w:t>
            </w:r>
            <w:r>
              <w:rPr>
                <w:b/>
                <w:bCs/>
                <w:i/>
                <w:iCs/>
              </w:rPr>
              <w:t>konvergence.</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14</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4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1.</w:t>
            </w:r>
            <w:r>
              <w:tab/>
            </w:r>
            <w:r>
              <w:t>Svet po oceni srednjeročnih fiskalno-strukturnih načrtov, letnih poročil o napredku in socialno-ekonomskih razmer v zadevnih državah članicah v skladu s to uredbo na podlagi priporočil Komisije na te države članice po potrebi naslovi priporočila, pri čemer</w:t>
            </w:r>
            <w:r>
              <w:t xml:space="preserve"> v celoti uporabi pravne instrumente iz členov 121 in 148 PDEU </w:t>
            </w:r>
            <w:r>
              <w:rPr>
                <w:b/>
                <w:bCs/>
                <w:i/>
                <w:iCs/>
              </w:rPr>
              <w:t>ter</w:t>
            </w:r>
            <w:r>
              <w:t xml:space="preserve"> z njima povezane sekundarne zakonodaje.</w:t>
            </w:r>
          </w:p>
        </w:tc>
        <w:tc>
          <w:tcPr>
            <w:tcW w:w="4876" w:type="dxa"/>
            <w:hideMark/>
          </w:tcPr>
          <w:p w:rsidR="009508DE" w:rsidRPr="00C56375" w:rsidRDefault="009136E1" w:rsidP="005E217A">
            <w:pPr>
              <w:pStyle w:val="Normal6"/>
              <w:rPr>
                <w:szCs w:val="24"/>
              </w:rPr>
            </w:pPr>
            <w:r>
              <w:t>1.</w:t>
            </w:r>
            <w:r>
              <w:tab/>
            </w:r>
            <w:r>
              <w:t>Svet po oceni srednjeročnih fiskalno-strukturnih načrtov, letnih poročil o napredku in socialno-ekonomskih razmer v zadevnih državah članicah v skladu s to uredbo na podlagi priporočil Komisije na te države članice po potrebi naslovi priporočila, pri čemer</w:t>
            </w:r>
            <w:r>
              <w:t xml:space="preserve"> v celoti uporabi </w:t>
            </w:r>
            <w:r>
              <w:rPr>
                <w:b/>
                <w:bCs/>
                <w:i/>
                <w:iCs/>
              </w:rPr>
              <w:t xml:space="preserve">Evropski steber socialnih pravic in </w:t>
            </w:r>
            <w:r>
              <w:t>pravne instrumente iz členov 121 in 148 PDEU ter z njima povezane sekundarne zakonodaje.</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15</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lang w:val="fr-FR"/>
        </w:rPr>
        <w:t>&lt;Article&gt;</w:t>
      </w:r>
      <w:r>
        <w:t>Člen 4 – odst</w:t>
      </w:r>
      <w:r>
        <w:t>avek 3 – točka b a (novo)</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(ba)</w:t>
            </w:r>
            <w:r>
              <w:rPr>
                <w:b/>
                <w:i/>
              </w:rPr>
              <w:tab/>
              <w:t>priporočilo Sveta na podlagi predloga Komisije v skladu s členom 148(4) PDEU ali upoštevanje rezultatov okvira socialne konvergence;</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 xml:space="preserve">Predlog </w:t>
      </w:r>
      <w:r>
        <w:t>spremembe</w:t>
      </w:r>
      <w:r>
        <w:tab/>
      </w:r>
      <w:r>
        <w:rPr>
          <w:rStyle w:val="HideTWBExt"/>
          <w:b w:val="0"/>
        </w:rPr>
        <w:t>&lt;NumAm&gt;</w:t>
      </w:r>
      <w:r>
        <w:t>16</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7 – odstavek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(b)</w:t>
            </w:r>
            <w:r>
              <w:tab/>
              <w:t>svojo makroekonomsko napoved in predpostavke;</w:t>
            </w:r>
          </w:p>
        </w:tc>
        <w:tc>
          <w:tcPr>
            <w:tcW w:w="4876" w:type="dxa"/>
            <w:hideMark/>
          </w:tcPr>
          <w:p w:rsidR="009508DE" w:rsidRPr="00C56375" w:rsidRDefault="009136E1" w:rsidP="005E217A">
            <w:pPr>
              <w:pStyle w:val="Normal6"/>
              <w:rPr>
                <w:szCs w:val="24"/>
              </w:rPr>
            </w:pPr>
            <w:r>
              <w:t>(b)</w:t>
            </w:r>
            <w:r>
              <w:tab/>
              <w:t xml:space="preserve">svojo makroekonomsko napoved in </w:t>
            </w:r>
            <w:r>
              <w:t xml:space="preserve">predpostavke; </w:t>
            </w:r>
            <w:r>
              <w:rPr>
                <w:b/>
                <w:i/>
              </w:rPr>
              <w:t>svojo napoved in predpostavke o socialnih tveganjih;</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17</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11 – točka 1 – pododstavek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 xml:space="preserve">Predlog </w:t>
            </w:r>
            <w:r>
              <w:t>spremembe</w:t>
            </w:r>
          </w:p>
        </w:tc>
      </w:tr>
      <w:tr w:rsidR="00432263" w:rsidTr="005E217A">
        <w:trPr>
          <w:jc w:val="center"/>
        </w:trPr>
        <w:tc>
          <w:tcPr>
            <w:tcW w:w="4876" w:type="dxa"/>
            <w:hideMark/>
          </w:tcPr>
          <w:p w:rsidR="009508DE" w:rsidRPr="00C56375" w:rsidRDefault="009136E1" w:rsidP="005E217A">
            <w:pPr>
              <w:pStyle w:val="Normal6"/>
            </w:pPr>
            <w:r>
              <w:t>V nacionalnem srednjeročnem fiskalno-strukturnem načrtu so opisani tudi ukrepi zadevne države članice za obravnavanje specifičnih priporočil za državo, vključno s tistimi, ki so pomembna za postopek v zvezi z makroekonomskimi neravnotežji, ter p</w:t>
            </w:r>
            <w:r>
              <w:t xml:space="preserve">o potrebi opozoril Komisije ali priporočil Sveta, sprejetih v skladu s </w:t>
            </w:r>
            <w:r>
              <w:rPr>
                <w:b/>
                <w:bCs/>
                <w:i/>
                <w:iCs/>
              </w:rPr>
              <w:t>členom</w:t>
            </w:r>
            <w:r>
              <w:t xml:space="preserve"> 121(4) PDEU.</w:t>
            </w:r>
          </w:p>
        </w:tc>
        <w:tc>
          <w:tcPr>
            <w:tcW w:w="4876" w:type="dxa"/>
            <w:hideMark/>
          </w:tcPr>
          <w:p w:rsidR="009508DE" w:rsidRPr="00C56375" w:rsidRDefault="009136E1" w:rsidP="005E217A">
            <w:pPr>
              <w:pStyle w:val="Normal6"/>
              <w:rPr>
                <w:szCs w:val="24"/>
              </w:rPr>
            </w:pPr>
            <w:r>
              <w:t>V nacionalnem srednjeročnem fiskalno-strukturnem načrtu so opisani tudi ukrepi zadevne države članice za obravnavanje specifičnih priporočil za državo, vključno s ti</w:t>
            </w:r>
            <w:r>
              <w:t xml:space="preserve">stimi, ki so pomembna za postopek v zvezi z makroekonomskimi neravnotežji, </w:t>
            </w:r>
            <w:r>
              <w:rPr>
                <w:b/>
                <w:bCs/>
                <w:i/>
                <w:iCs/>
              </w:rPr>
              <w:t>ter izzivi, opredeljeni v poročilih o socialni konvergenci iz okvira za socialno konvergenco,</w:t>
            </w:r>
            <w:r>
              <w:t xml:space="preserve"> ter po potrebi opozoril Komisije ali priporočil Sveta, sprejetih v skladu s </w:t>
            </w:r>
            <w:r>
              <w:rPr>
                <w:b/>
                <w:bCs/>
                <w:i/>
                <w:iCs/>
              </w:rPr>
              <w:t>členom</w:t>
            </w:r>
            <w:r>
              <w:t xml:space="preserve"> 121(</w:t>
            </w:r>
            <w:r>
              <w:t xml:space="preserve">4) PDEU </w:t>
            </w:r>
            <w:r>
              <w:rPr>
                <w:b/>
                <w:bCs/>
                <w:i/>
                <w:iCs/>
              </w:rPr>
              <w:t>in členom 148(4) PDEU</w:t>
            </w:r>
            <w: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18</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12 – odstavek 1 – točka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(b)</w:t>
            </w:r>
            <w:r>
              <w:tab/>
            </w:r>
            <w:r>
              <w:t>pojasni, kako bo zagotovil izvajanje naložb in reform v odziv na glavne izzive, ugotovljene v okviru evropskega semestra v specifičnih priporočilih za državo, po potrebi odpravil ugotovljena makroekonomska neravnotežja v okviru postopka v zvezi z makroekon</w:t>
            </w:r>
            <w:r>
              <w:t xml:space="preserve">omskimi neravnotežji in obravnaval skupne prednostne naloge Unije iz Priloge VI k tej uredbi, vključno z evropskim zelenim dogovorom, </w:t>
            </w:r>
            <w:r>
              <w:rPr>
                <w:b/>
                <w:bCs/>
                <w:i/>
                <w:iCs/>
              </w:rPr>
              <w:t>evropskim</w:t>
            </w:r>
            <w:r>
              <w:t xml:space="preserve"> stebrom </w:t>
            </w:r>
            <w:r>
              <w:rPr>
                <w:b/>
                <w:bCs/>
                <w:i/>
                <w:iCs/>
              </w:rPr>
              <w:t>socialnih pravic</w:t>
            </w:r>
            <w:r>
              <w:t xml:space="preserve"> in digitalnim desetletjem, pri čemer bo skladen s posodobljenimi nacionalnimi energetsk</w:t>
            </w:r>
            <w:r>
              <w:t>imi in podnebnimi načrti ter nacionalnimi načrti za digitalno desetletje;</w:t>
            </w:r>
          </w:p>
        </w:tc>
        <w:tc>
          <w:tcPr>
            <w:tcW w:w="4876" w:type="dxa"/>
            <w:hideMark/>
          </w:tcPr>
          <w:p w:rsidR="009508DE" w:rsidRPr="00C56375" w:rsidRDefault="009136E1" w:rsidP="005E217A">
            <w:pPr>
              <w:pStyle w:val="Normal6"/>
              <w:rPr>
                <w:szCs w:val="24"/>
              </w:rPr>
            </w:pPr>
            <w:r>
              <w:t>(b)</w:t>
            </w:r>
            <w:r>
              <w:tab/>
            </w:r>
            <w:r>
              <w:rPr>
                <w:b/>
                <w:i/>
              </w:rPr>
              <w:t>oceni vrzeli v nacionalnih javnih naložbah, da bi dosegli skupne prednostne naloge;  na tej podlagi zagotovi, da načrtovana fiskalna prilagoditev omogoča potrebne socialne naložb</w:t>
            </w:r>
            <w:r>
              <w:rPr>
                <w:b/>
                <w:i/>
              </w:rPr>
              <w:t xml:space="preserve">e za izvajanje načel evropskega stebra socialnih pravic. </w:t>
            </w:r>
            <w:r>
              <w:rPr>
                <w:b/>
                <w:bCs/>
                <w:i/>
                <w:iCs/>
              </w:rPr>
              <w:t xml:space="preserve">poleg tega </w:t>
            </w:r>
            <w:r>
              <w:t>pojasni, kako bo zagotovil izvajanje naložb in reform v odziv na glavne izzive, ugotovljene v okviru evropskega semestra v specifičnih priporočilih za državo, po potrebi odpravil ugotovlje</w:t>
            </w:r>
            <w:r>
              <w:t>na makroekonomska neravnotežja v okviru postopka v zvezi z makroekonomskimi neravnotežji</w:t>
            </w:r>
            <w:r>
              <w:rPr>
                <w:b/>
                <w:bCs/>
                <w:i/>
                <w:iCs/>
              </w:rPr>
              <w:t xml:space="preserve"> ter odpravil tveganja socialne konvergence, opredeljena v okviru socialne konvergence,</w:t>
            </w:r>
            <w:r>
              <w:t xml:space="preserve"> in obravnaval skupne prednostne naloge Unije iz člena 1 k tej uredbi, vključno z</w:t>
            </w:r>
            <w:r>
              <w:t xml:space="preserve"> evropskim zelenim dogovorom, evropskim stebrom socialnih pravic</w:t>
            </w:r>
            <w:r>
              <w:rPr>
                <w:b/>
                <w:bCs/>
                <w:i/>
                <w:iCs/>
              </w:rPr>
              <w:t xml:space="preserve"> ter s povezanimi cilji glede zaposlovanja, izobraževanja in zmanjšanja revščine do leta 2030,</w:t>
            </w:r>
            <w:r>
              <w:t xml:space="preserve"> in digitalnim desetletjem, pri čemer bo skladen s posodobljenimi nacionalnimi energetskimi in pod</w:t>
            </w:r>
            <w:r>
              <w:t>nebnimi načrti ter nacionalnimi načrti za digitalno desetletje.</w:t>
            </w:r>
            <w:r>
              <w:rPr>
                <w:b/>
                <w:i/>
              </w:rPr>
              <w:t xml:space="preserve"> </w:t>
            </w:r>
            <w:r>
              <w:rPr>
                <w:b/>
                <w:bCs/>
                <w:i/>
                <w:iCs/>
              </w:rPr>
              <w:t>poleg tega pojasni, kako prispeva k izvajanju širših smernic ekonomskih politik držav članic in smernic za zaposlovanje v skladu s členom 121(2) in členom 148(2) PDEU</w:t>
            </w:r>
            <w: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w:t>
      </w:r>
      <w:r>
        <w:t xml:space="preserve"> spremembe</w:t>
      </w:r>
      <w:r>
        <w:tab/>
      </w:r>
      <w:r>
        <w:tab/>
      </w:r>
      <w:r>
        <w:rPr>
          <w:rStyle w:val="HideTWBExt"/>
          <w:b w:val="0"/>
        </w:rPr>
        <w:t>&lt;NumAm&gt;</w:t>
      </w:r>
      <w:r>
        <w:t>19</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lang w:val="fr-FR"/>
        </w:rPr>
        <w:t>&lt;Article&gt;</w:t>
      </w:r>
      <w:r>
        <w:t>Člen 12 – odstavek 1 – točka d a (novo)</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(da)</w:t>
            </w:r>
            <w:r>
              <w:rPr>
                <w:b/>
                <w:i/>
              </w:rPr>
              <w:tab/>
              <w:t xml:space="preserve">pojasni postopek posvetovanja z lokalnimi in regionalnimi organi, </w:t>
            </w:r>
            <w:r>
              <w:rPr>
                <w:b/>
                <w:i/>
              </w:rPr>
              <w:lastRenderedPageBreak/>
              <w:t>socialnimi partnerji, organizacijami civilne družbe in drugimi ustreznimi deležniki, opravljen v skladu z nacionalnim pravnim okvirom, ter kako se prispevki deležnikov upoštevajo v načrtu in postopku izvajanja; ter</w:t>
            </w:r>
          </w:p>
        </w:tc>
      </w:tr>
    </w:tbl>
    <w:p w:rsidR="009508DE" w:rsidRPr="00C56375" w:rsidRDefault="009136E1" w:rsidP="009508DE">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w:t>
      </w:r>
      <w:r>
        <w:rPr>
          <w:rStyle w:val="HideTWBExt"/>
          <w:b w:val="0"/>
        </w:rPr>
        <w:t>m&gt;</w:t>
      </w:r>
      <w:r>
        <w:t>20</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lang w:val="fr-FR"/>
        </w:rPr>
        <w:t>&lt;Article&gt;</w:t>
      </w:r>
      <w:r>
        <w:t>Člen 13 – odstavek 2 – pododstavek b – točka iv</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(iv)</w:t>
            </w:r>
            <w:r>
              <w:tab/>
              <w:t xml:space="preserve">obravnavanje ustreznih specifičnih priporočil za državo, naslovljenih na </w:t>
            </w:r>
            <w:r>
              <w:t>zadevno državo članico, po potrebi tudi priporočil, izdanih v okviru postopka v zvezi z makroekonomskimi neravnotežji;</w:t>
            </w:r>
          </w:p>
        </w:tc>
        <w:tc>
          <w:tcPr>
            <w:tcW w:w="4876" w:type="dxa"/>
            <w:hideMark/>
          </w:tcPr>
          <w:p w:rsidR="009508DE" w:rsidRPr="00C56375" w:rsidRDefault="009136E1" w:rsidP="005E217A">
            <w:pPr>
              <w:pStyle w:val="Normal6"/>
              <w:rPr>
                <w:szCs w:val="24"/>
              </w:rPr>
            </w:pPr>
            <w:r>
              <w:t>(iv)</w:t>
            </w:r>
            <w:r>
              <w:tab/>
              <w:t xml:space="preserve">obravnavanje ustreznih specifičnih priporočil za državo, naslovljenih na zadevno državo članico </w:t>
            </w:r>
            <w:r>
              <w:rPr>
                <w:b/>
                <w:bCs/>
                <w:i/>
                <w:iCs/>
              </w:rPr>
              <w:t>v skladu s členom 121(4) in členom 1</w:t>
            </w:r>
            <w:r>
              <w:rPr>
                <w:b/>
                <w:bCs/>
                <w:i/>
                <w:iCs/>
              </w:rPr>
              <w:t>48(4) PDEU</w:t>
            </w:r>
            <w:r>
              <w:t xml:space="preserve">, po potrebi tudi priporočil, izdanih v okviru postopka v zvezi z makroekonomskimi neravnotežji </w:t>
            </w:r>
            <w:r>
              <w:rPr>
                <w:b/>
                <w:bCs/>
                <w:i/>
                <w:iCs/>
              </w:rPr>
              <w:t>ter v okviru za socialno konvergenco</w:t>
            </w:r>
            <w: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21</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 xml:space="preserve">Člen 16 – </w:t>
      </w:r>
      <w:r>
        <w:t>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 xml:space="preserve">Svet na priporočilo Komisije praviloma </w:t>
            </w:r>
            <w:r>
              <w:rPr>
                <w:b/>
                <w:bCs/>
                <w:i/>
                <w:iCs/>
              </w:rPr>
              <w:t>v štirih</w:t>
            </w:r>
            <w:r>
              <w:t xml:space="preserve"> tednih od sprejetja priporočila Komisije sprejme priporočilo, v katerem določi pot gibanja očiščenih odhodkov za zadevno državo član</w:t>
            </w:r>
            <w:r>
              <w:t>ico in po potrebi potrdi sklop reformnih in naložbenih zavez, na katerih temelji podaljšanje prilagoditvenega obdobja, vključenega v njen nacionalni srednjeročni fiskalno-strukturni načrt.</w:t>
            </w:r>
          </w:p>
        </w:tc>
        <w:tc>
          <w:tcPr>
            <w:tcW w:w="4876" w:type="dxa"/>
            <w:hideMark/>
          </w:tcPr>
          <w:p w:rsidR="009508DE" w:rsidRPr="00C56375" w:rsidRDefault="009136E1" w:rsidP="005E217A">
            <w:pPr>
              <w:pStyle w:val="Normal6"/>
              <w:rPr>
                <w:szCs w:val="24"/>
              </w:rPr>
            </w:pPr>
            <w:r>
              <w:t xml:space="preserve">Svet na priporočilo Komisije </w:t>
            </w:r>
            <w:r>
              <w:rPr>
                <w:b/>
                <w:bCs/>
                <w:i/>
                <w:iCs/>
              </w:rPr>
              <w:t>in po posvetovanju z ustreznimi svetov</w:t>
            </w:r>
            <w:r>
              <w:rPr>
                <w:b/>
                <w:bCs/>
                <w:i/>
                <w:iCs/>
              </w:rPr>
              <w:t>alnimi odbori, opredeljenimi v skladu s členom 26</w:t>
            </w:r>
            <w:r>
              <w:t xml:space="preserve">, praviloma </w:t>
            </w:r>
            <w:r>
              <w:rPr>
                <w:b/>
                <w:bCs/>
                <w:i/>
                <w:iCs/>
              </w:rPr>
              <w:t>v šestih do desetih</w:t>
            </w:r>
            <w:r>
              <w:t xml:space="preserve"> tednih </w:t>
            </w:r>
            <w:r>
              <w:rPr>
                <w:b/>
                <w:bCs/>
                <w:i/>
                <w:iCs/>
              </w:rPr>
              <w:t>od</w:t>
            </w:r>
            <w:r>
              <w:t xml:space="preserve"> sprejetja priporočila Komisije sprejme priporočilo, v katerem določi pot gibanja očiščenih odhodkov za zadevno državo članico in po potrebi potrdi sklop reformnih in</w:t>
            </w:r>
            <w:r>
              <w:t xml:space="preserve"> naložbenih zavez, na katerih temelji podaljšanje prilagoditvenega obdobja, vključenega v njen nacionalni srednjeročni fiskalno-strukturni načrt.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22</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 xml:space="preserve">Člen 17 – </w:t>
      </w:r>
      <w:r>
        <w:t>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 xml:space="preserve">Kadar Svet meni, da načrt ni skladen z zahtevami iz člena 15(2) in (3), </w:t>
            </w:r>
            <w:r>
              <w:rPr>
                <w:b/>
                <w:bCs/>
                <w:i/>
                <w:iCs/>
              </w:rPr>
              <w:t>točka</w:t>
            </w:r>
            <w:r>
              <w:t xml:space="preserve"> (a), na priporočilo Komisije zadevni državi članici priporoči, naj predloži revidiran nacionalni sredn</w:t>
            </w:r>
            <w:r>
              <w:t>jeročni fiskalno-strukturni načrt.</w:t>
            </w:r>
          </w:p>
        </w:tc>
        <w:tc>
          <w:tcPr>
            <w:tcW w:w="4876" w:type="dxa"/>
            <w:hideMark/>
          </w:tcPr>
          <w:p w:rsidR="009508DE" w:rsidRPr="00C56375" w:rsidRDefault="009136E1" w:rsidP="005E217A">
            <w:pPr>
              <w:pStyle w:val="Normal6"/>
              <w:rPr>
                <w:szCs w:val="24"/>
              </w:rPr>
            </w:pPr>
            <w:r>
              <w:t xml:space="preserve">Kadar Svet meni, da načrt ni skladen z zahtevami iz člena 15(2) in (3), </w:t>
            </w:r>
            <w:r>
              <w:rPr>
                <w:b/>
                <w:bCs/>
                <w:i/>
                <w:iCs/>
              </w:rPr>
              <w:t>točki</w:t>
            </w:r>
            <w:r>
              <w:t xml:space="preserve"> (a) </w:t>
            </w:r>
            <w:r>
              <w:rPr>
                <w:b/>
                <w:bCs/>
                <w:i/>
                <w:iCs/>
              </w:rPr>
              <w:t>in (b)</w:t>
            </w:r>
            <w:r>
              <w:t xml:space="preserve">, na priporočilo Komisije </w:t>
            </w:r>
            <w:r>
              <w:rPr>
                <w:b/>
                <w:bCs/>
                <w:i/>
                <w:iCs/>
              </w:rPr>
              <w:t>in po posvetovanju z ustreznimi svetovalnimi odbori, opredeljenimi v členu 26,</w:t>
            </w:r>
            <w:r>
              <w:t xml:space="preserve"> zadevni državi članici pripo</w:t>
            </w:r>
            <w:r>
              <w:t>roči, naj predloži revidiran nacionalni srednjeročni fiskalno-strukturni načrt.</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23</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20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 xml:space="preserve">Predlog </w:t>
            </w:r>
            <w:r>
              <w:t>spremembe</w:t>
            </w:r>
          </w:p>
        </w:tc>
      </w:tr>
      <w:tr w:rsidR="00432263" w:rsidTr="005E217A">
        <w:trPr>
          <w:jc w:val="center"/>
        </w:trPr>
        <w:tc>
          <w:tcPr>
            <w:tcW w:w="4876" w:type="dxa"/>
            <w:hideMark/>
          </w:tcPr>
          <w:p w:rsidR="009508DE" w:rsidRPr="00C56375" w:rsidRDefault="009136E1" w:rsidP="005E217A">
            <w:pPr>
              <w:pStyle w:val="Normal6"/>
            </w:pPr>
            <w:r>
              <w:t>2.</w:t>
            </w:r>
            <w:r>
              <w:tab/>
              <w:t xml:space="preserve">Letno poročilo o napredku iz odstavka 1 vsebuje zlasti informacije o napredku pri izvajanju poti gibanja očiščenih odhodkov, izvajanju širših reformnih in naložbenih zavez v okviru evropskega semestra </w:t>
            </w:r>
            <w:r>
              <w:rPr>
                <w:b/>
                <w:bCs/>
                <w:i/>
                <w:iCs/>
              </w:rPr>
              <w:t>ter</w:t>
            </w:r>
            <w:r>
              <w:t xml:space="preserve"> po potrebi pri izvajanju sklopa refor</w:t>
            </w:r>
            <w:r>
              <w:t>mnih in naložbenih zavez, na katerih temelji podaljšanje prilagoditvenega obdobja.</w:t>
            </w:r>
          </w:p>
        </w:tc>
        <w:tc>
          <w:tcPr>
            <w:tcW w:w="4876" w:type="dxa"/>
            <w:hideMark/>
          </w:tcPr>
          <w:p w:rsidR="009508DE" w:rsidRPr="00C56375" w:rsidRDefault="009136E1" w:rsidP="005E217A">
            <w:pPr>
              <w:pStyle w:val="Normal6"/>
              <w:rPr>
                <w:szCs w:val="24"/>
              </w:rPr>
            </w:pPr>
            <w:r>
              <w:t>2.</w:t>
            </w:r>
            <w:r>
              <w:tab/>
              <w:t>Letno poročilo o napredku iz odstavka 1 vsebuje zlasti informacije o napredku pri izvajanju poti gibanja očiščenih odhodkov, izvajanju širših reformnih in naložbenih zave</w:t>
            </w:r>
            <w:r>
              <w:t xml:space="preserve">z v okviru evropskega semestra, </w:t>
            </w:r>
            <w:r>
              <w:rPr>
                <w:b/>
                <w:bCs/>
                <w:i/>
                <w:iCs/>
              </w:rPr>
              <w:t>vključno z napredkom pri doseganju ciljev Unije in nacionalnih ciljev glede zaposlovanja, izobraževanja in zmanjšanja revščine do leta 2030 ter skupnih prednostnih nalog Unije iz Priloge VI,</w:t>
            </w:r>
            <w:r>
              <w:t xml:space="preserve"> </w:t>
            </w:r>
            <w:r>
              <w:rPr>
                <w:b/>
                <w:bCs/>
                <w:i/>
                <w:iCs/>
              </w:rPr>
              <w:t>in</w:t>
            </w:r>
            <w:r>
              <w:t xml:space="preserve"> po potrebi pri izvajanju sklop</w:t>
            </w:r>
            <w:r>
              <w:t>a reformnih in naložbenih zavez, na katerih temelji podaljšanje prilagoditvenega obdobja.</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24</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22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Vsaka nacionalna neodvisna fiskalna institucija iz člena 8 Direktive Sveta [...]</w:t>
            </w:r>
            <w:r>
              <w:rPr>
                <w:vertAlign w:val="superscript"/>
              </w:rPr>
              <w:t>32</w:t>
            </w:r>
            <w:r>
              <w:t xml:space="preserve"> [o nacionalnih proračunskih okvirih] </w:t>
            </w:r>
            <w:r>
              <w:lastRenderedPageBreak/>
              <w:t>zagotovi oceno skladnosti podatkov o realizaciji proračuna, sporočenih v poročilu o napredku iz člena 20, s potjo gi</w:t>
            </w:r>
            <w:r>
              <w:t>banja očiščenih odhodkov. Vsaka nacionalna neodvisna fiskalna institucija po potrebi analizira tudi dejavnike, na katerih temelji odklon od poti gibanja očiščenih odhodkov.</w:t>
            </w:r>
          </w:p>
        </w:tc>
        <w:tc>
          <w:tcPr>
            <w:tcW w:w="4876" w:type="dxa"/>
            <w:hideMark/>
          </w:tcPr>
          <w:p w:rsidR="009508DE" w:rsidRPr="00C56375" w:rsidRDefault="009136E1" w:rsidP="005E217A">
            <w:pPr>
              <w:pStyle w:val="Normal6"/>
              <w:rPr>
                <w:szCs w:val="24"/>
              </w:rPr>
            </w:pPr>
            <w:r>
              <w:lastRenderedPageBreak/>
              <w:t xml:space="preserve">Vsaka nacionalna neodvisna fiskalna institucija iz člena 8 Direktive Sveta [...]32 </w:t>
            </w:r>
            <w:r>
              <w:lastRenderedPageBreak/>
              <w:t>[o nacionalnih proračunskih okvirih]:</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(a)</w:t>
            </w:r>
            <w:r>
              <w:t xml:space="preserve"> </w:t>
            </w:r>
            <w:r>
              <w:tab/>
              <w:t>zagotovi oceno skladnosti podatkov o realizaciji proračuna, sporočenih v poročilu o napredku iz člena 20 te uredbe, s potjo gibanja očiščenih odhodkov</w:t>
            </w:r>
            <w:r>
              <w:rPr>
                <w:b/>
                <w:bCs/>
                <w:i/>
                <w:iCs/>
              </w:rPr>
              <w:t>;</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(b)</w:t>
            </w:r>
            <w:r>
              <w:t xml:space="preserve"> </w:t>
            </w:r>
            <w:r>
              <w:tab/>
              <w:t>po potrebi analizira tudi dejavnike, na katerih teme</w:t>
            </w:r>
            <w:r>
              <w:t>lji odklon od poti gibanja očiščenih odhodkov</w:t>
            </w:r>
            <w:r>
              <w:rPr>
                <w:b/>
                <w:bCs/>
                <w:i/>
                <w:iCs/>
              </w:rPr>
              <w:t>;</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 xml:space="preserve">(c) </w:t>
            </w:r>
            <w:r>
              <w:tab/>
            </w:r>
            <w:r>
              <w:rPr>
                <w:b/>
                <w:bCs/>
                <w:i/>
                <w:iCs/>
              </w:rPr>
              <w:t>oceni socialni vpliv političnih odločitev glede fiskalne prilagoditve</w:t>
            </w:r>
            <w:r>
              <w:t>.</w:t>
            </w:r>
          </w:p>
        </w:tc>
      </w:tr>
      <w:tr w:rsidR="00432263" w:rsidTr="005E217A">
        <w:trPr>
          <w:jc w:val="center"/>
        </w:trPr>
        <w:tc>
          <w:tcPr>
            <w:tcW w:w="4876" w:type="dxa"/>
            <w:hideMark/>
          </w:tcPr>
          <w:p w:rsidR="009508DE" w:rsidRPr="00C56375" w:rsidRDefault="009136E1" w:rsidP="005E217A">
            <w:pPr>
              <w:pStyle w:val="Normal6"/>
            </w:pPr>
            <w:r>
              <w:t>__________________</w:t>
            </w:r>
          </w:p>
        </w:tc>
        <w:tc>
          <w:tcPr>
            <w:tcW w:w="4876" w:type="dxa"/>
            <w:hideMark/>
          </w:tcPr>
          <w:p w:rsidR="009508DE" w:rsidRPr="00C56375" w:rsidRDefault="009136E1" w:rsidP="005E217A">
            <w:pPr>
              <w:pStyle w:val="Normal6"/>
              <w:rPr>
                <w:szCs w:val="24"/>
              </w:rPr>
            </w:pPr>
            <w:r>
              <w:t>__________________</w:t>
            </w:r>
          </w:p>
        </w:tc>
      </w:tr>
      <w:tr w:rsidR="00432263" w:rsidTr="005E217A">
        <w:trPr>
          <w:jc w:val="center"/>
        </w:trPr>
        <w:tc>
          <w:tcPr>
            <w:tcW w:w="4876" w:type="dxa"/>
            <w:hideMark/>
          </w:tcPr>
          <w:p w:rsidR="009508DE" w:rsidRPr="00C56375" w:rsidRDefault="009136E1" w:rsidP="005E217A">
            <w:pPr>
              <w:pStyle w:val="Normal6"/>
            </w:pPr>
            <w:r>
              <w:rPr>
                <w:vertAlign w:val="superscript"/>
              </w:rPr>
              <w:t>32</w:t>
            </w:r>
            <w:r>
              <w:t xml:space="preserve"> Direktiva Sveta […] z dne […] [o spremembi Direktive Sveta 2011/85/EU o zahtevah v zvezi</w:t>
            </w:r>
            <w:r>
              <w:t xml:space="preserve"> s proračunskimi okviri držav članic] (UL …., …, str…)</w:t>
            </w:r>
          </w:p>
        </w:tc>
        <w:tc>
          <w:tcPr>
            <w:tcW w:w="4876" w:type="dxa"/>
            <w:hideMark/>
          </w:tcPr>
          <w:p w:rsidR="009508DE" w:rsidRPr="00C56375" w:rsidRDefault="009136E1" w:rsidP="005E217A">
            <w:pPr>
              <w:pStyle w:val="Normal6"/>
              <w:rPr>
                <w:szCs w:val="24"/>
              </w:rPr>
            </w:pPr>
            <w:r>
              <w:rPr>
                <w:vertAlign w:val="superscript"/>
              </w:rPr>
              <w:t>32</w:t>
            </w:r>
            <w:r>
              <w:t xml:space="preserve"> Direktiva Sveta […] z dne […] [o spremembi Direktive Sveta 2011/85/EU o zahtevah v zvezi s proračunskimi okviri držav članic] (UL …., …, str…)</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25</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26 – odstavek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Evropski parlament ustrezno sodeluje v evropskem semestru, zlasti v okviru ekonomskega dialoga, da bi se okrepila preglednost</w:t>
            </w:r>
            <w:r>
              <w:t xml:space="preserve"> in lastništvo ter odgovornost za sprejete odločitve. V okviru evropskega semestra se po potrebi opravijo posvetovanja z Ekonomsko-finančnim odborom, Odborom za ekonomsko politiko, Odborom za zaposlovanje in Odborom za socialno zaščito. Po potrebi so v okv</w:t>
            </w:r>
            <w:r>
              <w:t xml:space="preserve">ir evropskega semestra pri glavnih vprašanjih politik vključeni tudi zadevni deležniki, zlasti socialni partnerji, v skladu z določbami PDEU ter nacionalnimi </w:t>
            </w:r>
            <w:r>
              <w:lastRenderedPageBreak/>
              <w:t>pravnimi in političnimi ureditvami.</w:t>
            </w:r>
          </w:p>
        </w:tc>
        <w:tc>
          <w:tcPr>
            <w:tcW w:w="4876" w:type="dxa"/>
            <w:hideMark/>
          </w:tcPr>
          <w:p w:rsidR="009508DE" w:rsidRPr="00C56375" w:rsidRDefault="009136E1" w:rsidP="005E217A">
            <w:pPr>
              <w:pStyle w:val="Normal6"/>
              <w:rPr>
                <w:szCs w:val="24"/>
              </w:rPr>
            </w:pPr>
            <w:r>
              <w:lastRenderedPageBreak/>
              <w:t>Evropski parlament ustrezno sodeluje v evropskem semestru, zla</w:t>
            </w:r>
            <w:r>
              <w:t xml:space="preserve">sti v okviru ekonomskega </w:t>
            </w:r>
            <w:r>
              <w:rPr>
                <w:b/>
                <w:bCs/>
                <w:i/>
                <w:iCs/>
              </w:rPr>
              <w:t>in zaposlitvenega</w:t>
            </w:r>
            <w:r>
              <w:t xml:space="preserve"> dialoga, da bi se okrepila preglednost in lastništvo ter odgovornost za sprejete odločitve</w:t>
            </w:r>
            <w:r>
              <w:rPr>
                <w:b/>
                <w:bCs/>
                <w:i/>
                <w:iCs/>
              </w:rPr>
              <w:t>, pa tudi za določitev prednostnih nalog na makroekonomskem področju in področju socialne politike</w:t>
            </w:r>
            <w:r>
              <w:t>. V okviru evropskega sem</w:t>
            </w:r>
            <w:r>
              <w:t xml:space="preserve">estra se po potrebi opravijo posvetovanja z Ekonomsko-finančnim odborom, Odborom za ekonomsko politiko, Odborom za zaposlovanje in Odborom za socialno zaščito. </w:t>
            </w:r>
            <w:r>
              <w:rPr>
                <w:b/>
                <w:bCs/>
                <w:i/>
                <w:iCs/>
              </w:rPr>
              <w:t xml:space="preserve">V okviru evropskega semestra se po potrebi opravijo posvetovanja z Evropskim </w:t>
            </w:r>
            <w:r>
              <w:rPr>
                <w:b/>
                <w:bCs/>
                <w:i/>
                <w:iCs/>
              </w:rPr>
              <w:lastRenderedPageBreak/>
              <w:t>ekonomsko-socialnim</w:t>
            </w:r>
            <w:r>
              <w:rPr>
                <w:b/>
                <w:bCs/>
                <w:i/>
                <w:iCs/>
              </w:rPr>
              <w:t xml:space="preserve"> odborom in Evropskim odborom regij.</w:t>
            </w:r>
            <w:r>
              <w:t xml:space="preserve"> Po potrebi so v okvir evropskega semestra pri glavnih vprašanjih politik vključeni tudi zadevni deležniki, zlasti socialni partnerji</w:t>
            </w:r>
            <w:r>
              <w:rPr>
                <w:b/>
                <w:bCs/>
                <w:i/>
                <w:iCs/>
              </w:rPr>
              <w:t xml:space="preserve"> in organizacije civilne družbe</w:t>
            </w:r>
            <w:r>
              <w:t>, v skladu z določbami PDEU ter nacionalnimi pravnimi in</w:t>
            </w:r>
            <w:r>
              <w:t xml:space="preserve"> političnimi ureditvami.</w:t>
            </w:r>
          </w:p>
        </w:tc>
      </w:tr>
    </w:tbl>
    <w:p w:rsidR="009508DE" w:rsidRPr="002D23D0" w:rsidRDefault="009136E1" w:rsidP="009508DE">
      <w:pPr>
        <w:rPr>
          <w:rFonts w:eastAsiaTheme="majorEastAsia"/>
        </w:rPr>
      </w:pPr>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26</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Člen 26 – odstavek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Za okrepitev dialoga med institucijami Unije,</w:t>
            </w:r>
            <w:r>
              <w:t xml:space="preserve"> zlasti Evropskim parlamentom, Svetom in Komisijo, ter za zagotovitev preglednosti in odgovornosti lahko Evropski parlament povabi predsednika Sveta, Komisije in po potrebi predsednika Evropskega sveta ali predsednika Euroskupine, da nastopijo pred njim in</w:t>
            </w:r>
            <w:r>
              <w:t xml:space="preserve"> razpravljajo o političnih smernicah za države članice, ki jih izda Komisija, sklepih Evropskega sveta in rezultatih večstranskega nadzora, ki se izvaja v skladu s to uredbo.</w:t>
            </w:r>
          </w:p>
        </w:tc>
        <w:tc>
          <w:tcPr>
            <w:tcW w:w="4876" w:type="dxa"/>
            <w:hideMark/>
          </w:tcPr>
          <w:p w:rsidR="009508DE" w:rsidRPr="00C56375" w:rsidRDefault="009136E1" w:rsidP="005E217A">
            <w:pPr>
              <w:pStyle w:val="Normal6"/>
              <w:rPr>
                <w:szCs w:val="24"/>
              </w:rPr>
            </w:pPr>
            <w:r>
              <w:t>Za okrepitev dialoga med institucijami Unije, zlasti Evropskim parlamentom, Svetom in Komisijo, ter za zagotovitev preglednosti in odgovornosti lahko Evropski parlament povabi predsednika Sveta, Komisije in po potrebi predsednika Evropskega sveta ali preds</w:t>
            </w:r>
            <w:r>
              <w:t xml:space="preserve">ednika Euroskupine, da nastopijo pred njim in razpravljajo o političnih smernicah za države članice, ki jih izda Komisija, sklepih Evropskega sveta in rezultatih večstranskega nadzora, ki se izvaja v skladu s to uredbo, </w:t>
            </w:r>
            <w:r>
              <w:rPr>
                <w:b/>
                <w:bCs/>
                <w:i/>
                <w:iCs/>
              </w:rPr>
              <w:t>vključno s sistemi zgodnjega opozarj</w:t>
            </w:r>
            <w:r>
              <w:rPr>
                <w:b/>
                <w:bCs/>
                <w:i/>
                <w:iCs/>
              </w:rPr>
              <w:t>anja, vzpostavljenimi v skladu s členoma 121(4) in 148 PDEU</w:t>
            </w:r>
            <w: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27</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lang w:val="fr-FR"/>
        </w:rPr>
        <w:t>&lt;Article&gt;</w:t>
      </w:r>
      <w:r>
        <w:t>Člen 26 – odstavek 3 a (novo)</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Pristojni odbori Evropskega parlamenta lahko Komisijo povabijo k razpravi o naslednjih zadevah:</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(a)</w:t>
            </w:r>
            <w:r>
              <w:rPr>
                <w:b/>
                <w:i/>
              </w:rPr>
              <w:tab/>
              <w:t xml:space="preserve">o Komisijini oceni srednjeročne projekcije javnega dolga za nacionalne srednjeročne fiskalno-strukturne načrte </w:t>
            </w:r>
            <w:r>
              <w:rPr>
                <w:b/>
                <w:i/>
              </w:rPr>
              <w:lastRenderedPageBreak/>
              <w:t>ter analizi vzdržnosti dolga,</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(b)</w:t>
            </w:r>
            <w:r>
              <w:rPr>
                <w:b/>
                <w:i/>
              </w:rPr>
              <w:tab/>
              <w:t xml:space="preserve"> oceni</w:t>
            </w:r>
            <w:r>
              <w:rPr>
                <w:b/>
                <w:i/>
              </w:rPr>
              <w:t xml:space="preserve"> informacij, ki jih morajo države članice navesti v letnih poročilih o napredku,</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(c)</w:t>
            </w:r>
            <w:r>
              <w:rPr>
                <w:b/>
                <w:i/>
              </w:rPr>
              <w:tab/>
              <w:t>oceni sklopa reformnih in naložbenih zavez, na katerem temelji podaljšanje prilagoditvenega obdobja,</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(d) oceni priporočil za posamezne države in tveganj socialne konve</w:t>
            </w:r>
            <w:r>
              <w:rPr>
                <w:b/>
                <w:i/>
              </w:rPr>
              <w:t>rgence ter napredku pri izvajanju načel evropskega stebra socialnih pravic.</w:t>
            </w:r>
          </w:p>
        </w:tc>
      </w:tr>
    </w:tbl>
    <w:p w:rsidR="009508DE" w:rsidRPr="00C56375" w:rsidRDefault="009136E1" w:rsidP="009508DE">
      <w:pPr>
        <w:rPr>
          <w:rStyle w:val="HideTWBExt"/>
          <w:rFonts w:eastAsiaTheme="majorEastAsia"/>
          <w:b/>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28</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 – odstavek 1 – točka 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(d)</w:t>
            </w:r>
            <w:r>
              <w:tab/>
              <w:t xml:space="preserve">Informacije o implicitnih </w:t>
            </w:r>
            <w:r>
              <w:rPr>
                <w:b/>
                <w:bCs/>
                <w:i/>
                <w:iCs/>
              </w:rPr>
              <w:t>obveznostih, povezanih s staranjem prebivalstva,</w:t>
            </w:r>
            <w:r>
              <w:t xml:space="preserve"> in pogojnih obveznostih s potencialno velikim vplivom na državne proračune, vključno z državnimi poroštvi, nedonosnimi posojili in obveznostmi, ki izhajajo iz</w:t>
            </w:r>
            <w:r>
              <w:t xml:space="preserve"> poslovanja javnih družb, vključno z njihovim obsegom, informacije o morebitnih stroških in obveznostih, ki izhajajo iz sodnih postopkov, ter, kolikor je mogoče, informacije o pogojnih obveznostih za nesreče in podnebne spremembe.</w:t>
            </w:r>
          </w:p>
        </w:tc>
        <w:tc>
          <w:tcPr>
            <w:tcW w:w="4876" w:type="dxa"/>
            <w:hideMark/>
          </w:tcPr>
          <w:p w:rsidR="009508DE" w:rsidRPr="00C56375" w:rsidRDefault="009136E1" w:rsidP="005E217A">
            <w:pPr>
              <w:pStyle w:val="Normal6"/>
              <w:rPr>
                <w:szCs w:val="24"/>
              </w:rPr>
            </w:pPr>
            <w:r>
              <w:t>(d)</w:t>
            </w:r>
            <w:r>
              <w:tab/>
              <w:t xml:space="preserve">Informacije o </w:t>
            </w:r>
            <w:r>
              <w:t>implicitnih in pogojnih obveznostih s potencialno velikim vplivom na državne proračune, vključno z državnimi poroštvi, nedonosnimi posojili in obveznostmi, ki izhajajo iz poslovanja javnih družb, vključno z njihovim obsegom, informacije o morebitnih strošk</w:t>
            </w:r>
            <w:r>
              <w:t>ih in obveznostih, ki izhajajo iz sodnih postopkov, ter, kolikor je mogoče, informacije o pogojnih obveznostih za nesreče in podnebne spremembe.</w:t>
            </w:r>
          </w:p>
        </w:tc>
      </w:tr>
    </w:tbl>
    <w:p w:rsidR="009508DE" w:rsidRPr="002D23D0" w:rsidRDefault="009136E1" w:rsidP="009508DE">
      <w:pPr>
        <w:pStyle w:val="AMNumberTabs0"/>
        <w:keepNext/>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29</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 xml:space="preserve">Priloga II </w:t>
      </w:r>
      <w:r>
        <w:t>– odstavek 1 – točka f</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(f)</w:t>
            </w:r>
            <w:r>
              <w:tab/>
              <w:t xml:space="preserve">Če država članica uporabi predpostavke iz točke (e), ki se razlikujejo od predpostavk Komisije v prilagoditvenem obdobju nacionalnega </w:t>
            </w:r>
            <w:r>
              <w:lastRenderedPageBreak/>
              <w:t>srednjeročnega fiskalno-strukt</w:t>
            </w:r>
            <w:r>
              <w:t>urnega načrta in desetletnem obdobju brez dodatnih proračunskih ukrepov, ki mu sledi, ustrezna pojasnila in utemeljitve teh razlik na podlagi trdnih ekonomskih argumentov.</w:t>
            </w:r>
          </w:p>
        </w:tc>
        <w:tc>
          <w:tcPr>
            <w:tcW w:w="4876" w:type="dxa"/>
            <w:hideMark/>
          </w:tcPr>
          <w:p w:rsidR="009508DE" w:rsidRPr="00C56375" w:rsidRDefault="009136E1" w:rsidP="005E217A">
            <w:pPr>
              <w:pStyle w:val="Normal6"/>
              <w:rPr>
                <w:szCs w:val="24"/>
              </w:rPr>
            </w:pPr>
            <w:r>
              <w:lastRenderedPageBreak/>
              <w:t>(f)</w:t>
            </w:r>
            <w:r>
              <w:tab/>
              <w:t>Če država članica uporabi predpostavke iz točke (e), ki se razlikujejo od predpo</w:t>
            </w:r>
            <w:r>
              <w:t xml:space="preserve">stavk Komisije v prilagoditvenem obdobju nacionalnega </w:t>
            </w:r>
            <w:r>
              <w:lastRenderedPageBreak/>
              <w:t xml:space="preserve">srednjeročnega fiskalno-strukturnega načrta in desetletnem obdobju brez dodatnih proračunskih ukrepov, ki mu sledi, ustrezna pojasnila in utemeljitve teh razlik na podlagi trdnih ekonomskih </w:t>
            </w:r>
            <w:r>
              <w:rPr>
                <w:b/>
                <w:bCs/>
                <w:i/>
                <w:iCs/>
              </w:rPr>
              <w:t>in socialnih</w:t>
            </w:r>
            <w:r>
              <w:t xml:space="preserve"> argumentov.</w:t>
            </w:r>
          </w:p>
        </w:tc>
      </w:tr>
    </w:tbl>
    <w:p w:rsidR="009508DE" w:rsidRPr="00C56375" w:rsidRDefault="009136E1" w:rsidP="009508DE">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30</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 – odstavek 1 – točka g</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(g)</w:t>
            </w:r>
            <w:r>
              <w:tab/>
              <w:t xml:space="preserve">Analizo vpliva sprememb temeljnih </w:t>
            </w:r>
            <w:r>
              <w:t>ekonomskih predpostavk na proračunski položaj in stanje dolga države članice.</w:t>
            </w:r>
          </w:p>
        </w:tc>
        <w:tc>
          <w:tcPr>
            <w:tcW w:w="4876" w:type="dxa"/>
            <w:hideMark/>
          </w:tcPr>
          <w:p w:rsidR="009508DE" w:rsidRPr="00C56375" w:rsidRDefault="009136E1" w:rsidP="005E217A">
            <w:pPr>
              <w:pStyle w:val="Normal6"/>
              <w:rPr>
                <w:szCs w:val="24"/>
              </w:rPr>
            </w:pPr>
            <w:r>
              <w:t>(g)</w:t>
            </w:r>
            <w:r>
              <w:tab/>
              <w:t xml:space="preserve">Analizo vpliva sprememb temeljnih ekonomskih </w:t>
            </w:r>
            <w:r>
              <w:rPr>
                <w:b/>
                <w:bCs/>
                <w:i/>
                <w:iCs/>
              </w:rPr>
              <w:t>in socialnih</w:t>
            </w:r>
            <w:r>
              <w:t xml:space="preserve"> predpostavk na proračunski položaj in stanje dolga države članice</w:t>
            </w:r>
            <w:r>
              <w:rPr>
                <w:b/>
                <w:bCs/>
                <w:i/>
                <w:iCs/>
              </w:rPr>
              <w:t>, pa tudi na doseganje nacionalnih ciljev, povezani</w:t>
            </w:r>
            <w:r>
              <w:rPr>
                <w:b/>
                <w:bCs/>
                <w:i/>
                <w:iCs/>
              </w:rPr>
              <w:t>h s krovnimi cilji evropskega stebra socialnih pravic ter njihovimi glavnimi sekundarnimi kazalniki in skupnimi prednostnimi nalogami Unije</w:t>
            </w:r>
            <w:r>
              <w:t>.</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31</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 xml:space="preserve">Priloga II – </w:t>
      </w:r>
      <w:r>
        <w:t>odstavek 1 – točka h</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(h)</w:t>
            </w:r>
            <w:r>
              <w:tab/>
              <w:t>Po potrebi ustrezno utemeljene razloge (z ustreznimi trdnimi in preverljivimi ekonomskimi argumenti) za odstopanje od tehnične referenčne smeri, ki jo je predložila K</w:t>
            </w:r>
            <w:r>
              <w:t>omisija.</w:t>
            </w:r>
          </w:p>
        </w:tc>
        <w:tc>
          <w:tcPr>
            <w:tcW w:w="4876" w:type="dxa"/>
            <w:hideMark/>
          </w:tcPr>
          <w:p w:rsidR="009508DE" w:rsidRPr="00C56375" w:rsidRDefault="009136E1" w:rsidP="005E217A">
            <w:pPr>
              <w:pStyle w:val="Normal6"/>
              <w:rPr>
                <w:szCs w:val="24"/>
              </w:rPr>
            </w:pPr>
            <w:r>
              <w:t>(h)</w:t>
            </w:r>
            <w:r>
              <w:tab/>
              <w:t xml:space="preserve">Po potrebi ustrezno utemeljene razloge (z ustreznimi trdnimi in preverljivimi ekonomskimi </w:t>
            </w:r>
            <w:r>
              <w:rPr>
                <w:b/>
                <w:bCs/>
                <w:i/>
                <w:iCs/>
              </w:rPr>
              <w:t xml:space="preserve">ter socialnimi </w:t>
            </w:r>
            <w:r>
              <w:t>argumenti) za odstopanje od tehnične referenčne smeri, ki jo je predložila Komisija.</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32</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 – odstavek 1 – točka j</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(j)</w:t>
            </w:r>
            <w:r>
              <w:tab/>
              <w:t xml:space="preserve">Skupne odhodke za javne naložbe ter odhodke za reforme in javne naložbe, ki obravnavajo </w:t>
            </w:r>
            <w:r>
              <w:rPr>
                <w:b/>
                <w:bCs/>
                <w:i/>
                <w:iCs/>
              </w:rPr>
              <w:t xml:space="preserve">skupne prednostne </w:t>
            </w:r>
            <w:r>
              <w:rPr>
                <w:b/>
                <w:bCs/>
                <w:i/>
                <w:iCs/>
              </w:rPr>
              <w:t>naloge</w:t>
            </w:r>
            <w:r>
              <w:t xml:space="preserve"> Unije iz Priloge VI.</w:t>
            </w:r>
          </w:p>
        </w:tc>
        <w:tc>
          <w:tcPr>
            <w:tcW w:w="4876" w:type="dxa"/>
            <w:hideMark/>
          </w:tcPr>
          <w:p w:rsidR="009508DE" w:rsidRPr="00C56375" w:rsidRDefault="009136E1" w:rsidP="005E217A">
            <w:pPr>
              <w:pStyle w:val="Normal6"/>
              <w:rPr>
                <w:szCs w:val="24"/>
              </w:rPr>
            </w:pPr>
            <w:r>
              <w:t>(j)</w:t>
            </w:r>
            <w:r>
              <w:tab/>
              <w:t xml:space="preserve">Skupne odhodke za javne naložbe ter odhodke za reforme in javne naložbe, ki obravnavajo </w:t>
            </w:r>
            <w:r>
              <w:rPr>
                <w:b/>
                <w:bCs/>
                <w:i/>
                <w:iCs/>
              </w:rPr>
              <w:t>vsako izmed skupnih prednostnih nalog</w:t>
            </w:r>
            <w:r>
              <w:t xml:space="preserve"> Unije iz Priloge VI.</w:t>
            </w:r>
          </w:p>
        </w:tc>
      </w:tr>
    </w:tbl>
    <w:p w:rsidR="009508DE" w:rsidRPr="002D23D0" w:rsidRDefault="009136E1" w:rsidP="009508DE">
      <w:pPr>
        <w:rPr>
          <w:rFonts w:eastAsiaTheme="majorEastAsia"/>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33</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 xml:space="preserve">Predlog </w:t>
      </w:r>
      <w:r>
        <w:t>uredbe</w:t>
      </w:r>
      <w:r>
        <w:rPr>
          <w:rStyle w:val="HideTWBExt"/>
          <w:b w:val="0"/>
        </w:rPr>
        <w:t>&lt;/DocAmend&gt;</w:t>
      </w:r>
    </w:p>
    <w:p w:rsidR="009508DE" w:rsidRPr="002D23D0" w:rsidRDefault="009136E1" w:rsidP="009508DE">
      <w:pPr>
        <w:pStyle w:val="NormalBold"/>
      </w:pPr>
      <w:r>
        <w:rPr>
          <w:rStyle w:val="HideTWBExt"/>
          <w:b w:val="0"/>
          <w:lang w:val="fr-FR"/>
        </w:rPr>
        <w:t>&lt;Article&gt;</w:t>
      </w:r>
      <w:r>
        <w:t>Priloga II – odstavek 1 – točka k</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(k)</w:t>
            </w:r>
            <w:r>
              <w:tab/>
              <w:t>Po potrebi informacije o specifičnem, časovno omejenem in preverljivem sklopu reformnih in naložbenih zavez, na katerih temelj</w:t>
            </w:r>
            <w:r>
              <w:t>i podaljšanje prilagoditvenega obdobja v skladu s členom 13, časovni načrt za njegovo izvedbo ter trdne ekonomske argumente, da ta sklop reformnih in naložbenih zavez izpolnjuje merila iz člena 13 ob upoštevanju meril za ocenjevanje iz Priloge VII.</w:t>
            </w:r>
          </w:p>
        </w:tc>
        <w:tc>
          <w:tcPr>
            <w:tcW w:w="4876" w:type="dxa"/>
            <w:hideMark/>
          </w:tcPr>
          <w:p w:rsidR="009508DE" w:rsidRPr="00C56375" w:rsidRDefault="009136E1" w:rsidP="005E217A">
            <w:pPr>
              <w:pStyle w:val="Normal6"/>
              <w:rPr>
                <w:szCs w:val="24"/>
              </w:rPr>
            </w:pPr>
            <w:r>
              <w:t>(k)</w:t>
            </w:r>
            <w:r>
              <w:tab/>
              <w:t xml:space="preserve">Po </w:t>
            </w:r>
            <w:r>
              <w:t xml:space="preserve">potrebi informacije o specifičnem, časovno omejenem in preverljivem sklopu reformnih in naložbenih zavez, na katerih temelji podaljšanje prilagoditvenega obdobja v skladu s členom 13, časovni načrt za njegovo izvedbo ter trdne ekonomske </w:t>
            </w:r>
            <w:r>
              <w:rPr>
                <w:b/>
                <w:bCs/>
                <w:i/>
                <w:iCs/>
              </w:rPr>
              <w:t>in socialne</w:t>
            </w:r>
            <w:r>
              <w:t xml:space="preserve"> argumen</w:t>
            </w:r>
            <w:r>
              <w:t>te, da ta sklop reformnih in naložbenih zavez izpolnjuje merila iz člena 13 ob upoštevanju meril za ocenjevanje iz Priloge VII.</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34</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 xml:space="preserve">Priloga II – odstavek 1 – </w:t>
      </w:r>
      <w:r>
        <w:t>točka l</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(l)</w:t>
            </w:r>
            <w:r>
              <w:tab/>
              <w:t>Čim bolj natančno količinsko opredelitev pričakovanih vplivov reform in naložb iz točke (k) na vzdržnost javnih financ, rast in zaposlovanje, po potrebi v skladu s skupno dogovorj</w:t>
            </w:r>
            <w:r>
              <w:t>enimi metodologijami.</w:t>
            </w:r>
          </w:p>
        </w:tc>
        <w:tc>
          <w:tcPr>
            <w:tcW w:w="4876" w:type="dxa"/>
            <w:hideMark/>
          </w:tcPr>
          <w:p w:rsidR="009508DE" w:rsidRPr="00C56375" w:rsidRDefault="009136E1" w:rsidP="005E217A">
            <w:pPr>
              <w:pStyle w:val="Normal6"/>
              <w:rPr>
                <w:szCs w:val="24"/>
              </w:rPr>
            </w:pPr>
            <w:r>
              <w:t>(l)</w:t>
            </w:r>
            <w:r>
              <w:tab/>
              <w:t xml:space="preserve">Čim bolj natančno količinsko opredelitev pričakovanih vplivov reform in naložb iz točke (k) na vzdržnost javnih financ, </w:t>
            </w:r>
            <w:r>
              <w:rPr>
                <w:b/>
                <w:bCs/>
                <w:i/>
                <w:iCs/>
              </w:rPr>
              <w:t>trajnostno</w:t>
            </w:r>
            <w:r>
              <w:t xml:space="preserve"> </w:t>
            </w:r>
            <w:r>
              <w:rPr>
                <w:b/>
                <w:bCs/>
                <w:i/>
                <w:iCs/>
              </w:rPr>
              <w:t xml:space="preserve">in vključujočo </w:t>
            </w:r>
            <w:r>
              <w:t xml:space="preserve">rast in </w:t>
            </w:r>
            <w:r>
              <w:rPr>
                <w:b/>
                <w:bCs/>
                <w:i/>
                <w:iCs/>
              </w:rPr>
              <w:t>konkurenčnost, kakovostno</w:t>
            </w:r>
            <w:r>
              <w:t xml:space="preserve"> zaposlovanje </w:t>
            </w:r>
            <w:r>
              <w:rPr>
                <w:b/>
                <w:bCs/>
                <w:i/>
                <w:iCs/>
              </w:rPr>
              <w:t xml:space="preserve">ter navzgor usmerjeno socialno </w:t>
            </w:r>
            <w:r>
              <w:rPr>
                <w:b/>
                <w:bCs/>
                <w:i/>
                <w:iCs/>
              </w:rPr>
              <w:t>konvergenco</w:t>
            </w:r>
            <w:r>
              <w:t>, po potrebi v skladu s skupno dogovorjenimi metodologijami.</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35</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Predlog uredbe</w:t>
      </w:r>
      <w:r>
        <w:rPr>
          <w:rStyle w:val="HideTWBExt"/>
          <w:b w:val="0"/>
        </w:rPr>
        <w:t>&lt;/DocAmend&gt;</w:t>
      </w:r>
    </w:p>
    <w:p w:rsidR="009508DE" w:rsidRPr="00C56375" w:rsidRDefault="009136E1" w:rsidP="009508DE">
      <w:pPr>
        <w:pStyle w:val="NormalBold"/>
      </w:pPr>
      <w:r>
        <w:rPr>
          <w:rStyle w:val="HideTWBExt"/>
          <w:b w:val="0"/>
          <w:lang w:val="fr-FR"/>
        </w:rPr>
        <w:t>&lt;Article&gt;</w:t>
      </w:r>
      <w:r>
        <w:t>Priloga II – točka 1 – točka n a (novo)</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 xml:space="preserve">Besedilo, ki ga predlaga </w:t>
            </w:r>
            <w:r>
              <w:t>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(na)</w:t>
            </w:r>
            <w:r>
              <w:rPr>
                <w:b/>
                <w:i/>
              </w:rPr>
              <w:tab/>
              <w:t>Po potrebi reforme in naložbe za odpravo ugotovljenih tveganj socialne konvergence iz okvira socialne konvergence.</w:t>
            </w:r>
          </w:p>
        </w:tc>
      </w:tr>
    </w:tbl>
    <w:p w:rsidR="009508DE" w:rsidRPr="002D23D0" w:rsidRDefault="009136E1" w:rsidP="009508DE">
      <w:pPr>
        <w:rPr>
          <w:rFonts w:eastAsiaTheme="majorEastAsia"/>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36</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w:t>
      </w:r>
      <w:r>
        <w:t xml:space="preserve"> II – odstavek 1 – točka p</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(p)</w:t>
            </w:r>
            <w:r>
              <w:tab/>
              <w:t xml:space="preserve">Za države članice z majhnimi izzivi na področju javnega dolga, vendar velikimi implicitnimi obveznostmi </w:t>
            </w:r>
            <w:r>
              <w:rPr>
                <w:b/>
                <w:bCs/>
                <w:i/>
                <w:iCs/>
              </w:rPr>
              <w:t>zaradi staranja prebivalstva</w:t>
            </w:r>
            <w:r>
              <w:t xml:space="preserve">, je treba pri fiskalni </w:t>
            </w:r>
            <w:r>
              <w:t>referenčni smeri očiščenih odhodkov in reformah v nacionalnih srednjeročnih fiskalno-strukturnih načrtih ustrezno upoštevati izzive v zvezi z dolgoročno fiskalno vzdržnostjo javnih financ.</w:t>
            </w:r>
          </w:p>
        </w:tc>
        <w:tc>
          <w:tcPr>
            <w:tcW w:w="4876" w:type="dxa"/>
            <w:hideMark/>
          </w:tcPr>
          <w:p w:rsidR="009508DE" w:rsidRPr="00C56375" w:rsidRDefault="009136E1" w:rsidP="005E217A">
            <w:pPr>
              <w:pStyle w:val="Normal6"/>
              <w:rPr>
                <w:szCs w:val="24"/>
              </w:rPr>
            </w:pPr>
            <w:r>
              <w:t>(p)</w:t>
            </w:r>
            <w:r>
              <w:tab/>
              <w:t xml:space="preserve">Za države članice z majhnimi izzivi na področju javnega dolga, </w:t>
            </w:r>
            <w:r>
              <w:t xml:space="preserve">vendar velikimi implicitnimi obveznostmi, je treba pri fiskalni referenčni smeri očiščenih odhodkov in reformah v nacionalnih srednjeročnih fiskalno-strukturnih načrtih ustrezno upoštevati izzive v zvezi z dolgoročno fiskalno vzdržnostjo javnih financ, </w:t>
            </w:r>
            <w:r>
              <w:rPr>
                <w:b/>
                <w:bCs/>
                <w:i/>
                <w:iCs/>
              </w:rPr>
              <w:t xml:space="preserve">pa </w:t>
            </w:r>
            <w:r>
              <w:rPr>
                <w:b/>
                <w:bCs/>
                <w:i/>
                <w:iCs/>
              </w:rPr>
              <w:t>tudi tveganja socialne konvergence, kot je bilo ugotovljeno pri najnovejšem spremljanju.</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37</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 – odstavek 1 – točka q</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 xml:space="preserve">Besedilo, ki ga </w:t>
            </w:r>
            <w:r>
              <w:t>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(q)</w:t>
            </w:r>
            <w:r>
              <w:tab/>
              <w:t>Informacije o posvetovanjih s socialnimi partnerji, organizacijami civilne družbe in drugimi ustreznimi deležniki v zvezi s pripravo načrta.</w:t>
            </w:r>
          </w:p>
        </w:tc>
        <w:tc>
          <w:tcPr>
            <w:tcW w:w="4876" w:type="dxa"/>
            <w:hideMark/>
          </w:tcPr>
          <w:p w:rsidR="009508DE" w:rsidRPr="00C56375" w:rsidRDefault="009136E1" w:rsidP="005E217A">
            <w:pPr>
              <w:pStyle w:val="Normal6"/>
              <w:rPr>
                <w:szCs w:val="24"/>
              </w:rPr>
            </w:pPr>
            <w:r>
              <w:t>(q)</w:t>
            </w:r>
            <w:r>
              <w:tab/>
              <w:t xml:space="preserve">Informacije o </w:t>
            </w:r>
            <w:r>
              <w:rPr>
                <w:b/>
                <w:bCs/>
                <w:i/>
                <w:iCs/>
              </w:rPr>
              <w:t>učinkovitih</w:t>
            </w:r>
            <w:r>
              <w:t xml:space="preserve"> posvetovanjih s socialnimi partnerji, organizacijami civilne družbe in drugimi ustreznimi deležniki v zvezi s pripravo načrta.</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38</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III – odstavek 1 – t</w:t>
      </w:r>
      <w:r>
        <w:t>očka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(b)</w:t>
            </w:r>
            <w:r>
              <w:tab/>
              <w:t xml:space="preserve">Primerjavo projekcij glavnih ekonomskih spremenljivk, predloženih v nacionalnem srednjeročnem fiskalno-strukturnem načrtu, kot so bile pripravljene na začetku obdobja tega načrta, </w:t>
            </w:r>
            <w:r>
              <w:t>in podatkov o realizaciji za te spremenljivke ter primerjavo posledic za skladnost s potjo gibanja očiščenih odhodkov, ki jo je določil Svet, in posledic za projekcijo gibanja deleža javnega dolga iz navedenega načrta.</w:t>
            </w:r>
          </w:p>
        </w:tc>
        <w:tc>
          <w:tcPr>
            <w:tcW w:w="4876" w:type="dxa"/>
            <w:hideMark/>
          </w:tcPr>
          <w:p w:rsidR="009508DE" w:rsidRPr="00C56375" w:rsidRDefault="009136E1" w:rsidP="005E217A">
            <w:pPr>
              <w:pStyle w:val="Normal6"/>
              <w:rPr>
                <w:szCs w:val="24"/>
              </w:rPr>
            </w:pPr>
            <w:r>
              <w:t>(b)</w:t>
            </w:r>
            <w:r>
              <w:tab/>
              <w:t>Primerjavo projekcij glavnih ekon</w:t>
            </w:r>
            <w:r>
              <w:t>omskih</w:t>
            </w:r>
            <w:r>
              <w:rPr>
                <w:b/>
                <w:bCs/>
                <w:i/>
                <w:iCs/>
              </w:rPr>
              <w:t xml:space="preserve"> in socialnih</w:t>
            </w:r>
            <w:r>
              <w:t xml:space="preserve"> spremenljivk, predloženih v nacionalnem srednjeročnem fiskalno-strukturnem načrtu, kot so bile pripravljene na začetku obdobja tega načrta, in podatkov o realizaciji za te spremenljivke ter primerjavo posledic za skladnost s potjo giban</w:t>
            </w:r>
            <w:r>
              <w:t>ja očiščenih odhodkov, ki jo je določil Svet, in posledic za projekcijo gibanja deleža javnega dolga iz navedenega načrta</w:t>
            </w:r>
            <w:r>
              <w:rPr>
                <w:b/>
                <w:bCs/>
                <w:i/>
                <w:iCs/>
              </w:rPr>
              <w:t>, pa tudi usklajenost z doseganjem nacionalnih ciljev, povezanih s krovnimi cilji evropskega stebra socialnih pravic</w:t>
            </w:r>
            <w:r>
              <w:t>.</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39</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III – odstavek 1 – točka h</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(h)</w:t>
            </w:r>
            <w:r>
              <w:tab/>
              <w:t>Temeljne predpostavke o pričakovanih gospodarskih gibanjih in glavnih</w:t>
            </w:r>
            <w:r>
              <w:t xml:space="preserve"> ekonomskih spremenljivkah za naslednja leta prilagoditvenega obdobja, vključno z deležem javnega dolga.</w:t>
            </w:r>
          </w:p>
        </w:tc>
        <w:tc>
          <w:tcPr>
            <w:tcW w:w="4876" w:type="dxa"/>
            <w:hideMark/>
          </w:tcPr>
          <w:p w:rsidR="009508DE" w:rsidRPr="00C56375" w:rsidRDefault="009136E1" w:rsidP="005E217A">
            <w:pPr>
              <w:pStyle w:val="Normal6"/>
              <w:rPr>
                <w:szCs w:val="24"/>
              </w:rPr>
            </w:pPr>
            <w:r>
              <w:t>(h)</w:t>
            </w:r>
            <w:r>
              <w:tab/>
              <w:t xml:space="preserve">Temeljne predpostavke o pričakovanih gospodarskih </w:t>
            </w:r>
            <w:r>
              <w:rPr>
                <w:b/>
                <w:bCs/>
                <w:i/>
                <w:iCs/>
              </w:rPr>
              <w:t>in socialnih</w:t>
            </w:r>
            <w:r>
              <w:t xml:space="preserve"> gibanjih in glavnih ekonomskih </w:t>
            </w:r>
            <w:r>
              <w:rPr>
                <w:b/>
                <w:bCs/>
                <w:i/>
                <w:iCs/>
              </w:rPr>
              <w:t>ter socialnih</w:t>
            </w:r>
            <w:r>
              <w:t xml:space="preserve"> spremenljivkah za naslednja leta prilag</w:t>
            </w:r>
            <w:r>
              <w:t>oditvenega obdobja, vključno z deležem javnega dolga.</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40</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III – odstavek 1 – točka l</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(l)</w:t>
            </w:r>
            <w:r>
              <w:tab/>
              <w:t xml:space="preserve">Analizo gibanja makroekonomskih neravnotežij, ugotovljenih v okviru postopka v zvezi z makroekonomskimi neravnotežji, in učinka, ki ga ima nanje izvajanje ustreznih reform in naložb, </w:t>
            </w:r>
            <w:r>
              <w:lastRenderedPageBreak/>
              <w:t>sporočenih v nacionalnem srednjeročnem fiskalno-strukturnem načrtu, v</w:t>
            </w:r>
            <w:r>
              <w:t xml:space="preserve"> skladu s Prilogo II, </w:t>
            </w:r>
            <w:r>
              <w:rPr>
                <w:b/>
                <w:bCs/>
                <w:i/>
                <w:iCs/>
              </w:rPr>
              <w:t>točka</w:t>
            </w:r>
            <w:r>
              <w:t xml:space="preserve"> (n), kjer je to ustrezno.</w:t>
            </w:r>
          </w:p>
        </w:tc>
        <w:tc>
          <w:tcPr>
            <w:tcW w:w="4876" w:type="dxa"/>
            <w:hideMark/>
          </w:tcPr>
          <w:p w:rsidR="009508DE" w:rsidRPr="00C56375" w:rsidRDefault="009136E1" w:rsidP="005E217A">
            <w:pPr>
              <w:pStyle w:val="Normal6"/>
              <w:rPr>
                <w:szCs w:val="24"/>
              </w:rPr>
            </w:pPr>
            <w:r>
              <w:lastRenderedPageBreak/>
              <w:t>(l)</w:t>
            </w:r>
            <w:r>
              <w:tab/>
              <w:t xml:space="preserve">Analizo gibanja makroekonomskih neravnotežij, ugotovljenih v okviru postopka v zvezi z makroekonomskimi neravnotežji, </w:t>
            </w:r>
            <w:r>
              <w:rPr>
                <w:b/>
                <w:bCs/>
                <w:i/>
                <w:iCs/>
              </w:rPr>
              <w:t xml:space="preserve">ter tveganj socialne konvergence, ugotovljenih v okviru </w:t>
            </w:r>
            <w:r>
              <w:rPr>
                <w:b/>
                <w:bCs/>
                <w:i/>
                <w:iCs/>
              </w:rPr>
              <w:lastRenderedPageBreak/>
              <w:t xml:space="preserve">socialne konvergence, </w:t>
            </w:r>
            <w:r>
              <w:t>in</w:t>
            </w:r>
            <w:r>
              <w:t xml:space="preserve"> učinka, ki ga ima nanje izvajanje ustreznih reform in naložb, sporočenih v nacionalnem srednjeročnem fiskalno-strukturnem načrtu, v skladu s Prilogo II,</w:t>
            </w:r>
            <w:r>
              <w:rPr>
                <w:b/>
                <w:bCs/>
                <w:i/>
                <w:iCs/>
              </w:rPr>
              <w:t xml:space="preserve"> točka</w:t>
            </w:r>
            <w:r>
              <w:t xml:space="preserve"> (n) </w:t>
            </w:r>
            <w:r>
              <w:rPr>
                <w:b/>
                <w:bCs/>
                <w:i/>
                <w:iCs/>
              </w:rPr>
              <w:t>in (o)</w:t>
            </w:r>
            <w:r>
              <w:t>, kjer je to ustrezno.</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lastRenderedPageBreak/>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41</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2D23D0" w:rsidRDefault="009136E1" w:rsidP="009508DE">
      <w:pPr>
        <w:pStyle w:val="NormalBold"/>
      </w:pPr>
      <w:r>
        <w:rPr>
          <w:rStyle w:val="HideTWBExt"/>
          <w:b w:val="0"/>
          <w:lang w:val="fr-FR"/>
        </w:rPr>
        <w:t>&lt;Article&gt;</w:t>
      </w:r>
      <w:r>
        <w:t>Priloga III – odstavek 1 – točka n</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2D23D0"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(n)</w:t>
            </w:r>
            <w:r>
              <w:tab/>
              <w:t xml:space="preserve">Informacije o gibanjih na področjih trga dela, spretnosti in socialne politike ter o izvajanju sprejetih </w:t>
            </w:r>
            <w:r>
              <w:t>ukrepov politike, ki spodbujajo navzgor usmerjeno socialno konvergenco držav članic za boljše delovne in življenjske pogoje v skladu z načeli evropskega stebra socialnih pravic in smernicami za zaposlovanje v skladu s členom 148 PDEU. To vključuje pričakov</w:t>
            </w:r>
            <w:r>
              <w:t>ani učinek ukrepov v zvezi z napredkom pri doseganju nacionalnih ciljev glede zaposlovanja, spretnosti in zmanjšanja revščine do leta 2030.</w:t>
            </w:r>
          </w:p>
        </w:tc>
        <w:tc>
          <w:tcPr>
            <w:tcW w:w="4876" w:type="dxa"/>
            <w:hideMark/>
          </w:tcPr>
          <w:p w:rsidR="009508DE" w:rsidRPr="00C56375" w:rsidRDefault="009136E1" w:rsidP="005E217A">
            <w:pPr>
              <w:pStyle w:val="Normal6"/>
              <w:rPr>
                <w:szCs w:val="24"/>
              </w:rPr>
            </w:pPr>
            <w:r>
              <w:t>(n)</w:t>
            </w:r>
            <w:r>
              <w:tab/>
              <w:t>Informacije o gibanjih na področjih trga dela, spretnosti in socialne politike ter o izvajanju sprejetih ukrepov</w:t>
            </w:r>
            <w:r>
              <w:t xml:space="preserve"> politike, ki spodbujajo navzgor usmerjeno socialno konvergenco držav članic za boljše delovne in življenjske pogoje v skladu z načeli evropskega stebra socialnih pravic in smernicami za zaposlovanje v skladu s členom 148 PDEU </w:t>
            </w:r>
            <w:r>
              <w:rPr>
                <w:b/>
                <w:bCs/>
                <w:i/>
                <w:iCs/>
              </w:rPr>
              <w:t>in okvirom za socialno konver</w:t>
            </w:r>
            <w:r>
              <w:rPr>
                <w:b/>
                <w:bCs/>
                <w:i/>
                <w:iCs/>
              </w:rPr>
              <w:t>genco</w:t>
            </w:r>
            <w:r>
              <w:t xml:space="preserve">. To vključuje pričakovani učinek ukrepov v zvezi z napredkom pri doseganju nacionalnih ciljev glede zaposlovanja, spretnosti in zmanjšanja revščine do leta 2030 </w:t>
            </w:r>
            <w:r>
              <w:rPr>
                <w:b/>
                <w:bCs/>
                <w:i/>
                <w:iCs/>
              </w:rPr>
              <w:t>in po potrebi predvideni učinek ukrepov za odpravo ugotovljenih tveganj socialne konverge</w:t>
            </w:r>
            <w:r>
              <w:rPr>
                <w:b/>
                <w:bCs/>
                <w:i/>
                <w:iCs/>
              </w:rPr>
              <w:t>nce v okviru socialne konvergence</w:t>
            </w:r>
            <w:r>
              <w:t>.</w:t>
            </w:r>
          </w:p>
        </w:tc>
      </w:tr>
    </w:tbl>
    <w:p w:rsidR="009508DE" w:rsidRPr="00C56375" w:rsidRDefault="009136E1" w:rsidP="009508DE">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42</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Priloga III – odstavek 1 – točka oa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(oa)</w:t>
            </w:r>
            <w:r>
              <w:tab/>
            </w:r>
            <w:r>
              <w:rPr>
                <w:b/>
                <w:bCs/>
                <w:i/>
                <w:iCs/>
              </w:rPr>
              <w:t>Informacije o posvetovanjih s socialnimi partnerji, organizacijami civilne družbe in drugimi pomembnimi deležniki v zvezi s pripravo poročila</w:t>
            </w:r>
            <w: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lastRenderedPageBreak/>
        <w:t>&lt;Amend&gt;</w:t>
      </w:r>
      <w:r>
        <w:t>Predlog spremembe</w:t>
      </w:r>
      <w:r>
        <w:tab/>
      </w:r>
      <w:r>
        <w:tab/>
      </w:r>
      <w:r>
        <w:rPr>
          <w:rStyle w:val="HideTWBExt"/>
          <w:b w:val="0"/>
        </w:rPr>
        <w:t>&lt;NumAm&gt;</w:t>
      </w:r>
      <w:r>
        <w:t>43</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Priloga VII –</w:t>
      </w:r>
      <w:r>
        <w:t xml:space="preserve"> točka 2 – odstavek 2 – točka 2.1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2.1</w:t>
            </w:r>
            <w:r>
              <w:tab/>
              <w:t>Sklop reformnih in naložbenih zavez spodbuja rast;</w:t>
            </w:r>
          </w:p>
        </w:tc>
        <w:tc>
          <w:tcPr>
            <w:tcW w:w="4876" w:type="dxa"/>
            <w:hideMark/>
          </w:tcPr>
          <w:p w:rsidR="009508DE" w:rsidRPr="00C56375" w:rsidRDefault="009136E1" w:rsidP="005E217A">
            <w:pPr>
              <w:pStyle w:val="Normal6"/>
              <w:rPr>
                <w:szCs w:val="24"/>
              </w:rPr>
            </w:pPr>
            <w:r>
              <w:t>2.1</w:t>
            </w:r>
            <w:r>
              <w:tab/>
              <w:t xml:space="preserve">Sklop reformnih in naložbenih zavez spodbuja </w:t>
            </w:r>
            <w:r>
              <w:rPr>
                <w:b/>
                <w:bCs/>
                <w:i/>
                <w:iCs/>
              </w:rPr>
              <w:t>trajnostno</w:t>
            </w:r>
            <w:r>
              <w:t xml:space="preserve"> rast; </w:t>
            </w:r>
            <w:r>
              <w:rPr>
                <w:b/>
                <w:i/>
              </w:rPr>
              <w:t>Pričakuje se, da bo skl</w:t>
            </w:r>
            <w:r>
              <w:rPr>
                <w:b/>
                <w:i/>
              </w:rPr>
              <w:t>op reformnih in naložbenih zavez pomenil znaten napredek pri doseganju nacionalnih ciljev, povezanih s krovnimi cilji evropskega stebra socialnih pravic ter njihovimi glavnimi in sekundarnimi kazalniki.</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44</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Priloga VII – točka 2 – odstavek 2 – točka 2.2 a (novo)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tcPr>
          <w:p w:rsidR="009508DE" w:rsidRPr="00C56375" w:rsidRDefault="009508DE" w:rsidP="005E217A">
            <w:pPr>
              <w:pStyle w:val="Normal6"/>
              <w:rPr>
                <w:lang w:val="en-GB"/>
              </w:rPr>
            </w:pPr>
          </w:p>
        </w:tc>
        <w:tc>
          <w:tcPr>
            <w:tcW w:w="4876" w:type="dxa"/>
            <w:hideMark/>
          </w:tcPr>
          <w:p w:rsidR="009508DE" w:rsidRPr="00C56375" w:rsidRDefault="009136E1" w:rsidP="005E217A">
            <w:pPr>
              <w:pStyle w:val="Normal6"/>
              <w:rPr>
                <w:szCs w:val="24"/>
              </w:rPr>
            </w:pPr>
            <w:r>
              <w:rPr>
                <w:b/>
                <w:i/>
              </w:rPr>
              <w:t>2.2a</w:t>
            </w:r>
            <w:r>
              <w:rPr>
                <w:b/>
                <w:i/>
              </w:rPr>
              <w:tab/>
              <w:t>Sklop reformnih in naložbenih zavez podpira navzgor usmerjeno socialno konvergenco</w:t>
            </w:r>
            <w:r>
              <w:rPr>
                <w:b/>
                <w:i/>
              </w:rPr>
              <w:t>;</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45</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t>&lt;DocAmend&gt;</w:t>
      </w:r>
      <w:r>
        <w:t>Predlog uredbe</w:t>
      </w:r>
      <w:r>
        <w:rPr>
          <w:rStyle w:val="HideTWBExt"/>
          <w:b w:val="0"/>
        </w:rPr>
        <w:t>&lt;/DocAmend&gt;</w:t>
      </w:r>
    </w:p>
    <w:p w:rsidR="009508DE" w:rsidRPr="00C56375" w:rsidRDefault="009136E1" w:rsidP="009508DE">
      <w:pPr>
        <w:pStyle w:val="NormalBold"/>
      </w:pPr>
      <w:r>
        <w:rPr>
          <w:rStyle w:val="HideTWBExt"/>
          <w:b w:val="0"/>
        </w:rPr>
        <w:t>&lt;Article&gt;</w:t>
      </w:r>
      <w:r>
        <w:t>Priloga VII – točka 2 – odstavek 2 – točka 2.4 – uvodni del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2.4</w:t>
            </w:r>
            <w:r>
              <w:tab/>
              <w:t xml:space="preserve">Sklop reformnih in </w:t>
            </w:r>
            <w:r>
              <w:t>naložbenih zavez kot celota obravnava ustrezna specifična priporočila za države, po potrebi vključno s priporočili, izdanimi v okviru postopka v zvezi z makroekonomskimi neravnotežji;</w:t>
            </w:r>
          </w:p>
        </w:tc>
        <w:tc>
          <w:tcPr>
            <w:tcW w:w="4876" w:type="dxa"/>
            <w:hideMark/>
          </w:tcPr>
          <w:p w:rsidR="009508DE" w:rsidRPr="00C56375" w:rsidRDefault="009136E1" w:rsidP="005E217A">
            <w:pPr>
              <w:pStyle w:val="Normal6"/>
              <w:rPr>
                <w:szCs w:val="24"/>
              </w:rPr>
            </w:pPr>
            <w:r>
              <w:t>2.4</w:t>
            </w:r>
            <w:r>
              <w:tab/>
              <w:t>Sklop reformnih in naložbenih zavez kot celota obravnava ustrezna sp</w:t>
            </w:r>
            <w:r>
              <w:t xml:space="preserve">ecifična priporočila za države </w:t>
            </w:r>
            <w:r>
              <w:rPr>
                <w:b/>
                <w:bCs/>
                <w:i/>
                <w:iCs/>
              </w:rPr>
              <w:t>v skladu s členom 121(4) in členom 148(4) PDEU</w:t>
            </w:r>
            <w:r>
              <w:t>, po potrebi vključno s priporočili, izdanimi v okviru postopka v zvezi z makroekonomskimi neravnotežji;</w:t>
            </w:r>
          </w:p>
        </w:tc>
      </w:tr>
    </w:tbl>
    <w:p w:rsidR="009508DE" w:rsidRPr="00C56375" w:rsidRDefault="009136E1" w:rsidP="009508DE">
      <w:pPr>
        <w:rPr>
          <w:rStyle w:val="HideTWBExt"/>
          <w:rFonts w:ascii="Times New Roman" w:hAnsi="Times New Roman" w:cs="Times New Roman"/>
          <w:noProof w:val="0"/>
          <w:vanish w:val="0"/>
          <w:color w:val="auto"/>
          <w:sz w:val="24"/>
        </w:rPr>
      </w:pPr>
      <w:r>
        <w:rPr>
          <w:rStyle w:val="HideTWBExt"/>
        </w:rPr>
        <w:t>&lt;/Amend&gt;</w:t>
      </w:r>
    </w:p>
    <w:p w:rsidR="009508DE" w:rsidRPr="00C56375" w:rsidRDefault="009508DE" w:rsidP="009508DE">
      <w:pPr>
        <w:rPr>
          <w:rStyle w:val="HideTWBExt"/>
        </w:rPr>
      </w:pPr>
    </w:p>
    <w:p w:rsidR="009508DE" w:rsidRPr="00C56375" w:rsidRDefault="009136E1" w:rsidP="009508DE">
      <w:pPr>
        <w:pStyle w:val="AmNumberTabs"/>
      </w:pPr>
      <w:r>
        <w:rPr>
          <w:rStyle w:val="HideTWBExt"/>
          <w:b w:val="0"/>
        </w:rPr>
        <w:t>&lt;Amend&gt;</w:t>
      </w:r>
      <w:r>
        <w:t>Predlog spremembe</w:t>
      </w:r>
      <w:r>
        <w:tab/>
      </w:r>
      <w:r>
        <w:tab/>
      </w:r>
      <w:r>
        <w:rPr>
          <w:rStyle w:val="HideTWBExt"/>
          <w:b w:val="0"/>
        </w:rPr>
        <w:t>&lt;NumAm&gt;</w:t>
      </w:r>
      <w:r>
        <w:t>46</w:t>
      </w:r>
      <w:r>
        <w:rPr>
          <w:rStyle w:val="HideTWBExt"/>
          <w:b w:val="0"/>
        </w:rPr>
        <w:t>&lt;/NumAm&gt;</w:t>
      </w:r>
    </w:p>
    <w:p w:rsidR="009508DE" w:rsidRPr="00C56375" w:rsidRDefault="009508DE" w:rsidP="009508DE"/>
    <w:p w:rsidR="009508DE" w:rsidRPr="00C56375" w:rsidRDefault="009136E1" w:rsidP="009508DE">
      <w:pPr>
        <w:pStyle w:val="NormalBold"/>
        <w:keepNext/>
      </w:pPr>
      <w:r>
        <w:rPr>
          <w:rStyle w:val="HideTWBExt"/>
          <w:b w:val="0"/>
        </w:rPr>
        <w:lastRenderedPageBreak/>
        <w:t>&lt;DocAmend&gt;</w:t>
      </w:r>
      <w:r>
        <w:t xml:space="preserve">Predlog </w:t>
      </w:r>
      <w:r>
        <w:t>uredbe</w:t>
      </w:r>
      <w:r>
        <w:rPr>
          <w:rStyle w:val="HideTWBExt"/>
          <w:b w:val="0"/>
        </w:rPr>
        <w:t>&lt;/DocAmend&gt;</w:t>
      </w:r>
    </w:p>
    <w:p w:rsidR="009508DE" w:rsidRPr="00C56375" w:rsidRDefault="009136E1" w:rsidP="009508DE">
      <w:pPr>
        <w:pStyle w:val="NormalBold"/>
      </w:pPr>
      <w:r>
        <w:rPr>
          <w:rStyle w:val="HideTWBExt"/>
          <w:b w:val="0"/>
          <w:lang w:val="fr-FR"/>
        </w:rPr>
        <w:t>&lt;Article&gt;</w:t>
      </w:r>
      <w:r>
        <w:t>Priloga VII – točka 2 – odstavek 2 – točka 2.4 – alinea 1</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263" w:rsidTr="005E217A">
        <w:trPr>
          <w:jc w:val="center"/>
        </w:trPr>
        <w:tc>
          <w:tcPr>
            <w:tcW w:w="9752" w:type="dxa"/>
            <w:gridSpan w:val="2"/>
          </w:tcPr>
          <w:p w:rsidR="009508DE" w:rsidRPr="00C56375" w:rsidRDefault="009508DE" w:rsidP="005E217A">
            <w:pPr>
              <w:keepNext/>
              <w:rPr>
                <w:lang w:val="fr-FR"/>
              </w:rPr>
            </w:pPr>
          </w:p>
        </w:tc>
      </w:tr>
      <w:tr w:rsidR="00432263" w:rsidTr="005E217A">
        <w:trPr>
          <w:jc w:val="center"/>
        </w:trPr>
        <w:tc>
          <w:tcPr>
            <w:tcW w:w="4876" w:type="dxa"/>
            <w:hideMark/>
          </w:tcPr>
          <w:p w:rsidR="009508DE" w:rsidRPr="00C56375" w:rsidRDefault="009136E1" w:rsidP="005E217A">
            <w:pPr>
              <w:pStyle w:val="ColumnHeading"/>
              <w:keepNext/>
            </w:pPr>
            <w:r>
              <w:t>Besedilo, ki ga predlaga Komisija</w:t>
            </w:r>
          </w:p>
        </w:tc>
        <w:tc>
          <w:tcPr>
            <w:tcW w:w="4876" w:type="dxa"/>
            <w:hideMark/>
          </w:tcPr>
          <w:p w:rsidR="009508DE" w:rsidRPr="00C56375" w:rsidRDefault="009136E1" w:rsidP="005E217A">
            <w:pPr>
              <w:pStyle w:val="ColumnHeading"/>
              <w:keepNext/>
            </w:pPr>
            <w:r>
              <w:t>Predlog spremembe</w:t>
            </w:r>
          </w:p>
        </w:tc>
      </w:tr>
      <w:tr w:rsidR="00432263" w:rsidTr="005E217A">
        <w:trPr>
          <w:jc w:val="center"/>
        </w:trPr>
        <w:tc>
          <w:tcPr>
            <w:tcW w:w="4876" w:type="dxa"/>
            <w:hideMark/>
          </w:tcPr>
          <w:p w:rsidR="009508DE" w:rsidRPr="00C56375" w:rsidRDefault="009136E1" w:rsidP="005E217A">
            <w:pPr>
              <w:pStyle w:val="Normal6"/>
            </w:pPr>
            <w:r>
              <w:t>–</w:t>
            </w:r>
            <w:r>
              <w:tab/>
              <w:t xml:space="preserve">pričakuje se, da bo sklop ustreznih reformnih in naložbenih zavez, na katerem temelji podaljšanje </w:t>
            </w:r>
            <w:r>
              <w:t>prilagoditvenega obdobja, kot celota obravnaval izzive, opredeljene v ustreznih specifičnih priporočilih za državo, vključno s priporočili, izdanimi v okviru postopka v zvezi z makroekonomskimi neravnotežji, kadar je ustrezno, ob upoštevanju področja in ob</w:t>
            </w:r>
            <w:r>
              <w:t>sega specifičnih izzivov posamezne države ter zavez, danih v okviru načrtov za okrevanje in odpornost, kadar je to ustrezno.</w:t>
            </w:r>
          </w:p>
        </w:tc>
        <w:tc>
          <w:tcPr>
            <w:tcW w:w="4876" w:type="dxa"/>
            <w:hideMark/>
          </w:tcPr>
          <w:p w:rsidR="009508DE" w:rsidRPr="00C56375" w:rsidRDefault="009136E1" w:rsidP="005E217A">
            <w:pPr>
              <w:pStyle w:val="Normal6"/>
              <w:rPr>
                <w:szCs w:val="24"/>
              </w:rPr>
            </w:pPr>
            <w:r>
              <w:t>–</w:t>
            </w:r>
            <w:r>
              <w:tab/>
              <w:t>pričakuje se, da bo sklop ustreznih reformnih in naložbenih zavez, na katerem temelji podaljšanje prilagoditvenega obdobja, kot c</w:t>
            </w:r>
            <w:r>
              <w:t>elota obravnaval izzive, opredeljene v ustreznih specifičnih priporočilih za državo, vključno s priporočili, izdanimi v okviru postopka v zvezi z makroekonomskimi neravnotežji, kadar je ustrezno,</w:t>
            </w:r>
            <w:r>
              <w:rPr>
                <w:b/>
                <w:bCs/>
                <w:i/>
                <w:iCs/>
              </w:rPr>
              <w:t xml:space="preserve"> in vključno s priporočili, izdanimi v skladu s členom 148(4)</w:t>
            </w:r>
            <w:r>
              <w:rPr>
                <w:b/>
                <w:bCs/>
                <w:i/>
                <w:iCs/>
              </w:rPr>
              <w:t xml:space="preserve"> PDEU</w:t>
            </w:r>
            <w:r>
              <w:t>, ali izvajanje načel evropskega stebra socialnih pravic, ob upoštevanju področja in obsega specifičnih izzivov posamezne države ter zavez, danih v okviru načrtov za okrevanje in odpornost, kadar je to ustrezno.</w:t>
            </w:r>
          </w:p>
        </w:tc>
      </w:tr>
    </w:tbl>
    <w:p w:rsidR="009508DE" w:rsidRPr="00C56375" w:rsidRDefault="009136E1" w:rsidP="009508DE">
      <w:pPr>
        <w:rPr>
          <w:rStyle w:val="HideTWBExt"/>
        </w:rPr>
      </w:pPr>
      <w:r>
        <w:rPr>
          <w:rStyle w:val="HideTWBExt"/>
        </w:rPr>
        <w:t>&lt;/Amend&gt;</w:t>
      </w:r>
    </w:p>
    <w:p w:rsidR="006C3651" w:rsidRPr="006C3651" w:rsidRDefault="009136E1" w:rsidP="009508DE">
      <w:r>
        <w:rPr>
          <w:rStyle w:val="HideTWBExt"/>
        </w:rPr>
        <w:t>&lt;/RepeatBlock-Amend&gt;</w:t>
      </w:r>
      <w:r>
        <w:br w:type="page"/>
      </w:r>
    </w:p>
    <w:p w:rsidR="006C3651" w:rsidRDefault="009136E1" w:rsidP="006C3651">
      <w:pPr>
        <w:pStyle w:val="PageHeadingNotTOC"/>
      </w:pPr>
      <w:bookmarkStart w:id="2" w:name="ProcPageAD"/>
      <w:r>
        <w:lastRenderedPageBreak/>
        <w:t>POSTOPEK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Učinkovito usklajevanje ekonomskih politik in večstranski proračunski nadzor ter razveljavitev Uredbe Sveta (ES) št. 1466/97</w:t>
            </w:r>
          </w:p>
        </w:tc>
      </w:tr>
      <w:tr w:rsidR="004322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COM(2023)0240 – C9-0150/2023 – 2023/0138(COD)</w:t>
            </w: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Pristojni odbor</w:t>
            </w:r>
          </w:p>
          <w:p w:rsidR="006C3651" w:rsidRDefault="009136E1">
            <w:pPr>
              <w:autoSpaceDE w:val="0"/>
              <w:autoSpaceDN w:val="0"/>
              <w:adjustRightInd w:val="0"/>
              <w:rPr>
                <w:color w:val="000000"/>
                <w:sz w:val="20"/>
                <w:szCs w:val="20"/>
              </w:rPr>
            </w:pPr>
            <w:r>
              <w:rPr>
                <w:color w:val="000000"/>
                <w:sz w:val="20"/>
              </w:rPr>
              <w:t>       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ECON</w:t>
            </w:r>
          </w:p>
          <w:p w:rsidR="006C3651" w:rsidRDefault="009136E1">
            <w:pPr>
              <w:autoSpaceDE w:val="0"/>
              <w:autoSpaceDN w:val="0"/>
              <w:adjustRightInd w:val="0"/>
              <w:rPr>
                <w:color w:val="000000"/>
                <w:sz w:val="20"/>
                <w:szCs w:val="20"/>
              </w:rPr>
            </w:pPr>
            <w:r>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Mnenje pripravil</w:t>
            </w:r>
          </w:p>
          <w:p w:rsidR="006C3651" w:rsidRDefault="009136E1">
            <w:pPr>
              <w:autoSpaceDE w:val="0"/>
              <w:autoSpaceDN w:val="0"/>
              <w:adjustRightInd w:val="0"/>
              <w:rPr>
                <w:color w:val="000000"/>
                <w:sz w:val="20"/>
                <w:szCs w:val="20"/>
              </w:rPr>
            </w:pPr>
            <w:r>
              <w:rPr>
                <w:color w:val="000000"/>
                <w:sz w:val="20"/>
              </w:rPr>
              <w:t>       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EMPL</w:t>
            </w:r>
          </w:p>
          <w:p w:rsidR="006C3651" w:rsidRDefault="009136E1">
            <w:pPr>
              <w:autoSpaceDE w:val="0"/>
              <w:autoSpaceDN w:val="0"/>
              <w:adjustRightInd w:val="0"/>
              <w:rPr>
                <w:color w:val="000000"/>
                <w:sz w:val="20"/>
                <w:szCs w:val="20"/>
              </w:rPr>
            </w:pPr>
            <w:r>
              <w:rPr>
                <w:color w:val="000000"/>
                <w:sz w:val="20"/>
              </w:rPr>
              <w:t>12.6.2023</w:t>
            </w:r>
          </w:p>
        </w:tc>
      </w:tr>
      <w:tr w:rsidR="004322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Pridruženi odbori - datum razglasitve na zasedanju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14.9.2023</w:t>
            </w: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Pripravljavec/-ka mnenja</w:t>
            </w:r>
          </w:p>
          <w:p w:rsidR="006C3651" w:rsidRDefault="009136E1">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 xml:space="preserve">Gabriele </w:t>
            </w:r>
            <w:r>
              <w:rPr>
                <w:color w:val="000000"/>
                <w:sz w:val="20"/>
              </w:rPr>
              <w:t>Bischoff</w:t>
            </w:r>
          </w:p>
          <w:p w:rsidR="006C3651" w:rsidRDefault="009136E1">
            <w:pPr>
              <w:autoSpaceDE w:val="0"/>
              <w:autoSpaceDN w:val="0"/>
              <w:adjustRightInd w:val="0"/>
              <w:rPr>
                <w:color w:val="000000"/>
                <w:sz w:val="20"/>
                <w:szCs w:val="20"/>
              </w:rPr>
            </w:pPr>
            <w:r>
              <w:rPr>
                <w:color w:val="000000"/>
                <w:sz w:val="20"/>
              </w:rPr>
              <w:t>29.6.2023</w:t>
            </w: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r>
      <w:tr w:rsidR="004322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C3651" w:rsidRDefault="006C3651">
            <w:pPr>
              <w:autoSpaceDE w:val="0"/>
              <w:autoSpaceDN w:val="0"/>
              <w:adjustRightInd w:val="0"/>
              <w:rPr>
                <w:rFonts w:ascii="sans-serif" w:hAnsi="sans-serif" w:cs="sans-serif"/>
                <w:color w:val="000000"/>
              </w:rPr>
            </w:pP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w:t>
            </w:r>
          </w:p>
          <w:p w:rsidR="006C3651" w:rsidRDefault="009136E1">
            <w:pPr>
              <w:autoSpaceDE w:val="0"/>
              <w:autoSpaceDN w:val="0"/>
              <w:adjustRightInd w:val="0"/>
              <w:rPr>
                <w:color w:val="000000"/>
                <w:sz w:val="20"/>
                <w:szCs w:val="20"/>
              </w:rPr>
            </w:pPr>
            <w:r>
              <w:rPr>
                <w:color w:val="000000"/>
                <w:sz w:val="20"/>
              </w:rPr>
              <w:t>–:</w:t>
            </w:r>
          </w:p>
          <w:p w:rsidR="006C3651" w:rsidRDefault="009136E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29</w:t>
            </w:r>
          </w:p>
          <w:p w:rsidR="006C3651" w:rsidRDefault="009136E1">
            <w:pPr>
              <w:autoSpaceDE w:val="0"/>
              <w:autoSpaceDN w:val="0"/>
              <w:adjustRightInd w:val="0"/>
              <w:rPr>
                <w:color w:val="000000"/>
                <w:sz w:val="20"/>
                <w:szCs w:val="20"/>
              </w:rPr>
            </w:pPr>
            <w:r>
              <w:rPr>
                <w:color w:val="000000"/>
                <w:sz w:val="20"/>
              </w:rPr>
              <w:t>4</w:t>
            </w:r>
          </w:p>
          <w:p w:rsidR="006C3651" w:rsidRDefault="009136E1">
            <w:pPr>
              <w:autoSpaceDE w:val="0"/>
              <w:autoSpaceDN w:val="0"/>
              <w:adjustRightInd w:val="0"/>
              <w:rPr>
                <w:color w:val="000000"/>
                <w:sz w:val="20"/>
                <w:szCs w:val="20"/>
              </w:rPr>
            </w:pPr>
            <w:r>
              <w:rPr>
                <w:color w:val="000000"/>
                <w:sz w:val="20"/>
              </w:rPr>
              <w:t>10</w:t>
            </w:r>
          </w:p>
        </w:tc>
      </w:tr>
      <w:tr w:rsidR="004322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 xml:space="preserve">João Albuquerque, Marc Angel, Dominique Bilde, Gabriele Bischoff, Milan Brglez, Jordi </w:t>
            </w:r>
            <w:r>
              <w:rPr>
                <w:color w:val="000000"/>
                <w:sz w:val="20"/>
              </w:rPr>
              <w:t>Cañas, David Casa, Ilan De Basso, Margarita de la Pisa Carrión, Özlem Demirel, Klára Dobrev, Jarosław Duda, Estrella Durá Ferrandis, Lucia Ďuriš Nicholsonová, Lukas Furlas (Loucas Fourlas), Cindy Franssen, Chiara Gemma, Helmut Geuking, Elisabetta Gualmini,</w:t>
            </w:r>
            <w:r>
              <w:rPr>
                <w:color w:val="000000"/>
                <w:sz w:val="20"/>
              </w:rPr>
              <w:t xml:space="preserve"> Alicia Homs Ginel, Agnes Jongerius, Stelios Kiburopulos (Stelios Kympouropoulos), Katrin Langensiepen, Miriam Lexmann, Elena Lizzi, Sara Matthieu, Max Orville, Kira Marie Peter-Hansen, Dragoş Pîslaru, Elżbieta Rafalska, Daniela Rondinelli, Pirkko Ruohonen</w:t>
            </w:r>
            <w:r>
              <w:rPr>
                <w:color w:val="000000"/>
                <w:sz w:val="20"/>
              </w:rPr>
              <w:t>-Lerner, Monica Semedo, Romana Tomc, Nikolaj Villumsen, Marianne Vind, Maria Walsh, Tomáš Zdechovský</w:t>
            </w:r>
          </w:p>
        </w:tc>
      </w:tr>
      <w:tr w:rsidR="004322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Aleksander Aleksandrov Jordanov (Alexander Alexandrov Yordanov), Aurore Lalucq, Eugenia Rodríguez Palop</w:t>
            </w:r>
          </w:p>
        </w:tc>
      </w:tr>
      <w:tr w:rsidR="004322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b/>
                <w:bCs/>
                <w:color w:val="000000"/>
                <w:sz w:val="20"/>
                <w:szCs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C3651" w:rsidRDefault="009136E1">
            <w:pPr>
              <w:autoSpaceDE w:val="0"/>
              <w:autoSpaceDN w:val="0"/>
              <w:adjustRightInd w:val="0"/>
              <w:rPr>
                <w:color w:val="000000"/>
                <w:sz w:val="20"/>
                <w:szCs w:val="20"/>
              </w:rPr>
            </w:pPr>
            <w:r>
              <w:rPr>
                <w:color w:val="000000"/>
                <w:sz w:val="20"/>
              </w:rPr>
              <w:t>Sirpa Pietikäinen, Caroline Roose</w:t>
            </w:r>
          </w:p>
        </w:tc>
      </w:tr>
    </w:tbl>
    <w:p w:rsidR="006C3651" w:rsidRPr="009508DE" w:rsidRDefault="006C3651" w:rsidP="009508DE"/>
    <w:bookmarkEnd w:id="2"/>
    <w:p w:rsidR="009508DE" w:rsidRDefault="009508DE" w:rsidP="009508DE">
      <w:pPr>
        <w:sectPr w:rsidR="009508DE" w:rsidSect="009508D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508DE" w:rsidRPr="0099178F" w:rsidRDefault="009136E1" w:rsidP="00C36610">
      <w:pPr>
        <w:pStyle w:val="PageHeadingNotTOC"/>
      </w:pPr>
      <w:bookmarkStart w:id="3"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2263" w:rsidTr="005E217A">
        <w:trPr>
          <w:cantSplit/>
        </w:trPr>
        <w:tc>
          <w:tcPr>
            <w:tcW w:w="1701" w:type="dxa"/>
            <w:shd w:val="pct10" w:color="000000" w:fill="FFFFFF"/>
            <w:vAlign w:val="center"/>
          </w:tcPr>
          <w:p w:rsidR="009508DE" w:rsidRPr="00C56375" w:rsidRDefault="009136E1" w:rsidP="005E217A">
            <w:pPr>
              <w:pStyle w:val="RollCallVotes"/>
            </w:pPr>
            <w:r>
              <w:t>29</w:t>
            </w:r>
          </w:p>
        </w:tc>
        <w:tc>
          <w:tcPr>
            <w:tcW w:w="7371" w:type="dxa"/>
            <w:shd w:val="pct10" w:color="000000" w:fill="FFFFFF"/>
          </w:tcPr>
          <w:p w:rsidR="009508DE" w:rsidRPr="00C56375" w:rsidRDefault="009136E1" w:rsidP="005E217A">
            <w:pPr>
              <w:pStyle w:val="RollCallSymbols14pt"/>
            </w:pPr>
            <w:r>
              <w:t>+</w:t>
            </w:r>
          </w:p>
        </w:tc>
      </w:tr>
      <w:tr w:rsidR="00432263" w:rsidTr="005E217A">
        <w:trPr>
          <w:cantSplit/>
        </w:trPr>
        <w:tc>
          <w:tcPr>
            <w:tcW w:w="1701" w:type="dxa"/>
            <w:shd w:val="clear" w:color="auto" w:fill="FFFFFF"/>
          </w:tcPr>
          <w:p w:rsidR="009508DE" w:rsidRPr="00C56375" w:rsidRDefault="009136E1" w:rsidP="005E217A">
            <w:pPr>
              <w:pStyle w:val="RollCallTable"/>
            </w:pPr>
            <w:r>
              <w:t>PPE</w:t>
            </w:r>
          </w:p>
        </w:tc>
        <w:tc>
          <w:tcPr>
            <w:tcW w:w="7371" w:type="dxa"/>
            <w:shd w:val="clear" w:color="auto" w:fill="FFFFFF"/>
          </w:tcPr>
          <w:p w:rsidR="009508DE" w:rsidRPr="00C56375" w:rsidRDefault="009136E1" w:rsidP="005E217A">
            <w:pPr>
              <w:pStyle w:val="RollCallTable"/>
            </w:pPr>
            <w:r>
              <w:t>David Casa, Lukas Furlas (Loucas Fourlas), Cindy Franssen, Stelios Kibu</w:t>
            </w:r>
            <w:r>
              <w:t>ropulos (Stelios Kympouropoulos), Sirpa Pietikäinen, Maria Walsh</w:t>
            </w:r>
          </w:p>
        </w:tc>
      </w:tr>
      <w:tr w:rsidR="00432263" w:rsidTr="005E217A">
        <w:trPr>
          <w:cantSplit/>
        </w:trPr>
        <w:tc>
          <w:tcPr>
            <w:tcW w:w="1701" w:type="dxa"/>
            <w:shd w:val="clear" w:color="auto" w:fill="FFFFFF"/>
          </w:tcPr>
          <w:p w:rsidR="009508DE" w:rsidRPr="00C56375" w:rsidRDefault="009136E1" w:rsidP="005E217A">
            <w:pPr>
              <w:pStyle w:val="RollCallTable"/>
            </w:pPr>
            <w:r>
              <w:t>Renew</w:t>
            </w:r>
          </w:p>
        </w:tc>
        <w:tc>
          <w:tcPr>
            <w:tcW w:w="7371" w:type="dxa"/>
            <w:shd w:val="clear" w:color="auto" w:fill="FFFFFF"/>
          </w:tcPr>
          <w:p w:rsidR="009508DE" w:rsidRPr="00C56375" w:rsidRDefault="009136E1" w:rsidP="005E217A">
            <w:pPr>
              <w:pStyle w:val="RollCallTable"/>
            </w:pPr>
            <w:r>
              <w:t>Jordi Cañas, Lucia Ďuriš Nicholsonová, Max Orville, Dragoş Pîslaru, Monica Semedo</w:t>
            </w:r>
          </w:p>
        </w:tc>
      </w:tr>
      <w:tr w:rsidR="00432263" w:rsidTr="005E217A">
        <w:trPr>
          <w:cantSplit/>
        </w:trPr>
        <w:tc>
          <w:tcPr>
            <w:tcW w:w="1701" w:type="dxa"/>
            <w:shd w:val="clear" w:color="auto" w:fill="FFFFFF"/>
          </w:tcPr>
          <w:p w:rsidR="009508DE" w:rsidRPr="00C56375" w:rsidRDefault="009136E1" w:rsidP="005E217A">
            <w:pPr>
              <w:pStyle w:val="RollCallTable"/>
            </w:pPr>
            <w:r>
              <w:t>S&amp;D</w:t>
            </w:r>
          </w:p>
        </w:tc>
        <w:tc>
          <w:tcPr>
            <w:tcW w:w="7371" w:type="dxa"/>
            <w:shd w:val="clear" w:color="auto" w:fill="FFFFFF"/>
          </w:tcPr>
          <w:p w:rsidR="009508DE" w:rsidRPr="00C56375" w:rsidRDefault="009136E1" w:rsidP="005E217A">
            <w:pPr>
              <w:pStyle w:val="RollCallTable"/>
            </w:pPr>
            <w:r>
              <w:t xml:space="preserve">João Albuquerque, Marc Angel, Gabriele Bischoff, Milan Brglez, Klára Dobrev, Estrella Durá </w:t>
            </w:r>
            <w:r>
              <w:t>Ferrandis, Elisabetta Gualmini, Alicia Homs Ginel, Agnes Jongerius, Aurore Lalucq, Daniela Rondinelli, Marianne Vind</w:t>
            </w:r>
          </w:p>
        </w:tc>
      </w:tr>
      <w:tr w:rsidR="00432263" w:rsidTr="005E217A">
        <w:trPr>
          <w:cantSplit/>
        </w:trPr>
        <w:tc>
          <w:tcPr>
            <w:tcW w:w="1701" w:type="dxa"/>
            <w:shd w:val="clear" w:color="auto" w:fill="FFFFFF"/>
          </w:tcPr>
          <w:p w:rsidR="009508DE" w:rsidRPr="00C56375" w:rsidRDefault="009136E1" w:rsidP="005E217A">
            <w:pPr>
              <w:pStyle w:val="RollCallTable"/>
            </w:pPr>
            <w:r>
              <w:t>The Left</w:t>
            </w:r>
          </w:p>
        </w:tc>
        <w:tc>
          <w:tcPr>
            <w:tcW w:w="7371" w:type="dxa"/>
            <w:shd w:val="clear" w:color="auto" w:fill="FFFFFF"/>
          </w:tcPr>
          <w:p w:rsidR="009508DE" w:rsidRPr="00C56375" w:rsidRDefault="009136E1" w:rsidP="005E217A">
            <w:pPr>
              <w:pStyle w:val="RollCallTable"/>
            </w:pPr>
            <w:r>
              <w:t>Eugenia Rodríguez Palop, Nikolaj Villumsen</w:t>
            </w:r>
          </w:p>
        </w:tc>
      </w:tr>
      <w:tr w:rsidR="00432263" w:rsidTr="005E217A">
        <w:trPr>
          <w:cantSplit/>
        </w:trPr>
        <w:tc>
          <w:tcPr>
            <w:tcW w:w="1701" w:type="dxa"/>
            <w:shd w:val="clear" w:color="auto" w:fill="FFFFFF"/>
          </w:tcPr>
          <w:p w:rsidR="009508DE" w:rsidRPr="00C56375" w:rsidRDefault="009136E1" w:rsidP="005E217A">
            <w:pPr>
              <w:pStyle w:val="RollCallTable"/>
            </w:pPr>
            <w:r>
              <w:t>Verts/ALE</w:t>
            </w:r>
          </w:p>
        </w:tc>
        <w:tc>
          <w:tcPr>
            <w:tcW w:w="7371" w:type="dxa"/>
            <w:shd w:val="clear" w:color="auto" w:fill="FFFFFF"/>
          </w:tcPr>
          <w:p w:rsidR="009508DE" w:rsidRPr="00C56375" w:rsidRDefault="009136E1" w:rsidP="005E217A">
            <w:pPr>
              <w:pStyle w:val="RollCallTable"/>
            </w:pPr>
            <w:r>
              <w:t>Katrin Langensiepen, Sara Matthieu, Kira Marie Peter-Hansen, Caroline Roose</w:t>
            </w:r>
          </w:p>
        </w:tc>
      </w:tr>
    </w:tbl>
    <w:p w:rsidR="009508DE" w:rsidRPr="00C56375" w:rsidRDefault="009508DE" w:rsidP="009508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2263" w:rsidTr="005E217A">
        <w:trPr>
          <w:cantSplit/>
        </w:trPr>
        <w:tc>
          <w:tcPr>
            <w:tcW w:w="1701" w:type="dxa"/>
            <w:shd w:val="pct10" w:color="000000" w:fill="FFFFFF"/>
            <w:vAlign w:val="center"/>
          </w:tcPr>
          <w:p w:rsidR="009508DE" w:rsidRPr="00C56375" w:rsidRDefault="009136E1" w:rsidP="005E217A">
            <w:pPr>
              <w:pStyle w:val="RollCallVotes"/>
            </w:pPr>
            <w:r>
              <w:t>4</w:t>
            </w:r>
          </w:p>
        </w:tc>
        <w:tc>
          <w:tcPr>
            <w:tcW w:w="7371" w:type="dxa"/>
            <w:shd w:val="pct10" w:color="000000" w:fill="FFFFFF"/>
          </w:tcPr>
          <w:p w:rsidR="009508DE" w:rsidRPr="00C56375" w:rsidRDefault="009136E1" w:rsidP="005E217A">
            <w:pPr>
              <w:pStyle w:val="RollCallSymbols14pt"/>
            </w:pPr>
            <w:r>
              <w:t>-</w:t>
            </w:r>
          </w:p>
        </w:tc>
      </w:tr>
      <w:tr w:rsidR="00432263" w:rsidTr="005E217A">
        <w:trPr>
          <w:cantSplit/>
        </w:trPr>
        <w:tc>
          <w:tcPr>
            <w:tcW w:w="1701" w:type="dxa"/>
            <w:shd w:val="clear" w:color="auto" w:fill="FFFFFF"/>
          </w:tcPr>
          <w:p w:rsidR="009508DE" w:rsidRPr="00C56375" w:rsidRDefault="009136E1" w:rsidP="005E217A">
            <w:pPr>
              <w:pStyle w:val="RollCallTable"/>
            </w:pPr>
            <w:r>
              <w:t>ECR</w:t>
            </w:r>
          </w:p>
        </w:tc>
        <w:tc>
          <w:tcPr>
            <w:tcW w:w="7371" w:type="dxa"/>
            <w:shd w:val="clear" w:color="auto" w:fill="FFFFFF"/>
          </w:tcPr>
          <w:p w:rsidR="009508DE" w:rsidRPr="00C56375" w:rsidRDefault="009136E1" w:rsidP="005E217A">
            <w:pPr>
              <w:pStyle w:val="RollCallTable"/>
            </w:pPr>
            <w:r>
              <w:t>Margarita de la Pisa Carrión, Elżbieta Rafalska, Pirkko Ruohonen-Lerner</w:t>
            </w:r>
          </w:p>
        </w:tc>
      </w:tr>
      <w:tr w:rsidR="00432263" w:rsidTr="005E217A">
        <w:trPr>
          <w:cantSplit/>
        </w:trPr>
        <w:tc>
          <w:tcPr>
            <w:tcW w:w="1701" w:type="dxa"/>
            <w:shd w:val="clear" w:color="auto" w:fill="FFFFFF"/>
          </w:tcPr>
          <w:p w:rsidR="009508DE" w:rsidRPr="00C56375" w:rsidRDefault="009136E1" w:rsidP="005E217A">
            <w:pPr>
              <w:pStyle w:val="RollCallTable"/>
            </w:pPr>
            <w:r>
              <w:t>ID</w:t>
            </w:r>
          </w:p>
        </w:tc>
        <w:tc>
          <w:tcPr>
            <w:tcW w:w="7371" w:type="dxa"/>
            <w:shd w:val="clear" w:color="auto" w:fill="FFFFFF"/>
          </w:tcPr>
          <w:p w:rsidR="009508DE" w:rsidRPr="00C56375" w:rsidRDefault="009136E1" w:rsidP="005E217A">
            <w:pPr>
              <w:pStyle w:val="RollCallTable"/>
            </w:pPr>
            <w:r>
              <w:t>Dominique Bilde</w:t>
            </w:r>
          </w:p>
        </w:tc>
      </w:tr>
    </w:tbl>
    <w:p w:rsidR="009508DE" w:rsidRPr="00C56375" w:rsidRDefault="009508DE" w:rsidP="009508D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32263" w:rsidTr="005E217A">
        <w:trPr>
          <w:cantSplit/>
        </w:trPr>
        <w:tc>
          <w:tcPr>
            <w:tcW w:w="1701" w:type="dxa"/>
            <w:shd w:val="pct10" w:color="000000" w:fill="FFFFFF"/>
            <w:vAlign w:val="center"/>
          </w:tcPr>
          <w:p w:rsidR="009508DE" w:rsidRPr="00C56375" w:rsidRDefault="009136E1" w:rsidP="005E217A">
            <w:pPr>
              <w:pStyle w:val="RollCallVotes"/>
            </w:pPr>
            <w:r>
              <w:t>10</w:t>
            </w:r>
          </w:p>
        </w:tc>
        <w:tc>
          <w:tcPr>
            <w:tcW w:w="7371" w:type="dxa"/>
            <w:shd w:val="pct10" w:color="000000" w:fill="FFFFFF"/>
          </w:tcPr>
          <w:p w:rsidR="009508DE" w:rsidRPr="00C56375" w:rsidRDefault="009136E1" w:rsidP="005E217A">
            <w:pPr>
              <w:pStyle w:val="RollCallSymbols14pt"/>
            </w:pPr>
            <w:r>
              <w:t>0</w:t>
            </w:r>
          </w:p>
        </w:tc>
      </w:tr>
      <w:tr w:rsidR="00432263" w:rsidTr="005E217A">
        <w:trPr>
          <w:cantSplit/>
        </w:trPr>
        <w:tc>
          <w:tcPr>
            <w:tcW w:w="1701" w:type="dxa"/>
            <w:shd w:val="clear" w:color="auto" w:fill="FFFFFF"/>
          </w:tcPr>
          <w:p w:rsidR="009508DE" w:rsidRPr="00C56375" w:rsidRDefault="009136E1" w:rsidP="005E217A">
            <w:pPr>
              <w:pStyle w:val="RollCallTable"/>
            </w:pPr>
            <w:r>
              <w:t>ECR</w:t>
            </w:r>
          </w:p>
        </w:tc>
        <w:tc>
          <w:tcPr>
            <w:tcW w:w="7371" w:type="dxa"/>
            <w:shd w:val="clear" w:color="auto" w:fill="FFFFFF"/>
          </w:tcPr>
          <w:p w:rsidR="009508DE" w:rsidRPr="00C56375" w:rsidRDefault="009136E1" w:rsidP="005E217A">
            <w:pPr>
              <w:pStyle w:val="RollCallTable"/>
            </w:pPr>
            <w:r>
              <w:t>Chiara Gemma</w:t>
            </w:r>
          </w:p>
        </w:tc>
      </w:tr>
      <w:tr w:rsidR="00432263" w:rsidTr="005E217A">
        <w:trPr>
          <w:cantSplit/>
        </w:trPr>
        <w:tc>
          <w:tcPr>
            <w:tcW w:w="1701" w:type="dxa"/>
            <w:shd w:val="clear" w:color="auto" w:fill="FFFFFF"/>
          </w:tcPr>
          <w:p w:rsidR="009508DE" w:rsidRPr="00C56375" w:rsidRDefault="009136E1" w:rsidP="005E217A">
            <w:pPr>
              <w:pStyle w:val="RollCallTable"/>
            </w:pPr>
            <w:r>
              <w:t>ID</w:t>
            </w:r>
          </w:p>
        </w:tc>
        <w:tc>
          <w:tcPr>
            <w:tcW w:w="7371" w:type="dxa"/>
            <w:shd w:val="clear" w:color="auto" w:fill="FFFFFF"/>
          </w:tcPr>
          <w:p w:rsidR="009508DE" w:rsidRPr="00C56375" w:rsidRDefault="009136E1" w:rsidP="005E217A">
            <w:pPr>
              <w:pStyle w:val="RollCallTable"/>
            </w:pPr>
            <w:r>
              <w:t>Elena Lizzi</w:t>
            </w:r>
          </w:p>
        </w:tc>
      </w:tr>
      <w:tr w:rsidR="00432263" w:rsidTr="005E217A">
        <w:trPr>
          <w:cantSplit/>
        </w:trPr>
        <w:tc>
          <w:tcPr>
            <w:tcW w:w="1701" w:type="dxa"/>
            <w:shd w:val="clear" w:color="auto" w:fill="FFFFFF"/>
          </w:tcPr>
          <w:p w:rsidR="009508DE" w:rsidRPr="00C56375" w:rsidRDefault="009136E1" w:rsidP="005E217A">
            <w:pPr>
              <w:pStyle w:val="RollCallTable"/>
            </w:pPr>
            <w:r>
              <w:t>PPE</w:t>
            </w:r>
          </w:p>
        </w:tc>
        <w:tc>
          <w:tcPr>
            <w:tcW w:w="7371" w:type="dxa"/>
            <w:shd w:val="clear" w:color="auto" w:fill="FFFFFF"/>
          </w:tcPr>
          <w:p w:rsidR="009508DE" w:rsidRPr="00C56375" w:rsidRDefault="009136E1" w:rsidP="005E217A">
            <w:pPr>
              <w:pStyle w:val="RollCallTable"/>
            </w:pPr>
            <w:r>
              <w:t xml:space="preserve">Aleksander Aleksandrov Jordanov (Alexander Alexandrov Yordanov), Jarosław Duda, Helmut Geuking, Miriam </w:t>
            </w:r>
            <w:r>
              <w:t>Lexmann, Romana Tomc, Tomáš Zdechovský</w:t>
            </w:r>
          </w:p>
        </w:tc>
      </w:tr>
      <w:tr w:rsidR="00432263" w:rsidTr="005E217A">
        <w:trPr>
          <w:cantSplit/>
        </w:trPr>
        <w:tc>
          <w:tcPr>
            <w:tcW w:w="1701" w:type="dxa"/>
            <w:shd w:val="clear" w:color="auto" w:fill="FFFFFF"/>
          </w:tcPr>
          <w:p w:rsidR="009508DE" w:rsidRPr="00C56375" w:rsidRDefault="009136E1" w:rsidP="005E217A">
            <w:pPr>
              <w:pStyle w:val="RollCallTable"/>
            </w:pPr>
            <w:r>
              <w:t>S&amp;D</w:t>
            </w:r>
          </w:p>
        </w:tc>
        <w:tc>
          <w:tcPr>
            <w:tcW w:w="7371" w:type="dxa"/>
            <w:shd w:val="clear" w:color="auto" w:fill="FFFFFF"/>
          </w:tcPr>
          <w:p w:rsidR="009508DE" w:rsidRPr="00C56375" w:rsidRDefault="009136E1" w:rsidP="005E217A">
            <w:pPr>
              <w:pStyle w:val="RollCallTable"/>
            </w:pPr>
            <w:r>
              <w:t>Ilan De Basso</w:t>
            </w:r>
          </w:p>
        </w:tc>
      </w:tr>
      <w:tr w:rsidR="00432263" w:rsidTr="005E217A">
        <w:trPr>
          <w:cantSplit/>
        </w:trPr>
        <w:tc>
          <w:tcPr>
            <w:tcW w:w="1701" w:type="dxa"/>
            <w:shd w:val="clear" w:color="auto" w:fill="FFFFFF"/>
          </w:tcPr>
          <w:p w:rsidR="009508DE" w:rsidRPr="00C56375" w:rsidRDefault="009136E1" w:rsidP="005E217A">
            <w:pPr>
              <w:pStyle w:val="RollCallTable"/>
            </w:pPr>
            <w:r>
              <w:t>The Left</w:t>
            </w:r>
          </w:p>
        </w:tc>
        <w:tc>
          <w:tcPr>
            <w:tcW w:w="7371" w:type="dxa"/>
            <w:shd w:val="clear" w:color="auto" w:fill="FFFFFF"/>
          </w:tcPr>
          <w:p w:rsidR="009508DE" w:rsidRPr="00C56375" w:rsidRDefault="009136E1" w:rsidP="005E217A">
            <w:pPr>
              <w:pStyle w:val="RollCallTable"/>
            </w:pPr>
            <w:r>
              <w:t>Özlem Demirel</w:t>
            </w:r>
          </w:p>
        </w:tc>
      </w:tr>
    </w:tbl>
    <w:p w:rsidR="009508DE" w:rsidRPr="00C56375" w:rsidRDefault="009508DE" w:rsidP="009508DE">
      <w:pPr>
        <w:pStyle w:val="Normal12a"/>
      </w:pPr>
    </w:p>
    <w:p w:rsidR="009508DE" w:rsidRDefault="009136E1" w:rsidP="00B735E3">
      <w:r>
        <w:t>Uporabljeni znaki:</w:t>
      </w:r>
    </w:p>
    <w:p w:rsidR="009508DE" w:rsidRDefault="009136E1" w:rsidP="003858C5">
      <w:pPr>
        <w:pStyle w:val="RollCallTabs"/>
      </w:pPr>
      <w:r>
        <w:t>+</w:t>
      </w:r>
      <w:r>
        <w:tab/>
        <w:t>:</w:t>
      </w:r>
      <w:r>
        <w:tab/>
        <w:t>za</w:t>
      </w:r>
    </w:p>
    <w:p w:rsidR="009508DE" w:rsidRDefault="009136E1" w:rsidP="003858C5">
      <w:pPr>
        <w:pStyle w:val="RollCallTabs"/>
      </w:pPr>
      <w:r>
        <w:t>-</w:t>
      </w:r>
      <w:r>
        <w:tab/>
        <w:t>:</w:t>
      </w:r>
      <w:r>
        <w:tab/>
        <w:t>proti</w:t>
      </w:r>
    </w:p>
    <w:p w:rsidR="009508DE" w:rsidRDefault="009136E1" w:rsidP="003858C5">
      <w:pPr>
        <w:pStyle w:val="RollCallTabs"/>
      </w:pPr>
      <w:r>
        <w:t>0</w:t>
      </w:r>
      <w:r>
        <w:tab/>
        <w:t>:</w:t>
      </w:r>
      <w:r>
        <w:tab/>
        <w:t>vzdržani</w:t>
      </w:r>
    </w:p>
    <w:p w:rsidR="009508DE" w:rsidRDefault="009508DE" w:rsidP="00207509"/>
    <w:bookmarkEnd w:id="3"/>
    <w:p w:rsidR="00DB56E4" w:rsidRPr="009508DE" w:rsidRDefault="00DB56E4" w:rsidP="009508DE"/>
    <w:sectPr w:rsidR="00DB56E4" w:rsidRPr="009508DE" w:rsidSect="009508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136E1">
      <w:r>
        <w:separator/>
      </w:r>
    </w:p>
  </w:endnote>
  <w:endnote w:type="continuationSeparator" w:id="0">
    <w:p w:rsidR="00000000" w:rsidRDefault="0091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651" w:rsidRDefault="009136E1" w:rsidP="006C3651">
    <w:pPr>
      <w:pStyle w:val="EPFooter"/>
    </w:pPr>
    <w:r>
      <w:t>PE</w:t>
    </w:r>
    <w:r w:rsidRPr="006C3651">
      <w:rPr>
        <w:rStyle w:val="HideTWBExt"/>
      </w:rPr>
      <w:t>&lt;NoPE&gt;</w:t>
    </w:r>
    <w:r>
      <w:t>752.621</w:t>
    </w:r>
    <w:r w:rsidRPr="006C3651">
      <w:rPr>
        <w:rStyle w:val="HideTWBExt"/>
      </w:rPr>
      <w:t>&lt;/NoPE&gt;&lt;Version&gt;</w:t>
    </w:r>
    <w:r>
      <w:t>v02-00</w:t>
    </w:r>
    <w:r w:rsidRPr="006C3651">
      <w:rPr>
        <w:rStyle w:val="HideTWBExt"/>
      </w:rPr>
      <w:t>&lt;/Version&gt;</w:t>
    </w:r>
    <w:r>
      <w:tab/>
    </w:r>
    <w:r>
      <w:fldChar w:fldCharType="begin"/>
    </w:r>
    <w:r>
      <w:instrText xml:space="preserve"> PAGE  \* MERGEFORMAT </w:instrText>
    </w:r>
    <w:r>
      <w:fldChar w:fldCharType="separate"/>
    </w:r>
    <w:r>
      <w:rPr>
        <w:noProof/>
      </w:rPr>
      <w:t>24</w:t>
    </w:r>
    <w:r>
      <w:fldChar w:fldCharType="end"/>
    </w:r>
    <w:r>
      <w:t>/</w:t>
    </w:r>
    <w:r w:rsidR="006437F9">
      <w:fldChar w:fldCharType="begin"/>
    </w:r>
    <w:r>
      <w:instrText xml:space="preserve"> NUMPAGES  \* M</w:instrText>
    </w:r>
    <w:r>
      <w:instrText xml:space="preserve">ERGEFORMAT </w:instrText>
    </w:r>
    <w:r w:rsidR="006437F9">
      <w:fldChar w:fldCharType="separate"/>
    </w:r>
    <w:r>
      <w:rPr>
        <w:noProof/>
      </w:rPr>
      <w:t>27</w:t>
    </w:r>
    <w:r w:rsidR="006437F9">
      <w:rPr>
        <w:noProof/>
      </w:rPr>
      <w:fldChar w:fldCharType="end"/>
    </w:r>
    <w:r>
      <w:tab/>
    </w:r>
    <w:r w:rsidRPr="006C3651">
      <w:rPr>
        <w:rStyle w:val="HideTWBExt"/>
      </w:rPr>
      <w:t>&lt;PathFdR&gt;</w:t>
    </w:r>
    <w:r>
      <w:t>AD\1288324SL.docx</w:t>
    </w:r>
    <w:r w:rsidRPr="006C3651">
      <w:rPr>
        <w:rStyle w:val="HideTWBExt"/>
      </w:rPr>
      <w:t>&lt;/PathFdR&gt;</w:t>
    </w:r>
  </w:p>
  <w:p w:rsidR="00E34A5C" w:rsidRPr="00C3576B" w:rsidRDefault="009136E1" w:rsidP="006C3651">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651" w:rsidRDefault="009136E1" w:rsidP="006C3651">
    <w:pPr>
      <w:pStyle w:val="EPFooter"/>
    </w:pPr>
    <w:r w:rsidRPr="006C3651">
      <w:rPr>
        <w:rStyle w:val="HideTWBExt"/>
      </w:rPr>
      <w:t>&lt;PathFdR&gt;</w:t>
    </w:r>
    <w:r>
      <w:t>AD\1288324SL.docx</w:t>
    </w:r>
    <w:r w:rsidRPr="006C3651">
      <w:rPr>
        <w:rStyle w:val="HideTWBExt"/>
      </w:rPr>
      <w:t>&lt;/PathFdR&gt;</w:t>
    </w:r>
    <w:r>
      <w:tab/>
    </w:r>
    <w:r>
      <w:fldChar w:fldCharType="begin"/>
    </w:r>
    <w:r>
      <w:instrText xml:space="preserve"> PAGE  \* MERGEFORMAT </w:instrText>
    </w:r>
    <w:r>
      <w:fldChar w:fldCharType="separate"/>
    </w:r>
    <w:r>
      <w:rPr>
        <w:noProof/>
      </w:rPr>
      <w:t>25</w:t>
    </w:r>
    <w:r>
      <w:fldChar w:fldCharType="end"/>
    </w:r>
    <w:r>
      <w:t>/</w:t>
    </w:r>
    <w:r w:rsidR="006437F9">
      <w:fldChar w:fldCharType="begin"/>
    </w:r>
    <w:r>
      <w:instrText xml:space="preserve"> NUMPAGES  \* MERGEFORMAT </w:instrText>
    </w:r>
    <w:r w:rsidR="006437F9">
      <w:fldChar w:fldCharType="separate"/>
    </w:r>
    <w:r>
      <w:rPr>
        <w:noProof/>
      </w:rPr>
      <w:t>27</w:t>
    </w:r>
    <w:r w:rsidR="006437F9">
      <w:rPr>
        <w:noProof/>
      </w:rPr>
      <w:fldChar w:fldCharType="end"/>
    </w:r>
    <w:r>
      <w:tab/>
      <w:t>PE</w:t>
    </w:r>
    <w:r w:rsidRPr="006C3651">
      <w:rPr>
        <w:rStyle w:val="HideTWBExt"/>
      </w:rPr>
      <w:t>&lt;NoPE&gt;</w:t>
    </w:r>
    <w:r>
      <w:t>752.621</w:t>
    </w:r>
    <w:r w:rsidRPr="006C3651">
      <w:rPr>
        <w:rStyle w:val="HideTWBExt"/>
      </w:rPr>
      <w:t>&lt;/NoPE&gt;&lt;Version&gt;</w:t>
    </w:r>
    <w:r>
      <w:t>v02-00</w:t>
    </w:r>
    <w:r w:rsidRPr="006C3651">
      <w:rPr>
        <w:rStyle w:val="HideTWBExt"/>
      </w:rPr>
      <w:t>&lt;/Version&gt;</w:t>
    </w:r>
  </w:p>
  <w:p w:rsidR="00E34A5C" w:rsidRPr="00C3576B" w:rsidRDefault="009136E1" w:rsidP="006C3651">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651" w:rsidRDefault="009136E1" w:rsidP="006C3651">
    <w:pPr>
      <w:pStyle w:val="EPFooter"/>
    </w:pPr>
    <w:r w:rsidRPr="006C3651">
      <w:rPr>
        <w:rStyle w:val="HideTWBExt"/>
      </w:rPr>
      <w:t>&lt;PathFdR&gt;</w:t>
    </w:r>
    <w:r>
      <w:t>AD\1288324SL.docx</w:t>
    </w:r>
    <w:r w:rsidRPr="006C3651">
      <w:rPr>
        <w:rStyle w:val="HideTWBExt"/>
      </w:rPr>
      <w:t>&lt;/PathFdR&gt;</w:t>
    </w:r>
    <w:r>
      <w:tab/>
    </w:r>
    <w:r>
      <w:tab/>
      <w:t>PE</w:t>
    </w:r>
    <w:r w:rsidRPr="006C3651">
      <w:rPr>
        <w:rStyle w:val="HideTWBExt"/>
      </w:rPr>
      <w:t>&lt;NoPE&gt;</w:t>
    </w:r>
    <w:r>
      <w:t>752.621</w:t>
    </w:r>
    <w:r w:rsidRPr="006C3651">
      <w:rPr>
        <w:rStyle w:val="HideTWBExt"/>
      </w:rPr>
      <w:t>&lt;/NoPE&gt;&lt;Version&gt;</w:t>
    </w:r>
    <w:r>
      <w:t>v02-00</w:t>
    </w:r>
    <w:r w:rsidRPr="006C3651">
      <w:rPr>
        <w:rStyle w:val="HideTWBExt"/>
      </w:rPr>
      <w:t>&lt;/Version&gt;</w:t>
    </w:r>
  </w:p>
  <w:p w:rsidR="00E34A5C" w:rsidRPr="00C3576B" w:rsidRDefault="009136E1" w:rsidP="006C3651">
    <w:pPr>
      <w:pStyle w:val="EPFooter2"/>
    </w:pPr>
    <w:r>
      <w:t>SL</w:t>
    </w:r>
    <w:r>
      <w:tab/>
    </w:r>
    <w:r w:rsidRPr="006C3651">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136E1">
      <w:r>
        <w:separator/>
      </w:r>
    </w:p>
  </w:footnote>
  <w:footnote w:type="continuationSeparator" w:id="0">
    <w:p w:rsidR="00000000" w:rsidRDefault="00913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8DE" w:rsidRDefault="00950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8DE" w:rsidRDefault="009508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8DE" w:rsidRDefault="009508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87\fbidi \fswiss\fcharset222\fprq2 DokChampa (Thai){\*\falt Leelawadee UI};}}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caccentone\ctint255\cshade191\red46\green116\blue181;}{\*\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8222 HideTWBExt;}{_x000d__x000a_\s18\ql \li0\ri0\sa120\nowidctlpar\wrapdefault\aspalpha\aspnum\faauto\adjustright\rin0\lin0\itap0 \rtlch\fcs1 \af0\afs20\alang1025 \ltrch\fcs0 \fs24\lang2057\langfe2057\cgrid\langnp2057\langfenp2057 \sbasedon0 \snext18 \spriority0 \styrsid5598222 _x000d__x000a_Normal6a;}{\s19\ql \li0\ri0\nowidctlpar\wrapdefault\aspalpha\aspnum\faauto\adjustright\rin0\lin0\itap0 \rtlch\fcs1 \af0\afs20\alang1025 \ltrch\fcs0 \b\fs24\lang2057\langfe2057\cgrid\langnp2057\langfenp2057 \sbasedon0 \snext19 \spriority0 \styrsid5598222 _x000d__x000a_NormalBold;}{\*\cs20 \additive \v\f1\fs20\cf15 \spriority0 \styrsid5598222 HideTWBInt;}{\s21\qc \li0\ri0\sa240\nowidctlpar\wrapdefault\aspalpha\aspnum\faauto\adjustright\rin0\lin0\itap0 \rtlch\fcs1 \af0\afs20\alang1025 \ltrch\fcs0 _x000d__x000a_\i\fs24\lang2057\langfe2057\cgrid\langnp2057\langfenp2057 \sbasedon0 \snext21 \spriority0 \styrsid559822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598222 AmNumberTabs;}{\s23\ql \li0\ri0\sb240\nowidctlpar\wrapdefault\aspalpha\aspnum\faauto\adjustright\rin0\lin0\itap0 \rtlch\fcs1 _x000d__x000a_\af0\afs20\alang1025 \ltrch\fcs0 \b\fs24\lang2057\langfe2057\cgrid\langnp2057\langfenp2057 \sbasedon0 \snext23 \spriority0 \styrsid5598222 NormalBold12b;}}{\*\rsidtbl \rsid24658\rsid223860\rsid735077\rsid1718133\rsid2892074\rsid3565327\rsid4666813_x000d__x000a_\rsid5598222\rsid6305412\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ROSELJ Katarina}{\operator GROSELJ Katarina}{\creatim\yr2023\mo11\dy3\hr10\min37}{\revtim\yr2023\mo11\dy3\hr10\min37}{\version1}{\edmins0}{\nofpages1}_x000d__x000a_{\nofwords30}{\nofchars176}{\nofcharsws2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8222\newtblstyruls\nogrowautofit\usenormstyforlist\noindnmbrts\felnbrelev\nocxsptable\indrlsweleven\noafcnsttbl\afelev\utinl\hwelev\spltpgpar\notcvasp\notbrkcnstfrctbl\notvatxbx\krnprsnet\cachedcolbal _x000d__x000a_\nouicompat \fet0{\*\wgrffmtfilter 013f}\nofeaturethrottle1\ilfomacatclnup0{\*\template C:\\Users\\kgroselj\\AppData\\Local\\Temp\\Blank1.dotx}{\*\ftnsep \ltrpar \pard\plain \ltrpar_x000d__x000a_\ql \li0\ri0\widctlpar\wrapdefault\aspalpha\aspnum\faauto\adjustright\rin0\lin0\itap0 \rtlch\fcs1 \af0\afs20\alang1025 \ltrch\fcs0 \fs24\lang2057\langfe2057\cgrid\langnp2057\langfenp2057 {\rtlch\fcs1 \af0 \ltrch\fcs0 \insrsid6305412 \chftnsep _x000d__x000a_\par }}{\*\ftnsepc \ltrpar \pard\plain \ltrpar\ql \li0\ri0\widctlpar\wrapdefault\aspalpha\aspnum\faauto\adjustright\rin0\lin0\itap0 \rtlch\fcs1 \af0\afs20\alang1025 \ltrch\fcs0 \fs24\lang2057\langfe2057\cgrid\langnp2057\langfenp2057 {\rtlch\fcs1 \af0 _x000d__x000a_\ltrch\fcs0 \insrsid6305412 \chftnsepc _x000d__x000a_\par }}{\*\aftnsep \ltrpar \pard\plain \ltrpar\ql \li0\ri0\widctlpar\wrapdefault\aspalpha\aspnum\faauto\adjustright\rin0\lin0\itap0 \rtlch\fcs1 \af0\afs20\alang1025 \ltrch\fcs0 \fs24\lang2057\langfe2057\cgrid\langnp2057\langfenp2057 {\rtlch\fcs1 \af0 _x000d__x000a_\ltrch\fcs0 \insrsid6305412 \chftnsep _x000d__x000a_\par }}{\*\aftnsepc \ltrpar \pard\plain \ltrpar\ql \li0\ri0\widctlpar\wrapdefault\aspalpha\aspnum\faauto\adjustright\rin0\lin0\itap0 \rtlch\fcs1 \af0\afs20\alang1025 \ltrch\fcs0 \fs24\lang2057\langfe2057\cgrid\langnp2057\langfenp2057 {\rtlch\fcs1 \af0 _x000d__x000a_\ltrch\fcs0 \insrsid6305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598222 \rtlch\fcs1 _x000d__x000a_\af0\afs20\alang1025 \ltrch\fcs0 \b\fs24\lang2057\langfe2057\cgrid\langnp2057\langfenp2057 {\rtlch\fcs1 \af0 \ltrch\fcs0 \cs17\b0\v\fs20\cf9\lang1024\langfe1024\loch\af1\hich\af1\dbch\af31501\noproof\insrsid5598222\charrsid7612140 {\*\bkmkstart restartA}_x000d__x000a_\hich\af1\dbch\af31501\loch\f1 &lt;AmendA&gt;}{\rtlch\fcs1 \af0 \ltrch\fcs0 \insrsid5598222\charrsid7612140 Amendment\tab \tab }{\rtlch\fcs1 \af0 \ltrch\fcs0 _x000d__x000a_\cs17\b0\v\fs20\cf9\lang1024\langfe1024\loch\af1\hich\af1\dbch\af31501\noproof\insrsid5598222\charrsid7612140 \hich\af1\dbch\af31501\loch\f1 &lt;NumAmA&gt;}{\rtlch\fcs1 \af0 \ltrch\fcs0 \insrsid5598222\charrsid7612140 #}{\rtlch\fcs1 \af1 \ltrch\fcs0 _x000d__x000a_\cs20\v\f1\fs20\cf15\insrsid5598222\charrsid7612140 ENMIENDA@NRAM@}{\rtlch\fcs1 \af0 \ltrch\fcs0 \insrsid5598222\charrsid7612140 #}{\rtlch\fcs1 \af0 \ltrch\fcs0 _x000d__x000a_\cs17\b0\v\fs20\cf9\lang1024\langfe1024\loch\af1\hich\af1\dbch\af31501\noproof\insrsid5598222\charrsid7612140 \hich\af1\dbch\af31501\loch\f1 &lt;/NumAmA&gt;}{\rtlch\fcs1 \af0 \ltrch\fcs0 \insrsid5598222\charrsid7612140 _x000d__x000a_\par }\pard\plain \ltrpar\s23\ql \li0\ri0\sb240\keepn\nowidctlpar\wrapdefault\aspalpha\aspnum\faauto\adjustright\rin0\lin0\itap0\pararsid5598222 \rtlch\fcs1 \af0\afs20\alang1025 \ltrch\fcs0 \b\fs24\lang2057\langfe2057\cgrid\langnp2057\langfenp2057 {_x000d__x000a_\rtlch\fcs1 \af0 \ltrch\fcs0 \cs17\b0\v\fs20\cf9\lang1024\langfe1024\loch\af1\hich\af1\dbch\af31501\noproof\insrsid5598222\charrsid7612140 \hich\af1\dbch\af31501\loch\f1 &lt;DocAmend&gt;}{\rtlch\fcs1 \af0 \ltrch\fcs0 \insrsid5598222\charrsid7612140 _x000d__x000a_Draft legislative resolution}{\rtlch\fcs1 \af0 \ltrch\fcs0 \cs17\b0\v\fs20\cf9\lang1024\langfe1024\loch\af1\hich\af1\dbch\af31501\noproof\insrsid5598222\charrsid7612140 \hich\af1\dbch\af31501\loch\f1 &lt;/DocAmend&gt;}{\rtlch\fcs1 \af0 \ltrch\fcs0 _x000d__x000a_\insrsid5598222\charrsid7612140 _x000d__x000a_\par }\pard\plain \ltrpar\s19\ql \li0\ri0\nowidctlpar\wrapdefault\aspalpha\aspnum\faauto\adjustright\rin0\lin0\itap0\pararsid5598222 \rtlch\fcs1 \af0\afs20\alang1025 \ltrch\fcs0 \b\fs24\lang2057\langfe2057\cgrid\langnp2057\langfenp2057 {\rtlch\fcs1 \af0 _x000d__x000a_\ltrch\fcs0 \cs17\b0\v\fs20\cf9\lang1024\langfe1024\loch\af1\hich\af1\dbch\af31501\noproof\insrsid5598222\charrsid7612140 \hich\af1\dbch\af31501\loch\f1 &lt;Article&gt;}{\rtlch\fcs1 \af0 \ltrch\fcs0 \cf10\insrsid5598222\charrsid7693821 \u9668\'3f}{\rtlch\fcs1 _x000d__x000a_\af0 \ltrch\fcs0 \insrsid5598222\charrsid7612140 #}{\rtlch\fcs1 \af1 \ltrch\fcs0 \cs20\v\f1\fs20\cf15\insrsid5598222\charrsid7612140 TVTRESPART@RESPART@}{\rtlch\fcs1 \af0 \ltrch\fcs0 \insrsid5598222\charrsid7612140 #}{\rtlch\fcs1 \af0 \ltrch\fcs0 _x000d__x000a_\cf10\insrsid5598222\charrsid7693821 \u9658\'3f}{\rtlch\fcs1 \af0 \ltrch\fcs0 \cs17\b0\v\fs20\cf9\lang1024\langfe1024\loch\af1\hich\af1\dbch\af31501\noproof\insrsid5598222\charrsid7612140 \hich\af1\dbch\af31501\loch\f1 &lt;/Article&gt;}{\rtlch\fcs1 \af0 _x000d__x000a_\ltrch\fcs0 \insrsid5598222\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5598222\charrsid7612140 \cell }\pard \ltrpar\ql \li0\ri0\widctlpar\intbl\wrapdefault\aspalpha\aspnum\faauto\adjustright\rin0\lin0 {\rtlch\fcs1 \af0 \ltrch\fcs0 _x000d__x000a_\insrsid5598222\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5598222\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5598222\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598222\charrsid7612140 ##\cell ##}{\rtlch\fcs1 \af0\afs24 \ltrch\fcs0 \insrsid5598222\charrsid7612140 \cell }\pard\plain \ltrpar\ql \li0\ri0\widctlpar\intbl\wrapdefault\aspalpha\aspnum\faauto\adjustright\rin0\lin0 \rtlch\fcs1 _x000d__x000a_\af0\afs20\alang1025 \ltrch\fcs0 \fs24\lang2057\langfe2057\cgrid\langnp2057\langfenp2057 {\rtlch\fcs1 \af0 \ltrch\fcs0 \insrsid5598222\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598222 {\rtlch\fcs1 \af0 \ltrch\fcs0 \cs17\v\fs20\cf9\lang1024\langfe1024\loch\af1\hich\af1\dbch\af31501\noproof\insrsid5598222\charrsid7612140 _x000d__x000a_\hich\af1\dbch\af31501\loch\f1 &lt;/AmendA&gt;}{\rtlch\fcs1 \af0 \ltrch\fcs0 \insrsid55982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b_x000d__x000a_4b5339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87\fbidi \fswiss\fcharset222\fprq2 DokChampa (Thai){\*\falt Leelawadee UI};}}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caccentone\ctint255\cshade191\red46\green116\blue181;}{\*\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21809 HideTWBExt;}{_x000d__x000a_\s18\ql \li0\ri0\sa120\nowidctlpar\wrapdefault\aspalpha\aspnum\faauto\adjustright\rin0\lin0\itap0 \rtlch\fcs1 \af0\afs20\alang1025 \ltrch\fcs0 \fs24\lang2057\langfe2057\cgrid\langnp2057\langfenp2057 \sbasedon0 \snext18 \spriority0 \styrsid10621809 _x000d__x000a_Normal6a;}{\s19\ql \li0\ri0\nowidctlpar\wrapdefault\aspalpha\aspnum\faauto\adjustright\rin0\lin0\itap0 \rtlch\fcs1 \af0\afs20\alang1025 \ltrch\fcs0 \b\fs24\lang2057\langfe2057\cgrid\langnp2057\langfenp2057 \sbasedon0 \snext19 \spriority0 \styrsid10621809 _x000d__x000a_NormalBold;}{\s20\ql \li0\ri0\sa240\nowidctlpar\wrapdefault\aspalpha\aspnum\faauto\adjustright\rin0\lin0\itap0 \rtlch\fcs1 \af0\afs20\alang1025 \ltrch\fcs0 \i\fs24\lang2057\langfe2057\cgrid\langnp2057\langfenp2057 _x000d__x000a_\sbasedon0 \snext20 \spriority0 \styrsid10621809 AmJustText;}{\s21\qc \li0\ri0\sb240\sa240\nowidctlpar\wrapdefault\aspalpha\aspnum\faauto\adjustright\rin0\lin0\itap0 \rtlch\fcs1 \af0\afs20\alang1025 \ltrch\fcs0 _x000d__x000a_\i\fs24\lang2057\langfe2057\cgrid\langnp2057\langfenp2057 \sbasedon0 \snext21 \spriority0 \styrsid10621809 AmCrossRef;}{\*\cs22 \additive \v\f1\fs20\cf15 \spriority0 \styrsid10621809 HideTWBInt;}{_x000d__x000a_\s23\qc \li0\ri0\sb240\sa240\keepn\nowidctlpar\wrapdefault\aspalpha\aspnum\faauto\adjustright\rin0\lin0\itap0 \rtlch\fcs1 \af0\afs20\alang1025 \ltrch\fcs0 \i\fs24\lang2057\langfe2057\cgrid\langnp2057\langfenp2057 _x000d__x000a_\sbasedon0 \snext20 \spriority0 \styrsid10621809 AmJustTitle;}{\s24\qc \li0\ri0\sa240\nowidctlpar\wrapdefault\aspalpha\aspnum\faauto\adjustright\rin0\lin0\itap0 \rtlch\fcs1 \af0\afs20\alang1025 \ltrch\fcs0 _x000d__x000a_\i\fs24\lang2057\langfe2057\cgrid\langnp2057\langfenp2057 \sbasedon0 \snext24 \spriority0 \styrsid1062180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621809 AmNumberTabs;}{\s26\ql \li0\ri0\sb240\nowidctlpar\wrapdefault\aspalpha\aspnum\faauto\adjustright\rin0\lin0\itap0 \rtlch\fcs1 _x000d__x000a_\af0\afs20\alang1025 \ltrch\fcs0 \b\fs24\lang2057\langfe2057\cgrid\langnp2057\langfenp2057 \sbasedon0 \snext26 \spriority0 \styrsid10621809 NormalBold12b;}}{\*\rsidtbl \rsid24658\rsid223860\rsid735077\rsid1718133\rsid2892074\rsid3565327\rsid4666813_x000d__x000a_\rsid5513096\rsid6641733\rsid7823322\rsid9636012\rsid10377208\rsid10621809\rsid11215221\rsid11549030\rsid12154954\rsid14382809\rsid14424199\rsid15204470\rsid15285974\rsid15950462\rsid16324206\rsid16662270}{\mmathPr\mmathFont34\mbrkBin0\mbrkBinSub0_x000d__x000a_\msmallFrac0\mdispDef1\mlMargin0\mrMargin0\mdefJc1\mwrapIndent1440\mintLim0\mnaryLim1}{\info{\author GROSELJ Katarina}{\operator GROSELJ Katarina}{\creatim\yr2023\mo11\dy3\hr10\min37}{\revtim\yr2023\mo11\dy3\hr10\min37}{\version1}{\edmins0}{\nofpages1}_x000d__x000a_{\nofwords98}{\nofchars568}{\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21809\newtblstyruls\nogrowautofit\usenormstyforlist\noindnmbrts\felnbrelev\nocxsptable\indrlsweleven\noafcnsttbl\afelev\utinl\hwelev\spltpgpar\notcvasp\notbrkcnstfrctbl\notvatxbx\krnprsnet\cachedcolbal _x000d__x000a_\nouicompat \fet0{\*\wgrffmtfilter 013f}\nofeaturethrottle1\ilfomacatclnup0{\*\template C:\\Users\\kgroselj\\AppData\\Local\\Temp\\Blank1.dotx}{\*\ftnsep \ltrpar \pard\plain \ltrpar_x000d__x000a_\ql \li0\ri0\widctlpar\wrapdefault\aspalpha\aspnum\faauto\adjustright\rin0\lin0\itap0 \rtlch\fcs1 \af0\afs20\alang1025 \ltrch\fcs0 \fs24\lang2057\langfe2057\cgrid\langnp2057\langfenp2057 {\rtlch\fcs1 \af0 \ltrch\fcs0 \insrsid5513096 \chftnsep _x000d__x000a_\par }}{\*\ftnsepc \ltrpar \pard\plain \ltrpar\ql \li0\ri0\widctlpar\wrapdefault\aspalpha\aspnum\faauto\adjustright\rin0\lin0\itap0 \rtlch\fcs1 \af0\afs20\alang1025 \ltrch\fcs0 \fs24\lang2057\langfe2057\cgrid\langnp2057\langfenp2057 {\rtlch\fcs1 \af0 _x000d__x000a_\ltrch\fcs0 \insrsid5513096 \chftnsepc _x000d__x000a_\par }}{\*\aftnsep \ltrpar \pard\plain \ltrpar\ql \li0\ri0\widctlpar\wrapdefault\aspalpha\aspnum\faauto\adjustright\rin0\lin0\itap0 \rtlch\fcs1 \af0\afs20\alang1025 \ltrch\fcs0 \fs24\lang2057\langfe2057\cgrid\langnp2057\langfenp2057 {\rtlch\fcs1 \af0 _x000d__x000a_\ltrch\fcs0 \insrsid5513096 \chftnsep _x000d__x000a_\par }}{\*\aftnsepc \ltrpar \pard\plain \ltrpar\ql \li0\ri0\widctlpar\wrapdefault\aspalpha\aspnum\faauto\adjustright\rin0\lin0\itap0 \rtlch\fcs1 \af0\afs20\alang1025 \ltrch\fcs0 \fs24\lang2057\langfe2057\cgrid\langnp2057\langfenp2057 {\rtlch\fcs1 \af0 _x000d__x000a_\ltrch\fcs0 \insrsid55130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621809 \rtlch\fcs1 _x000d__x000a_\af0\afs20\alang1025 \ltrch\fcs0 \b\fs24\lang2057\langfe2057\cgrid\langnp2057\langfenp2057 {\rtlch\fcs1 \af0 \ltrch\fcs0 \cs17\b0\v\fs20\cf9\lang1024\langfe1024\loch\af1\hich\af1\dbch\af31501\noproof\insrsid10621809\charrsid7612140 {\*\bkmkstart restartB}_x000d__x000a_\hich\af1\dbch\af31501\loch\f1 &lt;AmendB&gt;}{\rtlch\fcs1 \af0 \ltrch\fcs0 \insrsid10621809\charrsid7612140 Amendment\tab \tab }{\rtlch\fcs1 \af0 \ltrch\fcs0 _x000d__x000a_\cs17\b0\v\fs20\cf9\lang1024\langfe1024\loch\af1\hich\af1\dbch\af31501\noproof\insrsid10621809\charrsid7612140 \hich\af1\dbch\af31501\loch\f1 &lt;NumAmB&gt;}{\rtlch\fcs1 \af0 \ltrch\fcs0 \insrsid10621809\charrsid7612140 #}{\rtlch\fcs1 \af1 \ltrch\fcs0 _x000d__x000a_\cs22\v\f1\fs20\cf15\insrsid10621809\charrsid7612140 ENMIENDA@NRAM@}{\rtlch\fcs1 \af0 \ltrch\fcs0 \insrsid10621809\charrsid7612140 #}{\rtlch\fcs1 \af0 \ltrch\fcs0 _x000d__x000a_\cs17\b0\v\fs20\cf9\lang1024\langfe1024\loch\af1\hich\af1\dbch\af31501\noproof\insrsid10621809\charrsid7612140 \hich\af1\dbch\af31501\loch\f1 &lt;/NumAmB&gt;}{\rtlch\fcs1 \af0 \ltrch\fcs0 \insrsid10621809\charrsid7612140 _x000d__x000a_\par }\pard\plain \ltrpar\s26\ql \li0\ri0\sb240\keepn\nowidctlpar\wrapdefault\aspalpha\aspnum\faauto\adjustright\rin0\lin0\itap0\pararsid10621809 \rtlch\fcs1 \af0\afs20\alang1025 \ltrch\fcs0 \b\fs24\lang2057\langfe2057\cgrid\langnp2057\langfenp2057 {_x000d__x000a_\rtlch\fcs1 \af0 \ltrch\fcs0 \cs17\b0\v\fs20\cf9\lang1024\langfe1024\loch\af1\hich\af1\dbch\af31501\noproof\insrsid10621809\charrsid7612140 \hich\af1\dbch\af31501\loch\f1 &lt;DocAmend&gt;}{\rtlch\fcs1 \af0 \ltrch\fcs0 \insrsid10621809\charrsid7612140 #}{_x000d__x000a_\rtlch\fcs1 \af1 \ltrch\fcs0 \cs22\v\f1\fs20\cf15\insrsid10621809\charrsid7612140 MNU[OPTPROPOSALCOD][OPTPROPOSALCNS][OPTPROPOSALNLE][OPTPROPOSALINL]@CHOICE@CODEMNU}{\rtlch\fcs1 \af0 \ltrch\fcs0 \insrsid10621809\charrsid7612140 ##}{\rtlch\fcs1 \af1 _x000d__x000a_\ltrch\fcs0 \cs22\v\f1\fs20\cf15\insrsid10621809\charrsid7612140 MNU[AMACTYES][NOTAPP]@CHOICE@AMACTMNU}{\rtlch\fcs1 \af0 \ltrch\fcs0 \insrsid10621809\charrsid7612140 #}{\rtlch\fcs1 \af0 \ltrch\fcs0 _x000d__x000a_\cs17\b0\v\fs20\cf9\lang1024\langfe1024\loch\af1\hich\af1\dbch\af31501\noproof\insrsid10621809\charrsid7612140 \hich\af1\dbch\af31501\loch\f1 &lt;/DocAmend&gt;}{\rtlch\fcs1 \af0 \ltrch\fcs0 \insrsid10621809\charrsid7612140 _x000d__x000a_\par }\pard\plain \ltrpar\s19\ql \li0\ri0\keepn\nowidctlpar\wrapdefault\aspalpha\aspnum\faauto\adjustright\rin0\lin0\itap0\pararsid10621809 \rtlch\fcs1 \af0\afs20\alang1025 \ltrch\fcs0 \b\fs24\lang2057\langfe2057\cgrid\langnp2057\langfenp2057 {\rtlch\fcs1 _x000d__x000a_\af0 \ltrch\fcs0 \cs17\b0\v\fs20\cf9\lang1024\langfe1024\loch\af1\hich\af1\dbch\af31501\noproof\insrsid10621809\charrsid7612140 \hich\af1\dbch\af31501\loch\f1 &lt;Article&gt;}{\rtlch\fcs1 \af0 \ltrch\fcs0 \insrsid10621809\charrsid7612140 #}{\rtlch\fcs1 \af1 _x000d__x000a_\ltrch\fcs0 \cs22\v\f1\fs20\cf15\insrsid10621809\charrsid7612140 MNU[AMACTPARTYES][AMACTPARTNO]@CHOICE@AMACTMNU}{\rtlch\fcs1 \af0 \ltrch\fcs0 \insrsid10621809\charrsid7612140 #}{\rtlch\fcs1 \af0 \ltrch\fcs0 _x000d__x000a_\cs17\b0\v\fs20\cf9\lang1024\langfe1024\loch\af1\hich\af1\dbch\af31501\noproof\insrsid10621809\charrsid7612140 \hich\af1\dbch\af31501\loch\f1 &lt;/Article&gt;}{\rtlch\fcs1 \af0 \ltrch\fcs0 \insrsid10621809\charrsid7612140 _x000d__x000a_\par }\pard\plain \ltrpar\ql \li0\ri0\keepn\widctlpar\wrapdefault\aspalpha\aspnum\faauto\adjustright\rin0\lin0\itap0\pararsid10621809 \rtlch\fcs1 \af0\afs20\alang1025 \ltrch\fcs0 \fs24\lang2057\langfe2057\cgrid\langnp2057\langfenp2057 {\rtlch\fcs1 \af0 _x000d__x000a_\ltrch\fcs0 \cs17\v\fs20\cf9\lang1024\langfe1024\loch\af1\hich\af1\dbch\af31501\noproof\insrsid10621809\charrsid7612140 \hich\af1\dbch\af31501\loch\f1 &lt;DocAmend\hich\af1\dbch\af31501\loch\f1 2&gt;&lt;OptDel&gt;}{\rtlch\fcs1 \af0 \ltrch\fcs0 _x000d__x000a_\insrsid10621809\charrsid7612140 #}{\rtlch\fcs1 \af1 \ltrch\fcs0 \cs22\v\f1\fs20\cf15\insrsid10621809\charrsid7612140 MNU[OPTNRACTYES][NOTAPP]@CHOICE@AMACTMNU}{\rtlch\fcs1 \af0 \ltrch\fcs0 \insrsid10621809\charrsid7612140 #}{\rtlch\fcs1 \af0 \ltrch\fcs0 _x000d__x000a_\cs17\v\fs20\cf9\lang1024\langfe1024\loch\af1\hich\af1\dbch\af31501\noproof\insrsid10621809\charrsid7612140 \hich\af1\dbch\af31501\loch\f1 &lt;/OptDel&gt;&lt;/DocAmend2&gt;}{\rtlch\fcs1 \af0 \ltrch\fcs0 \insrsid10621809\charrsid7612140 _x000d__x000a_\par }\pard \ltrpar\ql \li0\ri0\widctlpar\wrapdefault\aspalpha\aspnum\faauto\adjustright\rin0\lin0\itap0\pararsid10621809 {\rtlch\fcs1 \af0 \ltrch\fcs0 \cs17\v\fs20\cf9\lang1024\langfe1024\loch\af1\hich\af1\dbch\af31501\noproof\insrsid10621809\charrsid7612140 _x000d__x000a_\hich\af1\dbch\af31501\loch\f1 &lt;Article2&gt;&lt;OptDel&gt;}{\rtlch\fcs1 \af0 \ltrch\fcs0 \insrsid10621809\charrsid7612140 #}{\rtlch\fcs1 \af1 \ltrch\fcs0 \cs22\v\f1\fs20\cf15\insrsid10621809\charrsid7612140 MNU[OPTACTPARTYES][NOTAPP]@CHOICE@AMACTMNU}{\rtlch\fcs1 _x000d__x000a_\af0 \ltrch\fcs0 \insrsid10621809\charrsid7612140 #}{\rtlch\fcs1 \af0 \ltrch\fcs0 \cs17\v\fs20\cf9\lang1024\langfe1024\loch\af1\hich\af1\dbch\af31501\noproof\insrsid10621809\charrsid7612140 \hich\af1\dbch\af31501\loch\f1 &lt;/OptDel&gt;&lt;/Article2&gt;}{\rtlch\fcs1 _x000d__x000a_\af0 \ltrch\fcs0 \insrsid10621809\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0621809\charrsid7612140 \cell }\pard \ltrpar\ql \li0\ri0\widctlpar\intbl\wrapdefault\aspalpha\aspnum\faauto\adjustright\rin0\lin0 {\rtlch\fcs1 \af0 \ltrch\fcs0 \insrsid10621809\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0621809\charrsid7612140 #}{\rtlch\fcs1 \af1 \ltrch\fcs0 \cs22\v\f1\fs20\cf15\insrsid10621809\charrsid7612140 MNU[OPTLEFTAMACT][LEFTPROP]@CHOICE@AMACTMNU}{\rtlch\fcs1 \af0 \ltrch\fcs0 \insrsid10621809\charrsid7612140 #\cell Amendment\cell _x000d__x000a_}\pard\plain \ltrpar\ql \li0\ri0\widctlpar\intbl\wrapdefault\aspalpha\aspnum\faauto\adjustright\rin0\lin0 \rtlch\fcs1 \af0\afs20\alang1025 \ltrch\fcs0 \fs24\lang2057\langfe2057\cgrid\langnp2057\langfenp2057 {\rtlch\fcs1 \af0 \ltrch\fcs0 _x000d__x000a_\insrsid10621809\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621809\charrsid7612140 ##\cell ##}{\rtlch\fcs1 \af0\afs24 \ltrch\fcs0 \insrsid10621809\charrsid7612140 \cell }\pard\plain \ltrpar\ql \li0\ri0\widctlpar\intbl\wrapdefault\aspalpha\aspnum\faauto\adjustright\rin0\lin0 _x000d__x000a_\rtlch\fcs1 \af0\afs20\alang1025 \ltrch\fcs0 \fs24\lang2057\langfe2057\cgrid\langnp2057\langfenp2057 {\rtlch\fcs1 \af0 \ltrch\fcs0 \insrsid10621809\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621809 \rtlch\fcs1 \af0\afs20\alang1025 \ltrch\fcs0 \i\fs24\lang2057\langfe2057\cgrid\langnp2057\langfenp2057 {\rtlch\fcs1 \af0 \ltrch\fcs0 _x000d__x000a_\cs17\i0\v\fs20\cf9\lang1024\langfe1024\loch\af1\hich\af1\dbch\af31501\noproof\insrsid10621809\charrsid7612140 \hich\af1\dbch\af31501\loch\f1 &lt;OptDel&gt;}{\rtlch\fcs1 \af0 \ltrch\fcs0 \insrsid10621809\charrsid7612140 #}{\rtlch\fcs1 \af1 \ltrch\fcs0 _x000d__x000a_\cs22\v\f1\fs20\cf15\insrsid10621809\charrsid7612140 MNU[CROSSREFNO][CROSSREFYES]@CHOICE@}{\rtlch\fcs1 \af0 \ltrch\fcs0 \insrsid10621809\charrsid7612140 #}{\rtlch\fcs1 \af0 \ltrch\fcs0 _x000d__x000a_\cs17\i0\v\fs20\cf9\lang1024\langfe1024\loch\af1\hich\af1\dbch\af31501\noproof\insrsid10621809\charrsid7612140 \hich\af1\dbch\af31501\loch\f1 &lt;/OptDel&gt;}{\rtlch\fcs1 \af0 \ltrch\fcs0 \insrsid10621809\charrsid7612140 _x000d__x000a_\par }\pard\plain \ltrpar\s23\qc \li0\ri0\sb240\sa240\keepn\nowidctlpar\wrapdefault\aspalpha\aspnum\faauto\adjustright\rin0\lin0\itap0\pararsid10621809 \rtlch\fcs1 \af0\afs20\alang1025 \ltrch\fcs0 \i\fs24\lang2057\langfe2057\cgrid\langnp2057\langfenp2057 {_x000d__x000a_\rtlch\fcs1 \af0 \ltrch\fcs0 \cs17\i0\v\fs20\cf9\lang1024\langfe1024\loch\af1\hich\af1\dbch\af31501\noproof\insrsid10621809\charrsid7612140 \hich\af1\dbch\af31501\loch\f1 &lt;TitreJust&gt;}{\rtlch\fcs1 \af0 \ltrch\fcs0 \insrsid10621809\charrsid7612140 _x000d__x000a_Justification}{\rtlch\fcs1 \af0 \ltrch\fcs0 \cs17\i0\v\fs20\cf9\lang1024\langfe1024\loch\af1\hich\af1\dbch\af31501\noproof\insrsid10621809\charrsid7612140 \hich\af1\dbch\af31501\loch\f1 &lt;/TitreJust&gt;}{\rtlch\fcs1 \af0 \ltrch\fcs0 _x000d__x000a_\insrsid10621809\charrsid7612140 _x000d__x000a_\par }\pard\plain \ltrpar\s20\ql \li0\ri0\sa240\nowidctlpar\wrapdefault\aspalpha\aspnum\faauto\adjustright\rin0\lin0\itap0\pararsid10621809 \rtlch\fcs1 \af0\afs20\alang1025 \ltrch\fcs0 \i\fs24\lang2057\langfe2057\cgrid\langnp2057\langfenp2057 {\rtlch\fcs1 _x000d__x000a_\af0 \ltrch\fcs0 \cs17\i0\v\fs20\cf9\lang1024\langfe1024\loch\af1\hich\af1\dbch\af31501\noproof\insrsid10621809\charrsid7612140 \hich\af1\dbch\af31501\loch\f1 &lt;OptDelPrev&gt;}{\rtlch\fcs1 \af0 \ltrch\fcs0 \insrsid10621809\charrsid7612140 #}{\rtlch\fcs1 \af1 _x000d__x000a_\ltrch\fcs0 \cs22\v\f1\fs20\cf15\insrsid10621809\charrsid7612140 MNU[TEXTJUSTYES][TEXTJUSTNO]@CHOICE@}{\rtlch\fcs1 \af0 \ltrch\fcs0 \insrsid10621809\charrsid7612140 #}{\rtlch\fcs1 \af0 \ltrch\fcs0 _x000d__x000a_\cs17\i0\v\fs20\cf9\lang1024\langfe1024\loch\af1\hich\af1\dbch\af31501\noproof\insrsid10621809\charrsid7612140 \hich\af1\dbch\af31501\loch\f1 &lt;/OptDelPrev&gt;}{\rtlch\fcs1 \af0 \ltrch\fcs0 \insrsid10621809\charrsid7612140 _x000d__x000a_\par }\pard\plain \ltrpar\ql \li0\ri0\widctlpar\wrapdefault\aspalpha\aspnum\faauto\adjustright\rin0\lin0\itap0\pararsid10621809 \rtlch\fcs1 \af0\afs20\alang1025 \ltrch\fcs0 \fs24\lang2057\langfe2057\cgrid\langnp2057\langfenp2057 {\rtlch\fcs1 \af0 \ltrch\fcs0 _x000d__x000a_\cs17\v\fs20\cf9\lang1024\langfe1024\loch\af1\hich\af1\dbch\af31501\noproof\insrsid10621809\charrsid7612140 \hich\af1\dbch\af31501\loch\f1 &lt;/AmendB&gt;}{\rtlch\fcs1 \af0 \ltrch\fcs0 \insrsid106218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0_x000d__x000a_585639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87\fbidi \fswiss\fcharset222\fprq2 DokChampa (Thai){\*\falt Leelawadee UI};}}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caccentone\ctint255\cshade191\red46\green116\blue181;}{\*\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90716 HideTWBExt;}{_x000d__x000a_\s18\ql \li0\ri0\sa120\nowidctlpar\wrapdefault\aspalpha\aspnum\faauto\adjustright\rin0\lin0\itap0 \rtlch\fcs1 \af0\afs20\alang1025 \ltrch\fcs0 \fs24\lang2057\langfe2057\cgrid\langnp2057\langfenp2057 \sbasedon0 \snext18 \spriority0 \styrsid4990716 _x000d__x000a_Normal6a;}{\s19\ql \li0\ri0\nowidctlpar\wrapdefault\aspalpha\aspnum\faauto\adjustright\rin0\lin0\itap0 \rtlch\fcs1 \af0\afs20\alang1025 \ltrch\fcs0 \b\fs24\lang2057\langfe2057\cgrid\langnp2057\langfenp2057 \sbasedon0 \snext19 \spriority0 \styrsid4990716 _x000d__x000a_NormalBold;}{\s20\qc \li0\ri0\sa240\nowidctlpar\wrapdefault\aspalpha\aspnum\faauto\adjustright\rin0\lin0\itap0 \rtlch\fcs1 \af0\afs20\alang1025 \ltrch\fcs0 \i\fs24\lang2057\langfe2057\cgrid\langnp2057\langfenp2057 _x000d__x000a_\sbasedon0 \snext20 \spriority0 \styrsid499071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990716 AmNumberTabs;}{\s22\ql \li0\ri0\sb240\nowidctlpar\wrapdefault\aspalpha\aspnum\faauto\adjustright\rin0\lin0\itap0 \rtlch\fcs1 _x000d__x000a_\af0\afs20\alang1025 \ltrch\fcs0 \b\fs24\lang2057\langfe2057\cgrid\langnp2057\langfenp2057 \sbasedon0 \snext22 \spriority0 \styrsid4990716 NormalBold12b;}}{\*\rsidtbl \rsid24658\rsid223860\rsid735077\rsid1718133\rsid2892074\rsid3565327\rsid3630617_x000d__x000a_\rsid4666813\rsid499071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ROSELJ Katarina}{\operator GROSELJ Katarina}{\creatim\yr2023\mo11\dy3\hr10\min37}{\revtim\yr2023\mo11\dy3\hr10\min37}{\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90716\newtblstyruls\nogrowautofit\usenormstyforlist\noindnmbrts\felnbrelev\nocxsptable\indrlsweleven\noafcnsttbl\afelev\utinl\hwelev\spltpgpar\notcvasp\notbrkcnstfrctbl\notvatxbx\krnprsnet\cachedcolbal _x000d__x000a_\nouicompat \fet0{\*\wgrffmtfilter 013f}\nofeaturethrottle1\ilfomacatclnup0{\*\template C:\\Users\\kgroselj\\AppData\\Local\\Temp\\Blank1.dotx}{\*\ftnsep \ltrpar \pard\plain \ltrpar_x000d__x000a_\ql \li0\ri0\widctlpar\wrapdefault\aspalpha\aspnum\faauto\adjustright\rin0\lin0\itap0 \rtlch\fcs1 \af0\afs20\alang1025 \ltrch\fcs0 \fs24\lang2057\langfe2057\cgrid\langnp2057\langfenp2057 {\rtlch\fcs1 \af0 \ltrch\fcs0 \insrsid3630617 \chftnsep _x000d__x000a_\par }}{\*\ftnsepc \ltrpar \pard\plain \ltrpar\ql \li0\ri0\widctlpar\wrapdefault\aspalpha\aspnum\faauto\adjustright\rin0\lin0\itap0 \rtlch\fcs1 \af0\afs20\alang1025 \ltrch\fcs0 \fs24\lang2057\langfe2057\cgrid\langnp2057\langfenp2057 {\rtlch\fcs1 \af0 _x000d__x000a_\ltrch\fcs0 \insrsid3630617 \chftnsepc _x000d__x000a_\par }}{\*\aftnsep \ltrpar \pard\plain \ltrpar\ql \li0\ri0\widctlpar\wrapdefault\aspalpha\aspnum\faauto\adjustright\rin0\lin0\itap0 \rtlch\fcs1 \af0\afs20\alang1025 \ltrch\fcs0 \fs24\lang2057\langfe2057\cgrid\langnp2057\langfenp2057 {\rtlch\fcs1 \af0 _x000d__x000a_\ltrch\fcs0 \insrsid3630617 \chftnsep _x000d__x000a_\par }}{\*\aftnsepc \ltrpar \pard\plain \ltrpar\ql \li0\ri0\widctlpar\wrapdefault\aspalpha\aspnum\faauto\adjustright\rin0\lin0\itap0 \rtlch\fcs1 \af0\afs20\alang1025 \ltrch\fcs0 \fs24\lang2057\langfe2057\cgrid\langnp2057\langfenp2057 {\rtlch\fcs1 \af0 _x000d__x000a_\ltrch\fcs0 \insrsid36306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990716 \rtlch\fcs1 _x000d__x000a_\af0\afs20\alang1025 \ltrch\fcs0 \b\fs24\lang2057\langfe2057\cgrid\langnp2057\langfenp2057 {\rtlch\fcs1 \af0 \ltrch\fcs0 \cs17\b0\v\fs20\cf9\lang1024\langfe1024\loch\af1\hich\af1\dbch\af31501\noproof\insrsid4990716\charrsid15879488 {\*\bkmkstart restartA}_x000d__x000a_\hich\af1\dbch\af31501\loch\f1 &lt;AmendA&gt;}{\rtlch\fcs1 \af0 \ltrch\fcs0 \insrsid4990716\charrsid15879488 [ZAMENDMENT]\tab \tab }{\rtlch\fcs1 \af0 \ltrch\fcs0 _x000d__x000a_\cs17\b0\v\fs20\cf9\lang1024\langfe1024\loch\af1\hich\af1\dbch\af31501\noproof\insrsid4990716\charrsid15879488 \hich\af1\dbch\af31501\loch\f1 &lt;NumAmA&gt;}{\rtlch\fcs1 \af0 \ltrch\fcs0 \insrsid4990716\charrsid15879488 [ZNRAM]}{\rtlch\fcs1 \af0 \ltrch\fcs0 _x000d__x000a_\cs17\b0\v\fs20\cf9\lang1024\langfe1024\loch\af1\hich\af1\dbch\af31501\noproof\insrsid4990716\charrsid15879488 \hich\af1\dbch\af31501\loch\f1 &lt;/NumAmA&gt;}{\rtlch\fcs1 \af0 \ltrch\fcs0 \insrsid4990716\charrsid15879488 _x000d__x000a_\par }\pard\plain \ltrpar\s22\ql \li0\ri0\sb240\keepn\nowidctlpar\wrapdefault\aspalpha\aspnum\faauto\adjustright\rin0\lin0\itap0\pararsid4990716 \rtlch\fcs1 \af0\afs20\alang1025 \ltrch\fcs0 \b\fs24\lang2057\langfe2057\cgrid\langnp2057\langfenp2057 {_x000d__x000a_\rtlch\fcs1 \af0 \ltrch\fcs0 \cs17\b0\v\fs20\cf9\lang1024\langfe1024\loch\af1\hich\af1\dbch\af31501\noproof\langnp1036\insrsid4990716\charrsid11356624 \hich\af1\dbch\af31501\loch\f1 &lt;DocAmend&gt;}{\rtlch\fcs1 \af0 \ltrch\fcs0 _x000d__x000a_\lang1036\langfe2057\langnp1036\insrsid4990716\charrsid11356624 [ZRESOLUTION]}{\rtlch\fcs1 \af0 \ltrch\fcs0 \cs17\b0\v\fs20\cf9\lang1024\langfe1024\loch\af1\hich\af1\dbch\af31501\noproof\langnp1036\insrsid4990716\charrsid11356624 _x000d__x000a_\hich\af1\dbch\af31501\loch\f1 &lt;/DocAmend&gt;}{\rtlch\fcs1 \af0 \ltrch\fcs0 \lang1036\langfe2057\langnp1036\insrsid4990716\charrsid11356624 _x000d__x000a_\par }\pard\plain \ltrpar\s19\ql \li0\ri0\nowidctlpar\wrapdefault\aspalpha\aspnum\faauto\adjustright\rin0\lin0\itap0\pararsid4990716 \rtlch\fcs1 \af0\afs20\alang1025 \ltrch\fcs0 \b\fs24\lang2057\langfe2057\cgrid\langnp2057\langfenp2057 {\rtlch\fcs1 \af0 _x000d__x000a_\ltrch\fcs0 \cs17\b0\v\fs20\cf9\lang1024\langfe1024\loch\af1\hich\af1\dbch\af31501\noproof\langnp1036\insrsid4990716\charrsid11356624 \hich\af1\dbch\af31501\loch\f1 &lt;Article&gt;}{\rtlch\fcs1 \af0 \ltrch\fcs0 _x000d__x000a_\lang1036\langfe2057\langnp1036\insrsid4990716\charrsid11356624 [ZRESPART]}{\rtlch\fcs1 \af0 \ltrch\fcs0 \cs17\b0\v\fs20\cf9\lang1024\langfe1024\loch\af1\hich\af1\dbch\af31501\noproof\langnp1036\insrsid4990716\charrsid11356624 _x000d__x000a_\hich\af1\dbch\af31501\loch\f1 &lt;/Article&gt;}{\rtlch\fcs1 \af0 \ltrch\fcs0 \lang1036\langfe2057\langnp1036\insrsid499071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990716\charrsid11356624 \cell }\pard \ltrpar_x000d__x000a_\ql \li0\ri0\widctlpar\intbl\wrapdefault\aspalpha\aspnum\faauto\adjustright\rin0\lin0 {\rtlch\fcs1 \af0 \ltrch\fcs0 \insrsid499071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990716\charrsid15879488 [ZLEFTA]\cell [ZRIGHT]\cell }\pard\plain \ltrpar\ql \li0\ri0\widctlpar\intbl\wrapdefault\aspalpha\aspnum\faauto\adjustright\rin0\lin0 _x000d__x000a_\rtlch\fcs1 \af0\afs20\alang1025 \ltrch\fcs0 \fs24\lang2057\langfe2057\cgrid\langnp2057\langfenp2057 {\rtlch\fcs1 \af0 \ltrch\fcs0 \insrsid499071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990716\charrsid15879488 [ZTEXTL]\cell [ZTEXTR]}{\rtlch\fcs1 \af0\afs24 \ltrch\fcs0 \insrsid4990716\charrsid15879488 \cell }\pard\plain \ltrpar\ql \li0\ri0\widctlpar\intbl\wrapdefault\aspalpha\aspnum\faauto\adjustright\rin0\lin0 \rtlch\fcs1 _x000d__x000a_\af0\afs20\alang1025 \ltrch\fcs0 \fs24\lang2057\langfe2057\cgrid\langnp2057\langfenp2057 {\rtlch\fcs1 \af0 \ltrch\fcs0 \insrsid499071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990716 {\rtlch\fcs1 \af0 \ltrch\fcs0 \cs17\v\fs20\cf9\lang1024\langfe1024\loch\af1\hich\af1\dbch\af31501\noproof\insrsid4990716\charrsid15879488 _x000d__x000a_\hich\af1\dbch\af31501\loch\f1 &lt;/AmendA&gt;}{\rtlch\fcs1 \af0 \ltrch\fcs0 \insrsid499071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6b_x000d__x000a_665939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87\fbidi \fswiss\fcharset222\fprq2 DokChampa (Thai){\*\falt Leelawadee UI};}}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caccentone\ctint255\cshade191\red46\green116\blue181;}{\*\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26572 HideTWBExt;}{_x000d__x000a_\s18\ql \li0\ri0\sa120\nowidctlpar\wrapdefault\aspalpha\aspnum\faauto\adjustright\rin0\lin0\itap0 \rtlch\fcs1 \af0\afs20\alang1025 \ltrch\fcs0 \fs24\lang2057\langfe2057\cgrid\langnp2057\langfenp2057 \sbasedon0 \snext18 \spriority0 \styrsid16526572 _x000d__x000a_Normal6a;}{\s19\ql \li0\ri0\nowidctlpar\wrapdefault\aspalpha\aspnum\faauto\adjustright\rin0\lin0\itap0 \rtlch\fcs1 \af0\afs20\alang1025 \ltrch\fcs0 \b\fs24\lang2057\langfe2057\cgrid\langnp2057\langfenp2057 \sbasedon0 \snext19 \spriority0 \styrsid16526572 _x000d__x000a_NormalBold;}{\s20\ql \li0\ri0\sa240\nowidctlpar\wrapdefault\aspalpha\aspnum\faauto\adjustright\rin0\lin0\itap0 \rtlch\fcs1 \af0\afs20\alang1025 \ltrch\fcs0 \i\fs24\lang2057\langfe2057\cgrid\langnp2057\langfenp2057 _x000d__x000a_\sbasedon0 \snext20 \spriority0 \styrsid16526572 AmJustText;}{\s21\qc \li0\ri0\sb240\sa240\nowidctlpar\wrapdefault\aspalpha\aspnum\faauto\adjustright\rin0\lin0\itap0 \rtlch\fcs1 \af0\afs20\alang1025 \ltrch\fcs0 _x000d__x000a_\i\fs24\lang2057\langfe2057\cgrid\langnp2057\langfenp2057 \sbasedon0 \snext21 \spriority0 \styrsid16526572 AmCrossRef;}{\s22\qc \li0\ri0\sb240\sa240\keepn\nowidctlpar\wrapdefault\aspalpha\aspnum\faauto\adjustright\rin0\lin0\itap0 \rtlch\fcs1 _x000d__x000a_\af0\afs20\alang1025 \ltrch\fcs0 \i\fs24\lang2057\langfe2057\cgrid\langnp2057\langfenp2057 \sbasedon0 \snext20 \spriority0 \styrsid16526572 AmJustTitle;}{\s23\qc \li0\ri0\sa240\nowidctlpar\wrapdefault\aspalpha\aspnum\faauto\adjustright\rin0\lin0\itap0 _x000d__x000a_\rtlch\fcs1 \af0\afs20\alang1025 \ltrch\fcs0 \i\fs24\lang2057\langfe2057\cgrid\langnp2057\langfenp2057 \sbasedon0 \snext23 \spriority0 \styrsid1652657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526572 AmNumberTabs;}{\s25\ql \li0\ri0\sb240\nowidctlpar\wrapdefault\aspalpha\aspnum\faauto\adjustright\rin0\lin0\itap0 \rtlch\fcs1 _x000d__x000a_\af0\afs20\alang1025 \ltrch\fcs0 \b\fs24\lang2057\langfe2057\cgrid\langnp2057\langfenp2057 \sbasedon0 \snext25 \spriority0 \styrsid16526572 NormalBold12b;}}{\*\rsidtbl \rsid24658\rsid79406\rsid223860\rsid735077\rsid1718133\rsid2892074\rsid3565327_x000d__x000a_\rsid4666813\rsid6641733\rsid7823322\rsid9636012\rsid10377208\rsid11215221\rsid11549030\rsid12154954\rsid14382809\rsid14424199\rsid15204470\rsid15285974\rsid15950462\rsid16324206\rsid16526572\rsid16662270}{\mmathPr\mmathFont34\mbrkBin0\mbrkBinSub0_x000d__x000a_\msmallFrac0\mdispDef1\mlMargin0\mrMargin0\mdefJc1\mwrapIndent1440\mintLim0\mnaryLim1}{\info{\author GROSELJ Katarina}{\operator GROSELJ Katarina}{\creatim\yr2023\mo11\dy3\hr10\min37}{\revtim\yr2023\mo11\dy3\hr10\min37}{\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26572\newtblstyruls\nogrowautofit\usenormstyforlist\noindnmbrts\felnbrelev\nocxsptable\indrlsweleven\noafcnsttbl\afelev\utinl\hwelev\spltpgpar\notcvasp\notbrkcnstfrctbl\notvatxbx\krnprsnet\cachedcolbal _x000d__x000a_\nouicompat \fet0{\*\wgrffmtfilter 013f}\nofeaturethrottle1\ilfomacatclnup0{\*\template C:\\Users\\kgroselj\\AppData\\Local\\Temp\\Blank1.dotx}{\*\ftnsep \ltrpar \pard\plain \ltrpar_x000d__x000a_\ql \li0\ri0\widctlpar\wrapdefault\aspalpha\aspnum\faauto\adjustright\rin0\lin0\itap0 \rtlch\fcs1 \af0\afs20\alang1025 \ltrch\fcs0 \fs24\lang2057\langfe2057\cgrid\langnp2057\langfenp2057 {\rtlch\fcs1 \af0 \ltrch\fcs0 \insrsid79406 \chftnsep _x000d__x000a_\par }}{\*\ftnsepc \ltrpar \pard\plain \ltrpar\ql \li0\ri0\widctlpar\wrapdefault\aspalpha\aspnum\faauto\adjustright\rin0\lin0\itap0 \rtlch\fcs1 \af0\afs20\alang1025 \ltrch\fcs0 \fs24\lang2057\langfe2057\cgrid\langnp2057\langfenp2057 {\rtlch\fcs1 \af0 _x000d__x000a_\ltrch\fcs0 \insrsid79406 \chftnsepc _x000d__x000a_\par }}{\*\aftnsep \ltrpar \pard\plain \ltrpar\ql \li0\ri0\widctlpar\wrapdefault\aspalpha\aspnum\faauto\adjustright\rin0\lin0\itap0 \rtlch\fcs1 \af0\afs20\alang1025 \ltrch\fcs0 \fs24\lang2057\langfe2057\cgrid\langnp2057\langfenp2057 {\rtlch\fcs1 \af0 _x000d__x000a_\ltrch\fcs0 \insrsid79406 \chftnsep _x000d__x000a_\par }}{\*\aftnsepc \ltrpar \pard\plain \ltrpar\ql \li0\ri0\widctlpar\wrapdefault\aspalpha\aspnum\faauto\adjustright\rin0\lin0\itap0 \rtlch\fcs1 \af0\afs20\alang1025 \ltrch\fcs0 \fs24\lang2057\langfe2057\cgrid\langnp2057\langfenp2057 {\rtlch\fcs1 \af0 _x000d__x000a_\ltrch\fcs0 \insrsid794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526572 \rtlch\fcs1 _x000d__x000a_\af0\afs20\alang1025 \ltrch\fcs0 \b\fs24\lang2057\langfe2057\cgrid\langnp2057\langfenp2057 {\rtlch\fcs1 \af0 \ltrch\fcs0 \cs17\b0\v\fs20\cf9\lang1024\langfe1024\loch\af1\hich\af1\dbch\af31501\noproof\insrsid16526572\charrsid15879488 {\*\bkmkstart restartB_x000d__x000a_}\hich\af1\dbch\af31501\loch\f1 &lt;AmendB&gt;}{\rtlch\fcs1 \af0 \ltrch\fcs0 \insrsid16526572\charrsid15879488 [ZAMENDMENT]\tab \tab }{\rtlch\fcs1 \af0 \ltrch\fcs0 _x000d__x000a_\cs17\b0\v\fs20\cf9\lang1024\langfe1024\loch\af1\hich\af1\dbch\af31501\noproof\insrsid16526572\charrsid15879488 \hich\af1\dbch\af31501\loch\f1 &lt;NumAmB&gt;}{\rtlch\fcs1 \af0 \ltrch\fcs0 \insrsid16526572\charrsid15879488 [ZNRAM]}{\rtlch\fcs1 \af0 \ltrch\fcs0 _x000d__x000a_\cs17\b0\v\fs20\cf9\lang1024\langfe1024\loch\af1\hich\af1\dbch\af31501\noproof\insrsid16526572\charrsid15879488 \hich\af1\dbch\af31501\loch\f1 &lt;/NumAmB&gt;}{\rtlch\fcs1 \af0 \ltrch\fcs0 \insrsid16526572\charrsid15879488 _x000d__x000a_\par }\pard\plain \ltrpar\s25\ql \li0\ri0\sb240\keepn\nowidctlpar\wrapdefault\aspalpha\aspnum\faauto\adjustright\rin0\lin0\itap0\pararsid16526572 \rtlch\fcs1 \af0\afs20\alang1025 \ltrch\fcs0 \b\fs24\lang2057\langfe2057\cgrid\langnp2057\langfenp2057 {_x000d__x000a_\rtlch\fcs1 \af0 \ltrch\fcs0 \cs17\b0\v\fs20\cf9\lang1024\langfe1024\loch\af1\hich\af1\dbch\af31501\noproof\insrsid16526572\charrsid15879488 \hich\af1\dbch\af31501\loch\f1 &lt;DocAmend&gt;}{\rtlch\fcs1 \af0 \ltrch\fcs0 \insrsid16526572\charrsid15879488 _x000d__x000a_[ZPROPOSAL][ZAMACT]}{\rtlch\fcs1 \af0 \ltrch\fcs0 \cs17\b0\v\fs20\cf9\lang1024\langfe1024\loch\af1\hich\af1\dbch\af31501\noproof\insrsid16526572\charrsid15879488 \hich\af1\dbch\af31501\loch\f1 &lt;/DocAmend&gt;}{\rtlch\fcs1 \af0 \ltrch\fcs0 _x000d__x000a_\insrsid16526572\charrsid15879488 _x000d__x000a_\par }\pard\plain \ltrpar\s19\ql \li0\ri0\keepn\nowidctlpar\wrapdefault\aspalpha\aspnum\faauto\adjustright\rin0\lin0\itap0\pararsid16526572 \rtlch\fcs1 \af0\afs20\alang1025 \ltrch\fcs0 \b\fs24\lang2057\langfe2057\cgrid\langnp2057\langfenp2057 {\rtlch\fcs1 _x000d__x000a_\af0 \ltrch\fcs0 \cs17\b0\v\fs20\cf9\lang1024\langfe1024\loch\af1\hich\af1\dbch\af31501\noproof\insrsid16526572\charrsid15879488 \hich\af1\dbch\af31501\loch\f1 &lt;Article&gt;}{\rtlch\fcs1 \af0 \ltrch\fcs0 \insrsid16526572\charrsid15879488 [ZAMPART]}{_x000d__x000a_\rtlch\fcs1 \af0 \ltrch\fcs0 \cs17\b0\v\fs20\cf9\lang1024\langfe1024\loch\af1\hich\af1\dbch\af31501\noproof\insrsid16526572\charrsid15879488 \hich\af1\dbch\af31501\loch\f1 &lt;/Article&gt;}{\rtlch\fcs1 \af0 \ltrch\fcs0 \insrsid16526572\charrsid15879488 _x000d__x000a_\par }\pard\plain \ltrpar\ql \li0\ri0\keepn\widctlpar\wrapdefault\aspalpha\aspnum\faauto\adjustright\rin0\lin0\itap0\pararsid16526572 \rtlch\fcs1 \af0\afs20\alang1025 \ltrch\fcs0 \fs24\lang2057\langfe2057\cgrid\langnp2057\langfenp2057 {\rtlch\fcs1 \af0 _x000d__x000a_\ltrch\fcs0 \cs17\v\fs20\cf9\lang1024\langfe1024\loch\af1\hich\af1\dbch\af31501\noproof\insrsid16526572\charrsid15879488 \hich\af1\dbch\af31501\loch\f1 &lt;DocAmend2&gt;&lt;OptDel&gt;}{\rtlch\fcs1 \af0 \ltrch\fcs0 \insrsid16526572\charrsid15879488 [ZNRACT]}{_x000d__x000a_\rtlch\fcs1 \af0 \ltrch\fcs0 \cs17\v\fs20\cf9\lang1024\langfe1024\loch\af1\hich\af1\dbch\af31501\noproof\insrsid16526572\charrsid15879488 \hich\af1\dbch\af31501\loch\f1 &lt;/OptDel&gt;&lt;/DocAmend2&gt;}{\rtlch\fcs1 \af0 \ltrch\fcs0 \insrsid16526572\charrsid15879488 _x000d__x000a__x000d__x000a_\par }\pard \ltrpar\ql \li0\ri0\widctlpar\wrapdefault\aspalpha\aspnum\faauto\adjustright\rin0\lin0\itap0\pararsid16526572 {\rtlch\fcs1 \af0 \ltrch\fcs0 _x000d__x000a_\cs17\v\fs20\cf9\lang1024\langfe1024\loch\af1\hich\af1\dbch\af31501\noproof\langnp1036\insrsid16526572\charrsid11356624 \hich\af1\dbch\af31501\loch\f1 &lt;Article2&gt;&lt;OptDel&gt;}{\rtlch\fcs1 \af0 \ltrch\fcs0 _x000d__x000a_\lang1036\langfe2057\langnp1036\insrsid16526572\charrsid11356624 [ZACTPART]}{\rtlch\fcs1 \af0 \ltrch\fcs0 \cs17\v\fs20\cf9\lang1024\langfe1024\loch\af1\hich\af1\dbch\af31501\noproof\langnp1036\insrsid16526572\charrsid11356624 _x000d__x000a_\hich\af1\dbch\af31501\loch\f1 &lt;/OptDel&gt;&lt;/Article2&gt;}{\rtlch\fcs1 \af0 \ltrch\fcs0 \lang1036\langfe2057\langnp1036\insrsid1652657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526572\charrsid11356624 \cell }\pard \ltrpar\ql \li0\ri0\widctlpar\intbl\wrapdefault\aspalpha\aspnum\faauto\adjustright\rin0\lin0 {\rtlch\fcs1 \af0 \ltrch\fcs0 \insrsid1652657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526572\charrsid15879488 [ZLEFTB]\cell [ZRIGHT]\cell }\pard\plain \ltrpar\ql \li0\ri0\widctlpar\intbl\wrapdefault\aspalpha\aspnum\faauto\adjustright\rin0\lin0 \rtlch\fcs1 \af0\afs20\alang1025 \ltrch\fcs0 _x000d__x000a_\fs24\lang2057\langfe2057\cgrid\langnp2057\langfenp2057 {\rtlch\fcs1 \af0 \ltrch\fcs0 \insrsid1652657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526572\charrsid15879488 [ZTEXTL]\cell [ZTEXTR]}{\rtlch\fcs1 \af0\afs24 \ltrch\fcs0 \insrsid16526572\charrsid15879488 \cell }\pard\plain \ltrpar\ql \li0\ri0\widctlpar\intbl\wrapdefault\aspalpha\aspnum\faauto\adjustright\rin0\lin0 \rtlch\fcs1 _x000d__x000a_\af0\afs20\alang1025 \ltrch\fcs0 \fs24\lang2057\langfe2057\cgrid\langnp2057\langfenp2057 {\rtlch\fcs1 \af0 \ltrch\fcs0 \insrsid1652657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526572 \rtlch\fcs1 \af0\afs20\alang1025 \ltrch\fcs0 \i\fs24\lang2057\langfe2057\cgrid\langnp2057\langfenp2057 {\rtlch\fcs1 \af0 \ltrch\fcs0 _x000d__x000a_\cs17\i0\v\fs20\cf9\lang1024\langfe1024\loch\af1\hich\af1\dbch\af31501\noproof\insrsid16526572\charrsid15879488 \hich\af1\dbch\af31501\loch\f1 &lt;OptDel&gt;}{\rtlch\fcs1 \af0 \ltrch\fcs0 \insrsid16526572\charrsid15879488 [ZCROSSREF]}{\rtlch\fcs1 \af0 _x000d__x000a_\ltrch\fcs0 \cs17\i0\v\fs20\cf9\lang1024\langfe1024\loch\af1\hich\af1\dbch\af31501\noproof\insrsid16526572\charrsid15879488 \hich\af1\dbch\af31501\loch\f1 &lt;/OptDel&gt;}{\rtlch\fcs1 \af0 \ltrch\fcs0 \insrsid16526572\charrsid15879488 _x000d__x000a_\par }\pard\plain \ltrpar\s22\qc \li0\ri0\sb240\sa240\keepn\nowidctlpar\wrapdefault\aspalpha\aspnum\faauto\adjustright\rin0\lin0\itap0\pararsid16526572 \rtlch\fcs1 \af0\afs20\alang1025 \ltrch\fcs0 \i\fs24\lang2057\langfe2057\cgrid\langnp2057\langfenp2057 {_x000d__x000a_\rtlch\fcs1 \af0 \ltrch\fcs0 \cs17\i0\v\fs20\cf9\lang1024\langfe1024\loch\af1\hich\af1\dbch\af31501\noproof\insrsid16526572\charrsid15879488 \hich\af1\dbch\af31501\loch\f1 &lt;TitreJust&gt;}{\rtlch\fcs1 \af0 \ltrch\fcs0 \insrsid16526572\charrsid15879488 _x000d__x000a_[ZJUSTIFICATION]}{\rtlch\fcs1 \af0 \ltrch\fcs0 \cs17\i0\v\fs20\cf9\lang1024\langfe1024\loch\af1\hich\af1\dbch\af31501\noproof\insrsid16526572\charrsid15879488 \hich\af1\dbch\af31501\loch\f1 &lt;/TitreJust&gt;}{\rtlch\fcs1 \af0 \ltrch\fcs0 _x000d__x000a_\insrsid16526572\charrsid15879488 _x000d__x000a_\par }\pard\plain \ltrpar\s20\ql \li0\ri0\sa240\nowidctlpar\wrapdefault\aspalpha\aspnum\faauto\adjustright\rin0\lin0\itap0\pararsid16526572 \rtlch\fcs1 \af0\afs20\alang1025 \ltrch\fcs0 \i\fs24\lang2057\langfe2057\cgrid\langnp2057\langfenp2057 {\rtlch\fcs1 _x000d__x000a_\af0 \ltrch\fcs0 \cs17\i0\v\fs20\cf9\lang1024\langfe1024\loch\af1\hich\af1\dbch\af31501\noproof\insrsid16526572\charrsid15879488 \hich\af1\dbch\af31501\loch\f1 &lt;OptDelPrev&gt;}{\rtlch\fcs1 \af0 \ltrch\fcs0 \insrsid16526572\charrsid15879488 [ZTEXTJUST]}{_x000d__x000a_\rtlch\fcs1 \af0 \ltrch\fcs0 \cs17\i0\v\fs20\cf9\lang1024\langfe1024\loch\af1\hich\af1\dbch\af31501\noproof\insrsid16526572\charrsid15879488 \hich\af1\dbch\af31501\loch\f1 &lt;/OptDelPrev&gt;}{\rtlch\fcs1 \af0 \ltrch\fcs0 \insrsid16526572\charrsid15879488 _x000d__x000a__x000d__x000a_\par }\pard\plain \ltrpar\ql \li0\ri0\widctlpar\wrapdefault\aspalpha\aspnum\faauto\adjustright\rin0\lin0\itap0\pararsid16526572 \rtlch\fcs1 \af0\afs20\alang1025 \ltrch\fcs0 \fs24\lang2057\langfe2057\cgrid\langnp2057\langfenp2057 {\rtlch\fcs1 \af0 \ltrch\fcs0 _x000d__x000a_\cs17\v\fs20\cf9\lang1024\langfe1024\loch\af1\hich\af1\dbch\af31501\noproof\insrsid16526572\charrsid15879488 \hich\af1\dbch\af31501\loch\f1 &lt;/AmendB&gt;}{\rtlch\fcs1 \af0 \ltrch\fcs0 \insrsid1652657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4c_x000d__x000a_435c390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SL"/>
    <w:docVar w:name="TXTLANGUEMIN" w:val="sl"/>
    <w:docVar w:name="TXTNRC" w:val="0150/2023"/>
    <w:docVar w:name="TXTNRCOM" w:val="(2023)0240"/>
    <w:docVar w:name="TXTNRFIRSTAM" w:val="1"/>
    <w:docVar w:name="TXTNRLASTAM" w:val="2"/>
    <w:docVar w:name="TXTNRPE" w:val="752.621"/>
    <w:docVar w:name="TXTNRPROC" w:val="2023/0138"/>
    <w:docVar w:name="TXTPEorAP" w:val="PE"/>
    <w:docVar w:name="TXTROUTE" w:val="AD\1288324SL.docx"/>
    <w:docVar w:name="TXTVERSION" w:val="02-00"/>
  </w:docVars>
  <w:rsids>
    <w:rsidRoot w:val="007426EC"/>
    <w:rsid w:val="00012913"/>
    <w:rsid w:val="00026559"/>
    <w:rsid w:val="00027FA8"/>
    <w:rsid w:val="0004474F"/>
    <w:rsid w:val="00082EC4"/>
    <w:rsid w:val="000D44A6"/>
    <w:rsid w:val="001127C3"/>
    <w:rsid w:val="00122C05"/>
    <w:rsid w:val="00134974"/>
    <w:rsid w:val="00141CD7"/>
    <w:rsid w:val="001616BD"/>
    <w:rsid w:val="001820A9"/>
    <w:rsid w:val="001A0556"/>
    <w:rsid w:val="001B0A1E"/>
    <w:rsid w:val="001C0886"/>
    <w:rsid w:val="001D5154"/>
    <w:rsid w:val="001E3AC4"/>
    <w:rsid w:val="0020077A"/>
    <w:rsid w:val="00207509"/>
    <w:rsid w:val="00220500"/>
    <w:rsid w:val="0023131B"/>
    <w:rsid w:val="00242DFC"/>
    <w:rsid w:val="002A67EE"/>
    <w:rsid w:val="002D23D0"/>
    <w:rsid w:val="00304EA8"/>
    <w:rsid w:val="00341A99"/>
    <w:rsid w:val="00360FAA"/>
    <w:rsid w:val="0038294E"/>
    <w:rsid w:val="003858C5"/>
    <w:rsid w:val="003A2F84"/>
    <w:rsid w:val="003A6A67"/>
    <w:rsid w:val="003C7390"/>
    <w:rsid w:val="003E1280"/>
    <w:rsid w:val="003F128E"/>
    <w:rsid w:val="0040055C"/>
    <w:rsid w:val="00432263"/>
    <w:rsid w:val="00487596"/>
    <w:rsid w:val="004B3A53"/>
    <w:rsid w:val="004C2A0D"/>
    <w:rsid w:val="004F1D2F"/>
    <w:rsid w:val="00502B76"/>
    <w:rsid w:val="00513F6F"/>
    <w:rsid w:val="00522B51"/>
    <w:rsid w:val="00524707"/>
    <w:rsid w:val="00525B43"/>
    <w:rsid w:val="005539B7"/>
    <w:rsid w:val="00571233"/>
    <w:rsid w:val="005B7C29"/>
    <w:rsid w:val="005E217A"/>
    <w:rsid w:val="00613134"/>
    <w:rsid w:val="00626D52"/>
    <w:rsid w:val="006437F9"/>
    <w:rsid w:val="00643DA8"/>
    <w:rsid w:val="00657D5C"/>
    <w:rsid w:val="00683DD1"/>
    <w:rsid w:val="00691B1C"/>
    <w:rsid w:val="006A0F0A"/>
    <w:rsid w:val="006A48AA"/>
    <w:rsid w:val="006B1267"/>
    <w:rsid w:val="006C3651"/>
    <w:rsid w:val="006D292E"/>
    <w:rsid w:val="00712462"/>
    <w:rsid w:val="00716BAA"/>
    <w:rsid w:val="007426EC"/>
    <w:rsid w:val="0078548A"/>
    <w:rsid w:val="007B7CE3"/>
    <w:rsid w:val="007C110D"/>
    <w:rsid w:val="007F187F"/>
    <w:rsid w:val="00817D13"/>
    <w:rsid w:val="00820C7D"/>
    <w:rsid w:val="00833D11"/>
    <w:rsid w:val="00836FD3"/>
    <w:rsid w:val="008375A8"/>
    <w:rsid w:val="008500F1"/>
    <w:rsid w:val="008506A6"/>
    <w:rsid w:val="00872A52"/>
    <w:rsid w:val="00876A73"/>
    <w:rsid w:val="0089388A"/>
    <w:rsid w:val="008F3DB0"/>
    <w:rsid w:val="00904864"/>
    <w:rsid w:val="009052FE"/>
    <w:rsid w:val="009136E1"/>
    <w:rsid w:val="009215FC"/>
    <w:rsid w:val="00921659"/>
    <w:rsid w:val="00924555"/>
    <w:rsid w:val="009368B3"/>
    <w:rsid w:val="009508DE"/>
    <w:rsid w:val="00982B83"/>
    <w:rsid w:val="009857B4"/>
    <w:rsid w:val="0099178F"/>
    <w:rsid w:val="009B6583"/>
    <w:rsid w:val="009E7319"/>
    <w:rsid w:val="00A33F8B"/>
    <w:rsid w:val="00A71228"/>
    <w:rsid w:val="00A74E25"/>
    <w:rsid w:val="00AC2A60"/>
    <w:rsid w:val="00AD49D0"/>
    <w:rsid w:val="00B00EE6"/>
    <w:rsid w:val="00B476DC"/>
    <w:rsid w:val="00B556CD"/>
    <w:rsid w:val="00B62D4B"/>
    <w:rsid w:val="00B735E3"/>
    <w:rsid w:val="00B904FA"/>
    <w:rsid w:val="00BA3E40"/>
    <w:rsid w:val="00BA7875"/>
    <w:rsid w:val="00BD1F76"/>
    <w:rsid w:val="00BD41AD"/>
    <w:rsid w:val="00BE20CF"/>
    <w:rsid w:val="00C22327"/>
    <w:rsid w:val="00C335C6"/>
    <w:rsid w:val="00C3576B"/>
    <w:rsid w:val="00C36610"/>
    <w:rsid w:val="00C4219C"/>
    <w:rsid w:val="00C52A28"/>
    <w:rsid w:val="00C56375"/>
    <w:rsid w:val="00C709B7"/>
    <w:rsid w:val="00C75E98"/>
    <w:rsid w:val="00C81C5B"/>
    <w:rsid w:val="00C83B35"/>
    <w:rsid w:val="00D25CF2"/>
    <w:rsid w:val="00D56CE0"/>
    <w:rsid w:val="00D57B11"/>
    <w:rsid w:val="00D6254D"/>
    <w:rsid w:val="00D67D0A"/>
    <w:rsid w:val="00D74FD1"/>
    <w:rsid w:val="00D943A5"/>
    <w:rsid w:val="00D9581F"/>
    <w:rsid w:val="00DB56E4"/>
    <w:rsid w:val="00DD6A1F"/>
    <w:rsid w:val="00E27F01"/>
    <w:rsid w:val="00E34A5C"/>
    <w:rsid w:val="00E77FF5"/>
    <w:rsid w:val="00E94D64"/>
    <w:rsid w:val="00EA3802"/>
    <w:rsid w:val="00EF1432"/>
    <w:rsid w:val="00EF33D5"/>
    <w:rsid w:val="00F15744"/>
    <w:rsid w:val="00F24D40"/>
    <w:rsid w:val="00F54062"/>
    <w:rsid w:val="00FA3C2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sl-SI"/>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9508DE"/>
    <w:rPr>
      <w:rFonts w:ascii="Segoe UI" w:hAnsi="Segoe UI" w:cs="Segoe UI"/>
      <w:sz w:val="18"/>
      <w:szCs w:val="18"/>
    </w:rPr>
  </w:style>
  <w:style w:type="character" w:customStyle="1" w:styleId="BalloonTextChar">
    <w:name w:val="Balloon Text Char"/>
    <w:basedOn w:val="DefaultParagraphFont"/>
    <w:link w:val="BalloonText"/>
    <w:semiHidden/>
    <w:rsid w:val="009508DE"/>
    <w:rPr>
      <w:rFonts w:ascii="Segoe UI" w:hAnsi="Segoe UI" w:cs="Segoe UI"/>
      <w:sz w:val="18"/>
      <w:szCs w:val="18"/>
      <w:lang w:val="sl-SI"/>
    </w:rPr>
  </w:style>
  <w:style w:type="paragraph" w:customStyle="1" w:styleId="RollCallSymbols14pt">
    <w:name w:val="RollCallSymbols14pt"/>
    <w:basedOn w:val="Normal"/>
    <w:rsid w:val="009508D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508DE"/>
    <w:pPr>
      <w:tabs>
        <w:tab w:val="center" w:pos="284"/>
        <w:tab w:val="left" w:pos="426"/>
      </w:tabs>
    </w:pPr>
    <w:rPr>
      <w:snapToGrid w:val="0"/>
      <w:szCs w:val="20"/>
      <w:lang w:eastAsia="en-US"/>
    </w:rPr>
  </w:style>
  <w:style w:type="paragraph" w:customStyle="1" w:styleId="RollCallVotes">
    <w:name w:val="RollCallVotes"/>
    <w:basedOn w:val="Normal"/>
    <w:rsid w:val="009508DE"/>
    <w:pPr>
      <w:spacing w:before="120" w:after="120"/>
      <w:jc w:val="center"/>
    </w:pPr>
    <w:rPr>
      <w:b/>
      <w:bCs/>
      <w:snapToGrid w:val="0"/>
      <w:sz w:val="16"/>
      <w:szCs w:val="20"/>
      <w:lang w:eastAsia="en-US"/>
    </w:rPr>
  </w:style>
  <w:style w:type="paragraph" w:customStyle="1" w:styleId="RollCallTable">
    <w:name w:val="RollCallTable"/>
    <w:basedOn w:val="Normal"/>
    <w:rsid w:val="009508DE"/>
    <w:pPr>
      <w:spacing w:before="120" w:after="120"/>
    </w:pPr>
    <w:rPr>
      <w:snapToGrid w:val="0"/>
      <w:sz w:val="16"/>
      <w:szCs w:val="20"/>
      <w:lang w:eastAsia="en-US"/>
    </w:rPr>
  </w:style>
  <w:style w:type="character" w:styleId="CommentReference">
    <w:name w:val="annotation reference"/>
    <w:basedOn w:val="DefaultParagraphFont"/>
    <w:rsid w:val="009508DE"/>
    <w:rPr>
      <w:sz w:val="16"/>
      <w:szCs w:val="16"/>
    </w:rPr>
  </w:style>
  <w:style w:type="paragraph" w:styleId="CommentText">
    <w:name w:val="annotation text"/>
    <w:basedOn w:val="Normal"/>
    <w:link w:val="CommentTextChar"/>
    <w:rsid w:val="009508DE"/>
    <w:rPr>
      <w:sz w:val="20"/>
      <w:szCs w:val="20"/>
    </w:rPr>
  </w:style>
  <w:style w:type="character" w:customStyle="1" w:styleId="CommentTextChar">
    <w:name w:val="Comment Text Char"/>
    <w:basedOn w:val="DefaultParagraphFont"/>
    <w:link w:val="CommentText"/>
    <w:rsid w:val="009508DE"/>
    <w:rPr>
      <w:lang w:val="sl-SI"/>
    </w:rPr>
  </w:style>
  <w:style w:type="paragraph" w:styleId="CommentSubject">
    <w:name w:val="annotation subject"/>
    <w:basedOn w:val="CommentText"/>
    <w:next w:val="CommentText"/>
    <w:link w:val="CommentSubjectChar"/>
    <w:semiHidden/>
    <w:unhideWhenUsed/>
    <w:rsid w:val="009508DE"/>
    <w:rPr>
      <w:b/>
      <w:bCs/>
    </w:rPr>
  </w:style>
  <w:style w:type="character" w:customStyle="1" w:styleId="CommentSubjectChar">
    <w:name w:val="Comment Subject Char"/>
    <w:basedOn w:val="CommentTextChar"/>
    <w:link w:val="CommentSubject"/>
    <w:semiHidden/>
    <w:rsid w:val="009508DE"/>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8D096-6731-4380-B523-675373811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6675</Words>
  <Characters>41876</Characters>
  <Application>Microsoft Office Word</Application>
  <DocSecurity>0</DocSecurity>
  <Lines>1590</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2023-11-13T08:41:00Z</dcterms:created>
  <dcterms:modified xsi:type="dcterms:W3CDTF">2023-11-13T08:41:00Z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- 2023/11/13 09:41</vt:lpwstr>
  </property>
  <property fmtid="{D5CDD505-2E9C-101B-9397-08002B2CF9AE}" pid="9" name="Created with">
    <vt:lpwstr>9.14.1 Build [20230315]</vt:lpwstr>
  </property>
  <property fmtid="{D5CDD505-2E9C-101B-9397-08002B2CF9AE}" pid="10" name="FooterPath">
    <vt:lpwstr>AD\1288324SL.docx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y fmtid="{D5CDD505-2E9C-101B-9397-08002B2CF9AE}" pid="14" name="SendToEpades">
    <vt:lpwstr>OK - 2023/09/21 13:50</vt:lpwstr>
  </property>
</Properties>
</file>