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C7A2D" w:rsidRPr="00FC2BB6" w:rsidTr="00E34A5C">
        <w:trPr>
          <w:trHeight w:hRule="exact" w:val="1418"/>
        </w:trPr>
        <w:tc>
          <w:tcPr>
            <w:tcW w:w="6804" w:type="dxa"/>
            <w:shd w:val="clear" w:color="auto" w:fill="auto"/>
            <w:vAlign w:val="center"/>
          </w:tcPr>
          <w:p w:rsidR="00BA3E40" w:rsidRPr="00FC2BB6" w:rsidRDefault="00A154E3" w:rsidP="00E34A5C">
            <w:pPr>
              <w:pStyle w:val="EPName"/>
            </w:pPr>
            <w:r w:rsidRPr="00FC2BB6">
              <w:t>Europaparlamentet</w:t>
            </w:r>
          </w:p>
          <w:p w:rsidR="00BA3E40" w:rsidRPr="00FC2BB6" w:rsidRDefault="00A154E3" w:rsidP="009B6583">
            <w:pPr>
              <w:pStyle w:val="EPTerm"/>
            </w:pPr>
            <w:r w:rsidRPr="00FC2BB6">
              <w:t>2019-2024</w:t>
            </w:r>
          </w:p>
        </w:tc>
        <w:tc>
          <w:tcPr>
            <w:tcW w:w="2268" w:type="dxa"/>
            <w:shd w:val="clear" w:color="auto" w:fill="auto"/>
          </w:tcPr>
          <w:p w:rsidR="00BA3E40" w:rsidRPr="00FC2BB6" w:rsidRDefault="00A154E3" w:rsidP="00E34A5C">
            <w:pPr>
              <w:pStyle w:val="EPLogo"/>
            </w:pPr>
            <w:r w:rsidRPr="00FC2BB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FC2BB6" w:rsidRDefault="00F24D40" w:rsidP="00F24D40">
      <w:pPr>
        <w:pStyle w:val="LineTop"/>
      </w:pPr>
    </w:p>
    <w:p w:rsidR="00F24D40" w:rsidRPr="00FC2BB6" w:rsidRDefault="00A154E3" w:rsidP="00F24D40">
      <w:pPr>
        <w:pStyle w:val="EPBody"/>
      </w:pPr>
      <w:r w:rsidRPr="00FC2BB6">
        <w:rPr>
          <w:rStyle w:val="HideTWBExt"/>
        </w:rPr>
        <w:t>&lt;</w:t>
      </w:r>
      <w:r w:rsidRPr="00FC2BB6">
        <w:rPr>
          <w:rStyle w:val="HideTWBExt"/>
          <w:i w:val="0"/>
        </w:rPr>
        <w:t>Commission</w:t>
      </w:r>
      <w:r w:rsidRPr="00FC2BB6">
        <w:rPr>
          <w:rStyle w:val="HideTWBExt"/>
        </w:rPr>
        <w:t>&gt;</w:t>
      </w:r>
      <w:r w:rsidRPr="00FC2BB6">
        <w:rPr>
          <w:rStyle w:val="HideTWBInt"/>
          <w:color w:val="auto"/>
        </w:rPr>
        <w:t>{EMPL}</w:t>
      </w:r>
      <w:r w:rsidRPr="00FC2BB6">
        <w:t>Utskottet för sysselsättning och sociala frågor</w:t>
      </w:r>
      <w:r w:rsidRPr="00FC2BB6">
        <w:rPr>
          <w:rStyle w:val="HideTWBExt"/>
        </w:rPr>
        <w:t>&lt;/</w:t>
      </w:r>
      <w:r w:rsidRPr="00FC2BB6">
        <w:rPr>
          <w:rStyle w:val="HideTWBExt"/>
          <w:i w:val="0"/>
        </w:rPr>
        <w:t>Commission</w:t>
      </w:r>
      <w:r w:rsidRPr="00FC2BB6">
        <w:rPr>
          <w:rStyle w:val="HideTWBExt"/>
        </w:rPr>
        <w:t>&gt;</w:t>
      </w:r>
    </w:p>
    <w:p w:rsidR="00F24D40" w:rsidRPr="00FC2BB6" w:rsidRDefault="00F24D40" w:rsidP="00F24D40">
      <w:pPr>
        <w:pStyle w:val="LineBottom"/>
      </w:pPr>
    </w:p>
    <w:p w:rsidR="00AF0131" w:rsidRPr="00FC2BB6" w:rsidRDefault="00A154E3" w:rsidP="00AF0131">
      <w:pPr>
        <w:pStyle w:val="CoverReference"/>
      </w:pPr>
      <w:r w:rsidRPr="00FC2BB6">
        <w:rPr>
          <w:rStyle w:val="HideTWBExt"/>
          <w:b w:val="0"/>
        </w:rPr>
        <w:t>&lt;RefProc&gt;</w:t>
      </w:r>
      <w:r w:rsidRPr="00FC2BB6">
        <w:t>2023/0138</w:t>
      </w:r>
      <w:r w:rsidRPr="00FC2BB6">
        <w:rPr>
          <w:rStyle w:val="HideTWBExt"/>
          <w:b w:val="0"/>
        </w:rPr>
        <w:t>&lt;/RefProc&gt;&lt;RefTypeProc&gt;</w:t>
      </w:r>
      <w:r w:rsidRPr="00FC2BB6">
        <w:t>(COD)</w:t>
      </w:r>
      <w:r w:rsidRPr="00FC2BB6">
        <w:rPr>
          <w:rStyle w:val="HideTWBExt"/>
          <w:b w:val="0"/>
        </w:rPr>
        <w:t>&lt;/RefTypeProc&gt;</w:t>
      </w:r>
    </w:p>
    <w:p w:rsidR="00AF0131" w:rsidRPr="00FC2BB6" w:rsidRDefault="00A154E3" w:rsidP="00AF0131">
      <w:pPr>
        <w:pStyle w:val="CoverDate"/>
      </w:pPr>
      <w:r w:rsidRPr="00FC2BB6">
        <w:rPr>
          <w:rStyle w:val="HideTWBExt"/>
        </w:rPr>
        <w:t>&lt;Date&gt;</w:t>
      </w:r>
      <w:r w:rsidRPr="00FC2BB6">
        <w:rPr>
          <w:rStyle w:val="HideTWBInt"/>
          <w:color w:val="auto"/>
        </w:rPr>
        <w:t>{30/10/2023}</w:t>
      </w:r>
      <w:r w:rsidRPr="00FC2BB6">
        <w:t>30.10.2023</w:t>
      </w:r>
      <w:r w:rsidRPr="00FC2BB6">
        <w:rPr>
          <w:rStyle w:val="HideTWBExt"/>
        </w:rPr>
        <w:t>&lt;/Date&gt;</w:t>
      </w:r>
    </w:p>
    <w:p w:rsidR="00AF0131" w:rsidRPr="00FC2BB6" w:rsidRDefault="00A154E3" w:rsidP="00AF0131">
      <w:pPr>
        <w:pStyle w:val="CoverDocType24a"/>
      </w:pPr>
      <w:r w:rsidRPr="00FC2BB6">
        <w:rPr>
          <w:rStyle w:val="HideTWBExt"/>
          <w:b w:val="0"/>
        </w:rPr>
        <w:t>&lt;TitreType&gt;</w:t>
      </w:r>
      <w:r w:rsidRPr="00FC2BB6">
        <w:t>YTTRANDE</w:t>
      </w:r>
      <w:r w:rsidRPr="00FC2BB6">
        <w:rPr>
          <w:rStyle w:val="HideTWBExt"/>
          <w:b w:val="0"/>
        </w:rPr>
        <w:t>&lt;/TitreType&gt;</w:t>
      </w:r>
    </w:p>
    <w:p w:rsidR="00AF0131" w:rsidRPr="00FC2BB6" w:rsidRDefault="00A154E3" w:rsidP="00AF0131">
      <w:pPr>
        <w:pStyle w:val="CoverNormal24a"/>
      </w:pPr>
      <w:r w:rsidRPr="00FC2BB6">
        <w:rPr>
          <w:rStyle w:val="HideTWBExt"/>
        </w:rPr>
        <w:t>&lt;CommissionResp&gt;</w:t>
      </w:r>
      <w:r w:rsidRPr="00FC2BB6">
        <w:t>från utskottet för sysselsättning och sociala frågor</w:t>
      </w:r>
      <w:r w:rsidRPr="00FC2BB6">
        <w:rPr>
          <w:rStyle w:val="HideTWBExt"/>
        </w:rPr>
        <w:t>&lt;/CommissionResp&gt;</w:t>
      </w:r>
    </w:p>
    <w:p w:rsidR="00AF0131" w:rsidRPr="00FC2BB6" w:rsidRDefault="00A154E3" w:rsidP="00AF0131">
      <w:pPr>
        <w:pStyle w:val="CoverNormal24a"/>
      </w:pPr>
      <w:r w:rsidRPr="00FC2BB6">
        <w:rPr>
          <w:rStyle w:val="HideTWBExt"/>
        </w:rPr>
        <w:t>&lt;CommissionInt&gt;</w:t>
      </w:r>
      <w:r w:rsidRPr="00FC2BB6">
        <w:t>till utskottet för ekonomi och valutafrågor</w:t>
      </w:r>
      <w:r w:rsidRPr="00FC2BB6">
        <w:rPr>
          <w:rStyle w:val="HideTWBExt"/>
        </w:rPr>
        <w:t>&lt;/CommissionInt&gt;</w:t>
      </w:r>
    </w:p>
    <w:p w:rsidR="00AF0131" w:rsidRPr="00FC2BB6" w:rsidRDefault="00A154E3" w:rsidP="00AF0131">
      <w:pPr>
        <w:pStyle w:val="CoverNormal"/>
      </w:pPr>
      <w:r w:rsidRPr="00FC2BB6">
        <w:rPr>
          <w:rStyle w:val="HideTWBExt"/>
        </w:rPr>
        <w:t>&lt;Titre&gt;</w:t>
      </w:r>
      <w:r w:rsidRPr="00FC2BB6">
        <w:t>över förslaget till Europaparlamentets och rådets förordning om en effektiv samordning a</w:t>
      </w:r>
      <w:r w:rsidRPr="00FC2BB6">
        <w:t>v den ekonomiska politiken och multilateral budgetövervakning samt om upphävande av rådets förordning (EG) nr 1466/97</w:t>
      </w:r>
      <w:r w:rsidRPr="00FC2BB6">
        <w:rPr>
          <w:rStyle w:val="HideTWBExt"/>
        </w:rPr>
        <w:t>&lt;/Titre&gt;</w:t>
      </w:r>
    </w:p>
    <w:p w:rsidR="00AF0131" w:rsidRPr="00FC2BB6" w:rsidRDefault="00A154E3" w:rsidP="00AF0131">
      <w:pPr>
        <w:pStyle w:val="CoverNormal24a"/>
      </w:pPr>
      <w:r w:rsidRPr="00FC2BB6">
        <w:rPr>
          <w:rStyle w:val="HideTWBExt"/>
        </w:rPr>
        <w:t>&lt;DocRef&gt;</w:t>
      </w:r>
      <w:r w:rsidRPr="00FC2BB6">
        <w:t>(COM(2023)0240 – C9</w:t>
      </w:r>
      <w:r w:rsidRPr="00FC2BB6">
        <w:noBreakHyphen/>
        <w:t>0150/2023 – 2023/0138(COD))</w:t>
      </w:r>
      <w:r w:rsidRPr="00FC2BB6">
        <w:rPr>
          <w:rStyle w:val="HideTWBExt"/>
        </w:rPr>
        <w:t>&lt;/DocRef&gt;</w:t>
      </w:r>
    </w:p>
    <w:p w:rsidR="00AF0131" w:rsidRPr="00FC2BB6" w:rsidRDefault="00A154E3" w:rsidP="00AF0131">
      <w:pPr>
        <w:pStyle w:val="CoverNormal24a"/>
      </w:pPr>
      <w:r w:rsidRPr="00FC2BB6">
        <w:t xml:space="preserve">Föredragande av yttrande </w:t>
      </w:r>
      <w:r w:rsidRPr="00FC2BB6">
        <w:rPr>
          <w:snapToGrid w:val="0"/>
        </w:rPr>
        <w:t>(*)</w:t>
      </w:r>
      <w:r w:rsidRPr="00FC2BB6">
        <w:t xml:space="preserve">: </w:t>
      </w:r>
      <w:r w:rsidRPr="00FC2BB6">
        <w:rPr>
          <w:rStyle w:val="HideTWBExt"/>
        </w:rPr>
        <w:t>&lt;Depute&gt;</w:t>
      </w:r>
      <w:r w:rsidRPr="00FC2BB6">
        <w:t>Gabriele Bischoff</w:t>
      </w:r>
      <w:r w:rsidRPr="00FC2BB6">
        <w:rPr>
          <w:rStyle w:val="HideTWBExt"/>
        </w:rPr>
        <w:t>&lt;/Depute&gt;</w:t>
      </w:r>
    </w:p>
    <w:p w:rsidR="00AF0131" w:rsidRPr="00FC2BB6" w:rsidRDefault="00A154E3" w:rsidP="00AF0131">
      <w:pPr>
        <w:pStyle w:val="CoverNormal"/>
        <w:rPr>
          <w:snapToGrid w:val="0"/>
          <w:szCs w:val="24"/>
        </w:rPr>
      </w:pPr>
      <w:r w:rsidRPr="00FC2BB6">
        <w:rPr>
          <w:snapToGrid w:val="0"/>
        </w:rPr>
        <w:t>(*) Förfarande med associerat utskott – artikel 57 i arbetsordningen</w:t>
      </w:r>
    </w:p>
    <w:p w:rsidR="00AF0131" w:rsidRPr="00FC2BB6" w:rsidRDefault="00AF0131" w:rsidP="00AF0131">
      <w:pPr>
        <w:pStyle w:val="CoverNormal"/>
        <w:rPr>
          <w:snapToGrid w:val="0"/>
          <w:szCs w:val="24"/>
        </w:rPr>
      </w:pPr>
    </w:p>
    <w:p w:rsidR="00AF0131" w:rsidRPr="00FC2BB6" w:rsidRDefault="00AF0131" w:rsidP="00AF0131">
      <w:pPr>
        <w:pStyle w:val="CoverNormal"/>
        <w:rPr>
          <w:snapToGrid w:val="0"/>
          <w:szCs w:val="24"/>
        </w:rPr>
      </w:pPr>
    </w:p>
    <w:p w:rsidR="00AF0131" w:rsidRPr="00FC2BB6" w:rsidRDefault="00AF0131" w:rsidP="00AF0131">
      <w:pPr>
        <w:pStyle w:val="CoverNormal"/>
        <w:rPr>
          <w:snapToGrid w:val="0"/>
          <w:szCs w:val="24"/>
        </w:rPr>
      </w:pPr>
    </w:p>
    <w:p w:rsidR="00AF0131" w:rsidRPr="00FC2BB6" w:rsidRDefault="00AF0131" w:rsidP="00AF0131">
      <w:pPr>
        <w:pStyle w:val="CoverNormal"/>
        <w:rPr>
          <w:snapToGrid w:val="0"/>
          <w:szCs w:val="24"/>
        </w:rPr>
      </w:pPr>
    </w:p>
    <w:p w:rsidR="00AF0131" w:rsidRPr="00FC2BB6" w:rsidRDefault="00A154E3" w:rsidP="00AF0131">
      <w:pPr>
        <w:tabs>
          <w:tab w:val="center" w:pos="4677"/>
        </w:tabs>
      </w:pPr>
      <w:r w:rsidRPr="00FC2BB6">
        <w:br w:type="page"/>
      </w:r>
      <w:r w:rsidRPr="00FC2BB6">
        <w:lastRenderedPageBreak/>
        <w:t>PA_Legam</w:t>
      </w:r>
    </w:p>
    <w:p w:rsidR="00AF0131" w:rsidRPr="00FC2BB6" w:rsidRDefault="00A154E3" w:rsidP="00C56375">
      <w:pPr>
        <w:pStyle w:val="PageHeadingNotTOC"/>
      </w:pPr>
      <w:r w:rsidRPr="00FC2BB6">
        <w:br w:type="page"/>
        <w:t>ÄNDRINGSFÖRSLAG</w:t>
      </w:r>
    </w:p>
    <w:p w:rsidR="00AF0131" w:rsidRPr="00FC2BB6" w:rsidRDefault="00A154E3" w:rsidP="00AF0131">
      <w:pPr>
        <w:pStyle w:val="Normal12a"/>
      </w:pPr>
      <w:bookmarkStart w:id="0" w:name="IntroA"/>
      <w:r w:rsidRPr="00FC2BB6">
        <w:t>Utskottet för sysselsättning och sociala frågor uppmanar utskottet för ekonomi och valutafrågor att som ansvarigt utskott beakta följande:</w:t>
      </w:r>
    </w:p>
    <w:bookmarkEnd w:id="0"/>
    <w:p w:rsidR="00AF0131" w:rsidRPr="00FC2BB6" w:rsidRDefault="00A154E3" w:rsidP="00C56375">
      <w:r w:rsidRPr="00FC2BB6">
        <w:rPr>
          <w:rStyle w:val="HideTWBExt"/>
          <w:b/>
        </w:rPr>
        <w:t>&lt;RepeatBlock-Amend&gt;</w:t>
      </w:r>
      <w:r w:rsidRPr="00FC2BB6">
        <w:rPr>
          <w:rStyle w:val="HideTWBExt"/>
        </w:rPr>
        <w:t>&lt;Amend&gt;</w:t>
      </w:r>
      <w:r w:rsidRPr="00FC2BB6">
        <w:t>Ändringsförslag</w:t>
      </w:r>
      <w:r w:rsidRPr="00FC2BB6">
        <w:tab/>
      </w:r>
      <w:r w:rsidRPr="00FC2BB6">
        <w:rPr>
          <w:rStyle w:val="HideTWBExt"/>
        </w:rPr>
        <w:t>&lt;NumAm&gt;</w:t>
      </w:r>
      <w:r w:rsidRPr="00FC2BB6">
        <w:t>1</w:t>
      </w:r>
      <w:r w:rsidRPr="00FC2BB6">
        <w:rPr>
          <w:rStyle w:val="HideTWBExt"/>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Skäl 2</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(2)</w:t>
            </w:r>
            <w:r w:rsidRPr="00FC2BB6">
              <w:tab/>
              <w:t xml:space="preserve">Stabilitets- och tillväxtpakten, som ursprungligen bestod av rådets förordning </w:t>
            </w:r>
            <w:r w:rsidRPr="00FC2BB6">
              <w:t>(EG) nr 1466/</w:t>
            </w:r>
            <w:r w:rsidRPr="00FC2BB6">
              <w:rPr>
                <w:b/>
                <w:i/>
              </w:rPr>
              <w:t>97</w:t>
            </w:r>
            <w:r w:rsidRPr="00FC2BB6">
              <w:rPr>
                <w:b/>
                <w:i/>
                <w:vertAlign w:val="superscript"/>
              </w:rPr>
              <w:t>19</w:t>
            </w:r>
            <w:r w:rsidRPr="00FC2BB6">
              <w:t>, rådets förordning EG) nr 1467/97 av den 7 juli 1997</w:t>
            </w:r>
            <w:r w:rsidRPr="00FC2BB6">
              <w:rPr>
                <w:vertAlign w:val="superscript"/>
              </w:rPr>
              <w:t>20</w:t>
            </w:r>
            <w:r w:rsidRPr="00FC2BB6">
              <w:t xml:space="preserve"> och Europeiska rådets resolution av den 17 juni 1997 om stabilitets- och tillväxtpakten</w:t>
            </w:r>
            <w:r w:rsidRPr="00FC2BB6">
              <w:rPr>
                <w:vertAlign w:val="superscript"/>
              </w:rPr>
              <w:t>21</w:t>
            </w:r>
            <w:r w:rsidRPr="00FC2BB6">
              <w:t>, grundar sig på målet att uppnå sunda och hållbara offentliga finanser som ett medel att stär</w:t>
            </w:r>
            <w:r w:rsidRPr="00FC2BB6">
              <w:t xml:space="preserve">ka förutsättningarna för prisstabilitet och för en stark, hållbar tillväxt som underbyggs av finansiell stabilitet, och därigenom stödja uppnåendet av unionens mål för hållbar och inkluderande tillväxt </w:t>
            </w:r>
            <w:r w:rsidRPr="00FC2BB6">
              <w:rPr>
                <w:b/>
                <w:i/>
              </w:rPr>
              <w:t>samt</w:t>
            </w:r>
            <w:r w:rsidRPr="00FC2BB6">
              <w:t xml:space="preserve"> sysselsättning.</w:t>
            </w:r>
          </w:p>
        </w:tc>
        <w:tc>
          <w:tcPr>
            <w:tcW w:w="4876" w:type="dxa"/>
            <w:hideMark/>
          </w:tcPr>
          <w:p w:rsidR="00AF0131" w:rsidRPr="00FC2BB6" w:rsidRDefault="00A154E3" w:rsidP="00C33FBD">
            <w:pPr>
              <w:pStyle w:val="Normal6"/>
              <w:rPr>
                <w:szCs w:val="24"/>
              </w:rPr>
            </w:pPr>
            <w:r w:rsidRPr="00FC2BB6">
              <w:t>(2)</w:t>
            </w:r>
            <w:r w:rsidRPr="00FC2BB6">
              <w:tab/>
              <w:t>Stabilitets- och tillväxtpakt</w:t>
            </w:r>
            <w:r w:rsidRPr="00FC2BB6">
              <w:t>en, som ursprungligen bestod av rådets förordning (EG) nr 1466/</w:t>
            </w:r>
            <w:r w:rsidRPr="00FC2BB6">
              <w:rPr>
                <w:b/>
                <w:i/>
              </w:rPr>
              <w:t>97</w:t>
            </w:r>
            <w:r w:rsidRPr="00FC2BB6">
              <w:rPr>
                <w:b/>
                <w:i/>
                <w:vertAlign w:val="superscript"/>
              </w:rPr>
              <w:t>19</w:t>
            </w:r>
            <w:r w:rsidRPr="00FC2BB6">
              <w:t xml:space="preserve">, rådets förordning </w:t>
            </w:r>
            <w:r w:rsidRPr="00FC2BB6">
              <w:rPr>
                <w:b/>
                <w:i/>
              </w:rPr>
              <w:t>(</w:t>
            </w:r>
            <w:r w:rsidRPr="00FC2BB6">
              <w:t>EG) nr 1467/97 av den 7 juli 1997</w:t>
            </w:r>
            <w:r w:rsidRPr="00FC2BB6">
              <w:rPr>
                <w:vertAlign w:val="superscript"/>
              </w:rPr>
              <w:t>20</w:t>
            </w:r>
            <w:r w:rsidRPr="00FC2BB6">
              <w:t xml:space="preserve"> och Europeiska rådets resolution av den 17 juni 1997 om stabilitets- och tillväxtpakten</w:t>
            </w:r>
            <w:r w:rsidRPr="00FC2BB6">
              <w:rPr>
                <w:vertAlign w:val="superscript"/>
              </w:rPr>
              <w:t>21</w:t>
            </w:r>
            <w:r w:rsidRPr="00FC2BB6">
              <w:t xml:space="preserve">, grundar sig på målet att uppnå sunda och </w:t>
            </w:r>
            <w:r w:rsidRPr="00FC2BB6">
              <w:t xml:space="preserve">hållbara offentliga finanser som ett medel att stärka förutsättningarna för prisstabilitet och för en stark, hållbar tillväxt som </w:t>
            </w:r>
            <w:r w:rsidRPr="00FC2BB6">
              <w:rPr>
                <w:b/>
                <w:i/>
              </w:rPr>
              <w:t xml:space="preserve">främjar skapandet av sysselsättning och som </w:t>
            </w:r>
            <w:r w:rsidRPr="00FC2BB6">
              <w:t>underbyggs av finansiell stabilitet, och därigenom stödja uppnåendet av unionens m</w:t>
            </w:r>
            <w:r w:rsidRPr="00FC2BB6">
              <w:t xml:space="preserve">ål för hållbar och inkluderande tillväxt </w:t>
            </w:r>
            <w:r w:rsidRPr="00FC2BB6">
              <w:rPr>
                <w:b/>
                <w:i/>
              </w:rPr>
              <w:t>där full</w:t>
            </w:r>
            <w:r w:rsidRPr="00FC2BB6">
              <w:t xml:space="preserve"> sysselsättning</w:t>
            </w:r>
            <w:r w:rsidRPr="00FC2BB6">
              <w:rPr>
                <w:b/>
                <w:i/>
              </w:rPr>
              <w:t xml:space="preserve"> och sociala framsteg eftersträvas</w:t>
            </w:r>
            <w:r w:rsidRPr="00FC2BB6">
              <w:t>.</w:t>
            </w:r>
          </w:p>
        </w:tc>
      </w:tr>
      <w:tr w:rsidR="00EC7A2D" w:rsidRPr="00FC2BB6" w:rsidTr="00C33FBD">
        <w:trPr>
          <w:jc w:val="center"/>
        </w:trPr>
        <w:tc>
          <w:tcPr>
            <w:tcW w:w="4876" w:type="dxa"/>
            <w:hideMark/>
          </w:tcPr>
          <w:p w:rsidR="00AF0131" w:rsidRPr="00FC2BB6" w:rsidRDefault="00A154E3" w:rsidP="00C33FBD">
            <w:pPr>
              <w:pStyle w:val="Normal6"/>
            </w:pPr>
            <w:r w:rsidRPr="00FC2BB6">
              <w:t>__________________</w:t>
            </w:r>
          </w:p>
        </w:tc>
        <w:tc>
          <w:tcPr>
            <w:tcW w:w="4876" w:type="dxa"/>
            <w:hideMark/>
          </w:tcPr>
          <w:p w:rsidR="00AF0131" w:rsidRPr="00FC2BB6" w:rsidRDefault="00A154E3" w:rsidP="00C33FBD">
            <w:pPr>
              <w:pStyle w:val="Normal6"/>
              <w:rPr>
                <w:szCs w:val="24"/>
              </w:rPr>
            </w:pPr>
            <w:r w:rsidRPr="00FC2BB6">
              <w:t>__________________</w:t>
            </w:r>
          </w:p>
        </w:tc>
      </w:tr>
      <w:tr w:rsidR="00EC7A2D" w:rsidRPr="00FC2BB6" w:rsidTr="00C33FBD">
        <w:trPr>
          <w:jc w:val="center"/>
        </w:trPr>
        <w:tc>
          <w:tcPr>
            <w:tcW w:w="4876" w:type="dxa"/>
            <w:hideMark/>
          </w:tcPr>
          <w:p w:rsidR="00AF0131" w:rsidRPr="00FC2BB6" w:rsidRDefault="00A154E3" w:rsidP="00C33FBD">
            <w:pPr>
              <w:pStyle w:val="Normal6"/>
            </w:pPr>
            <w:r w:rsidRPr="00FC2BB6">
              <w:rPr>
                <w:vertAlign w:val="superscript"/>
              </w:rPr>
              <w:t>19</w:t>
            </w:r>
            <w:r w:rsidRPr="00FC2BB6">
              <w:t xml:space="preserve"> Rådets förordning (EG) nr 1466/97 av den 7 juli 1997 om förstärkning av övervakningen av de offentliga finanserna</w:t>
            </w:r>
            <w:r w:rsidRPr="00FC2BB6">
              <w:t xml:space="preserve"> samt övervakningen och samordningen av den ekonomiska politiken (EGT L 209, 2.8.1997, s. 1).</w:t>
            </w:r>
          </w:p>
        </w:tc>
        <w:tc>
          <w:tcPr>
            <w:tcW w:w="4876" w:type="dxa"/>
            <w:hideMark/>
          </w:tcPr>
          <w:p w:rsidR="00AF0131" w:rsidRPr="00FC2BB6" w:rsidRDefault="00A154E3" w:rsidP="00C33FBD">
            <w:pPr>
              <w:pStyle w:val="Normal6"/>
              <w:rPr>
                <w:szCs w:val="24"/>
              </w:rPr>
            </w:pPr>
            <w:r w:rsidRPr="00FC2BB6">
              <w:rPr>
                <w:vertAlign w:val="superscript"/>
              </w:rPr>
              <w:t>19</w:t>
            </w:r>
            <w:r w:rsidRPr="00FC2BB6">
              <w:t xml:space="preserve"> Rådets förordning (EG) nr 1466/97 av den 7 juli 1997 om förstärkning av övervakningen av de offentliga finanserna samt övervakningen och samordningen av den ek</w:t>
            </w:r>
            <w:r w:rsidRPr="00FC2BB6">
              <w:t>onomiska politiken (EGT L 209, 2.8.1997, s. 1).</w:t>
            </w:r>
          </w:p>
        </w:tc>
      </w:tr>
      <w:tr w:rsidR="00EC7A2D" w:rsidRPr="00FC2BB6" w:rsidTr="00C33FBD">
        <w:trPr>
          <w:jc w:val="center"/>
        </w:trPr>
        <w:tc>
          <w:tcPr>
            <w:tcW w:w="4876" w:type="dxa"/>
            <w:hideMark/>
          </w:tcPr>
          <w:p w:rsidR="00AF0131" w:rsidRPr="00FC2BB6" w:rsidRDefault="00A154E3" w:rsidP="00C33FBD">
            <w:pPr>
              <w:pStyle w:val="Normal6"/>
            </w:pPr>
            <w:r w:rsidRPr="00FC2BB6">
              <w:rPr>
                <w:vertAlign w:val="superscript"/>
              </w:rPr>
              <w:t>20</w:t>
            </w:r>
            <w:r w:rsidRPr="00FC2BB6">
              <w:t xml:space="preserve"> Rådets förordning (EG) nr 1467/97 av den 7 juli 1997 om påskyndande och förtydligande av tillämpningen av förfarandet vid alltför stora underskott (EGT L 209, 2.8.1997, s. 6).</w:t>
            </w:r>
          </w:p>
        </w:tc>
        <w:tc>
          <w:tcPr>
            <w:tcW w:w="4876" w:type="dxa"/>
            <w:hideMark/>
          </w:tcPr>
          <w:p w:rsidR="00AF0131" w:rsidRPr="00FC2BB6" w:rsidRDefault="00A154E3" w:rsidP="00C33FBD">
            <w:pPr>
              <w:pStyle w:val="Normal6"/>
              <w:rPr>
                <w:szCs w:val="24"/>
              </w:rPr>
            </w:pPr>
            <w:r w:rsidRPr="00FC2BB6">
              <w:rPr>
                <w:vertAlign w:val="superscript"/>
              </w:rPr>
              <w:t>20</w:t>
            </w:r>
            <w:r w:rsidRPr="00FC2BB6">
              <w:t xml:space="preserve"> Rådets förordning (EG) nr</w:t>
            </w:r>
            <w:r w:rsidRPr="00FC2BB6">
              <w:t xml:space="preserve"> 1467/97 av den 7 juli 1997 om påskyndande och förtydligande av tillämpningen av förfarandet vid alltför stora underskott (EGT L 209, 2.8.1997, s. 6).</w:t>
            </w:r>
          </w:p>
        </w:tc>
      </w:tr>
      <w:tr w:rsidR="00EC7A2D" w:rsidRPr="00FC2BB6" w:rsidTr="00C33FBD">
        <w:trPr>
          <w:jc w:val="center"/>
        </w:trPr>
        <w:tc>
          <w:tcPr>
            <w:tcW w:w="4876" w:type="dxa"/>
            <w:hideMark/>
          </w:tcPr>
          <w:p w:rsidR="00AF0131" w:rsidRPr="00FC2BB6" w:rsidRDefault="00A154E3" w:rsidP="00C33FBD">
            <w:pPr>
              <w:pStyle w:val="Normal6"/>
            </w:pPr>
            <w:r w:rsidRPr="00FC2BB6">
              <w:rPr>
                <w:vertAlign w:val="superscript"/>
              </w:rPr>
              <w:t>21</w:t>
            </w:r>
            <w:r w:rsidRPr="00FC2BB6">
              <w:t xml:space="preserve"> Europeiska rådets resolution om stabilitets- och tillväxtpakten Amsterdam den 17 juni 1997 (EGT C 236</w:t>
            </w:r>
            <w:r w:rsidRPr="00FC2BB6">
              <w:t>, 2.8.1997, s. 1).</w:t>
            </w:r>
          </w:p>
        </w:tc>
        <w:tc>
          <w:tcPr>
            <w:tcW w:w="4876" w:type="dxa"/>
            <w:hideMark/>
          </w:tcPr>
          <w:p w:rsidR="00AF0131" w:rsidRPr="00FC2BB6" w:rsidRDefault="00A154E3" w:rsidP="00C33FBD">
            <w:pPr>
              <w:pStyle w:val="Normal6"/>
              <w:rPr>
                <w:szCs w:val="24"/>
              </w:rPr>
            </w:pPr>
            <w:r w:rsidRPr="00FC2BB6">
              <w:rPr>
                <w:vertAlign w:val="superscript"/>
              </w:rPr>
              <w:t>21</w:t>
            </w:r>
            <w:r w:rsidRPr="00FC2BB6">
              <w:t xml:space="preserve"> Europeiska rådets resolution om stabilitets- och tillväxtpakten Amsterdam den 17 juni 1997 (EGT C 236, 2.8.1997, s. 1).</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2</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Skäl 5</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(5)</w:t>
            </w:r>
            <w:r w:rsidRPr="00FC2BB6">
              <w:tab/>
              <w:t>Unionens ramverk för ekonomisk styrning bör anpassas för att i högre grad ta hänsyn till de växande skillnaderna mellan medlemsstaterna vad gäller offentligfinansiell ställning, utmaningar avseende of</w:t>
            </w:r>
            <w:r w:rsidRPr="00FC2BB6">
              <w:t>fentlig skuldsättning och andra sårbarheter. De kraftfulla politiska åtgärder som vidtogs för att hantera covid-19-pandemin visade sig vara mycket effektiva för att mildra krisens ekonomiska och sociala skadeverkningar. Krisen ledde emellertid till att den</w:t>
            </w:r>
            <w:r w:rsidRPr="00FC2BB6">
              <w:t xml:space="preserve"> offentliga och den privata sektorns skuldkvoter ökade väsentligt och det är viktigt att gradvis, stadigt och på ett tillväxtvänligt sätt minska dessa till sunda nivåer, att komma till rätta med makroekonomiska obalanser </w:t>
            </w:r>
            <w:r w:rsidRPr="00FC2BB6">
              <w:rPr>
                <w:b/>
                <w:i/>
              </w:rPr>
              <w:t>och samtidigt</w:t>
            </w:r>
            <w:r w:rsidRPr="00FC2BB6">
              <w:t xml:space="preserve"> ta hänsyn till </w:t>
            </w:r>
            <w:r w:rsidRPr="00FC2BB6">
              <w:rPr>
                <w:b/>
                <w:i/>
              </w:rPr>
              <w:t>syssel</w:t>
            </w:r>
            <w:r w:rsidRPr="00FC2BB6">
              <w:rPr>
                <w:b/>
                <w:i/>
              </w:rPr>
              <w:t>sättningsmål</w:t>
            </w:r>
            <w:r w:rsidRPr="00FC2BB6">
              <w:t xml:space="preserve"> och sociala mål. Unionens ramverk för ekonomisk styrning bör samtidigt anpassas för att göra det lättare att hantera de utmaningar som unionen står inför på medellång och lång sikt, bland annat uppnåendet av en rättvis digital och grön omställ</w:t>
            </w:r>
            <w:r w:rsidRPr="00FC2BB6">
              <w:t>ning, inbegripet klimatlagen</w:t>
            </w:r>
            <w:r w:rsidRPr="00FC2BB6">
              <w:rPr>
                <w:vertAlign w:val="superscript"/>
              </w:rPr>
              <w:t>22</w:t>
            </w:r>
            <w:r w:rsidRPr="00FC2BB6">
              <w:t>, säkerställandet av energitrygghet</w:t>
            </w:r>
            <w:r w:rsidRPr="00FC2BB6">
              <w:rPr>
                <w:b/>
                <w:i/>
              </w:rPr>
              <w:t xml:space="preserve"> och</w:t>
            </w:r>
            <w:r w:rsidRPr="00FC2BB6">
              <w:t xml:space="preserve"> öppet strategiskt oberoende, hanteringen av den demografiska förändringen, stärkandet av social och ekonomisk motståndskraft samt genomförandet av den strategiska kompassen för säkerhet </w:t>
            </w:r>
            <w:r w:rsidRPr="00FC2BB6">
              <w:t>och försvar, vilka alla förutsätter reformer och varaktigt höga investeringsnivåer under de närmaste åren.</w:t>
            </w:r>
          </w:p>
        </w:tc>
        <w:tc>
          <w:tcPr>
            <w:tcW w:w="4876" w:type="dxa"/>
            <w:hideMark/>
          </w:tcPr>
          <w:p w:rsidR="00AF0131" w:rsidRPr="00FC2BB6" w:rsidRDefault="00A154E3" w:rsidP="00C33FBD">
            <w:pPr>
              <w:pStyle w:val="Normal6"/>
              <w:rPr>
                <w:szCs w:val="24"/>
              </w:rPr>
            </w:pPr>
            <w:r w:rsidRPr="00FC2BB6">
              <w:t>(5)</w:t>
            </w:r>
            <w:r w:rsidRPr="00FC2BB6">
              <w:tab/>
              <w:t>Unionens ramverk för ekonomisk styrning bör anpassas för att i högre grad ta hänsyn till de växande skillnaderna mellan medlemsstaterna vad gälle</w:t>
            </w:r>
            <w:r w:rsidRPr="00FC2BB6">
              <w:t>r offentligfinansiell ställning, utmaningar avseende offentlig skuldsättning och andra sårbarheter. De kraftfulla politiska åtgärder som vidtogs för att hantera covid-19-pandemin visade sig vara mycket effektiva för att mildra krisens ekonomiska och social</w:t>
            </w:r>
            <w:r w:rsidRPr="00FC2BB6">
              <w:t xml:space="preserve">a skadeverkningar. Krisen ledde emellertid till att den offentliga och den privata sektorns skuldkvoter ökade väsentligt och det är viktigt att gradvis, stadigt och på ett tillväxtvänligt </w:t>
            </w:r>
            <w:r w:rsidRPr="00FC2BB6">
              <w:rPr>
                <w:b/>
                <w:i/>
              </w:rPr>
              <w:t xml:space="preserve">och inkluderande </w:t>
            </w:r>
            <w:r w:rsidRPr="00FC2BB6">
              <w:t>sätt minska dessa till sunda nivåer, att komma till</w:t>
            </w:r>
            <w:r w:rsidRPr="00FC2BB6">
              <w:t xml:space="preserve"> rätta med makroekonomiska obalanser </w:t>
            </w:r>
            <w:r w:rsidRPr="00FC2BB6">
              <w:rPr>
                <w:b/>
                <w:i/>
              </w:rPr>
              <w:t>samt stödja social konvergens uppåt och</w:t>
            </w:r>
            <w:r w:rsidRPr="00FC2BB6">
              <w:t xml:space="preserve"> ta hänsyn till </w:t>
            </w:r>
            <w:r w:rsidRPr="00FC2BB6">
              <w:rPr>
                <w:b/>
                <w:i/>
              </w:rPr>
              <w:t>mål för sysselsättning av god kvalitet</w:t>
            </w:r>
            <w:r w:rsidRPr="00FC2BB6">
              <w:t xml:space="preserve"> och sociala mål. Unionens ramverk för ekonomisk styrning bör samtidigt anpassas för att göra det lättare att hantera de utman</w:t>
            </w:r>
            <w:r w:rsidRPr="00FC2BB6">
              <w:t>ingar som unionen står inför på medellång och lång sikt, bland annat uppnåendet av en rättvis digital och grön omställning, inbegripet klimatlagen</w:t>
            </w:r>
            <w:r w:rsidRPr="00FC2BB6">
              <w:rPr>
                <w:vertAlign w:val="superscript"/>
              </w:rPr>
              <w:t>22</w:t>
            </w:r>
            <w:r w:rsidRPr="00FC2BB6">
              <w:t xml:space="preserve">, </w:t>
            </w:r>
            <w:r w:rsidRPr="00FC2BB6">
              <w:rPr>
                <w:b/>
                <w:i/>
              </w:rPr>
              <w:t xml:space="preserve">och genomförandet av den europeiska pelaren för sociala rättigheter, </w:t>
            </w:r>
            <w:r w:rsidRPr="00FC2BB6">
              <w:t>säkerställandet av energitrygghet</w:t>
            </w:r>
            <w:r w:rsidRPr="00FC2BB6">
              <w:rPr>
                <w:b/>
                <w:i/>
              </w:rPr>
              <w:t>,</w:t>
            </w:r>
            <w:r w:rsidRPr="00FC2BB6">
              <w:t xml:space="preserve"> öp</w:t>
            </w:r>
            <w:r w:rsidRPr="00FC2BB6">
              <w:t>pet strategiskt oberoende, hanteringen av den demografiska förändringen, stärkandet av social och ekonomisk motståndskraft</w:t>
            </w:r>
            <w:r w:rsidRPr="00FC2BB6">
              <w:rPr>
                <w:b/>
                <w:i/>
              </w:rPr>
              <w:t>, inbegripet genom att stärka sociala investeringar,</w:t>
            </w:r>
            <w:r w:rsidRPr="00FC2BB6">
              <w:t xml:space="preserve"> samt genomförandet av den strategiska kompassen för säkerhet och försvar, vilka a</w:t>
            </w:r>
            <w:r w:rsidRPr="00FC2BB6">
              <w:t>lla förutsätter reformer och varaktigt höga investeringsnivåer under de närmaste åren.</w:t>
            </w:r>
          </w:p>
        </w:tc>
      </w:tr>
      <w:tr w:rsidR="00EC7A2D" w:rsidRPr="00FC2BB6" w:rsidTr="00C33FBD">
        <w:trPr>
          <w:jc w:val="center"/>
        </w:trPr>
        <w:tc>
          <w:tcPr>
            <w:tcW w:w="4876" w:type="dxa"/>
            <w:hideMark/>
          </w:tcPr>
          <w:p w:rsidR="00AF0131" w:rsidRPr="00FC2BB6" w:rsidRDefault="00A154E3" w:rsidP="00C33FBD">
            <w:pPr>
              <w:pStyle w:val="Normal6"/>
            </w:pPr>
            <w:r w:rsidRPr="00FC2BB6">
              <w:t>__________________</w:t>
            </w:r>
          </w:p>
        </w:tc>
        <w:tc>
          <w:tcPr>
            <w:tcW w:w="4876" w:type="dxa"/>
            <w:hideMark/>
          </w:tcPr>
          <w:p w:rsidR="00AF0131" w:rsidRPr="00FC2BB6" w:rsidRDefault="00A154E3" w:rsidP="00C33FBD">
            <w:pPr>
              <w:pStyle w:val="Normal6"/>
              <w:rPr>
                <w:szCs w:val="24"/>
              </w:rPr>
            </w:pPr>
            <w:r w:rsidRPr="00FC2BB6">
              <w:t>__________________</w:t>
            </w:r>
          </w:p>
        </w:tc>
      </w:tr>
      <w:tr w:rsidR="00EC7A2D" w:rsidRPr="00FC2BB6" w:rsidTr="00C33FBD">
        <w:trPr>
          <w:jc w:val="center"/>
        </w:trPr>
        <w:tc>
          <w:tcPr>
            <w:tcW w:w="4876" w:type="dxa"/>
            <w:hideMark/>
          </w:tcPr>
          <w:p w:rsidR="00AF0131" w:rsidRPr="00FC2BB6" w:rsidRDefault="00A154E3" w:rsidP="00C33FBD">
            <w:pPr>
              <w:pStyle w:val="Normal6"/>
            </w:pPr>
            <w:r w:rsidRPr="00FC2BB6">
              <w:rPr>
                <w:vertAlign w:val="superscript"/>
              </w:rPr>
              <w:t xml:space="preserve">22 </w:t>
            </w:r>
            <w:r w:rsidRPr="00FC2BB6">
              <w:t xml:space="preserve">I den europeiska klimatlagen fastställs ett unionsomfattande mål om att uppnå klimatneutralitet senast 2050 och unionens </w:t>
            </w:r>
            <w:r w:rsidRPr="00FC2BB6">
              <w:t>institutioner och medlemsstaterna åläggs att öka sin anpassningsförmåga, vilket förutsätter betydande offentliga investeringar för att minska klimatförändringarnas negativa socioekonomiska inverkan på EU och dess medlemsstater, bland annat i fråga om tillv</w:t>
            </w:r>
            <w:r w:rsidRPr="00FC2BB6">
              <w:t>äxt och offentligfinansiell hållbarhet.</w:t>
            </w:r>
          </w:p>
        </w:tc>
        <w:tc>
          <w:tcPr>
            <w:tcW w:w="4876" w:type="dxa"/>
            <w:hideMark/>
          </w:tcPr>
          <w:p w:rsidR="00AF0131" w:rsidRPr="00FC2BB6" w:rsidRDefault="00A154E3" w:rsidP="00C33FBD">
            <w:pPr>
              <w:pStyle w:val="Normal6"/>
              <w:rPr>
                <w:szCs w:val="24"/>
              </w:rPr>
            </w:pPr>
            <w:r w:rsidRPr="00FC2BB6">
              <w:rPr>
                <w:vertAlign w:val="superscript"/>
              </w:rPr>
              <w:t xml:space="preserve">22 </w:t>
            </w:r>
            <w:r w:rsidRPr="00FC2BB6">
              <w:t xml:space="preserve">I den europeiska klimatlagen fastställs ett unionsomfattande mål om att uppnå klimatneutralitet senast 2050 och unionens institutioner och medlemsstaterna åläggs att öka sin anpassningsförmåga, vilket förutsätter </w:t>
            </w:r>
            <w:r w:rsidRPr="00FC2BB6">
              <w:t>betydande offentliga investeringar för att minska klimatförändringarnas negativa socioekonomiska inverkan på EU och dess medlemsstater, bland annat i fråga om tillväxt och offentligfinansiell hållbarhet.</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3</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Skäl 7</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(7)</w:t>
            </w:r>
            <w:r w:rsidRPr="00FC2BB6">
              <w:tab/>
            </w:r>
            <w:r w:rsidRPr="00FC2BB6">
              <w:t xml:space="preserve">Det multilaterala övervakningsförfarande som anges i artikel 121.2, 121.3 och 121.4 samt i artikel 148.4 i EUF-fördraget bör i enlighet med närmare regler följa den ekonomiska utvecklingen och </w:t>
            </w:r>
            <w:r w:rsidRPr="00FC2BB6">
              <w:rPr>
                <w:b/>
                <w:i/>
              </w:rPr>
              <w:t>sysselsättningsutvecklingen</w:t>
            </w:r>
            <w:r w:rsidRPr="00FC2BB6">
              <w:t xml:space="preserve"> i deras helhet i varje medlemsstat </w:t>
            </w:r>
            <w:r w:rsidRPr="00FC2BB6">
              <w:t>och i unionen. Häri ingår att upptäcka makroekonomiska obalanser och att förebygga och korrigera alltför stora obalanser på det sätt som anges i Europaparlamentets och rådets förordningar (EU) nr 1174/2011</w:t>
            </w:r>
            <w:r w:rsidRPr="00FC2BB6">
              <w:rPr>
                <w:vertAlign w:val="superscript"/>
              </w:rPr>
              <w:t>23</w:t>
            </w:r>
            <w:r w:rsidRPr="00FC2BB6">
              <w:t xml:space="preserve"> och (EU) nr 1176/2011</w:t>
            </w:r>
            <w:r w:rsidRPr="00FC2BB6">
              <w:rPr>
                <w:vertAlign w:val="superscript"/>
              </w:rPr>
              <w:t>24</w:t>
            </w:r>
            <w:r w:rsidRPr="00FC2BB6">
              <w:t>. För att möjliggöra denn</w:t>
            </w:r>
            <w:r w:rsidRPr="00FC2BB6">
              <w:t xml:space="preserve">a övervakning av den ekonomiska utvecklingen och </w:t>
            </w:r>
            <w:r w:rsidRPr="00FC2BB6">
              <w:rPr>
                <w:b/>
                <w:i/>
              </w:rPr>
              <w:t>sysselsättningsutvecklingen</w:t>
            </w:r>
            <w:r w:rsidRPr="00FC2BB6">
              <w:t xml:space="preserve"> bör medlemsstaterna tillhandahålla information i form av medelfristiga finans- och strukturpolitiska planer.</w:t>
            </w:r>
          </w:p>
        </w:tc>
        <w:tc>
          <w:tcPr>
            <w:tcW w:w="4876" w:type="dxa"/>
            <w:hideMark/>
          </w:tcPr>
          <w:p w:rsidR="00AF0131" w:rsidRPr="00FC2BB6" w:rsidRDefault="00A154E3" w:rsidP="00C33FBD">
            <w:pPr>
              <w:pStyle w:val="Normal6"/>
              <w:rPr>
                <w:szCs w:val="24"/>
              </w:rPr>
            </w:pPr>
            <w:r w:rsidRPr="00FC2BB6">
              <w:t>(7)</w:t>
            </w:r>
            <w:r w:rsidRPr="00FC2BB6">
              <w:tab/>
              <w:t>Det multilaterala övervakningsförfarande som anges i artikel 121.2</w:t>
            </w:r>
            <w:r w:rsidRPr="00FC2BB6">
              <w:t>, 121.3 och 121.4 samt i artikel 148.4 i EUF-fördraget bör i enlighet med närmare regler följa den ekonomiska utvecklingen</w:t>
            </w:r>
            <w:r w:rsidRPr="00FC2BB6">
              <w:rPr>
                <w:b/>
                <w:i/>
              </w:rPr>
              <w:t>, sysselsättningsutvecklingen</w:t>
            </w:r>
            <w:r w:rsidRPr="00FC2BB6">
              <w:t xml:space="preserve"> och </w:t>
            </w:r>
            <w:r w:rsidRPr="00FC2BB6">
              <w:rPr>
                <w:b/>
                <w:i/>
              </w:rPr>
              <w:t>den relevanta sociala utvecklingen</w:t>
            </w:r>
            <w:r w:rsidRPr="00FC2BB6">
              <w:t xml:space="preserve"> i deras helhet i varje medlemsstat och i unionen</w:t>
            </w:r>
            <w:r w:rsidRPr="00FC2BB6">
              <w:rPr>
                <w:b/>
                <w:i/>
              </w:rPr>
              <w:t>, kopplade till d</w:t>
            </w:r>
            <w:r w:rsidRPr="00FC2BB6">
              <w:rPr>
                <w:b/>
                <w:i/>
              </w:rPr>
              <w:t>e överordnade målen, inbegripet framsteg mot uppnåendet av de nationella målen, och deras huvudsakliga och sekundära indikatorer för den europeiska pelaren för sociala rättigheter</w:t>
            </w:r>
            <w:r w:rsidRPr="00FC2BB6">
              <w:t>. Häri ingår att upptäcka makroekonomiska obalanser och att förebygga och kor</w:t>
            </w:r>
            <w:r w:rsidRPr="00FC2BB6">
              <w:t>rigera alltför stora obalanser på det sätt som anges i Europaparlamentets och rådets förordningar (EU) nr 1174/2011</w:t>
            </w:r>
            <w:r w:rsidRPr="00FC2BB6">
              <w:rPr>
                <w:vertAlign w:val="superscript"/>
              </w:rPr>
              <w:t>23</w:t>
            </w:r>
            <w:r w:rsidRPr="00FC2BB6">
              <w:t xml:space="preserve"> och (EU) nr 1176/2011</w:t>
            </w:r>
            <w:r w:rsidRPr="00FC2BB6">
              <w:rPr>
                <w:vertAlign w:val="superscript"/>
              </w:rPr>
              <w:t>24</w:t>
            </w:r>
            <w:r w:rsidRPr="00FC2BB6">
              <w:t>. För att möjliggöra denna övervakning av den ekonomiska utvecklingen</w:t>
            </w:r>
            <w:r w:rsidRPr="00FC2BB6">
              <w:rPr>
                <w:b/>
                <w:i/>
              </w:rPr>
              <w:t>, sysselsättningsutvecklingen</w:t>
            </w:r>
            <w:r w:rsidRPr="00FC2BB6">
              <w:t xml:space="preserve"> och </w:t>
            </w:r>
            <w:r w:rsidRPr="00FC2BB6">
              <w:rPr>
                <w:b/>
                <w:i/>
              </w:rPr>
              <w:t>utvecklingen</w:t>
            </w:r>
            <w:r w:rsidRPr="00FC2BB6">
              <w:rPr>
                <w:b/>
                <w:i/>
              </w:rPr>
              <w:t xml:space="preserve"> vad gäller social konvergens</w:t>
            </w:r>
            <w:r w:rsidRPr="00FC2BB6">
              <w:t xml:space="preserve"> bör medlemsstaterna tillhandahålla information i form av medelfristiga finans- och strukturpolitiska planer.</w:t>
            </w:r>
          </w:p>
        </w:tc>
      </w:tr>
      <w:tr w:rsidR="00EC7A2D" w:rsidRPr="00FC2BB6" w:rsidTr="00C33FBD">
        <w:trPr>
          <w:jc w:val="center"/>
        </w:trPr>
        <w:tc>
          <w:tcPr>
            <w:tcW w:w="4876" w:type="dxa"/>
            <w:hideMark/>
          </w:tcPr>
          <w:p w:rsidR="00AF0131" w:rsidRPr="00FC2BB6" w:rsidRDefault="00A154E3" w:rsidP="00C33FBD">
            <w:pPr>
              <w:pStyle w:val="Normal6"/>
            </w:pPr>
            <w:r w:rsidRPr="00FC2BB6">
              <w:t>__________________</w:t>
            </w:r>
          </w:p>
        </w:tc>
        <w:tc>
          <w:tcPr>
            <w:tcW w:w="4876" w:type="dxa"/>
            <w:hideMark/>
          </w:tcPr>
          <w:p w:rsidR="00AF0131" w:rsidRPr="00FC2BB6" w:rsidRDefault="00A154E3" w:rsidP="00C33FBD">
            <w:pPr>
              <w:pStyle w:val="Normal6"/>
              <w:rPr>
                <w:szCs w:val="24"/>
              </w:rPr>
            </w:pPr>
            <w:r w:rsidRPr="00FC2BB6">
              <w:t>__________________</w:t>
            </w:r>
          </w:p>
        </w:tc>
      </w:tr>
      <w:tr w:rsidR="00EC7A2D" w:rsidRPr="00FC2BB6" w:rsidTr="00C33FBD">
        <w:trPr>
          <w:jc w:val="center"/>
        </w:trPr>
        <w:tc>
          <w:tcPr>
            <w:tcW w:w="4876" w:type="dxa"/>
            <w:hideMark/>
          </w:tcPr>
          <w:p w:rsidR="00AF0131" w:rsidRPr="00FC2BB6" w:rsidRDefault="00A154E3" w:rsidP="00C33FBD">
            <w:pPr>
              <w:pStyle w:val="Normal6"/>
            </w:pPr>
            <w:r w:rsidRPr="00FC2BB6">
              <w:rPr>
                <w:vertAlign w:val="superscript"/>
              </w:rPr>
              <w:t>23</w:t>
            </w:r>
            <w:r w:rsidRPr="00FC2BB6">
              <w:t xml:space="preserve"> Europaparlamentets och rådets förordning (EU) nr 1174/2011 av den 16 novem</w:t>
            </w:r>
            <w:r w:rsidRPr="00FC2BB6">
              <w:t>ber 2011 om verkställighetsåtgärder för att korrigera alltför stora makroekonomiska obalanser i euroområdet (EUT L 306, 23.11.2011, s. 8).</w:t>
            </w:r>
          </w:p>
        </w:tc>
        <w:tc>
          <w:tcPr>
            <w:tcW w:w="4876" w:type="dxa"/>
            <w:hideMark/>
          </w:tcPr>
          <w:p w:rsidR="00AF0131" w:rsidRPr="00FC2BB6" w:rsidRDefault="00A154E3" w:rsidP="00C33FBD">
            <w:pPr>
              <w:pStyle w:val="Normal6"/>
              <w:rPr>
                <w:szCs w:val="24"/>
              </w:rPr>
            </w:pPr>
            <w:r w:rsidRPr="00FC2BB6">
              <w:rPr>
                <w:vertAlign w:val="superscript"/>
              </w:rPr>
              <w:t>23</w:t>
            </w:r>
            <w:r w:rsidRPr="00FC2BB6">
              <w:t xml:space="preserve"> Europaparlamentets och rådets förordning (EU) nr 1174/2011 av den 16 november 2011 om verkställighetsåtgärder för </w:t>
            </w:r>
            <w:r w:rsidRPr="00FC2BB6">
              <w:t>att korrigera alltför stora makroekonomiska obalanser i euroområdet (EUT L 306, 23.11.2011, s. 8).</w:t>
            </w:r>
          </w:p>
        </w:tc>
      </w:tr>
      <w:tr w:rsidR="00EC7A2D" w:rsidRPr="00FC2BB6" w:rsidTr="00C33FBD">
        <w:trPr>
          <w:jc w:val="center"/>
        </w:trPr>
        <w:tc>
          <w:tcPr>
            <w:tcW w:w="4876" w:type="dxa"/>
            <w:hideMark/>
          </w:tcPr>
          <w:p w:rsidR="00AF0131" w:rsidRPr="00FC2BB6" w:rsidRDefault="00A154E3" w:rsidP="00C33FBD">
            <w:pPr>
              <w:pStyle w:val="Normal6"/>
            </w:pPr>
            <w:r w:rsidRPr="00FC2BB6">
              <w:rPr>
                <w:vertAlign w:val="superscript"/>
              </w:rPr>
              <w:t>24</w:t>
            </w:r>
            <w:r w:rsidRPr="00FC2BB6">
              <w:t xml:space="preserve"> Europaparlamentets och rådets förordning (EU) nr 1176/2011 av den 16 november 2011 om förebyggande och korrigering av makroekonomiska obalanser (EUT L 30</w:t>
            </w:r>
            <w:r w:rsidRPr="00FC2BB6">
              <w:t>6, 23.11.2011, s. 25).</w:t>
            </w:r>
          </w:p>
        </w:tc>
        <w:tc>
          <w:tcPr>
            <w:tcW w:w="4876" w:type="dxa"/>
            <w:hideMark/>
          </w:tcPr>
          <w:p w:rsidR="00AF0131" w:rsidRPr="00FC2BB6" w:rsidRDefault="00A154E3" w:rsidP="00C33FBD">
            <w:pPr>
              <w:pStyle w:val="Normal6"/>
              <w:rPr>
                <w:szCs w:val="24"/>
              </w:rPr>
            </w:pPr>
            <w:r w:rsidRPr="00FC2BB6">
              <w:rPr>
                <w:vertAlign w:val="superscript"/>
              </w:rPr>
              <w:t>24</w:t>
            </w:r>
            <w:r w:rsidRPr="00FC2BB6">
              <w:t xml:space="preserve"> Europaparlamentets och rådets förordning (EU) nr 1176/2011 av den 16 november 2011 om förebyggande och korrigering av makroekonomiska obalanser (EUT L 306, 23.11.2011, s. 25).</w:t>
            </w:r>
          </w:p>
        </w:tc>
      </w:tr>
    </w:tbl>
    <w:p w:rsidR="00AF0131" w:rsidRPr="00FC2BB6" w:rsidRDefault="00A154E3" w:rsidP="00C56375">
      <w:pPr>
        <w:rPr>
          <w:rStyle w:val="HideTWBExt"/>
          <w:rFonts w:eastAsiaTheme="majorEastAsia"/>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4</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Skäl 7a (nytt)</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tcPr>
          <w:p w:rsidR="00AF0131" w:rsidRPr="00FC2BB6" w:rsidRDefault="00AF0131" w:rsidP="00C33FBD">
            <w:pPr>
              <w:pStyle w:val="Normal6"/>
            </w:pPr>
          </w:p>
        </w:tc>
        <w:tc>
          <w:tcPr>
            <w:tcW w:w="4876" w:type="dxa"/>
            <w:hideMark/>
          </w:tcPr>
          <w:p w:rsidR="00AF0131" w:rsidRPr="00FC2BB6" w:rsidRDefault="00A154E3" w:rsidP="00C33FBD">
            <w:pPr>
              <w:pStyle w:val="Normal6"/>
              <w:rPr>
                <w:szCs w:val="24"/>
              </w:rPr>
            </w:pPr>
            <w:r w:rsidRPr="00FC2BB6">
              <w:rPr>
                <w:b/>
                <w:i/>
              </w:rPr>
              <w:t>(7a)</w:t>
            </w:r>
            <w:r w:rsidRPr="00FC2BB6">
              <w:rPr>
                <w:b/>
                <w:i/>
              </w:rPr>
              <w:tab/>
              <w:t xml:space="preserve">För att främja social konvergens uppåt kompletteras det multilaterala övervakningsförfarande som anges i artikel 148.4 i </w:t>
            </w:r>
            <w:r w:rsidRPr="00FC2BB6">
              <w:rPr>
                <w:b/>
                <w:i/>
              </w:rPr>
              <w:t>EUF-fördraget med ett system för tidig varning inom ramen för den europeiska planeringsterminen (ramen för social konvergens). Inom ramen för social konvergens ska kommissionen, i enlighet med artikel 148 i EUF-fördraget, först identifiera risker för uppåt</w:t>
            </w:r>
            <w:r w:rsidRPr="00FC2BB6">
              <w:rPr>
                <w:b/>
                <w:i/>
              </w:rPr>
              <w:t>gående konvergens för medlemsstaterna i den gemensamma sysselsättningsrapporten som bygger på de huvudsakliga indikatorerna i den sociala resultattavlan. I det andra stadiet identifierar kommissionen de medlemsstater som behöver granskas ytterligare och of</w:t>
            </w:r>
            <w:r w:rsidRPr="00FC2BB6">
              <w:rPr>
                <w:b/>
                <w:i/>
              </w:rPr>
              <w:t>fentliggör de sociala konvergensrapporterna för de medlemsstater som identifierats som utsatta för risker när det gäller uppåtgående social konvergens. De landsspecifika slutsatserna från den multilaterala övervakningen inom den nya ramen bör bidra till ko</w:t>
            </w:r>
            <w:r w:rsidRPr="00FC2BB6">
              <w:rPr>
                <w:b/>
                <w:i/>
              </w:rPr>
              <w:t>mmissionens reflektioner över förslagen till landsspecifika rekommendationer.</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5</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Skäl 8</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(8)</w:t>
            </w:r>
            <w:r w:rsidRPr="00FC2BB6">
              <w:tab/>
              <w:t xml:space="preserve">Närmare </w:t>
            </w:r>
            <w:r w:rsidRPr="00FC2BB6">
              <w:t>regler bör därför fastställas gällande nationella medelfristiga finans- och strukturpolitiska planer i fråga om innehåll, inlämnande, bedömning och övervakning i syfte att främja skuldhållbarhet</w:t>
            </w:r>
            <w:r w:rsidRPr="00FC2BB6">
              <w:rPr>
                <w:b/>
                <w:i/>
              </w:rPr>
              <w:t xml:space="preserve"> och</w:t>
            </w:r>
            <w:r w:rsidRPr="00FC2BB6">
              <w:t xml:space="preserve"> en hållbar och inkluderande tillväxt i medlemsstaterna sa</w:t>
            </w:r>
            <w:r w:rsidRPr="00FC2BB6">
              <w:t>mt genom medelfristig planering förebygga alltför stora offentliga underskott.</w:t>
            </w:r>
          </w:p>
        </w:tc>
        <w:tc>
          <w:tcPr>
            <w:tcW w:w="4876" w:type="dxa"/>
            <w:hideMark/>
          </w:tcPr>
          <w:p w:rsidR="00AF0131" w:rsidRPr="00FC2BB6" w:rsidRDefault="00A154E3" w:rsidP="00C33FBD">
            <w:pPr>
              <w:pStyle w:val="Normal6"/>
              <w:rPr>
                <w:szCs w:val="24"/>
              </w:rPr>
            </w:pPr>
            <w:r w:rsidRPr="00FC2BB6">
              <w:t>(8)</w:t>
            </w:r>
            <w:r w:rsidRPr="00FC2BB6">
              <w:tab/>
              <w:t>Närmare regler bör därför fastställas gällande nationella medelfristiga finans- och strukturpolitiska planer i fråga om innehåll, inlämnande, bedömning och övervakning i syf</w:t>
            </w:r>
            <w:r w:rsidRPr="00FC2BB6">
              <w:t>te att främja skuldhållbarhet</w:t>
            </w:r>
            <w:r w:rsidRPr="00FC2BB6">
              <w:rPr>
                <w:b/>
                <w:i/>
              </w:rPr>
              <w:t>,</w:t>
            </w:r>
            <w:r w:rsidRPr="00FC2BB6">
              <w:t xml:space="preserve"> en hållbar och inkluderande tillväxt</w:t>
            </w:r>
            <w:r w:rsidRPr="00FC2BB6">
              <w:rPr>
                <w:b/>
                <w:i/>
              </w:rPr>
              <w:t xml:space="preserve"> samt social konvergens uppåt</w:t>
            </w:r>
            <w:r w:rsidRPr="00FC2BB6">
              <w:t xml:space="preserve"> i medlemsstaterna samt genom medelfristig planering förebygga alltför stora offentliga underskott.</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6</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w:t>
      </w:r>
      <w:r w:rsidRPr="00FC2BB6">
        <w:rPr>
          <w:rStyle w:val="HideTWBExt"/>
          <w:b w:val="0"/>
        </w:rPr>
        <w:t>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Skäl 9</w:t>
      </w:r>
      <w:r w:rsidRPr="00FC2BB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(9)</w:t>
            </w:r>
            <w:r w:rsidRPr="00FC2BB6">
              <w:tab/>
              <w:t xml:space="preserve">De nationella medelfristiga finans- och strukturpolitiska planerna bör innehålla de enskilda medlemsstaternas samlade åtaganden vad gäller </w:t>
            </w:r>
            <w:r w:rsidRPr="00FC2BB6">
              <w:t>offentliga finanser, strukturreformer och investeringar, och dessa planer bör utgöra själva grundvalen för unionens ramverk för ekonomisk styrning. Varje medlemsstat bör lägga fram en medelfristig plan som visar dess offentligfinansiella utveckling och pri</w:t>
            </w:r>
            <w:r w:rsidRPr="00FC2BB6">
              <w:t>oriterade investerings- och reformåtaganden som sammantaget, och utan en konjunkturförstärkande finanspolitik, säkerställer en stadig och gradvis skuldminskning och en hållbar och inkluderande tillväxt, samt mer allmänna reform- och investeringsåtaganden m</w:t>
            </w:r>
            <w:r w:rsidRPr="00FC2BB6">
              <w:t>ed anknytning till bland annat den gröna och den digitala omställningen, social och ekonomisk motståndskraft samt genomförandet av den europeiska pelaren för sociala rättigheter. Så länge faciliteten för återhämtning och resiliens</w:t>
            </w:r>
            <w:r w:rsidRPr="00FC2BB6">
              <w:rPr>
                <w:vertAlign w:val="superscript"/>
              </w:rPr>
              <w:t>25</w:t>
            </w:r>
            <w:r w:rsidRPr="00FC2BB6">
              <w:t xml:space="preserve"> är tillgänglig bör lämp</w:t>
            </w:r>
            <w:r w:rsidRPr="00FC2BB6">
              <w:t>lig hänsyn tas till åtagandena i nationella återhämtnings- och resiliensplaner.</w:t>
            </w:r>
          </w:p>
        </w:tc>
        <w:tc>
          <w:tcPr>
            <w:tcW w:w="4876" w:type="dxa"/>
            <w:hideMark/>
          </w:tcPr>
          <w:p w:rsidR="00AF0131" w:rsidRPr="00FC2BB6" w:rsidRDefault="00A154E3" w:rsidP="00C33FBD">
            <w:pPr>
              <w:pStyle w:val="Normal6"/>
              <w:rPr>
                <w:szCs w:val="24"/>
              </w:rPr>
            </w:pPr>
            <w:r w:rsidRPr="00FC2BB6">
              <w:t>(9)</w:t>
            </w:r>
            <w:r w:rsidRPr="00FC2BB6">
              <w:tab/>
              <w:t>De nationella medelfristiga finans- och strukturpolitiska planerna bör innehålla de enskilda medlemsstaternas samlade åtaganden vad gäller offentliga finanser, strukturrefo</w:t>
            </w:r>
            <w:r w:rsidRPr="00FC2BB6">
              <w:t xml:space="preserve">rmer och investeringar, och dessa planer bör utgöra själva grundvalen för unionens ramverk för ekonomisk </w:t>
            </w:r>
            <w:r w:rsidRPr="00FC2BB6">
              <w:rPr>
                <w:b/>
                <w:i/>
              </w:rPr>
              <w:t xml:space="preserve">och social </w:t>
            </w:r>
            <w:r w:rsidRPr="00FC2BB6">
              <w:t>styrning. Varje medlemsstat bör lägga fram en medelfristig plan som visar dess offentligfinansiella utveckling och prioriterade investerings</w:t>
            </w:r>
            <w:r w:rsidRPr="00FC2BB6">
              <w:t>- och reformåtaganden som sammantaget, och utan en konjunkturförstärkande finanspolitik, säkerställer en stadig och gradvis skuldminskning och en hållbar och inkluderande tillväxt, samt mer allmänna reform- och investeringsåtaganden med anknytning till bla</w:t>
            </w:r>
            <w:r w:rsidRPr="00FC2BB6">
              <w:t>nd annat den gröna och den digitala omställningen, social och ekonomisk motståndskraft samt genomförandet av den europeiska pelaren för sociala rättigheter</w:t>
            </w:r>
            <w:r w:rsidRPr="00FC2BB6">
              <w:rPr>
                <w:b/>
                <w:i/>
              </w:rPr>
              <w:t>, inbegripet de därmed sammanhängande målen för sysselsättning, kompetens och fattigdomsminskning fra</w:t>
            </w:r>
            <w:r w:rsidRPr="00FC2BB6">
              <w:rPr>
                <w:b/>
                <w:i/>
              </w:rPr>
              <w:t>m till 2030</w:t>
            </w:r>
            <w:r w:rsidRPr="00FC2BB6">
              <w:rPr>
                <w:b/>
                <w:i/>
                <w:vertAlign w:val="superscript"/>
              </w:rPr>
              <w:t>1a</w:t>
            </w:r>
            <w:r w:rsidRPr="00FC2BB6">
              <w:t>. Så länge faciliteten för återhämtning och resiliens</w:t>
            </w:r>
            <w:r w:rsidRPr="00FC2BB6">
              <w:rPr>
                <w:vertAlign w:val="superscript"/>
              </w:rPr>
              <w:t>25</w:t>
            </w:r>
            <w:r w:rsidRPr="00FC2BB6">
              <w:t xml:space="preserve"> är tillgänglig bör lämplig hänsyn tas till åtagandena i nationella återhämtnings- och resiliensplaner.</w:t>
            </w:r>
          </w:p>
        </w:tc>
      </w:tr>
      <w:tr w:rsidR="00EC7A2D" w:rsidRPr="00FC2BB6" w:rsidTr="00C33FBD">
        <w:trPr>
          <w:jc w:val="center"/>
        </w:trPr>
        <w:tc>
          <w:tcPr>
            <w:tcW w:w="4876" w:type="dxa"/>
            <w:hideMark/>
          </w:tcPr>
          <w:p w:rsidR="00AF0131" w:rsidRPr="00FC2BB6" w:rsidRDefault="00A154E3" w:rsidP="00C33FBD">
            <w:pPr>
              <w:pStyle w:val="Normal6"/>
            </w:pPr>
            <w:r w:rsidRPr="00FC2BB6">
              <w:t>__________________</w:t>
            </w:r>
          </w:p>
        </w:tc>
        <w:tc>
          <w:tcPr>
            <w:tcW w:w="4876" w:type="dxa"/>
            <w:hideMark/>
          </w:tcPr>
          <w:p w:rsidR="00AF0131" w:rsidRPr="00FC2BB6" w:rsidRDefault="00A154E3" w:rsidP="00C33FBD">
            <w:pPr>
              <w:pStyle w:val="Normal6"/>
              <w:rPr>
                <w:szCs w:val="24"/>
              </w:rPr>
            </w:pPr>
            <w:r w:rsidRPr="00FC2BB6">
              <w:t>__________________</w:t>
            </w:r>
          </w:p>
        </w:tc>
      </w:tr>
      <w:tr w:rsidR="00EC7A2D" w:rsidRPr="00FC2BB6" w:rsidTr="00C33FBD">
        <w:trPr>
          <w:jc w:val="center"/>
        </w:trPr>
        <w:tc>
          <w:tcPr>
            <w:tcW w:w="4876" w:type="dxa"/>
          </w:tcPr>
          <w:p w:rsidR="00AF0131" w:rsidRPr="00FC2BB6" w:rsidRDefault="00AF0131" w:rsidP="00C33FBD">
            <w:pPr>
              <w:pStyle w:val="Normal6"/>
              <w:rPr>
                <w:vertAlign w:val="superscript"/>
              </w:rPr>
            </w:pPr>
          </w:p>
        </w:tc>
        <w:tc>
          <w:tcPr>
            <w:tcW w:w="4876" w:type="dxa"/>
          </w:tcPr>
          <w:p w:rsidR="00AF0131" w:rsidRPr="00FC2BB6" w:rsidRDefault="00A154E3" w:rsidP="00C33FBD">
            <w:pPr>
              <w:pStyle w:val="Normal6"/>
              <w:rPr>
                <w:vertAlign w:val="superscript"/>
              </w:rPr>
            </w:pPr>
            <w:r w:rsidRPr="00FC2BB6">
              <w:rPr>
                <w:b/>
                <w:i/>
              </w:rPr>
              <w:t>Meddelande från kommissionen till Europapar</w:t>
            </w:r>
            <w:r w:rsidRPr="00FC2BB6">
              <w:rPr>
                <w:b/>
                <w:i/>
              </w:rPr>
              <w:t>lamentet, rådet, Europeiska ekonomiska och sociala kommittén samt Regionkommittén av den 4 mars 2021 ”Handlingsplan för den europeiska pelaren för sociala rättigheter” (COM(2021)0102),</w:t>
            </w:r>
          </w:p>
        </w:tc>
      </w:tr>
      <w:tr w:rsidR="00EC7A2D" w:rsidRPr="00FC2BB6" w:rsidTr="00C33FBD">
        <w:trPr>
          <w:jc w:val="center"/>
        </w:trPr>
        <w:tc>
          <w:tcPr>
            <w:tcW w:w="4876" w:type="dxa"/>
            <w:hideMark/>
          </w:tcPr>
          <w:p w:rsidR="00AF0131" w:rsidRPr="00FC2BB6" w:rsidRDefault="00A154E3" w:rsidP="00C33FBD">
            <w:pPr>
              <w:pStyle w:val="Normal6"/>
            </w:pPr>
            <w:r w:rsidRPr="00FC2BB6">
              <w:rPr>
                <w:vertAlign w:val="superscript"/>
              </w:rPr>
              <w:t>25</w:t>
            </w:r>
            <w:r w:rsidRPr="00FC2BB6">
              <w:t xml:space="preserve"> Europaparlamentets och rådets förordning (EU) 2021/241 av den 12 fe</w:t>
            </w:r>
            <w:r w:rsidRPr="00FC2BB6">
              <w:t>bruari 2021 om inrättande av faciliteten för återhämtning och resiliens (EUT L 57, 18.2.2021, s. 17).</w:t>
            </w:r>
          </w:p>
        </w:tc>
        <w:tc>
          <w:tcPr>
            <w:tcW w:w="4876" w:type="dxa"/>
            <w:hideMark/>
          </w:tcPr>
          <w:p w:rsidR="00AF0131" w:rsidRPr="00FC2BB6" w:rsidRDefault="00A154E3" w:rsidP="00C33FBD">
            <w:pPr>
              <w:pStyle w:val="Normal6"/>
              <w:rPr>
                <w:szCs w:val="24"/>
              </w:rPr>
            </w:pPr>
            <w:r w:rsidRPr="00FC2BB6">
              <w:rPr>
                <w:vertAlign w:val="superscript"/>
              </w:rPr>
              <w:t>25</w:t>
            </w:r>
            <w:r w:rsidRPr="00FC2BB6">
              <w:t xml:space="preserve"> Europaparlamentets och rådets förordning (EU) 2021/241 av den 12 februari 2021 om inrättande av faciliteten för återhämtning och resiliens (EUT L 57, 1</w:t>
            </w:r>
            <w:r w:rsidRPr="00FC2BB6">
              <w:t>8.2.2021, s. 17).</w:t>
            </w:r>
          </w:p>
        </w:tc>
      </w:tr>
    </w:tbl>
    <w:p w:rsidR="002D23D0" w:rsidRPr="00FC2BB6" w:rsidRDefault="00A154E3" w:rsidP="00C56375">
      <w:pPr>
        <w:rPr>
          <w:rFonts w:eastAsiaTheme="majorEastAsia"/>
        </w:rPr>
      </w:pPr>
      <w:r w:rsidRPr="00FC2BB6">
        <w:rPr>
          <w:rStyle w:val="HideTWBExt"/>
        </w:rPr>
        <w:t>&lt;/Amend&gt;</w:t>
      </w:r>
    </w:p>
    <w:p w:rsidR="00AF0131" w:rsidRPr="00FC2BB6" w:rsidRDefault="00A154E3" w:rsidP="002D23D0">
      <w:pPr>
        <w:pStyle w:val="AmNumberTabs"/>
      </w:pPr>
      <w:r w:rsidRPr="00FC2BB6">
        <w:rPr>
          <w:rStyle w:val="HideTWBExt"/>
        </w:rPr>
        <w:t>&lt;Amend&gt;</w:t>
      </w:r>
      <w:r w:rsidRPr="00FC2BB6">
        <w:t>Ändringsförslag</w:t>
      </w:r>
      <w:r w:rsidRPr="00FC2BB6">
        <w:tab/>
      </w:r>
      <w:r w:rsidRPr="00FC2BB6">
        <w:tab/>
      </w:r>
      <w:r w:rsidRPr="00FC2BB6">
        <w:rPr>
          <w:rStyle w:val="HideTWBExt"/>
          <w:b w:val="0"/>
        </w:rPr>
        <w:t>&lt;NumAm&gt;</w:t>
      </w:r>
      <w:r w:rsidRPr="00FC2BB6">
        <w:t>7</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Skäl 10</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(10)</w:t>
            </w:r>
            <w:r w:rsidRPr="00FC2BB6">
              <w:tab/>
              <w:t xml:space="preserve">Även sammanhållningsmedlen är synkroniserade med den europeiska </w:t>
            </w:r>
            <w:r w:rsidRPr="00FC2BB6">
              <w:t>planeringsterminens cykel. Eftersom de utgör EU-budgetens långsiktiga investeringspolicy bör vid upprättandet av nationella medelfristiga finans- och strukturpolitiska planer hänsyn även tas till sammanhållningspolitiska investeringar och reformer. Varje m</w:t>
            </w:r>
            <w:r w:rsidRPr="00FC2BB6">
              <w:t>edlemsstat bör vidare förklara hur dess nationella medelfristiga finans- och strukturpolitiska plan kommer att säkerställa att utgifter för EU-program till fullo motsvaras av inkomster i form av EU-medel och relevant nationell samfinansiering.</w:t>
            </w:r>
          </w:p>
        </w:tc>
        <w:tc>
          <w:tcPr>
            <w:tcW w:w="4876" w:type="dxa"/>
            <w:hideMark/>
          </w:tcPr>
          <w:p w:rsidR="00AF0131" w:rsidRPr="00FC2BB6" w:rsidRDefault="00A154E3" w:rsidP="00C33FBD">
            <w:pPr>
              <w:pStyle w:val="Normal6"/>
              <w:rPr>
                <w:szCs w:val="24"/>
              </w:rPr>
            </w:pPr>
            <w:r w:rsidRPr="00FC2BB6">
              <w:t>(10)</w:t>
            </w:r>
            <w:r w:rsidRPr="00FC2BB6">
              <w:tab/>
              <w:t>Även sa</w:t>
            </w:r>
            <w:r w:rsidRPr="00FC2BB6">
              <w:t>mmanhållningsmedlen är synkroniserade med den europeiska planeringsterminens cykel. Eftersom de utgör EU-budgetens långsiktiga investeringspolicy</w:t>
            </w:r>
            <w:r w:rsidRPr="00FC2BB6">
              <w:rPr>
                <w:b/>
                <w:i/>
              </w:rPr>
              <w:t>, som stärker den ekonomiska, sociala och territoriella sammanhållningen,</w:t>
            </w:r>
            <w:r w:rsidRPr="00FC2BB6">
              <w:t xml:space="preserve"> bör vid upprättandet av nationella me</w:t>
            </w:r>
            <w:r w:rsidRPr="00FC2BB6">
              <w:t>delfristiga finans- och strukturpolitiska planer hänsyn även tas till sammanhållningspolitiska investeringar och reformer. Varje medlemsstat bör vidare förklara hur dess nationella medelfristiga finans- och strukturpolitiska plan kommer att säkerställa att</w:t>
            </w:r>
            <w:r w:rsidRPr="00FC2BB6">
              <w:t xml:space="preserve"> utgifter för EU-program till fullo motsvaras av inkomster i form av EU-medel och relevant nationell samfinansiering.</w:t>
            </w:r>
          </w:p>
        </w:tc>
      </w:tr>
    </w:tbl>
    <w:p w:rsidR="00AF0131" w:rsidRPr="00FC2BB6" w:rsidRDefault="00A154E3" w:rsidP="00C56375">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8</w:t>
      </w:r>
      <w:r w:rsidRPr="00FC2BB6">
        <w:rPr>
          <w:rStyle w:val="HideTWBExt"/>
          <w:b w:val="0"/>
        </w:rPr>
        <w:t>&lt;/NumAm&gt;</w:t>
      </w:r>
    </w:p>
    <w:p w:rsidR="00AF0131" w:rsidRPr="00FC2BB6" w:rsidRDefault="00AF0131" w:rsidP="00AF0131">
      <w:pPr>
        <w:rPr>
          <w:b/>
        </w:rPr>
      </w:pPr>
    </w:p>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Skäl 13</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(13)</w:t>
            </w:r>
            <w:r w:rsidRPr="00FC2BB6">
              <w:tab/>
              <w:t xml:space="preserve">Som vägledning för medlemsstaterna när de utarbetar sina medelfristiga finans- och strukturpolitiska planer bör kommissionen lägga fram en teknisk målbana som anger den finanspolitiska anpassning som minst måste </w:t>
            </w:r>
            <w:r w:rsidRPr="00FC2BB6">
              <w:t xml:space="preserve">göras för att föra in medlemsstatens skuldutveckling på en realistisk nedåtgående bana eller hålla kvar skuldsättningen på en sund nivå. Den tekniska målbanan bör även säkerställa att den offentliga skuldkvoten i slutet av planeringshorisonten är lägre än </w:t>
            </w:r>
            <w:r w:rsidRPr="00FC2BB6">
              <w:t xml:space="preserve">året före den tekniska målbanans början. </w:t>
            </w:r>
            <w:r w:rsidRPr="00FC2BB6">
              <w:rPr>
                <w:b/>
                <w:i/>
              </w:rPr>
              <w:t>Hållbarheten i denna skuldminskning bör säkerställas genom en lämplig finanspolitik.</w:t>
            </w:r>
          </w:p>
        </w:tc>
        <w:tc>
          <w:tcPr>
            <w:tcW w:w="4876" w:type="dxa"/>
            <w:hideMark/>
          </w:tcPr>
          <w:p w:rsidR="00AF0131" w:rsidRPr="00FC2BB6" w:rsidRDefault="00A154E3" w:rsidP="00C33FBD">
            <w:pPr>
              <w:pStyle w:val="Normal6"/>
              <w:rPr>
                <w:szCs w:val="24"/>
              </w:rPr>
            </w:pPr>
            <w:r w:rsidRPr="00FC2BB6">
              <w:t>(13)</w:t>
            </w:r>
            <w:r w:rsidRPr="00FC2BB6">
              <w:tab/>
              <w:t xml:space="preserve">Som vägledning för medlemsstaterna när de utarbetar sina medelfristiga finans- och strukturpolitiska planer bör kommissionen </w:t>
            </w:r>
            <w:r w:rsidRPr="00FC2BB6">
              <w:t>lägga fram en teknisk målbana som anger den finanspolitiska anpassning som minst måste göras för att föra in medlemsstatens skuldutveckling på en realistisk nedåtgående bana eller hålla kvar skuldsättningen på en sund nivå</w:t>
            </w:r>
            <w:r w:rsidRPr="00FC2BB6">
              <w:rPr>
                <w:b/>
                <w:i/>
              </w:rPr>
              <w:t>, samtidigt som hänsyn tas till de</w:t>
            </w:r>
            <w:r w:rsidRPr="00FC2BB6">
              <w:rPr>
                <w:b/>
                <w:i/>
              </w:rPr>
              <w:t xml:space="preserve"> riktade investeringar som behövs för att uppnå unionens gemensamma prioriteringar</w:t>
            </w:r>
            <w:r w:rsidRPr="00FC2BB6">
              <w:t>. Den tekniska målbanan bör även säkerställa att den offentliga skuldkvoten i slutet av planeringshorisonten är lägre än året före den tekniska målbanans början.</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C56375">
      <w:pPr>
        <w:pStyle w:val="AmNumberTabs"/>
      </w:pPr>
      <w:r w:rsidRPr="00FC2BB6">
        <w:rPr>
          <w:rStyle w:val="HideTWBExt"/>
          <w:b w:val="0"/>
        </w:rPr>
        <w:t>&lt;A</w:t>
      </w:r>
      <w:r w:rsidRPr="00FC2BB6">
        <w:rPr>
          <w:rStyle w:val="HideTWBExt"/>
          <w:b w:val="0"/>
        </w:rPr>
        <w:t>mend&gt;</w:t>
      </w:r>
      <w:r w:rsidRPr="00FC2BB6">
        <w:t>Ändringsförslag</w:t>
      </w:r>
      <w:r w:rsidRPr="00FC2BB6">
        <w:tab/>
      </w:r>
      <w:r w:rsidRPr="00FC2BB6">
        <w:tab/>
      </w:r>
      <w:r w:rsidRPr="00FC2BB6">
        <w:rPr>
          <w:rStyle w:val="HideTWBExt"/>
          <w:b w:val="0"/>
        </w:rPr>
        <w:t>&lt;NumAm&gt;</w:t>
      </w:r>
      <w:r w:rsidRPr="00FC2BB6">
        <w:t>9</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Skäl 22</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(22)</w:t>
            </w:r>
            <w:r w:rsidRPr="00FC2BB6">
              <w:tab/>
              <w:t xml:space="preserve">En mer gradvis skuldminskning kan säkerställas genom att anpassningsperioden förlängs med högst </w:t>
            </w:r>
            <w:r w:rsidRPr="00FC2BB6">
              <w:t xml:space="preserve">tre år, förutsatt att medlemsstaten underbygger sin medelfristiga finans- och strukturpolitiska plan med verifierbara och tidsbundna reform- och investeringsåtaganden. Åtagandena måste sammantaget </w:t>
            </w:r>
            <w:r w:rsidRPr="00FC2BB6">
              <w:rPr>
                <w:b/>
                <w:i/>
              </w:rPr>
              <w:t>vara tillväxtfrämjande</w:t>
            </w:r>
            <w:r w:rsidRPr="00FC2BB6">
              <w:t>, främja offentligfinansiell hållbarh</w:t>
            </w:r>
            <w:r w:rsidRPr="00FC2BB6">
              <w:t>et, svara mot unionens gemensamma prioriteringar, följa relevanta landsspecifika rekommendationer som riktats till medlemsstaten i samband med den europeiska planeringsterminen och svara mot landsspecifika investeringsprioriteringar, men inte leda till ned</w:t>
            </w:r>
            <w:r w:rsidRPr="00FC2BB6">
              <w:t>skärningar av andra nationellt finansierade offentliga investeringar under anpassningsperioden, så att investeringarnas makroekonomiska genomslag säkerställs utan undanträngning av andra investeringsprioriteringar.</w:t>
            </w:r>
          </w:p>
        </w:tc>
        <w:tc>
          <w:tcPr>
            <w:tcW w:w="4876" w:type="dxa"/>
            <w:hideMark/>
          </w:tcPr>
          <w:p w:rsidR="00AF0131" w:rsidRPr="00FC2BB6" w:rsidRDefault="00A154E3" w:rsidP="00C33FBD">
            <w:pPr>
              <w:pStyle w:val="Normal6"/>
              <w:rPr>
                <w:szCs w:val="24"/>
              </w:rPr>
            </w:pPr>
            <w:r w:rsidRPr="00FC2BB6">
              <w:t>(22)</w:t>
            </w:r>
            <w:r w:rsidRPr="00FC2BB6">
              <w:tab/>
              <w:t>En mer gradvis skuldminskning kan sä</w:t>
            </w:r>
            <w:r w:rsidRPr="00FC2BB6">
              <w:t>kerställas genom att anpassningsperioden förlängs med högst tre år, förutsatt att medlemsstaten underbygger sin medelfristiga finans- och strukturpolitiska plan med verifierbara och tidsbundna reform- och investeringsåtaganden. Åtagandena måste sammantaget</w:t>
            </w:r>
            <w:r w:rsidRPr="00FC2BB6">
              <w:t xml:space="preserve"> </w:t>
            </w:r>
            <w:r w:rsidRPr="00FC2BB6">
              <w:rPr>
                <w:b/>
                <w:i/>
              </w:rPr>
              <w:t>främja hållbar och inkluderande tillväxt, främja social konvergens uppåt</w:t>
            </w:r>
            <w:r w:rsidRPr="00FC2BB6">
              <w:t>, främja offentligfinansiell hållbarhet, svara mot unionens gemensamma prioriteringar, följa relevanta landsspecifika rekommendationer som riktats till medlemsstaten i samband med den</w:t>
            </w:r>
            <w:r w:rsidRPr="00FC2BB6">
              <w:t xml:space="preserve"> europeiska planeringsterminen och svara mot landsspecifika investeringsprioriteringar, men inte leda till nedskärningar av andra nationellt finansierade offentliga investeringar</w:t>
            </w:r>
            <w:r w:rsidRPr="00FC2BB6">
              <w:rPr>
                <w:b/>
                <w:i/>
              </w:rPr>
              <w:t>, inbegripet sociala investeringar,</w:t>
            </w:r>
            <w:r w:rsidRPr="00FC2BB6">
              <w:t xml:space="preserve"> under anpassningsperioden, så att invester</w:t>
            </w:r>
            <w:r w:rsidRPr="00FC2BB6">
              <w:t>ingarnas makroekonomiska genomslag säkerställs utan undanträngning av andra investeringsprioriteringar.</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rPr>
          <w:rStyle w:val="HideTWBExt"/>
          <w:b w:val="0"/>
        </w:rPr>
        <w:t>&lt;NumAm&gt;</w:t>
      </w:r>
      <w:r w:rsidRPr="00FC2BB6">
        <w:t>10</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Artikel 1 – stycke 1</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w:t>
            </w:r>
            <w:r w:rsidRPr="00FC2BB6">
              <w:t xml:space="preserve">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 xml:space="preserve">I denna förordning föreskrivs regler för att säkerställa en effektiv samordning av medlemsstaternas ekonomiska politik och därmed främja ett uppnående av unionens </w:t>
            </w:r>
            <w:r w:rsidRPr="00FC2BB6">
              <w:rPr>
                <w:b/>
                <w:i/>
              </w:rPr>
              <w:t>tillväxt-</w:t>
            </w:r>
            <w:r w:rsidRPr="00FC2BB6">
              <w:t xml:space="preserve"> och </w:t>
            </w:r>
            <w:r w:rsidRPr="00FC2BB6">
              <w:rPr>
                <w:b/>
                <w:i/>
              </w:rPr>
              <w:t>sysselsättningsmål</w:t>
            </w:r>
            <w:r w:rsidRPr="00FC2BB6">
              <w:t>.</w:t>
            </w:r>
          </w:p>
        </w:tc>
        <w:tc>
          <w:tcPr>
            <w:tcW w:w="4876" w:type="dxa"/>
            <w:hideMark/>
          </w:tcPr>
          <w:p w:rsidR="00AF0131" w:rsidRPr="00FC2BB6" w:rsidRDefault="00A154E3" w:rsidP="00C33FBD">
            <w:pPr>
              <w:pStyle w:val="Normal6"/>
              <w:rPr>
                <w:szCs w:val="24"/>
              </w:rPr>
            </w:pPr>
            <w:r w:rsidRPr="00FC2BB6">
              <w:t>I denna förordning föreskrivs reg</w:t>
            </w:r>
            <w:r w:rsidRPr="00FC2BB6">
              <w:t xml:space="preserve">ler för att säkerställa en effektiv samordning av medlemsstaternas ekonomiska politik och därmed främja ett uppnående av unionens </w:t>
            </w:r>
            <w:r w:rsidRPr="00FC2BB6">
              <w:rPr>
                <w:b/>
                <w:i/>
              </w:rPr>
              <w:t>mål för hållbar</w:t>
            </w:r>
            <w:r w:rsidRPr="00FC2BB6">
              <w:t xml:space="preserve"> och </w:t>
            </w:r>
            <w:r w:rsidRPr="00FC2BB6">
              <w:rPr>
                <w:b/>
                <w:i/>
              </w:rPr>
              <w:t>inkluderande tillväxt och sysselsättning av god kvalitet</w:t>
            </w:r>
            <w:r w:rsidRPr="00FC2BB6">
              <w:t>.</w:t>
            </w:r>
          </w:p>
        </w:tc>
      </w:tr>
    </w:tbl>
    <w:p w:rsidR="00AF0131" w:rsidRPr="00FC2BB6" w:rsidRDefault="00A154E3" w:rsidP="00AF0131">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11</w:t>
      </w:r>
      <w:r w:rsidRPr="00FC2BB6">
        <w:rPr>
          <w:rStyle w:val="HideTWBExt"/>
          <w:b w:val="0"/>
        </w:rPr>
        <w:t>&lt;/Num</w:t>
      </w:r>
      <w:r w:rsidRPr="00FC2BB6">
        <w:rPr>
          <w:rStyle w:val="HideTWBExt"/>
          <w:b w:val="0"/>
        </w:rPr>
        <w:t>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Artikel 1 – stycke 2</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Som ett led i rådets och kommissionens multilaterala budgetövervakning för att främja skuldhållbarhet</w:t>
            </w:r>
            <w:r w:rsidRPr="00FC2BB6">
              <w:rPr>
                <w:b/>
                <w:i/>
              </w:rPr>
              <w:t xml:space="preserve"> och</w:t>
            </w:r>
            <w:r w:rsidRPr="00FC2BB6">
              <w:t xml:space="preserve"> en hållbar och inkluderande tillväxt i medlemsstaterna samt genom medelfristig planering förhindra uppkomsten av alltför stora offentliga underskott fastställs närmare regler om nationella medelfristiga finans- och strukturpolitiska planer i fråga om inne</w:t>
            </w:r>
            <w:r w:rsidRPr="00FC2BB6">
              <w:t>håll, inlämnande, bedömning och övervakning.</w:t>
            </w:r>
          </w:p>
        </w:tc>
        <w:tc>
          <w:tcPr>
            <w:tcW w:w="4876" w:type="dxa"/>
            <w:hideMark/>
          </w:tcPr>
          <w:p w:rsidR="00AF0131" w:rsidRPr="00FC2BB6" w:rsidRDefault="00A154E3" w:rsidP="00C33FBD">
            <w:pPr>
              <w:pStyle w:val="Normal6"/>
              <w:rPr>
                <w:szCs w:val="24"/>
              </w:rPr>
            </w:pPr>
            <w:r w:rsidRPr="00FC2BB6">
              <w:t>Som ett led i rådets och kommissionens multilaterala budgetövervakning för att främja skuldhållbarhet</w:t>
            </w:r>
            <w:r w:rsidRPr="00FC2BB6">
              <w:rPr>
                <w:b/>
                <w:i/>
              </w:rPr>
              <w:t>,</w:t>
            </w:r>
            <w:r w:rsidRPr="00FC2BB6">
              <w:t xml:space="preserve"> en hållbar och inkluderande tillväxt</w:t>
            </w:r>
            <w:r w:rsidRPr="00FC2BB6">
              <w:rPr>
                <w:b/>
                <w:i/>
              </w:rPr>
              <w:t xml:space="preserve"> samt social konvergens uppåt</w:t>
            </w:r>
            <w:r w:rsidRPr="00FC2BB6">
              <w:t xml:space="preserve"> i medlemsstaterna samt genom medelfristig </w:t>
            </w:r>
            <w:r w:rsidRPr="00FC2BB6">
              <w:t>planering förhindra uppkomsten av alltför stora offentliga underskott</w:t>
            </w:r>
            <w:r w:rsidRPr="00FC2BB6">
              <w:rPr>
                <w:b/>
                <w:i/>
              </w:rPr>
              <w:t>, samtidigt som man säkerställer riktade ekonomiska och sociala investeringar i linje med unionens gemensamma prioriteringar,</w:t>
            </w:r>
            <w:r w:rsidRPr="00FC2BB6">
              <w:t xml:space="preserve"> fastställs närmare regler om nationella medelfristiga finans-</w:t>
            </w:r>
            <w:r w:rsidRPr="00FC2BB6">
              <w:t xml:space="preserve"> och strukturpolitiska planer i fråga om innehåll, inlämnande, bedömning och övervakning.</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C56375">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12</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Artikel 3 – stycke 1</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 xml:space="preserve">För att säkerställa en fastare samordning av medlemsstaternas ekonomiska politik och </w:t>
            </w:r>
            <w:r w:rsidRPr="00FC2BB6">
              <w:rPr>
                <w:b/>
                <w:i/>
              </w:rPr>
              <w:t>varaktig</w:t>
            </w:r>
            <w:r w:rsidRPr="00FC2BB6">
              <w:t xml:space="preserve"> konvergens mellan medlemsstaternas ekonomiska och sociala utfall ska rådet och kommissionen genomföra multilateral övervakning inom ramen för den</w:t>
            </w:r>
            <w:r w:rsidRPr="00FC2BB6">
              <w:t xml:space="preserve"> europeiska planeringsterminen i enlighet med de mål och krav som anges i EUF-fördraget. Den multilaterala övervakningen ska vila på oberoende statistik av hög kvalitet som tagits fram i enlighet med principerna i Europaparlamentets och rådets förordning (</w:t>
            </w:r>
            <w:r w:rsidRPr="00FC2BB6">
              <w:t>EG) nr 223/2009.</w:t>
            </w:r>
          </w:p>
        </w:tc>
        <w:tc>
          <w:tcPr>
            <w:tcW w:w="4876" w:type="dxa"/>
            <w:hideMark/>
          </w:tcPr>
          <w:p w:rsidR="00AF0131" w:rsidRPr="00FC2BB6" w:rsidRDefault="00A154E3" w:rsidP="00C33FBD">
            <w:pPr>
              <w:pStyle w:val="Normal6"/>
              <w:rPr>
                <w:szCs w:val="24"/>
              </w:rPr>
            </w:pPr>
            <w:r w:rsidRPr="00FC2BB6">
              <w:t xml:space="preserve">För att säkerställa en fastare samordning av medlemsstaternas ekonomiska politik och </w:t>
            </w:r>
            <w:r w:rsidRPr="00FC2BB6">
              <w:rPr>
                <w:b/>
                <w:i/>
              </w:rPr>
              <w:t>sysselsättningspolitik och</w:t>
            </w:r>
            <w:r w:rsidRPr="00FC2BB6">
              <w:t xml:space="preserve"> konvergens</w:t>
            </w:r>
            <w:r w:rsidRPr="00FC2BB6">
              <w:rPr>
                <w:b/>
                <w:i/>
              </w:rPr>
              <w:t xml:space="preserve"> uppåt</w:t>
            </w:r>
            <w:r w:rsidRPr="00FC2BB6">
              <w:t xml:space="preserve"> mellan medlemsstaternas ekonomiska och sociala utfall</w:t>
            </w:r>
            <w:r w:rsidRPr="00FC2BB6">
              <w:rPr>
                <w:b/>
                <w:i/>
              </w:rPr>
              <w:t xml:space="preserve"> i linje med unionens gemensamma prioriteringar</w:t>
            </w:r>
            <w:r w:rsidRPr="00FC2BB6">
              <w:t xml:space="preserve"> ska rådet</w:t>
            </w:r>
            <w:r w:rsidRPr="00FC2BB6">
              <w:t xml:space="preserve"> och kommissionen genomföra multilateral övervakning inom ramen för den europeiska planeringsterminen i enlighet med de mål och krav som anges i EUF-fördraget. Den multilaterala övervakningen ska vila på oberoende statistik av hög kvalitet som tagits fram </w:t>
            </w:r>
            <w:r w:rsidRPr="00FC2BB6">
              <w:t>i enlighet med principerna i Europaparlamentets och rådets förordning (EG) nr 223/2009.</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13</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Artikel 3 – stycke 2 – led b</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 xml:space="preserve">Kommissionens </w:t>
            </w:r>
            <w:r w:rsidRPr="00FC2BB6">
              <w:t>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b)</w:t>
            </w:r>
            <w:r w:rsidRPr="00FC2BB6">
              <w:tab/>
              <w:t xml:space="preserve">Utformning av riktlinjer för sysselsättningen vilka medlemsstaterna måste beakta i enlighet med artikel 148.2 i EUF-fördraget, </w:t>
            </w:r>
            <w:r w:rsidRPr="00FC2BB6">
              <w:rPr>
                <w:b/>
                <w:i/>
              </w:rPr>
              <w:t>inbegripet</w:t>
            </w:r>
            <w:r w:rsidRPr="00FC2BB6">
              <w:t xml:space="preserve"> den europeiska pelaren för sociala rättigheter, och av därmed sammanhängande landsspecifik</w:t>
            </w:r>
            <w:r w:rsidRPr="00FC2BB6">
              <w:t>a rekommendationer, samt övervakning av genomförandet av dessa.</w:t>
            </w:r>
          </w:p>
        </w:tc>
        <w:tc>
          <w:tcPr>
            <w:tcW w:w="4876" w:type="dxa"/>
            <w:hideMark/>
          </w:tcPr>
          <w:p w:rsidR="00AF0131" w:rsidRPr="00FC2BB6" w:rsidRDefault="00A154E3" w:rsidP="00C33FBD">
            <w:pPr>
              <w:pStyle w:val="Normal6"/>
              <w:rPr>
                <w:szCs w:val="24"/>
              </w:rPr>
            </w:pPr>
            <w:r w:rsidRPr="00FC2BB6">
              <w:t>b)</w:t>
            </w:r>
            <w:r w:rsidRPr="00FC2BB6">
              <w:tab/>
              <w:t xml:space="preserve">Utformning av riktlinjer för sysselsättningen vilka medlemsstaterna måste beakta i enlighet med artikel 148.2 i EUF-fördraget, </w:t>
            </w:r>
            <w:r w:rsidRPr="00FC2BB6">
              <w:rPr>
                <w:b/>
                <w:i/>
              </w:rPr>
              <w:t>av</w:t>
            </w:r>
            <w:r w:rsidRPr="00FC2BB6">
              <w:t xml:space="preserve"> den europeiska pelaren för sociala rättigheter</w:t>
            </w:r>
            <w:r w:rsidRPr="00FC2BB6">
              <w:rPr>
                <w:b/>
                <w:i/>
              </w:rPr>
              <w:t xml:space="preserve"> och dess öve</w:t>
            </w:r>
            <w:r w:rsidRPr="00FC2BB6">
              <w:rPr>
                <w:b/>
                <w:i/>
              </w:rPr>
              <w:t>rordnade mål</w:t>
            </w:r>
            <w:r w:rsidRPr="00FC2BB6">
              <w:t>, och av därmed sammanhängande landsspecifika rekommendationer</w:t>
            </w:r>
            <w:r>
              <w:rPr>
                <w:b/>
                <w:i/>
              </w:rPr>
              <w:t xml:space="preserve"> samt </w:t>
            </w:r>
            <w:r w:rsidRPr="00FC2BB6">
              <w:rPr>
                <w:b/>
                <w:i/>
              </w:rPr>
              <w:t>den sociala resultattavlan och dess huvudsakliga och sekundära indikatorer och ramen för social konvergens för att förebygga och identifiera risker för den sociala konvergense</w:t>
            </w:r>
            <w:r w:rsidRPr="00FC2BB6">
              <w:rPr>
                <w:b/>
                <w:i/>
              </w:rPr>
              <w:t>n</w:t>
            </w:r>
            <w:r w:rsidRPr="00FC2BB6">
              <w:t>, samt övervakning av genomförandet av dessa.</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14</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Artikel 4 – punkt 1</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1.</w:t>
            </w:r>
            <w:r w:rsidRPr="00FC2BB6">
              <w:tab/>
              <w:t xml:space="preserve">Efter den bedömning som </w:t>
            </w:r>
            <w:r w:rsidRPr="00FC2BB6">
              <w:t>enligt denna förordning ska göras av de medelfristiga finans- och strukturpolitiska planerna, de årliga lägesrapporterna och den socioekonomiska situationen i de berörda medlemsstaterna ska rådet, på grundval av kommissionens rekommendationer, rikta rekomm</w:t>
            </w:r>
            <w:r w:rsidRPr="00FC2BB6">
              <w:t>endationer till dessa medlemsstater med fullt utnyttjande av de rättsliga instrumenten i artiklarna 121 och 148 i EUF-fördraget och relaterad sekundärlagstiftning.</w:t>
            </w:r>
          </w:p>
        </w:tc>
        <w:tc>
          <w:tcPr>
            <w:tcW w:w="4876" w:type="dxa"/>
            <w:hideMark/>
          </w:tcPr>
          <w:p w:rsidR="00AF0131" w:rsidRPr="00FC2BB6" w:rsidRDefault="00A154E3" w:rsidP="00C33FBD">
            <w:pPr>
              <w:pStyle w:val="Normal6"/>
              <w:rPr>
                <w:szCs w:val="24"/>
              </w:rPr>
            </w:pPr>
            <w:r w:rsidRPr="00FC2BB6">
              <w:t>1.</w:t>
            </w:r>
            <w:r w:rsidRPr="00FC2BB6">
              <w:tab/>
              <w:t>Efter den bedömning som enligt denna förordning ska göras av de medelfristiga finans- och</w:t>
            </w:r>
            <w:r w:rsidRPr="00FC2BB6">
              <w:t xml:space="preserve"> strukturpolitiska planerna, de årliga lägesrapporterna och den socioekonomiska situationen i de berörda medlemsstaterna ska rådet, på grundval av kommissionens rekommendationer, rikta rekommendationer till dessa medlemsstater med fullt utnyttjande av </w:t>
            </w:r>
            <w:r w:rsidRPr="00FC2BB6">
              <w:rPr>
                <w:b/>
                <w:i/>
              </w:rPr>
              <w:t xml:space="preserve">den </w:t>
            </w:r>
            <w:r w:rsidRPr="00FC2BB6">
              <w:rPr>
                <w:b/>
                <w:i/>
              </w:rPr>
              <w:t xml:space="preserve">europeiska pelaren för sociala rättigheter och av </w:t>
            </w:r>
            <w:r w:rsidRPr="00FC2BB6">
              <w:t>de rättsliga instrumenten i artiklarna 121 och 148 i EUF-fördraget och relaterad sekundärlagstiftning.</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15</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Artikel 4 – punkt 3 – led ba (nytt)</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tcPr>
          <w:p w:rsidR="00AF0131" w:rsidRPr="00FC2BB6" w:rsidRDefault="00AF0131" w:rsidP="00C33FBD">
            <w:pPr>
              <w:pStyle w:val="Normal6"/>
            </w:pPr>
          </w:p>
        </w:tc>
        <w:tc>
          <w:tcPr>
            <w:tcW w:w="4876" w:type="dxa"/>
            <w:hideMark/>
          </w:tcPr>
          <w:p w:rsidR="00AF0131" w:rsidRPr="00FC2BB6" w:rsidRDefault="00A154E3" w:rsidP="00C33FBD">
            <w:pPr>
              <w:pStyle w:val="Normal6"/>
              <w:rPr>
                <w:szCs w:val="24"/>
              </w:rPr>
            </w:pPr>
            <w:r w:rsidRPr="00FC2BB6">
              <w:rPr>
                <w:b/>
                <w:i/>
              </w:rPr>
              <w:t>ba)</w:t>
            </w:r>
            <w:r w:rsidRPr="00FC2BB6">
              <w:rPr>
                <w:b/>
                <w:i/>
              </w:rPr>
              <w:tab/>
              <w:t>en rekommendation från rådet på grundval av ett förslag från kommissionen i enlighet med artikel 148.4 i EUF-fördraget och som återspeglar resultatet av ra</w:t>
            </w:r>
            <w:r w:rsidRPr="00FC2BB6">
              <w:rPr>
                <w:b/>
                <w:i/>
              </w:rPr>
              <w:t>men för social konvergens,</w:t>
            </w:r>
          </w:p>
        </w:tc>
      </w:tr>
    </w:tbl>
    <w:p w:rsidR="00AF0131" w:rsidRPr="00FC2BB6" w:rsidRDefault="00A154E3" w:rsidP="00AF0131">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rPr>
          <w:rStyle w:val="HideTWBExt"/>
          <w:b w:val="0"/>
        </w:rPr>
        <w:t>&lt;NumAm&gt;</w:t>
      </w:r>
      <w:r w:rsidRPr="00FC2BB6">
        <w:t>16</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Artikel 7 – punkt 1 – led b</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b)</w:t>
            </w:r>
            <w:r w:rsidRPr="00FC2BB6">
              <w:tab/>
              <w:t xml:space="preserve">sin makroekonomiska prognos och sina </w:t>
            </w:r>
            <w:r w:rsidRPr="00FC2BB6">
              <w:t>antaganden,</w:t>
            </w:r>
          </w:p>
        </w:tc>
        <w:tc>
          <w:tcPr>
            <w:tcW w:w="4876" w:type="dxa"/>
            <w:hideMark/>
          </w:tcPr>
          <w:p w:rsidR="00AF0131" w:rsidRPr="00FC2BB6" w:rsidRDefault="00A154E3" w:rsidP="00C33FBD">
            <w:pPr>
              <w:pStyle w:val="Normal6"/>
              <w:rPr>
                <w:szCs w:val="24"/>
              </w:rPr>
            </w:pPr>
            <w:r w:rsidRPr="00FC2BB6">
              <w:t>b)</w:t>
            </w:r>
            <w:r w:rsidRPr="00FC2BB6">
              <w:tab/>
              <w:t xml:space="preserve">sin makroekonomiska prognos och sina antaganden, </w:t>
            </w:r>
            <w:r w:rsidRPr="00FC2BB6">
              <w:rPr>
                <w:b/>
                <w:i/>
              </w:rPr>
              <w:t>sin prognos och sina antaganden avseende sociala risker,</w:t>
            </w:r>
          </w:p>
        </w:tc>
      </w:tr>
    </w:tbl>
    <w:p w:rsidR="00AF0131" w:rsidRPr="00FC2BB6" w:rsidRDefault="00A154E3" w:rsidP="00AF0131">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17</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Artikel 11 – punkt 1 – styck</w:t>
      </w:r>
      <w:r w:rsidRPr="00FC2BB6">
        <w:t>e 2</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I den nationella medelfristiga finans- och strukturpolitiska planen ska den berörda medlemsstaten även ange vilka åtgärder den kommer att vidta för att följa de landsspecifika rekommendationerna, inbegripet åtgärder som är relevanta för förfarandet vid mak</w:t>
            </w:r>
            <w:r w:rsidRPr="00FC2BB6">
              <w:t xml:space="preserve">roekonomiska obalanser, samt för att i tillämpliga fall följa varningar som kommissionen utfärdat eller rekommendationer som rådet utfärdat i enlighet med </w:t>
            </w:r>
            <w:r w:rsidRPr="00FC2BB6">
              <w:rPr>
                <w:b/>
                <w:i/>
              </w:rPr>
              <w:t>artikel </w:t>
            </w:r>
            <w:r w:rsidRPr="00FC2BB6">
              <w:t>121.4 i EUF-fördraget.</w:t>
            </w:r>
          </w:p>
        </w:tc>
        <w:tc>
          <w:tcPr>
            <w:tcW w:w="4876" w:type="dxa"/>
            <w:hideMark/>
          </w:tcPr>
          <w:p w:rsidR="00AF0131" w:rsidRPr="00FC2BB6" w:rsidRDefault="00A154E3" w:rsidP="00C33FBD">
            <w:pPr>
              <w:pStyle w:val="Normal6"/>
              <w:rPr>
                <w:szCs w:val="24"/>
              </w:rPr>
            </w:pPr>
            <w:r w:rsidRPr="00FC2BB6">
              <w:t>I den nationella medelfristiga finans- och strukturpolitiska planen sk</w:t>
            </w:r>
            <w:r w:rsidRPr="00FC2BB6">
              <w:t xml:space="preserve">a den berörda medlemsstaten även ange vilka åtgärder den kommer att vidta för att följa de landsspecifika rekommendationerna, inbegripet åtgärder som är relevanta för förfarandet vid makroekonomiska obalanser, samt </w:t>
            </w:r>
            <w:r w:rsidRPr="00FC2BB6">
              <w:rPr>
                <w:b/>
                <w:i/>
              </w:rPr>
              <w:t>de utmaningar som identifierats i rapport</w:t>
            </w:r>
            <w:r w:rsidRPr="00FC2BB6">
              <w:rPr>
                <w:b/>
                <w:i/>
              </w:rPr>
              <w:t xml:space="preserve">erna om social konvergens inom ramen för social konvergens, samt, </w:t>
            </w:r>
            <w:r w:rsidRPr="00FC2BB6">
              <w:t xml:space="preserve">för att i tillämpliga fall följa varningar som kommissionen utfärdat eller rekommendationer som rådet utfärdat i enlighet med </w:t>
            </w:r>
            <w:r w:rsidRPr="00FC2BB6">
              <w:rPr>
                <w:b/>
                <w:i/>
              </w:rPr>
              <w:t xml:space="preserve">artiklarna </w:t>
            </w:r>
            <w:r w:rsidRPr="00FC2BB6">
              <w:t>121</w:t>
            </w:r>
            <w:r w:rsidRPr="00FC2BB6">
              <w:rPr>
                <w:b/>
                <w:i/>
              </w:rPr>
              <w:t>.4 och 148</w:t>
            </w:r>
            <w:r w:rsidRPr="00FC2BB6">
              <w:t>.4 i EUF-fördraget.</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w:t>
      </w:r>
      <w:r w:rsidRPr="00FC2BB6">
        <w:t>ringsförslag</w:t>
      </w:r>
      <w:r w:rsidRPr="00FC2BB6">
        <w:tab/>
      </w:r>
      <w:r w:rsidRPr="00FC2BB6">
        <w:tab/>
      </w:r>
      <w:r w:rsidRPr="00FC2BB6">
        <w:rPr>
          <w:rStyle w:val="HideTWBExt"/>
          <w:b w:val="0"/>
        </w:rPr>
        <w:t>&lt;NumAm&gt;</w:t>
      </w:r>
      <w:r w:rsidRPr="00FC2BB6">
        <w:t>18</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Artikel 12 – punkt 1 – led b</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b)</w:t>
            </w:r>
            <w:r w:rsidRPr="00FC2BB6">
              <w:tab/>
              <w:t xml:space="preserve">redogöra för hur det faktiska genomförandet av investeringar och reformer för att </w:t>
            </w:r>
            <w:r w:rsidRPr="00FC2BB6">
              <w:t>hantera de främsta utmaningar som fastställts i de landsspecifika rekommendationerna inom den europeiska planeringsterminen ska säkerställas, i förekommande fall korrigera makroekonomiska obalanser som fastställs inom ramen för förfarandet vid makroekonomi</w:t>
            </w:r>
            <w:r w:rsidRPr="00FC2BB6">
              <w:t>ska obalanser och svara mot de gemensamma prioriteringar för unionen som avses i bilaga VI till denna förordning, däribland den europeiska gröna given, den europeiska pelaren för sociala rättigheter och det digitala decenniet, samtidigt som planen ska vara</w:t>
            </w:r>
            <w:r w:rsidRPr="00FC2BB6">
              <w:t xml:space="preserve"> förenlig med de uppdaterade nationella energi- och klimatplanerna och de nationella färdplanerna för det digitala decenniet,</w:t>
            </w:r>
          </w:p>
        </w:tc>
        <w:tc>
          <w:tcPr>
            <w:tcW w:w="4876" w:type="dxa"/>
            <w:hideMark/>
          </w:tcPr>
          <w:p w:rsidR="00AF0131" w:rsidRPr="00FC2BB6" w:rsidRDefault="00A154E3" w:rsidP="00C33FBD">
            <w:pPr>
              <w:pStyle w:val="Normal6"/>
              <w:rPr>
                <w:szCs w:val="24"/>
              </w:rPr>
            </w:pPr>
            <w:r w:rsidRPr="00FC2BB6">
              <w:t>b)</w:t>
            </w:r>
            <w:r w:rsidRPr="00FC2BB6">
              <w:tab/>
            </w:r>
            <w:r w:rsidRPr="00FC2BB6">
              <w:rPr>
                <w:b/>
                <w:i/>
              </w:rPr>
              <w:t>bedöma de nationella offentliga investeringsgapen för att uppnå de gemensamma prioriteringarna; på grundval av detta ska den se</w:t>
            </w:r>
            <w:r w:rsidRPr="00FC2BB6">
              <w:rPr>
                <w:b/>
                <w:i/>
              </w:rPr>
              <w:t xml:space="preserve"> till att den planerade finanspolitiska anpassningen möjliggör nödvändiga sociala investeringar för att genomföra principerna i den europeiska pelaren för sociala rättigheter; den ska dessutom </w:t>
            </w:r>
            <w:r w:rsidRPr="00FC2BB6">
              <w:t xml:space="preserve">redogöra för hur det faktiska genomförandet av investeringar </w:t>
            </w:r>
            <w:r w:rsidRPr="00FC2BB6">
              <w:t>och reformer för att hantera de främsta utmaningar som fastställts i de landsspecifika rekommendationerna inom den europeiska planeringsterminen ska säkerställas, i förekommande fall korrigera makroekonomiska obalanser som fastställs inom ramen för förfara</w:t>
            </w:r>
            <w:r w:rsidRPr="00FC2BB6">
              <w:t>ndet vid makroekonomiska obalanser</w:t>
            </w:r>
            <w:r w:rsidRPr="00FC2BB6">
              <w:rPr>
                <w:b/>
                <w:i/>
              </w:rPr>
              <w:t>, i förekommande fall korrigera de identifierade riskerna för den sociala konvergensen inom ramen för social konvergens</w:t>
            </w:r>
            <w:r w:rsidRPr="00FC2BB6">
              <w:t xml:space="preserve"> och svara mot de gemensamma prioriteringar för unionen som avses i bilaga VI till denna förordning, dä</w:t>
            </w:r>
            <w:r w:rsidRPr="00FC2BB6">
              <w:t>ribland den europeiska gröna given, den europeiska pelaren för sociala rättigheter</w:t>
            </w:r>
            <w:r w:rsidRPr="00FC2BB6">
              <w:rPr>
                <w:b/>
                <w:i/>
              </w:rPr>
              <w:t>, inbegripet de därmed sammanhängande målen för sysselsättning, utbildning och fattigdomsminskning fram till 2030,</w:t>
            </w:r>
            <w:r w:rsidRPr="00FC2BB6">
              <w:t xml:space="preserve"> och det digitala decenniet, samtidigt som planen ska vara f</w:t>
            </w:r>
            <w:r w:rsidRPr="00FC2BB6">
              <w:t>örenlig med de uppdaterade nationella energi- och klimatplanerna och de nationella färdplanerna för det digitala decenniet</w:t>
            </w:r>
            <w:r w:rsidRPr="00FC2BB6">
              <w:rPr>
                <w:b/>
                <w:i/>
              </w:rPr>
              <w:t xml:space="preserve">; dessutom ska den förklara hur den bidrar till genomförandet av de allmänna riktlinjerna för medlemsstaternas ekonomiska politik och </w:t>
            </w:r>
            <w:r w:rsidRPr="00FC2BB6">
              <w:rPr>
                <w:b/>
                <w:i/>
              </w:rPr>
              <w:t>till sysselsättningsriktlinjerna i enlighet med artiklarna 121.2 och 148.2 i EUF-fördraget</w:t>
            </w:r>
            <w:r w:rsidRPr="00FC2BB6">
              <w:t>,</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19</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Artikel 12 – punkt 1 – led da (nytt)</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tcPr>
          <w:p w:rsidR="00AF0131" w:rsidRPr="00FC2BB6" w:rsidRDefault="00AF0131" w:rsidP="00C33FBD">
            <w:pPr>
              <w:pStyle w:val="Normal6"/>
            </w:pPr>
          </w:p>
        </w:tc>
        <w:tc>
          <w:tcPr>
            <w:tcW w:w="4876" w:type="dxa"/>
            <w:hideMark/>
          </w:tcPr>
          <w:p w:rsidR="00AF0131" w:rsidRPr="00FC2BB6" w:rsidRDefault="00A154E3" w:rsidP="00C33FBD">
            <w:pPr>
              <w:pStyle w:val="Normal6"/>
              <w:rPr>
                <w:szCs w:val="24"/>
              </w:rPr>
            </w:pPr>
            <w:r w:rsidRPr="00FC2BB6">
              <w:rPr>
                <w:b/>
                <w:i/>
              </w:rPr>
              <w:t>da)</w:t>
            </w:r>
            <w:r w:rsidRPr="00FC2BB6">
              <w:rPr>
                <w:b/>
                <w:i/>
              </w:rPr>
              <w:tab/>
              <w:t xml:space="preserve">förklara processen för samråd, i enlighet med den nationella rättsliga ramen, med lokala och regionala myndigheter, arbetsmarknadens parter, det civila samhällets organisationer och andra berörda parter, och hur </w:t>
            </w:r>
            <w:r w:rsidRPr="00FC2BB6">
              <w:rPr>
                <w:b/>
                <w:i/>
              </w:rPr>
              <w:t>intressenternas synpunkter återspeglas i planen och i genomförandeprocessen, och</w:t>
            </w:r>
          </w:p>
        </w:tc>
      </w:tr>
    </w:tbl>
    <w:p w:rsidR="00AF0131" w:rsidRPr="00FC2BB6" w:rsidRDefault="00A154E3" w:rsidP="00AF0131">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20</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Artikel 13 – punkt 2 – stycke 2 – led iv</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 xml:space="preserve">Kommissionens </w:t>
            </w:r>
            <w:r w:rsidRPr="00FC2BB6">
              <w:t>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iv)</w:t>
            </w:r>
            <w:r w:rsidRPr="00FC2BB6">
              <w:tab/>
              <w:t>De ska följa relevanta landsspecifika rekommendationer som riktats till den berörda medlemsstaten, i tillämpliga fall inbegripet rekommendationer som utfärdats inom förfarandet vid makroekonomiska obalanser.</w:t>
            </w:r>
          </w:p>
        </w:tc>
        <w:tc>
          <w:tcPr>
            <w:tcW w:w="4876" w:type="dxa"/>
            <w:hideMark/>
          </w:tcPr>
          <w:p w:rsidR="00AF0131" w:rsidRPr="00FC2BB6" w:rsidRDefault="00A154E3" w:rsidP="00C33FBD">
            <w:pPr>
              <w:pStyle w:val="Normal6"/>
              <w:rPr>
                <w:szCs w:val="24"/>
              </w:rPr>
            </w:pPr>
            <w:r w:rsidRPr="00FC2BB6">
              <w:t>iv)</w:t>
            </w:r>
            <w:r w:rsidRPr="00FC2BB6">
              <w:tab/>
              <w:t>De ska följa re</w:t>
            </w:r>
            <w:r w:rsidRPr="00FC2BB6">
              <w:t xml:space="preserve">levanta landsspecifika rekommendationer som riktats till den berörda medlemsstaten, i </w:t>
            </w:r>
            <w:r w:rsidRPr="00FC2BB6">
              <w:rPr>
                <w:b/>
                <w:i/>
              </w:rPr>
              <w:t xml:space="preserve">enlighet med artiklarna 121.4 och 148.4 i EUF-fördraget, i </w:t>
            </w:r>
            <w:r w:rsidRPr="00FC2BB6">
              <w:t>tillämpliga fall inbegripet rekommendationer som utfärdats inom förfarandet vid makroekonomiska obalanser</w:t>
            </w:r>
            <w:r w:rsidRPr="00FC2BB6">
              <w:rPr>
                <w:b/>
                <w:i/>
              </w:rPr>
              <w:t xml:space="preserve"> och inom ramen för social konvergens</w:t>
            </w:r>
            <w:r w:rsidRPr="00FC2BB6">
              <w:t>.</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21</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Artikel 16 – stycke 1</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 xml:space="preserve">Rådet ska, på kommissionens rekommendation och som regel </w:t>
            </w:r>
            <w:r w:rsidRPr="00FC2BB6">
              <w:rPr>
                <w:b/>
                <w:i/>
              </w:rPr>
              <w:t>inom fyra</w:t>
            </w:r>
            <w:r w:rsidRPr="00FC2BB6">
              <w:t xml:space="preserve"> veckor från det att denna rekommendation antagits, anta en rekommendation som anger den berörda medlemsstatens nettoutgiftsbana och, i förekommande fall, godkänner de reform- och investerin</w:t>
            </w:r>
            <w:r w:rsidRPr="00FC2BB6">
              <w:t>gsåtaganden som ligger till grund för en förlängning av anpassningsperioden i medlemsstatens nationella medelfristiga finans- och strukturpolitiska plan.</w:t>
            </w:r>
          </w:p>
        </w:tc>
        <w:tc>
          <w:tcPr>
            <w:tcW w:w="4876" w:type="dxa"/>
            <w:hideMark/>
          </w:tcPr>
          <w:p w:rsidR="00AF0131" w:rsidRPr="00FC2BB6" w:rsidRDefault="00A154E3" w:rsidP="00C33FBD">
            <w:pPr>
              <w:pStyle w:val="Normal6"/>
              <w:rPr>
                <w:szCs w:val="24"/>
              </w:rPr>
            </w:pPr>
            <w:r w:rsidRPr="00FC2BB6">
              <w:t>Rådet ska, på kommissionens rekommendation</w:t>
            </w:r>
            <w:r w:rsidRPr="00FC2BB6">
              <w:rPr>
                <w:b/>
                <w:i/>
              </w:rPr>
              <w:t xml:space="preserve">, och efter samråd med de relevanta rådgivande kommittéer </w:t>
            </w:r>
            <w:r w:rsidRPr="00FC2BB6">
              <w:rPr>
                <w:b/>
                <w:i/>
              </w:rPr>
              <w:t>som identifierats enligt artikel 26,</w:t>
            </w:r>
            <w:r w:rsidRPr="00FC2BB6">
              <w:t xml:space="preserve"> och som regel </w:t>
            </w:r>
            <w:r w:rsidRPr="00FC2BB6">
              <w:rPr>
                <w:b/>
                <w:i/>
              </w:rPr>
              <w:t>mellan sex och tio</w:t>
            </w:r>
            <w:r w:rsidRPr="00FC2BB6">
              <w:t xml:space="preserve"> veckor från det att denna rekommendation antagits, anta en rekommendation som anger den berörda medlemsstatens nettoutgiftsbana och, i förekommande fall, godkänna de reform- och invester</w:t>
            </w:r>
            <w:r w:rsidRPr="00FC2BB6">
              <w:t>ingsåtaganden som ligger till grund för en förlängning av anpassningsperioden i medlemsstatens nationella medelfristiga finans- och strukturpolitiska plan.</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22</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w:t>
      </w:r>
      <w:r w:rsidRPr="00FC2BB6">
        <w:rPr>
          <w:rStyle w:val="HideTWBExt"/>
          <w:b w:val="0"/>
        </w:rPr>
        <w:t>rticle&gt;</w:t>
      </w:r>
      <w:r w:rsidRPr="00FC2BB6">
        <w:t>Artikel 17 – stycke 1</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Om rådet anser att planen inte uppfyller kraven i artikel 15.2 och 15.3</w:t>
            </w:r>
            <w:r w:rsidRPr="00FC2BB6">
              <w:rPr>
                <w:b/>
                <w:i/>
              </w:rPr>
              <w:t> </w:t>
            </w:r>
            <w:r w:rsidRPr="00FC2BB6">
              <w:t xml:space="preserve">a ska rådet, på kommissionens rekommendation, rekommendera den berörda medlemsstaten att lämna in en </w:t>
            </w:r>
            <w:r w:rsidRPr="00FC2BB6">
              <w:t>reviderad nationell medelfristig finans- och strukturpolitisk plan.</w:t>
            </w:r>
          </w:p>
        </w:tc>
        <w:tc>
          <w:tcPr>
            <w:tcW w:w="4876" w:type="dxa"/>
            <w:hideMark/>
          </w:tcPr>
          <w:p w:rsidR="00AF0131" w:rsidRPr="00FC2BB6" w:rsidRDefault="00A154E3" w:rsidP="00C33FBD">
            <w:pPr>
              <w:pStyle w:val="Normal6"/>
              <w:rPr>
                <w:szCs w:val="24"/>
              </w:rPr>
            </w:pPr>
            <w:r w:rsidRPr="00FC2BB6">
              <w:t>Om rådet anser att planen inte uppfyller kraven i artikel 15.2 och 15.3</w:t>
            </w:r>
            <w:r w:rsidRPr="00FC2BB6">
              <w:rPr>
                <w:b/>
                <w:i/>
              </w:rPr>
              <w:t xml:space="preserve"> </w:t>
            </w:r>
            <w:r w:rsidRPr="00FC2BB6">
              <w:t>a</w:t>
            </w:r>
            <w:r w:rsidRPr="00FC2BB6">
              <w:rPr>
                <w:b/>
                <w:i/>
              </w:rPr>
              <w:t xml:space="preserve"> och b</w:t>
            </w:r>
            <w:r w:rsidRPr="00FC2BB6">
              <w:t xml:space="preserve"> ska rådet, på kommissionens rekommendation</w:t>
            </w:r>
            <w:r w:rsidRPr="00FC2BB6">
              <w:rPr>
                <w:b/>
                <w:i/>
              </w:rPr>
              <w:t>, och efter samråd med de relevanta rådgivande kommittéer som iden</w:t>
            </w:r>
            <w:r w:rsidRPr="00FC2BB6">
              <w:rPr>
                <w:b/>
                <w:i/>
              </w:rPr>
              <w:t>tifierats enligt artikel 26</w:t>
            </w:r>
            <w:r w:rsidRPr="00FC2BB6">
              <w:t>, rekommendera den berörda medlemsstaten att lämna in en reviderad nationell medelfristig finans- och strukturpolitisk plan.</w:t>
            </w:r>
          </w:p>
        </w:tc>
      </w:tr>
    </w:tbl>
    <w:p w:rsidR="00AF0131" w:rsidRPr="00FC2BB6" w:rsidRDefault="00A154E3" w:rsidP="00AF0131">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23</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Artikel 20 – punkt 2</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2.</w:t>
            </w:r>
            <w:r w:rsidRPr="00FC2BB6">
              <w:tab/>
              <w:t xml:space="preserve">Den årliga lägesrapport som avses i punkt 1 ska i synnerhet innehålla information om framstegen i genomförandet av nettoutgiftsbanan, genomförandet av mer allmänna reform- </w:t>
            </w:r>
            <w:r w:rsidRPr="00FC2BB6">
              <w:t>och investeringsåtaganden i samband med den europeiska planeringsterminen och, i förekommande fall, genomförandet av reform- och investeringsåtaganden som ligger till grund för en förlängning av anpassningsperioden.</w:t>
            </w:r>
          </w:p>
        </w:tc>
        <w:tc>
          <w:tcPr>
            <w:tcW w:w="4876" w:type="dxa"/>
            <w:hideMark/>
          </w:tcPr>
          <w:p w:rsidR="00AF0131" w:rsidRPr="00FC2BB6" w:rsidRDefault="00A154E3" w:rsidP="00C33FBD">
            <w:pPr>
              <w:pStyle w:val="Normal6"/>
              <w:rPr>
                <w:szCs w:val="24"/>
              </w:rPr>
            </w:pPr>
            <w:r w:rsidRPr="00FC2BB6">
              <w:t>2.</w:t>
            </w:r>
            <w:r w:rsidRPr="00FC2BB6">
              <w:tab/>
              <w:t>Den årliga lägesrapport som avses i p</w:t>
            </w:r>
            <w:r w:rsidRPr="00FC2BB6">
              <w:t>unkt 1 ska i synnerhet innehålla information om framstegen i genomförandet av nettoutgiftsbanan, genomförandet av mer allmänna reform- och investeringsåtaganden i samband med den europeiska planeringsterminen</w:t>
            </w:r>
            <w:r w:rsidRPr="00FC2BB6">
              <w:rPr>
                <w:b/>
                <w:i/>
              </w:rPr>
              <w:t xml:space="preserve">, inbegripet framstegen när det gäller unionens </w:t>
            </w:r>
            <w:r w:rsidRPr="00FC2BB6">
              <w:rPr>
                <w:b/>
                <w:i/>
              </w:rPr>
              <w:t>mål och nationella mål för sysselsättning, utbildning och fattigdomsbekämpning fram till 2030 samt de gemensamma prioriteringar för unionen som avses i bilaga VI</w:t>
            </w:r>
            <w:r w:rsidRPr="00FC2BB6">
              <w:t xml:space="preserve"> och, i förekommande fall, genomförandet av reform- och investeringsåtaganden som ligger till g</w:t>
            </w:r>
            <w:r w:rsidRPr="00FC2BB6">
              <w:t>rund för en förlängning av anpassningsperioden.</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24</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Artikel 22 – stycke 1</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 xml:space="preserve">Varje nationell oberoende </w:t>
            </w:r>
            <w:r w:rsidRPr="00FC2BB6">
              <w:t>finanspolitisk institution som avses i artikel</w:t>
            </w:r>
            <w:r w:rsidRPr="00FC2BB6">
              <w:rPr>
                <w:b/>
                <w:i/>
              </w:rPr>
              <w:t> </w:t>
            </w:r>
            <w:r w:rsidRPr="00FC2BB6">
              <w:t>8 i rådets direktiv [...]</w:t>
            </w:r>
            <w:r w:rsidRPr="00FC2BB6">
              <w:rPr>
                <w:vertAlign w:val="superscript"/>
              </w:rPr>
              <w:t xml:space="preserve">32 </w:t>
            </w:r>
            <w:r w:rsidRPr="00FC2BB6">
              <w:t>[om nationella budgetramverk] ska</w:t>
            </w:r>
            <w:r w:rsidRPr="00FC2BB6">
              <w:rPr>
                <w:b/>
                <w:i/>
              </w:rPr>
              <w:t xml:space="preserve"> tillhandahålla en bedömning av hur de budgetutfallsdata som rapporteras i den lägesrapport som avses i artikel 20 överensstämmer med nettoutgiftsba</w:t>
            </w:r>
            <w:r w:rsidRPr="00FC2BB6">
              <w:rPr>
                <w:b/>
                <w:i/>
              </w:rPr>
              <w:t>nan.</w:t>
            </w:r>
            <w:r w:rsidRPr="00FC2BB6">
              <w:t xml:space="preserve"> </w:t>
            </w:r>
            <w:r w:rsidRPr="00FC2BB6">
              <w:rPr>
                <w:b/>
                <w:i/>
              </w:rPr>
              <w:t>Varje nationell oberoende finanspolitisk institution ska i tillämpliga fall även analysera de faktorer som ligger bakom en avvikelse från nettoutgiftsbanan.</w:t>
            </w:r>
          </w:p>
        </w:tc>
        <w:tc>
          <w:tcPr>
            <w:tcW w:w="4876" w:type="dxa"/>
            <w:hideMark/>
          </w:tcPr>
          <w:p w:rsidR="00AF0131" w:rsidRPr="00FC2BB6" w:rsidRDefault="00A154E3" w:rsidP="00C33FBD">
            <w:pPr>
              <w:pStyle w:val="Normal6"/>
              <w:rPr>
                <w:szCs w:val="24"/>
              </w:rPr>
            </w:pPr>
            <w:r w:rsidRPr="00FC2BB6">
              <w:t>Varje nationell oberoende finanspolitisk institution som avses i artikel</w:t>
            </w:r>
            <w:r w:rsidRPr="00FC2BB6">
              <w:rPr>
                <w:b/>
                <w:i/>
              </w:rPr>
              <w:t xml:space="preserve"> </w:t>
            </w:r>
            <w:r w:rsidRPr="00FC2BB6">
              <w:t>8 i rådets direktiv [</w:t>
            </w:r>
            <w:r w:rsidRPr="00FC2BB6">
              <w:t>...]</w:t>
            </w:r>
            <w:r w:rsidRPr="00FC2BB6">
              <w:rPr>
                <w:vertAlign w:val="superscript"/>
              </w:rPr>
              <w:t>32</w:t>
            </w:r>
            <w:r w:rsidRPr="00FC2BB6">
              <w:t xml:space="preserve"> [om nationella budgetramverk] ska</w:t>
            </w:r>
          </w:p>
        </w:tc>
      </w:tr>
      <w:tr w:rsidR="00EC7A2D" w:rsidRPr="00FC2BB6" w:rsidTr="00C33FBD">
        <w:trPr>
          <w:jc w:val="center"/>
        </w:trPr>
        <w:tc>
          <w:tcPr>
            <w:tcW w:w="4876" w:type="dxa"/>
          </w:tcPr>
          <w:p w:rsidR="00AF0131" w:rsidRPr="00FC2BB6" w:rsidRDefault="00AF0131" w:rsidP="00C33FBD">
            <w:pPr>
              <w:pStyle w:val="Normal6"/>
            </w:pPr>
          </w:p>
        </w:tc>
        <w:tc>
          <w:tcPr>
            <w:tcW w:w="4876" w:type="dxa"/>
            <w:hideMark/>
          </w:tcPr>
          <w:p w:rsidR="00AF0131" w:rsidRPr="00FC2BB6" w:rsidRDefault="00A154E3" w:rsidP="00C33FBD">
            <w:pPr>
              <w:pStyle w:val="Normal6"/>
              <w:rPr>
                <w:szCs w:val="24"/>
              </w:rPr>
            </w:pPr>
            <w:r w:rsidRPr="00FC2BB6">
              <w:rPr>
                <w:b/>
                <w:i/>
              </w:rPr>
              <w:t>a)</w:t>
            </w:r>
            <w:r w:rsidRPr="00FC2BB6">
              <w:t xml:space="preserve"> </w:t>
            </w:r>
            <w:r w:rsidRPr="00FC2BB6">
              <w:tab/>
            </w:r>
            <w:r w:rsidRPr="00FC2BB6">
              <w:rPr>
                <w:b/>
                <w:i/>
              </w:rPr>
              <w:t>tillhandahålla en bedömning av hur de budgetutfallsdata som rapporteras i den lägesrapport som avses i artikel 20 överensstämmer med nettoutgiftsbanan,</w:t>
            </w:r>
          </w:p>
        </w:tc>
      </w:tr>
      <w:tr w:rsidR="00EC7A2D" w:rsidRPr="00FC2BB6" w:rsidTr="00C33FBD">
        <w:trPr>
          <w:jc w:val="center"/>
        </w:trPr>
        <w:tc>
          <w:tcPr>
            <w:tcW w:w="4876" w:type="dxa"/>
          </w:tcPr>
          <w:p w:rsidR="00AF0131" w:rsidRPr="00FC2BB6" w:rsidRDefault="00AF0131" w:rsidP="00C33FBD">
            <w:pPr>
              <w:pStyle w:val="Normal6"/>
            </w:pPr>
          </w:p>
        </w:tc>
        <w:tc>
          <w:tcPr>
            <w:tcW w:w="4876" w:type="dxa"/>
            <w:hideMark/>
          </w:tcPr>
          <w:p w:rsidR="00AF0131" w:rsidRPr="00FC2BB6" w:rsidRDefault="00A154E3" w:rsidP="00C33FBD">
            <w:pPr>
              <w:pStyle w:val="Normal6"/>
              <w:rPr>
                <w:szCs w:val="24"/>
              </w:rPr>
            </w:pPr>
            <w:r w:rsidRPr="00FC2BB6">
              <w:rPr>
                <w:b/>
                <w:i/>
              </w:rPr>
              <w:t>b)</w:t>
            </w:r>
            <w:r w:rsidRPr="00FC2BB6">
              <w:t xml:space="preserve"> </w:t>
            </w:r>
            <w:r w:rsidRPr="00FC2BB6">
              <w:tab/>
            </w:r>
            <w:r w:rsidRPr="00FC2BB6">
              <w:rPr>
                <w:b/>
                <w:i/>
              </w:rPr>
              <w:t xml:space="preserve">i tillämpliga fall även analysera de faktorer som </w:t>
            </w:r>
            <w:r w:rsidRPr="00FC2BB6">
              <w:rPr>
                <w:b/>
                <w:i/>
              </w:rPr>
              <w:t>ligger bakom en avvikelse från nettoutgiftsbanan,</w:t>
            </w:r>
          </w:p>
        </w:tc>
      </w:tr>
      <w:tr w:rsidR="00EC7A2D" w:rsidRPr="00FC2BB6" w:rsidTr="00C33FBD">
        <w:trPr>
          <w:jc w:val="center"/>
        </w:trPr>
        <w:tc>
          <w:tcPr>
            <w:tcW w:w="4876" w:type="dxa"/>
          </w:tcPr>
          <w:p w:rsidR="00AF0131" w:rsidRPr="00FC2BB6" w:rsidRDefault="00AF0131" w:rsidP="00C33FBD">
            <w:pPr>
              <w:pStyle w:val="Normal6"/>
            </w:pPr>
          </w:p>
        </w:tc>
        <w:tc>
          <w:tcPr>
            <w:tcW w:w="4876" w:type="dxa"/>
            <w:hideMark/>
          </w:tcPr>
          <w:p w:rsidR="00AF0131" w:rsidRPr="00FC2BB6" w:rsidRDefault="00A154E3" w:rsidP="00C33FBD">
            <w:pPr>
              <w:pStyle w:val="Normal6"/>
              <w:rPr>
                <w:szCs w:val="24"/>
              </w:rPr>
            </w:pPr>
            <w:r w:rsidRPr="00FC2BB6">
              <w:rPr>
                <w:b/>
                <w:i/>
              </w:rPr>
              <w:t xml:space="preserve">c) </w:t>
            </w:r>
            <w:r w:rsidRPr="00FC2BB6">
              <w:tab/>
            </w:r>
            <w:r w:rsidRPr="00FC2BB6">
              <w:rPr>
                <w:b/>
                <w:i/>
              </w:rPr>
              <w:t>tillhandahålla en bedömning av de sociala konsekvenserna av beslut om finanspolitisk anpassning.</w:t>
            </w:r>
          </w:p>
        </w:tc>
      </w:tr>
      <w:tr w:rsidR="00EC7A2D" w:rsidRPr="00FC2BB6" w:rsidTr="00C33FBD">
        <w:trPr>
          <w:jc w:val="center"/>
        </w:trPr>
        <w:tc>
          <w:tcPr>
            <w:tcW w:w="4876" w:type="dxa"/>
            <w:hideMark/>
          </w:tcPr>
          <w:p w:rsidR="00AF0131" w:rsidRPr="00FC2BB6" w:rsidRDefault="00A154E3" w:rsidP="00C33FBD">
            <w:pPr>
              <w:pStyle w:val="Normal6"/>
            </w:pPr>
            <w:r w:rsidRPr="00FC2BB6">
              <w:t>__________________</w:t>
            </w:r>
          </w:p>
        </w:tc>
        <w:tc>
          <w:tcPr>
            <w:tcW w:w="4876" w:type="dxa"/>
            <w:hideMark/>
          </w:tcPr>
          <w:p w:rsidR="00AF0131" w:rsidRPr="00FC2BB6" w:rsidRDefault="00A154E3" w:rsidP="00C33FBD">
            <w:pPr>
              <w:pStyle w:val="Normal6"/>
              <w:rPr>
                <w:szCs w:val="24"/>
              </w:rPr>
            </w:pPr>
            <w:r w:rsidRPr="00FC2BB6">
              <w:t>__________________</w:t>
            </w:r>
          </w:p>
        </w:tc>
      </w:tr>
      <w:tr w:rsidR="00EC7A2D" w:rsidRPr="00FC2BB6" w:rsidTr="00C33FBD">
        <w:trPr>
          <w:jc w:val="center"/>
        </w:trPr>
        <w:tc>
          <w:tcPr>
            <w:tcW w:w="4876" w:type="dxa"/>
            <w:hideMark/>
          </w:tcPr>
          <w:p w:rsidR="00AF0131" w:rsidRPr="00FC2BB6" w:rsidRDefault="00A154E3" w:rsidP="00C33FBD">
            <w:pPr>
              <w:pStyle w:val="Normal6"/>
            </w:pPr>
            <w:r w:rsidRPr="00FC2BB6">
              <w:rPr>
                <w:vertAlign w:val="superscript"/>
              </w:rPr>
              <w:t>32</w:t>
            </w:r>
            <w:r w:rsidRPr="00FC2BB6">
              <w:t xml:space="preserve"> Rådets direktiv [...] av den [...] [om ändring av rådets dir</w:t>
            </w:r>
            <w:r w:rsidRPr="00FC2BB6">
              <w:t>ektiv 2011/85/EU om krav på medlemsstaternas budgetramverk] (EUT ..., s…).</w:t>
            </w:r>
          </w:p>
        </w:tc>
        <w:tc>
          <w:tcPr>
            <w:tcW w:w="4876" w:type="dxa"/>
            <w:hideMark/>
          </w:tcPr>
          <w:p w:rsidR="00AF0131" w:rsidRPr="00FC2BB6" w:rsidRDefault="00A154E3" w:rsidP="00C33FBD">
            <w:pPr>
              <w:pStyle w:val="Normal6"/>
              <w:rPr>
                <w:szCs w:val="24"/>
              </w:rPr>
            </w:pPr>
            <w:r w:rsidRPr="00FC2BB6">
              <w:rPr>
                <w:vertAlign w:val="superscript"/>
              </w:rPr>
              <w:t>32</w:t>
            </w:r>
            <w:r w:rsidRPr="00FC2BB6">
              <w:t xml:space="preserve"> Rådets direktiv [...] av den [...] [om ändring av rådets direktiv 2011/85/EU om krav på medlemsstaternas budgetramverk] (EUT ..., s…).</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25</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Artikel 26 – stycke 1</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 xml:space="preserve">Europaparlamentet ska vederbörligen involveras i den europeiska planeringsterminen i syfte att öka transparens, </w:t>
            </w:r>
            <w:r w:rsidRPr="00FC2BB6">
              <w:t>ägarskap och möjlighet till ansvarsutkrävande för de beslut som fattas, framför allt genom en ekonomisk dialog. Ekonomiska och finansiella kommittén, kommittén för ekonomisk politik, sysselsättningskommittén och kommittén för socialt skydd ska i lämpliga f</w:t>
            </w:r>
            <w:r w:rsidRPr="00FC2BB6">
              <w:t>all höras inom ramen för den europeiska planeringsterminen. Relevanta intressenter, särskilt arbetsmarknadens parter, ska involveras i den europeiska planeringsterminen i de huvudsakliga politiska frågorna när detta är lämpligt, i enlighet med bestämmelser</w:t>
            </w:r>
            <w:r w:rsidRPr="00FC2BB6">
              <w:t>na i EUF-fördraget och nationella rättsliga och politiska arrangemang.</w:t>
            </w:r>
          </w:p>
        </w:tc>
        <w:tc>
          <w:tcPr>
            <w:tcW w:w="4876" w:type="dxa"/>
            <w:hideMark/>
          </w:tcPr>
          <w:p w:rsidR="00AF0131" w:rsidRPr="00FC2BB6" w:rsidRDefault="00A154E3" w:rsidP="00C33FBD">
            <w:pPr>
              <w:pStyle w:val="Normal6"/>
              <w:rPr>
                <w:szCs w:val="24"/>
              </w:rPr>
            </w:pPr>
            <w:r w:rsidRPr="00FC2BB6">
              <w:t>Europaparlamentet ska vederbörligen involveras i den europeiska planeringsterminen i syfte att öka transparens, ägarskap och möjlighet till ansvarsutkrävande för de beslut som fattas, f</w:t>
            </w:r>
            <w:r w:rsidRPr="00FC2BB6">
              <w:t xml:space="preserve">ramför allt genom en ekonomisk </w:t>
            </w:r>
            <w:r w:rsidRPr="00FC2BB6">
              <w:rPr>
                <w:b/>
                <w:i/>
              </w:rPr>
              <w:t xml:space="preserve">och sysselsättningsrelaterad </w:t>
            </w:r>
            <w:r w:rsidRPr="00FC2BB6">
              <w:t>dialog</w:t>
            </w:r>
            <w:r w:rsidRPr="00FC2BB6">
              <w:rPr>
                <w:b/>
                <w:i/>
              </w:rPr>
              <w:t xml:space="preserve"> samt för att fastställa makroekonomiska och socialpolitiska prioriteringar</w:t>
            </w:r>
            <w:r w:rsidRPr="00FC2BB6">
              <w:t>. Ekonomiska och finansiella kommittén, kommittén för ekonomisk politik, sysselsättningskommittén och kommittén för</w:t>
            </w:r>
            <w:r w:rsidRPr="00FC2BB6">
              <w:t xml:space="preserve"> socialt skydd ska i lämpliga fall höras inom ramen för den europeiska planeringsterminen. </w:t>
            </w:r>
            <w:r w:rsidRPr="00FC2BB6">
              <w:rPr>
                <w:b/>
                <w:i/>
              </w:rPr>
              <w:t>Europeiska ekonomiska och sociala kommittén och Regionkommittén ska också höras inom ramen för den europeiska planeringsterminen när så är lämpligt.</w:t>
            </w:r>
            <w:r w:rsidRPr="00FC2BB6">
              <w:t xml:space="preserve"> Relevanta intres</w:t>
            </w:r>
            <w:r w:rsidRPr="00FC2BB6">
              <w:t>senter, särskilt arbetsmarknadens parter</w:t>
            </w:r>
            <w:r w:rsidRPr="00FC2BB6">
              <w:rPr>
                <w:b/>
                <w:i/>
              </w:rPr>
              <w:t xml:space="preserve"> och det civila samhällets organisationer</w:t>
            </w:r>
            <w:r w:rsidRPr="00FC2BB6">
              <w:t>, ska involveras i den europeiska planeringsterminen i de huvudsakliga politiska frågorna när detta är lämpligt, i enlighet med bestämmelserna i EUF-fördraget och nationella r</w:t>
            </w:r>
            <w:r w:rsidRPr="00FC2BB6">
              <w:t>ättsliga och politiska arrangemang.</w:t>
            </w:r>
          </w:p>
        </w:tc>
      </w:tr>
    </w:tbl>
    <w:p w:rsidR="00AF0131" w:rsidRPr="00FC2BB6" w:rsidRDefault="00A154E3" w:rsidP="00C56375">
      <w:pPr>
        <w:rPr>
          <w:rFonts w:eastAsiaTheme="majorEastAsia"/>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26</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Artikel 26 – stycke 2</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 xml:space="preserve">För att stärka dialogen mellan unionens </w:t>
            </w:r>
            <w:r w:rsidRPr="00FC2BB6">
              <w:t>institutioner, särskilt Europaparlamentet, rådet och kommissionen, och för att säkerställa transparens och möjlighet till ansvarsutkrävande, får Europaparlamentet bjuda in rådets ordförande, kommissionen och, i lämpliga fall, Europeiska rådets ordförande e</w:t>
            </w:r>
            <w:r w:rsidRPr="00FC2BB6">
              <w:t>ller Eurogruppens ordförande för att diskutera kommissionens politiska vägledning till medlemsstaterna, Europeiska rådets slutsatser och resultatet av den multilaterala övervakning som genomförts i enlighet med denna förordning,</w:t>
            </w:r>
          </w:p>
        </w:tc>
        <w:tc>
          <w:tcPr>
            <w:tcW w:w="4876" w:type="dxa"/>
            <w:hideMark/>
          </w:tcPr>
          <w:p w:rsidR="00AF0131" w:rsidRPr="00FC2BB6" w:rsidRDefault="00A154E3" w:rsidP="00C33FBD">
            <w:pPr>
              <w:pStyle w:val="Normal6"/>
              <w:rPr>
                <w:szCs w:val="24"/>
              </w:rPr>
            </w:pPr>
            <w:r w:rsidRPr="00FC2BB6">
              <w:t>För att stärka dialogen mel</w:t>
            </w:r>
            <w:r w:rsidRPr="00FC2BB6">
              <w:t>lan unionens institutioner, särskilt Europaparlamentet, rådet och kommissionen, och för att säkerställa transparens och möjlighet till ansvarsutkrävande, får Europaparlamentet bjuda in rådets ordförande, kommissionen och, i lämpliga fall, Europeiska rådets</w:t>
            </w:r>
            <w:r w:rsidRPr="00FC2BB6">
              <w:t xml:space="preserve"> ordförande eller Eurogruppens ordförande för att diskutera kommissionens politiska vägledning till medlemsstaterna, Europeiska rådets slutsatser och resultatet av den multilaterala övervakning som genomförts i enlighet med denna förordning, inbegripet sys</w:t>
            </w:r>
            <w:r w:rsidRPr="00FC2BB6">
              <w:t>tem för tidig varning i enlighet med artikel 121.4 och 148 i EUF-fördraget.</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27</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Artikel 26 – punkt 3a (ny)</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tcPr>
          <w:p w:rsidR="00AF0131" w:rsidRPr="00FC2BB6" w:rsidRDefault="00AF0131" w:rsidP="00C33FBD">
            <w:pPr>
              <w:pStyle w:val="Normal6"/>
            </w:pPr>
          </w:p>
        </w:tc>
        <w:tc>
          <w:tcPr>
            <w:tcW w:w="4876" w:type="dxa"/>
            <w:hideMark/>
          </w:tcPr>
          <w:p w:rsidR="00AF0131" w:rsidRPr="00FC2BB6" w:rsidRDefault="00A154E3" w:rsidP="00C33FBD">
            <w:pPr>
              <w:pStyle w:val="Normal6"/>
              <w:rPr>
                <w:szCs w:val="24"/>
              </w:rPr>
            </w:pPr>
            <w:r w:rsidRPr="00FC2BB6">
              <w:rPr>
                <w:b/>
                <w:i/>
              </w:rPr>
              <w:t>Europaparlamentets ansvariga utskott får uppmana kommissionen att diskutera följande frågor:</w:t>
            </w:r>
          </w:p>
        </w:tc>
      </w:tr>
      <w:tr w:rsidR="00EC7A2D" w:rsidRPr="00FC2BB6" w:rsidTr="00C33FBD">
        <w:trPr>
          <w:jc w:val="center"/>
        </w:trPr>
        <w:tc>
          <w:tcPr>
            <w:tcW w:w="4876" w:type="dxa"/>
          </w:tcPr>
          <w:p w:rsidR="00AF0131" w:rsidRPr="00FC2BB6" w:rsidRDefault="00AF0131" w:rsidP="00C33FBD">
            <w:pPr>
              <w:pStyle w:val="Normal6"/>
            </w:pPr>
          </w:p>
        </w:tc>
        <w:tc>
          <w:tcPr>
            <w:tcW w:w="4876" w:type="dxa"/>
            <w:hideMark/>
          </w:tcPr>
          <w:p w:rsidR="00AF0131" w:rsidRPr="00FC2BB6" w:rsidRDefault="00A154E3" w:rsidP="00C33FBD">
            <w:pPr>
              <w:pStyle w:val="Normal6"/>
              <w:rPr>
                <w:szCs w:val="24"/>
              </w:rPr>
            </w:pPr>
            <w:r w:rsidRPr="00FC2BB6">
              <w:rPr>
                <w:b/>
                <w:i/>
              </w:rPr>
              <w:t>a)</w:t>
            </w:r>
            <w:r w:rsidRPr="00FC2BB6">
              <w:rPr>
                <w:b/>
                <w:i/>
              </w:rPr>
              <w:tab/>
              <w:t xml:space="preserve">Kommissionens bedömning av de medelfristiga prognoserna för den offentliga skuldsättningen i de nationella medelfristiga finans- och </w:t>
            </w:r>
            <w:r w:rsidRPr="00FC2BB6">
              <w:rPr>
                <w:b/>
                <w:i/>
              </w:rPr>
              <w:t>strukturpolitiska planerna samt skuldhållbarhetsanalysen.</w:t>
            </w:r>
          </w:p>
        </w:tc>
      </w:tr>
      <w:tr w:rsidR="00EC7A2D" w:rsidRPr="00FC2BB6" w:rsidTr="00C33FBD">
        <w:trPr>
          <w:jc w:val="center"/>
        </w:trPr>
        <w:tc>
          <w:tcPr>
            <w:tcW w:w="4876" w:type="dxa"/>
          </w:tcPr>
          <w:p w:rsidR="00AF0131" w:rsidRPr="00FC2BB6" w:rsidRDefault="00AF0131" w:rsidP="00C33FBD">
            <w:pPr>
              <w:pStyle w:val="Normal6"/>
            </w:pPr>
          </w:p>
        </w:tc>
        <w:tc>
          <w:tcPr>
            <w:tcW w:w="4876" w:type="dxa"/>
            <w:hideMark/>
          </w:tcPr>
          <w:p w:rsidR="00AF0131" w:rsidRPr="00FC2BB6" w:rsidRDefault="00A154E3" w:rsidP="00C33FBD">
            <w:pPr>
              <w:pStyle w:val="Normal6"/>
              <w:rPr>
                <w:szCs w:val="24"/>
              </w:rPr>
            </w:pPr>
            <w:r w:rsidRPr="00FC2BB6">
              <w:rPr>
                <w:b/>
                <w:i/>
              </w:rPr>
              <w:t>b)</w:t>
            </w:r>
            <w:r w:rsidRPr="00FC2BB6">
              <w:rPr>
                <w:b/>
                <w:i/>
              </w:rPr>
              <w:tab/>
              <w:t xml:space="preserve"> Bedömningen av den information som medlemsstaterna lämnat i de årliga lägesrapporterna.</w:t>
            </w:r>
          </w:p>
        </w:tc>
      </w:tr>
      <w:tr w:rsidR="00EC7A2D" w:rsidRPr="00FC2BB6" w:rsidTr="00C33FBD">
        <w:trPr>
          <w:jc w:val="center"/>
        </w:trPr>
        <w:tc>
          <w:tcPr>
            <w:tcW w:w="4876" w:type="dxa"/>
          </w:tcPr>
          <w:p w:rsidR="00AF0131" w:rsidRPr="00FC2BB6" w:rsidRDefault="00AF0131" w:rsidP="00C33FBD">
            <w:pPr>
              <w:pStyle w:val="Normal6"/>
            </w:pPr>
          </w:p>
        </w:tc>
        <w:tc>
          <w:tcPr>
            <w:tcW w:w="4876" w:type="dxa"/>
            <w:hideMark/>
          </w:tcPr>
          <w:p w:rsidR="00AF0131" w:rsidRPr="00FC2BB6" w:rsidRDefault="00A154E3" w:rsidP="00C33FBD">
            <w:pPr>
              <w:pStyle w:val="Normal6"/>
              <w:rPr>
                <w:szCs w:val="24"/>
              </w:rPr>
            </w:pPr>
            <w:r w:rsidRPr="00FC2BB6">
              <w:rPr>
                <w:b/>
                <w:i/>
              </w:rPr>
              <w:t>c)</w:t>
            </w:r>
            <w:r w:rsidRPr="00FC2BB6">
              <w:rPr>
                <w:b/>
                <w:i/>
              </w:rPr>
              <w:tab/>
              <w:t xml:space="preserve">Bedömningen av de reform- och investeringsåtaganden som ligger till grund för en förlängning av </w:t>
            </w:r>
            <w:r w:rsidRPr="00FC2BB6">
              <w:rPr>
                <w:b/>
                <w:i/>
              </w:rPr>
              <w:t>anpassningsperioden.</w:t>
            </w:r>
          </w:p>
        </w:tc>
      </w:tr>
      <w:tr w:rsidR="00EC7A2D" w:rsidRPr="00FC2BB6" w:rsidTr="00C33FBD">
        <w:trPr>
          <w:jc w:val="center"/>
        </w:trPr>
        <w:tc>
          <w:tcPr>
            <w:tcW w:w="4876" w:type="dxa"/>
          </w:tcPr>
          <w:p w:rsidR="00AF0131" w:rsidRPr="00FC2BB6" w:rsidRDefault="00AF0131" w:rsidP="00C33FBD">
            <w:pPr>
              <w:pStyle w:val="Normal6"/>
            </w:pPr>
          </w:p>
        </w:tc>
        <w:tc>
          <w:tcPr>
            <w:tcW w:w="4876" w:type="dxa"/>
            <w:hideMark/>
          </w:tcPr>
          <w:p w:rsidR="00AF0131" w:rsidRPr="00FC2BB6" w:rsidRDefault="00A154E3" w:rsidP="00C33FBD">
            <w:pPr>
              <w:pStyle w:val="Normal6"/>
              <w:rPr>
                <w:szCs w:val="24"/>
              </w:rPr>
            </w:pPr>
            <w:r w:rsidRPr="00FC2BB6">
              <w:rPr>
                <w:b/>
                <w:i/>
              </w:rPr>
              <w:t>d) Utvärderingen av de landsspecifika rekommendationerna och riskerna för social konvergens samt framstegen med genomförandet av principerna i den europeiska pelaren för sociala rättigheter.</w:t>
            </w:r>
          </w:p>
        </w:tc>
      </w:tr>
    </w:tbl>
    <w:p w:rsidR="00AF0131" w:rsidRPr="00FC2BB6" w:rsidRDefault="00A154E3" w:rsidP="00C56375">
      <w:pPr>
        <w:rPr>
          <w:rStyle w:val="HideTWBExt"/>
          <w:rFonts w:eastAsiaTheme="majorEastAsia"/>
          <w:b/>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2</w:t>
      </w:r>
      <w:r w:rsidRPr="00FC2BB6">
        <w:t>8</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Bilaga II – led d</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d)</w:t>
            </w:r>
            <w:r w:rsidRPr="00FC2BB6">
              <w:tab/>
              <w:t xml:space="preserve">Information om implicita förpliktelser </w:t>
            </w:r>
            <w:r w:rsidRPr="00FC2BB6">
              <w:rPr>
                <w:b/>
                <w:i/>
              </w:rPr>
              <w:t xml:space="preserve">som är knutna till befolkningens åldrande </w:t>
            </w:r>
            <w:r w:rsidRPr="00FC2BB6">
              <w:t xml:space="preserve">och ansvarsförbindelser med </w:t>
            </w:r>
            <w:r w:rsidRPr="00FC2BB6">
              <w:t xml:space="preserve">potentiellt stor påverkan på offentliga budgetar, inklusive offentliga garantier, nödlidande lån och skulder som härrör från offentliga bolags verksamhet, samt deras omfattning, potentiella utgifter och förpliktelser till följd av rättsfall, och, så långt </w:t>
            </w:r>
            <w:r w:rsidRPr="00FC2BB6">
              <w:t>det är möjligt, information om katastrof- och klimatrelaterade ansvarsförbindelser.</w:t>
            </w:r>
          </w:p>
        </w:tc>
        <w:tc>
          <w:tcPr>
            <w:tcW w:w="4876" w:type="dxa"/>
            <w:hideMark/>
          </w:tcPr>
          <w:p w:rsidR="00AF0131" w:rsidRPr="00FC2BB6" w:rsidRDefault="00A154E3" w:rsidP="00C33FBD">
            <w:pPr>
              <w:pStyle w:val="Normal6"/>
              <w:rPr>
                <w:szCs w:val="24"/>
              </w:rPr>
            </w:pPr>
            <w:r w:rsidRPr="00FC2BB6">
              <w:t>d)</w:t>
            </w:r>
            <w:r w:rsidRPr="00FC2BB6">
              <w:tab/>
              <w:t>Information om implicita förpliktelser och ansvarsförbindelser med potentiellt stor påverkan på offentliga budgetar, inklusive offentliga garantier, nödlidande lån och s</w:t>
            </w:r>
            <w:r w:rsidRPr="00FC2BB6">
              <w:t>kulder som härrör från offentliga bolags verksamhet, samt deras omfattning, potentiella utgifter och förpliktelser till följd av rättsfall, och, så långt det är möjligt, information om katastrof- och klimatrelaterade ansvarsförbindelser.</w:t>
            </w:r>
          </w:p>
        </w:tc>
      </w:tr>
    </w:tbl>
    <w:p w:rsidR="00AF0131" w:rsidRPr="00FC2BB6" w:rsidRDefault="00A154E3" w:rsidP="00AF0131">
      <w:pPr>
        <w:pStyle w:val="AMNumberTabs0"/>
        <w:keepNext/>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w:t>
      </w:r>
      <w:r w:rsidRPr="00FC2BB6">
        <w:t>ndringsförslag</w:t>
      </w:r>
      <w:r w:rsidRPr="00FC2BB6">
        <w:tab/>
      </w:r>
      <w:r w:rsidRPr="00FC2BB6">
        <w:tab/>
      </w:r>
      <w:r w:rsidRPr="00FC2BB6">
        <w:rPr>
          <w:rStyle w:val="HideTWBExt"/>
          <w:b w:val="0"/>
        </w:rPr>
        <w:t>&lt;NumAm&gt;</w:t>
      </w:r>
      <w:r w:rsidRPr="00FC2BB6">
        <w:t>29</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Bilaga II – led f</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f)</w:t>
            </w:r>
            <w:r w:rsidRPr="00FC2BB6">
              <w:tab/>
              <w:t xml:space="preserve">Starka ekonomiska argument för att förklara och motivera eventuella skillnader mellan </w:t>
            </w:r>
            <w:r w:rsidRPr="00FC2BB6">
              <w:t>medlemsstatens antaganden enligt led e och kommissionens antaganden för den anpassningsperiod som omfattas av den nationella medelfristiga finans- och strukturpolitiska planen och den efterföljande tioårsperioden utan ytterligare budgetåtgärder.</w:t>
            </w:r>
          </w:p>
        </w:tc>
        <w:tc>
          <w:tcPr>
            <w:tcW w:w="4876" w:type="dxa"/>
            <w:hideMark/>
          </w:tcPr>
          <w:p w:rsidR="00AF0131" w:rsidRPr="00FC2BB6" w:rsidRDefault="00A154E3" w:rsidP="00C33FBD">
            <w:pPr>
              <w:pStyle w:val="Normal6"/>
              <w:rPr>
                <w:szCs w:val="24"/>
              </w:rPr>
            </w:pPr>
            <w:r w:rsidRPr="00FC2BB6">
              <w:t>f)</w:t>
            </w:r>
            <w:r w:rsidRPr="00FC2BB6">
              <w:tab/>
            </w:r>
            <w:r w:rsidRPr="00FC2BB6">
              <w:t xml:space="preserve">Starka ekonomiska </w:t>
            </w:r>
            <w:r w:rsidRPr="00FC2BB6">
              <w:rPr>
                <w:b/>
                <w:i/>
              </w:rPr>
              <w:t xml:space="preserve">och sociala </w:t>
            </w:r>
            <w:r w:rsidRPr="00FC2BB6">
              <w:t>argument för att förklara och motivera eventuella skillnader mellan medlemsstatens antaganden enligt led e och kommissionens antaganden för den anpassningsperiod som omfattas av den nationella medelfristiga finans- och struktu</w:t>
            </w:r>
            <w:r w:rsidRPr="00FC2BB6">
              <w:t>rpolitiska planen och den efterföljande tioårsperioden utan ytterligare budgetåtgärder.</w:t>
            </w:r>
          </w:p>
        </w:tc>
      </w:tr>
    </w:tbl>
    <w:p w:rsidR="00AF0131" w:rsidRPr="00FC2BB6" w:rsidRDefault="00A154E3" w:rsidP="00AF0131">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30</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Bilaga II – led g</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g)</w:t>
            </w:r>
            <w:r w:rsidRPr="00FC2BB6">
              <w:tab/>
              <w:t>En analys av hur förändringar av de huvudsakliga ekonomiska antagandena skulle påverka medlemsstatens offentliga finanser och skuldsättning.</w:t>
            </w:r>
          </w:p>
        </w:tc>
        <w:tc>
          <w:tcPr>
            <w:tcW w:w="4876" w:type="dxa"/>
            <w:hideMark/>
          </w:tcPr>
          <w:p w:rsidR="00AF0131" w:rsidRPr="00FC2BB6" w:rsidRDefault="00A154E3" w:rsidP="00C33FBD">
            <w:pPr>
              <w:pStyle w:val="Normal6"/>
              <w:rPr>
                <w:szCs w:val="24"/>
              </w:rPr>
            </w:pPr>
            <w:r w:rsidRPr="00FC2BB6">
              <w:t>g)</w:t>
            </w:r>
            <w:r w:rsidRPr="00FC2BB6">
              <w:tab/>
              <w:t xml:space="preserve">En analys av hur förändringar av de huvudsakliga ekonomiska </w:t>
            </w:r>
            <w:r w:rsidRPr="00FC2BB6">
              <w:rPr>
                <w:b/>
                <w:i/>
              </w:rPr>
              <w:t xml:space="preserve">och sociala </w:t>
            </w:r>
            <w:r w:rsidRPr="00FC2BB6">
              <w:t>antagandena skulle p</w:t>
            </w:r>
            <w:r w:rsidRPr="00FC2BB6">
              <w:t>åverka medlemsstatens offentliga finanser och skuldsättning</w:t>
            </w:r>
            <w:r w:rsidRPr="00FC2BB6">
              <w:rPr>
                <w:b/>
                <w:i/>
              </w:rPr>
              <w:t xml:space="preserve"> samt uppnåendet av de nationella målen, kopplade till de överordnade målen i den europeiska pelaren för sociala rättigheter och deras huvudsakliga och sekundära indikatorer och de gemensamma prior</w:t>
            </w:r>
            <w:r w:rsidRPr="00FC2BB6">
              <w:rPr>
                <w:b/>
                <w:i/>
              </w:rPr>
              <w:t>iteringarna för unionen</w:t>
            </w:r>
            <w:r w:rsidRPr="00FC2BB6">
              <w:t>.</w:t>
            </w:r>
          </w:p>
        </w:tc>
      </w:tr>
    </w:tbl>
    <w:p w:rsidR="00AF0131" w:rsidRPr="00FC2BB6" w:rsidRDefault="00A154E3" w:rsidP="00AF0131">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31</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Bilaga II – led h</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h)</w:t>
            </w:r>
            <w:r w:rsidRPr="00FC2BB6">
              <w:tab/>
            </w:r>
            <w:r w:rsidRPr="00FC2BB6">
              <w:t xml:space="preserve">I förekommande fall, skäl (underbyggda med relevanta starka och </w:t>
            </w:r>
            <w:r w:rsidRPr="00FC2BB6">
              <w:rPr>
                <w:b/>
                <w:i/>
              </w:rPr>
              <w:t>verifierabara</w:t>
            </w:r>
            <w:r w:rsidRPr="00FC2BB6">
              <w:t xml:space="preserve"> ekonomiska argument) för avvikelser från den tekniska målbana som lagts fram av kommissionen.</w:t>
            </w:r>
          </w:p>
        </w:tc>
        <w:tc>
          <w:tcPr>
            <w:tcW w:w="4876" w:type="dxa"/>
            <w:hideMark/>
          </w:tcPr>
          <w:p w:rsidR="00AF0131" w:rsidRPr="00FC2BB6" w:rsidRDefault="00A154E3" w:rsidP="00C33FBD">
            <w:pPr>
              <w:pStyle w:val="Normal6"/>
              <w:rPr>
                <w:szCs w:val="24"/>
              </w:rPr>
            </w:pPr>
            <w:r w:rsidRPr="00FC2BB6">
              <w:t>h)</w:t>
            </w:r>
            <w:r w:rsidRPr="00FC2BB6">
              <w:tab/>
              <w:t xml:space="preserve">I förekommande fall, skäl (underbyggda med relevanta starka och </w:t>
            </w:r>
            <w:r w:rsidRPr="00FC2BB6">
              <w:rPr>
                <w:b/>
                <w:i/>
              </w:rPr>
              <w:t>verifierbara</w:t>
            </w:r>
            <w:r w:rsidRPr="00FC2BB6">
              <w:t xml:space="preserve"> ekon</w:t>
            </w:r>
            <w:r w:rsidRPr="00FC2BB6">
              <w:t>omiska</w:t>
            </w:r>
            <w:r w:rsidRPr="00FC2BB6">
              <w:rPr>
                <w:b/>
                <w:i/>
              </w:rPr>
              <w:t xml:space="preserve"> och sociala</w:t>
            </w:r>
            <w:r w:rsidRPr="00FC2BB6">
              <w:t xml:space="preserve"> argument) för avvikelser från den tekniska målbana som lagts fram av kommissionen.</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32</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Bilaga II – led j</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 xml:space="preserve">Kommissionens </w:t>
            </w:r>
            <w:r w:rsidRPr="00FC2BB6">
              <w:t>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j)</w:t>
            </w:r>
            <w:r w:rsidRPr="00FC2BB6">
              <w:tab/>
              <w:t>Totala offentliga investeringsutgifter och utgifter för reformer och offentliga investeringar som svarar mot de gemensamma prioriteringar för unionen som avses i bilaga VI.</w:t>
            </w:r>
          </w:p>
        </w:tc>
        <w:tc>
          <w:tcPr>
            <w:tcW w:w="4876" w:type="dxa"/>
            <w:hideMark/>
          </w:tcPr>
          <w:p w:rsidR="00AF0131" w:rsidRPr="00FC2BB6" w:rsidRDefault="00A154E3" w:rsidP="00C33FBD">
            <w:pPr>
              <w:pStyle w:val="Normal6"/>
              <w:rPr>
                <w:szCs w:val="24"/>
              </w:rPr>
            </w:pPr>
            <w:r w:rsidRPr="00FC2BB6">
              <w:t>j)</w:t>
            </w:r>
            <w:r w:rsidRPr="00FC2BB6">
              <w:tab/>
              <w:t xml:space="preserve">Totala offentliga investeringsutgifter och utgifter </w:t>
            </w:r>
            <w:r w:rsidRPr="00FC2BB6">
              <w:t xml:space="preserve">för reformer och offentliga investeringar som svarar mot </w:t>
            </w:r>
            <w:r w:rsidRPr="00FC2BB6">
              <w:rPr>
                <w:b/>
                <w:i/>
              </w:rPr>
              <w:t xml:space="preserve">var och en av </w:t>
            </w:r>
            <w:r w:rsidRPr="00FC2BB6">
              <w:t>de gemensamma prioriteringar för unionen som avses i bilaga VI.</w:t>
            </w:r>
          </w:p>
        </w:tc>
      </w:tr>
    </w:tbl>
    <w:p w:rsidR="00AF0131" w:rsidRPr="00FC2BB6" w:rsidRDefault="00A154E3" w:rsidP="00C56375">
      <w:pPr>
        <w:rPr>
          <w:rFonts w:eastAsiaTheme="majorEastAsia"/>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33</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 xml:space="preserve">Bilaga II – </w:t>
      </w:r>
      <w:r w:rsidRPr="00FC2BB6">
        <w:t>led k</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k)</w:t>
            </w:r>
            <w:r w:rsidRPr="00FC2BB6">
              <w:tab/>
              <w:t>I förekommande fall, information om särskilda, tidsbundna och verifierbara reform- och investeringsåtaganden som ligger till grund för en förlängning av anpassningsperioden i enlighet med artikel</w:t>
            </w:r>
            <w:r w:rsidRPr="00FC2BB6">
              <w:rPr>
                <w:b/>
                <w:i/>
              </w:rPr>
              <w:t> </w:t>
            </w:r>
            <w:r w:rsidRPr="00FC2BB6">
              <w:t>13, en tidsplan för deras genomförande samt starka ekonomiska argument för att dessa reform- och investeringsåtaganden uppfyller kriterierna i artikel</w:t>
            </w:r>
            <w:r w:rsidRPr="00FC2BB6">
              <w:rPr>
                <w:b/>
                <w:i/>
              </w:rPr>
              <w:t> </w:t>
            </w:r>
            <w:r w:rsidRPr="00FC2BB6">
              <w:t>13 med beaktande av bedömningskriterierna i bilaga VII.</w:t>
            </w:r>
          </w:p>
        </w:tc>
        <w:tc>
          <w:tcPr>
            <w:tcW w:w="4876" w:type="dxa"/>
            <w:hideMark/>
          </w:tcPr>
          <w:p w:rsidR="00AF0131" w:rsidRPr="00FC2BB6" w:rsidRDefault="00A154E3" w:rsidP="00C33FBD">
            <w:pPr>
              <w:pStyle w:val="Normal6"/>
              <w:rPr>
                <w:szCs w:val="24"/>
              </w:rPr>
            </w:pPr>
            <w:r w:rsidRPr="00FC2BB6">
              <w:t>k)</w:t>
            </w:r>
            <w:r w:rsidRPr="00FC2BB6">
              <w:tab/>
              <w:t>I förekommande fall, information om särskilda,</w:t>
            </w:r>
            <w:r w:rsidRPr="00FC2BB6">
              <w:t xml:space="preserve"> tidsbundna och verifierbara reform- och investeringsåtaganden som ligger till grund för en förlängning av anpassningsperioden i enlighet med artikel</w:t>
            </w:r>
            <w:r w:rsidRPr="00FC2BB6">
              <w:rPr>
                <w:b/>
                <w:i/>
              </w:rPr>
              <w:t xml:space="preserve"> </w:t>
            </w:r>
            <w:r w:rsidRPr="00FC2BB6">
              <w:t xml:space="preserve">13, en tidsplan för deras genomförande samt starka ekonomiska </w:t>
            </w:r>
            <w:r w:rsidRPr="00FC2BB6">
              <w:rPr>
                <w:b/>
                <w:i/>
              </w:rPr>
              <w:t xml:space="preserve">och sociala </w:t>
            </w:r>
            <w:r w:rsidRPr="00FC2BB6">
              <w:t xml:space="preserve">argument för att dessa reform- </w:t>
            </w:r>
            <w:r w:rsidRPr="00FC2BB6">
              <w:t>och investeringsåtaganden uppfyller kriterierna i artikel</w:t>
            </w:r>
            <w:r w:rsidRPr="00FC2BB6">
              <w:rPr>
                <w:b/>
                <w:i/>
              </w:rPr>
              <w:t xml:space="preserve"> </w:t>
            </w:r>
            <w:r w:rsidRPr="00FC2BB6">
              <w:t>13 med beaktande av bedömningskriterierna i bilaga VII.</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34</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Bilaga II – led l</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w:t>
            </w:r>
            <w:r w:rsidRPr="00FC2BB6">
              <w:t>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l)</w:t>
            </w:r>
            <w:r w:rsidRPr="00FC2BB6">
              <w:tab/>
              <w:t xml:space="preserve">En kvantifiering, så långt det är möjligt, av hur de reformer och investeringar som avses i led k förväntas påverka den offentligfinansiella hållbarheten, tillväxt och sysselsättning, i förekommande fall i enlighet med </w:t>
            </w:r>
            <w:r w:rsidRPr="00FC2BB6">
              <w:t>gemensamt överenskomna metoder.</w:t>
            </w:r>
          </w:p>
        </w:tc>
        <w:tc>
          <w:tcPr>
            <w:tcW w:w="4876" w:type="dxa"/>
            <w:hideMark/>
          </w:tcPr>
          <w:p w:rsidR="00AF0131" w:rsidRPr="00FC2BB6" w:rsidRDefault="00A154E3" w:rsidP="00C33FBD">
            <w:pPr>
              <w:pStyle w:val="Normal6"/>
              <w:rPr>
                <w:szCs w:val="24"/>
              </w:rPr>
            </w:pPr>
            <w:r w:rsidRPr="00FC2BB6">
              <w:t>l)</w:t>
            </w:r>
            <w:r w:rsidRPr="00FC2BB6">
              <w:tab/>
              <w:t xml:space="preserve">En kvantifiering, så långt det är möjligt, av hur de reformer och investeringar som avses i led k förväntas påverka den offentligfinansiella hållbarheten, </w:t>
            </w:r>
            <w:r w:rsidRPr="00FC2BB6">
              <w:rPr>
                <w:b/>
                <w:i/>
              </w:rPr>
              <w:t xml:space="preserve">hållbar och inkluderande </w:t>
            </w:r>
            <w:r w:rsidRPr="00FC2BB6">
              <w:t xml:space="preserve">tillväxt och </w:t>
            </w:r>
            <w:r w:rsidRPr="00FC2BB6">
              <w:rPr>
                <w:b/>
                <w:i/>
              </w:rPr>
              <w:t xml:space="preserve">konkurrenskraft, </w:t>
            </w:r>
            <w:r w:rsidRPr="00FC2BB6">
              <w:t>sysselsättn</w:t>
            </w:r>
            <w:r w:rsidRPr="00FC2BB6">
              <w:t>ing</w:t>
            </w:r>
            <w:r w:rsidRPr="00FC2BB6">
              <w:rPr>
                <w:b/>
                <w:i/>
              </w:rPr>
              <w:t xml:space="preserve"> av god kvalitet samt social konvergens uppåt</w:t>
            </w:r>
            <w:r w:rsidRPr="00FC2BB6">
              <w:t>, i förekommande fall i enlighet med gemensamt överenskomna metoder.</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35</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Bilaga II – led na (nytt)</w:t>
      </w:r>
      <w:r w:rsidRPr="00FC2BB6">
        <w:rPr>
          <w:rStyle w:val="HideTWBExt"/>
          <w:b w:val="0"/>
        </w:rPr>
        <w:t>&lt;/Artic</w:t>
      </w:r>
      <w:r w:rsidRPr="00FC2BB6">
        <w:rPr>
          <w:rStyle w:val="HideTWBExt"/>
          <w:b w:val="0"/>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tcPr>
          <w:p w:rsidR="00AF0131" w:rsidRPr="00FC2BB6" w:rsidRDefault="00AF0131" w:rsidP="00C33FBD">
            <w:pPr>
              <w:pStyle w:val="Normal6"/>
            </w:pPr>
          </w:p>
        </w:tc>
        <w:tc>
          <w:tcPr>
            <w:tcW w:w="4876" w:type="dxa"/>
            <w:hideMark/>
          </w:tcPr>
          <w:p w:rsidR="00AF0131" w:rsidRPr="00FC2BB6" w:rsidRDefault="00A154E3" w:rsidP="00C33FBD">
            <w:pPr>
              <w:pStyle w:val="Normal6"/>
              <w:rPr>
                <w:szCs w:val="24"/>
              </w:rPr>
            </w:pPr>
            <w:r w:rsidRPr="00FC2BB6">
              <w:rPr>
                <w:b/>
                <w:i/>
              </w:rPr>
              <w:t>na)</w:t>
            </w:r>
            <w:r w:rsidRPr="00FC2BB6">
              <w:rPr>
                <w:b/>
                <w:i/>
              </w:rPr>
              <w:tab/>
              <w:t>I tillämpliga fall, reformer och investeringar för att korrigera de identifierade riskerna för social konvergens inom ramen för social konvergens.</w:t>
            </w:r>
          </w:p>
        </w:tc>
      </w:tr>
    </w:tbl>
    <w:p w:rsidR="00AF0131" w:rsidRPr="00FC2BB6" w:rsidRDefault="00A154E3" w:rsidP="00C56375">
      <w:pPr>
        <w:rPr>
          <w:rFonts w:eastAsiaTheme="majorEastAsia"/>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36</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Bilaga II – led p</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p)</w:t>
            </w:r>
            <w:r w:rsidRPr="00FC2BB6">
              <w:tab/>
              <w:t xml:space="preserve">För medlemsstater med begränsade utmaningar avseende den offentliga skuldsättningen men stora implicita förpliktelser </w:t>
            </w:r>
            <w:r w:rsidRPr="00FC2BB6">
              <w:rPr>
                <w:b/>
                <w:i/>
              </w:rPr>
              <w:t xml:space="preserve">på grund av en åldrande befolkning </w:t>
            </w:r>
            <w:r w:rsidRPr="00FC2BB6">
              <w:t>bör nationella nettoutgiftsbanor och reformerna i de nationella medelfristiga finans- och strukturpolitiska planerna ta vederbörlig hänsyn till utmaningar avseende den offentligfinansiella hållbarheten på lång sikt.</w:t>
            </w:r>
          </w:p>
        </w:tc>
        <w:tc>
          <w:tcPr>
            <w:tcW w:w="4876" w:type="dxa"/>
            <w:hideMark/>
          </w:tcPr>
          <w:p w:rsidR="00AF0131" w:rsidRPr="00FC2BB6" w:rsidRDefault="00A154E3" w:rsidP="00C33FBD">
            <w:pPr>
              <w:pStyle w:val="Normal6"/>
              <w:rPr>
                <w:szCs w:val="24"/>
              </w:rPr>
            </w:pPr>
            <w:r w:rsidRPr="00FC2BB6">
              <w:t>p)</w:t>
            </w:r>
            <w:r w:rsidRPr="00FC2BB6">
              <w:tab/>
              <w:t>Fö</w:t>
            </w:r>
            <w:r w:rsidRPr="00FC2BB6">
              <w:t>r medlemsstater med begränsade utmaningar avseende den offentliga skuldsättningen men stora implicita förpliktelser bör nationella nettoutgiftsbanor och reformerna i de nationella medelfristiga finans- och strukturpolitiska planerna ta vederbörlig hänsyn t</w:t>
            </w:r>
            <w:r w:rsidRPr="00FC2BB6">
              <w:t>ill utmaningar avseende den offentligfinansiella hållbarheten på lång sikt</w:t>
            </w:r>
            <w:r w:rsidRPr="00FC2BB6">
              <w:rPr>
                <w:b/>
                <w:i/>
              </w:rPr>
              <w:t xml:space="preserve"> samt risker för den sociala konvergensen som konstaterats i den senast utförda övervakningen</w:t>
            </w:r>
            <w:r w:rsidRPr="00FC2BB6">
              <w:t>.</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37</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w:t>
      </w:r>
      <w:r w:rsidRPr="00FC2BB6">
        <w:rPr>
          <w:rStyle w:val="HideTWBExt"/>
          <w:b w:val="0"/>
        </w:rPr>
        <w:t>/DocAmend&gt;</w:t>
      </w:r>
    </w:p>
    <w:p w:rsidR="00AF0131" w:rsidRPr="00FC2BB6" w:rsidRDefault="00A154E3" w:rsidP="00AF0131">
      <w:pPr>
        <w:pStyle w:val="NormalBold"/>
      </w:pPr>
      <w:r w:rsidRPr="00FC2BB6">
        <w:rPr>
          <w:rStyle w:val="HideTWBExt"/>
          <w:b w:val="0"/>
        </w:rPr>
        <w:t>&lt;Article&gt;</w:t>
      </w:r>
      <w:r w:rsidRPr="00FC2BB6">
        <w:t>Bilaga II – led q</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q)</w:t>
            </w:r>
            <w:r w:rsidRPr="00FC2BB6">
              <w:tab/>
              <w:t>Information om samråd med arbetsmarknadens parter, civilsamhällesorganisationer och andra intressenter inför utarbetandet av planen.</w:t>
            </w:r>
          </w:p>
        </w:tc>
        <w:tc>
          <w:tcPr>
            <w:tcW w:w="4876" w:type="dxa"/>
            <w:hideMark/>
          </w:tcPr>
          <w:p w:rsidR="00AF0131" w:rsidRPr="00FC2BB6" w:rsidRDefault="00A154E3" w:rsidP="00C33FBD">
            <w:pPr>
              <w:pStyle w:val="Normal6"/>
              <w:rPr>
                <w:szCs w:val="24"/>
              </w:rPr>
            </w:pPr>
            <w:r w:rsidRPr="00FC2BB6">
              <w:t>q)</w:t>
            </w:r>
            <w:r w:rsidRPr="00FC2BB6">
              <w:tab/>
              <w:t xml:space="preserve">Information om </w:t>
            </w:r>
            <w:r w:rsidRPr="00FC2BB6">
              <w:rPr>
                <w:b/>
                <w:i/>
              </w:rPr>
              <w:t xml:space="preserve">effektiva </w:t>
            </w:r>
            <w:r w:rsidRPr="00FC2BB6">
              <w:t>samråd med arbetsmarknadens parter, civilsamhällesorganisationer och andra intressenter inför utarbetandet av planen.</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38</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Bilaga III – led b</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b)</w:t>
            </w:r>
            <w:r w:rsidRPr="00FC2BB6">
              <w:tab/>
              <w:t>En jämförelse, från planens början, mellan prognoserna för huvudsakliga ekonomiska variabler i den nationella medelfristiga finans- och strukturpolitiska planen och utfallsdata för dessa variabler, samt implikation</w:t>
            </w:r>
            <w:r w:rsidRPr="00FC2BB6">
              <w:t>erna för efterlevnaden av den av rådet fastställda nettoutgiftsbanan och för den prognostiserade bana för den offentliga skuldkvoten som anges i planen.</w:t>
            </w:r>
          </w:p>
        </w:tc>
        <w:tc>
          <w:tcPr>
            <w:tcW w:w="4876" w:type="dxa"/>
            <w:hideMark/>
          </w:tcPr>
          <w:p w:rsidR="00AF0131" w:rsidRPr="00FC2BB6" w:rsidRDefault="00A154E3" w:rsidP="00C33FBD">
            <w:pPr>
              <w:pStyle w:val="Normal6"/>
              <w:rPr>
                <w:szCs w:val="24"/>
              </w:rPr>
            </w:pPr>
            <w:r w:rsidRPr="00FC2BB6">
              <w:t>b)</w:t>
            </w:r>
            <w:r w:rsidRPr="00FC2BB6">
              <w:tab/>
              <w:t xml:space="preserve">En jämförelse, från planens början, mellan prognoserna för huvudsakliga ekonomiska </w:t>
            </w:r>
            <w:r w:rsidRPr="00FC2BB6">
              <w:rPr>
                <w:b/>
                <w:i/>
              </w:rPr>
              <w:t xml:space="preserve">och sociala </w:t>
            </w:r>
            <w:r w:rsidRPr="00FC2BB6">
              <w:t>varia</w:t>
            </w:r>
            <w:r w:rsidRPr="00FC2BB6">
              <w:t>bler i den nationella medelfristiga finans- och strukturpolitiska planen och utfallsdata för dessa variabler, samt implikationerna för efterlevnaden av den av rådet fastställda nettoutgiftsbanan och för den prognostiserade bana för den offentliga skuldkvot</w:t>
            </w:r>
            <w:r w:rsidRPr="00FC2BB6">
              <w:t>en som anges i planen</w:t>
            </w:r>
            <w:r w:rsidRPr="00FC2BB6">
              <w:rPr>
                <w:b/>
                <w:i/>
              </w:rPr>
              <w:t xml:space="preserve"> samt uppnåendet av de nationella mål som är kopplade till de övergripande målen för den europeiska pelaren för sociala rättigheter</w:t>
            </w:r>
            <w:r w:rsidRPr="00FC2BB6">
              <w:t>.</w:t>
            </w:r>
          </w:p>
        </w:tc>
      </w:tr>
    </w:tbl>
    <w:p w:rsidR="00AF0131" w:rsidRPr="00FC2BB6" w:rsidRDefault="00A154E3" w:rsidP="00AF0131">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39</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Bilaga III – led h</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h)</w:t>
            </w:r>
            <w:r w:rsidRPr="00FC2BB6">
              <w:tab/>
              <w:t xml:space="preserve">Huvudsakliga antagandena om den förväntade ekonomiska utvecklingen och huvudsakliga ekonomiska variabler för de år som återstår av anpassningsperioden, inbegripet den </w:t>
            </w:r>
            <w:r w:rsidRPr="00FC2BB6">
              <w:t>offentliga skuldkvoten.</w:t>
            </w:r>
          </w:p>
        </w:tc>
        <w:tc>
          <w:tcPr>
            <w:tcW w:w="4876" w:type="dxa"/>
            <w:hideMark/>
          </w:tcPr>
          <w:p w:rsidR="00AF0131" w:rsidRPr="00FC2BB6" w:rsidRDefault="00A154E3" w:rsidP="00C33FBD">
            <w:pPr>
              <w:pStyle w:val="Normal6"/>
              <w:rPr>
                <w:szCs w:val="24"/>
              </w:rPr>
            </w:pPr>
            <w:r w:rsidRPr="00FC2BB6">
              <w:t>h)</w:t>
            </w:r>
            <w:r w:rsidRPr="00FC2BB6">
              <w:tab/>
              <w:t xml:space="preserve">Huvudsakliga antagandena om den förväntade ekonomiska </w:t>
            </w:r>
            <w:r w:rsidRPr="00FC2BB6">
              <w:rPr>
                <w:b/>
                <w:i/>
              </w:rPr>
              <w:t xml:space="preserve">och sociala </w:t>
            </w:r>
            <w:r w:rsidRPr="00FC2BB6">
              <w:t>utvecklingen och huvudsakliga ekonomiska</w:t>
            </w:r>
            <w:r w:rsidRPr="00FC2BB6">
              <w:rPr>
                <w:b/>
                <w:i/>
              </w:rPr>
              <w:t xml:space="preserve"> och sociala</w:t>
            </w:r>
            <w:r w:rsidRPr="00FC2BB6">
              <w:t xml:space="preserve"> variabler för de år som återstår av anpassningsperioden, inbegripet den offentliga skuldkvoten.</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40</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Bilaga III – led l</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l)</w:t>
            </w:r>
            <w:r w:rsidRPr="00FC2BB6">
              <w:tab/>
              <w:t>I förekommande fall, en analys av utvecklingen för makroekonomiska obalanser som konst</w:t>
            </w:r>
            <w:r w:rsidRPr="00FC2BB6">
              <w:t xml:space="preserve">aterats inom ramen för förfarandet vid makroekonomiska obalanser och av hur de påverkas av genomförandet av de relevanta reformer och investeringar i den nationella medelfristiga finans- och strukturpolitiska planen som avses i bilaga II </w:t>
            </w:r>
            <w:r w:rsidRPr="00FC2BB6">
              <w:rPr>
                <w:b/>
                <w:i/>
              </w:rPr>
              <w:t>led</w:t>
            </w:r>
            <w:r w:rsidRPr="00FC2BB6">
              <w:t xml:space="preserve"> n.</w:t>
            </w:r>
          </w:p>
        </w:tc>
        <w:tc>
          <w:tcPr>
            <w:tcW w:w="4876" w:type="dxa"/>
            <w:hideMark/>
          </w:tcPr>
          <w:p w:rsidR="00AF0131" w:rsidRPr="00FC2BB6" w:rsidRDefault="00A154E3" w:rsidP="00C33FBD">
            <w:pPr>
              <w:pStyle w:val="Normal6"/>
              <w:rPr>
                <w:szCs w:val="24"/>
              </w:rPr>
            </w:pPr>
            <w:r w:rsidRPr="00FC2BB6">
              <w:t>l)</w:t>
            </w:r>
            <w:r w:rsidRPr="00FC2BB6">
              <w:tab/>
              <w:t>I föreko</w:t>
            </w:r>
            <w:r w:rsidRPr="00FC2BB6">
              <w:t xml:space="preserve">mmande fall, en analys av utvecklingen för makroekonomiska obalanser som konstaterats inom ramen för förfarandet vid makroekonomiska obalanser </w:t>
            </w:r>
            <w:r w:rsidRPr="00FC2BB6">
              <w:rPr>
                <w:b/>
                <w:i/>
              </w:rPr>
              <w:t xml:space="preserve">samt riskerna för social konvergens </w:t>
            </w:r>
            <w:r w:rsidRPr="00FC2BB6">
              <w:t>och av hur de påverkas av genomförandet av de relevanta reformer och invester</w:t>
            </w:r>
            <w:r w:rsidRPr="00FC2BB6">
              <w:t xml:space="preserve">ingar i den nationella medelfristiga finans- och strukturpolitiska planen som avses i bilaga II </w:t>
            </w:r>
            <w:r w:rsidRPr="00FC2BB6">
              <w:rPr>
                <w:b/>
                <w:i/>
              </w:rPr>
              <w:t>leden</w:t>
            </w:r>
            <w:r w:rsidRPr="00FC2BB6">
              <w:t xml:space="preserve"> n</w:t>
            </w:r>
            <w:r w:rsidRPr="00FC2BB6">
              <w:rPr>
                <w:b/>
                <w:i/>
              </w:rPr>
              <w:t xml:space="preserve"> och o</w:t>
            </w:r>
            <w:r w:rsidRPr="00FC2BB6">
              <w:t>.</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41</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Bilaga III – led n</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n)</w:t>
            </w:r>
            <w:r w:rsidRPr="00FC2BB6">
              <w:tab/>
              <w:t>Information om arbetsmarknadsutveckling, kompetensutveckling och utveckling på det socialpolitiska området samt om genomförandet av åtgärder som främjar uppåtriktad social konvergens mellan medlemsstaterna i riktni</w:t>
            </w:r>
            <w:r w:rsidRPr="00FC2BB6">
              <w:t xml:space="preserve">ng mot bättre arbets- och levnadsvillkor i enlighet med principerna för den europeiska pelaren för sociala rättigheter och sysselsättningsriktlinjerna enligt artikel 148 i EUF-fördraget. Detta omfattar även åtgärdernas förväntade inverkan på uppnåendet av </w:t>
            </w:r>
            <w:r w:rsidRPr="00FC2BB6">
              <w:t>nationella mål vad gäller sysselsättning, kompetens och fattigdomsminskning fram till 2030.</w:t>
            </w:r>
          </w:p>
        </w:tc>
        <w:tc>
          <w:tcPr>
            <w:tcW w:w="4876" w:type="dxa"/>
            <w:hideMark/>
          </w:tcPr>
          <w:p w:rsidR="00AF0131" w:rsidRPr="00FC2BB6" w:rsidRDefault="00A154E3" w:rsidP="00C33FBD">
            <w:pPr>
              <w:pStyle w:val="Normal6"/>
              <w:rPr>
                <w:szCs w:val="24"/>
              </w:rPr>
            </w:pPr>
            <w:r w:rsidRPr="00FC2BB6">
              <w:t>n)</w:t>
            </w:r>
            <w:r w:rsidRPr="00FC2BB6">
              <w:tab/>
              <w:t xml:space="preserve">Information om arbetsmarknadsutveckling, kompetensutveckling och utveckling på det socialpolitiska området samt om genomförandet av åtgärder som främjar </w:t>
            </w:r>
            <w:r w:rsidRPr="00FC2BB6">
              <w:t>uppåtriktad social konvergens mellan medlemsstaterna i riktning mot bättre arbets- och levnadsvillkor i enlighet med principerna för den europeiska pelaren för sociala rättigheter och sysselsättningsriktlinjerna enligt artikel 148 i EUF-fördraget</w:t>
            </w:r>
            <w:r w:rsidRPr="00FC2BB6">
              <w:rPr>
                <w:b/>
                <w:i/>
              </w:rPr>
              <w:t xml:space="preserve"> och ramen</w:t>
            </w:r>
            <w:r w:rsidRPr="00FC2BB6">
              <w:rPr>
                <w:b/>
                <w:i/>
              </w:rPr>
              <w:t xml:space="preserve"> för social konvergens</w:t>
            </w:r>
            <w:r w:rsidRPr="00FC2BB6">
              <w:t>. Detta omfattar även åtgärdernas förväntade inverkan på uppnåendet av nationella mål vad gäller sysselsättning, kompetens och fattigdomsminskning fram till 2030</w:t>
            </w:r>
            <w:r w:rsidRPr="00FC2BB6">
              <w:rPr>
                <w:b/>
                <w:i/>
              </w:rPr>
              <w:t xml:space="preserve"> och, i tillämpliga fall, den förväntade inverkan av åtgärder för att kor</w:t>
            </w:r>
            <w:r w:rsidRPr="00FC2BB6">
              <w:rPr>
                <w:b/>
                <w:i/>
              </w:rPr>
              <w:t>rigera de risker för social konvergens som identifierats inom ramen för social konvergens</w:t>
            </w:r>
            <w:r w:rsidRPr="00FC2BB6">
              <w:t>.</w:t>
            </w:r>
          </w:p>
        </w:tc>
      </w:tr>
    </w:tbl>
    <w:p w:rsidR="00AF0131" w:rsidRPr="00FC2BB6" w:rsidRDefault="00A154E3" w:rsidP="00AF0131">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42</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Bilaga III – led oa (nytt)</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w:t>
            </w:r>
            <w:r w:rsidRPr="00FC2BB6">
              <w:t>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F0131" w:rsidP="00C33FBD">
            <w:pPr>
              <w:pStyle w:val="Normal6"/>
            </w:pPr>
          </w:p>
        </w:tc>
        <w:tc>
          <w:tcPr>
            <w:tcW w:w="4876" w:type="dxa"/>
            <w:hideMark/>
          </w:tcPr>
          <w:p w:rsidR="00AF0131" w:rsidRPr="00FC2BB6" w:rsidRDefault="00A154E3" w:rsidP="00C33FBD">
            <w:pPr>
              <w:pStyle w:val="Normal6"/>
              <w:rPr>
                <w:szCs w:val="24"/>
              </w:rPr>
            </w:pPr>
            <w:r w:rsidRPr="00FC2BB6">
              <w:rPr>
                <w:b/>
                <w:i/>
              </w:rPr>
              <w:t>oa)</w:t>
            </w:r>
            <w:r w:rsidRPr="00FC2BB6">
              <w:tab/>
            </w:r>
            <w:r w:rsidRPr="00FC2BB6">
              <w:rPr>
                <w:b/>
                <w:i/>
              </w:rPr>
              <w:t>Information om samråd med arbetsmarknadens parter, det civila samhällets organisationer och andra berörda parter inför utarbetandet av rapporten.</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C56375">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43</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 xml:space="preserve">Förslag till </w:t>
      </w:r>
      <w:r w:rsidRPr="00FC2BB6">
        <w:t>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Bilaga VII – stycke 2 – punkt 2 – punkt 2.1 – inledningen</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2.1</w:t>
            </w:r>
            <w:r w:rsidRPr="00FC2BB6">
              <w:tab/>
              <w:t xml:space="preserve">Reform- och investeringsåtagandena är </w:t>
            </w:r>
            <w:r w:rsidRPr="00FC2BB6">
              <w:rPr>
                <w:b/>
                <w:i/>
              </w:rPr>
              <w:t>tillväxtfrämjande</w:t>
            </w:r>
          </w:p>
        </w:tc>
        <w:tc>
          <w:tcPr>
            <w:tcW w:w="4876" w:type="dxa"/>
            <w:hideMark/>
          </w:tcPr>
          <w:p w:rsidR="00AF0131" w:rsidRPr="00FC2BB6" w:rsidRDefault="00A154E3" w:rsidP="00C33FBD">
            <w:pPr>
              <w:pStyle w:val="Normal6"/>
              <w:rPr>
                <w:szCs w:val="24"/>
              </w:rPr>
            </w:pPr>
            <w:r w:rsidRPr="00FC2BB6">
              <w:t>2.1</w:t>
            </w:r>
            <w:r w:rsidRPr="00FC2BB6">
              <w:tab/>
              <w:t xml:space="preserve">Reform- och investeringsåtagandena </w:t>
            </w:r>
            <w:r w:rsidRPr="00FC2BB6">
              <w:rPr>
                <w:b/>
                <w:i/>
              </w:rPr>
              <w:t xml:space="preserve">främjar hållbar </w:t>
            </w:r>
            <w:r w:rsidRPr="00FC2BB6">
              <w:rPr>
                <w:b/>
                <w:i/>
              </w:rPr>
              <w:t>tillväxt.</w:t>
            </w:r>
            <w:r w:rsidRPr="00FC2BB6">
              <w:t xml:space="preserve"> </w:t>
            </w:r>
            <w:r w:rsidRPr="00FC2BB6">
              <w:rPr>
                <w:b/>
                <w:i/>
              </w:rPr>
              <w:t>Reform- och investeringsåtagandena förväntas medföra betydande framsteg i riktning mot de nationella mål som är kopplade till de övergripande målen för den europeiska pelaren för sociala rättigheter och deras huvudsakliga och sekundära indikatore</w:t>
            </w:r>
            <w:r w:rsidRPr="00FC2BB6">
              <w:rPr>
                <w:b/>
                <w:i/>
              </w:rPr>
              <w:t>r.</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44</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Bilaga VII – stycke 2 – punkt 2 – punkt 2.2a (ny)</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tcPr>
          <w:p w:rsidR="00AF0131" w:rsidRPr="00FC2BB6" w:rsidRDefault="00AF0131" w:rsidP="00C33FBD">
            <w:pPr>
              <w:pStyle w:val="Normal6"/>
            </w:pPr>
          </w:p>
        </w:tc>
        <w:tc>
          <w:tcPr>
            <w:tcW w:w="4876" w:type="dxa"/>
            <w:hideMark/>
          </w:tcPr>
          <w:p w:rsidR="00AF0131" w:rsidRPr="00FC2BB6" w:rsidRDefault="00A154E3" w:rsidP="00C33FBD">
            <w:pPr>
              <w:pStyle w:val="Normal6"/>
              <w:rPr>
                <w:szCs w:val="24"/>
              </w:rPr>
            </w:pPr>
            <w:r w:rsidRPr="00FC2BB6">
              <w:rPr>
                <w:b/>
                <w:i/>
              </w:rPr>
              <w:t>2.2a</w:t>
            </w:r>
            <w:r w:rsidRPr="00FC2BB6">
              <w:rPr>
                <w:b/>
                <w:i/>
              </w:rPr>
              <w:tab/>
              <w:t xml:space="preserve">Reform- och investeringsåtagandena </w:t>
            </w:r>
            <w:r w:rsidRPr="00FC2BB6">
              <w:rPr>
                <w:b/>
                <w:i/>
              </w:rPr>
              <w:t>främjar social konvergens uppåt</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45</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Bilaga VII – stycke 2 – punkt 2 – punkt 2.4 – inledningen</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2.4</w:t>
            </w:r>
            <w:r w:rsidRPr="00FC2BB6">
              <w:tab/>
            </w:r>
            <w:r w:rsidRPr="00FC2BB6">
              <w:t>Reform- och investeringsåtagandena följer, sammantagna, relevanta landsspecifika rekommendationer, i förekommande fall inbegripet rekommendationer som utfärdas inom förfarandet vid makroekonomiska obalanser</w:t>
            </w:r>
          </w:p>
        </w:tc>
        <w:tc>
          <w:tcPr>
            <w:tcW w:w="4876" w:type="dxa"/>
            <w:hideMark/>
          </w:tcPr>
          <w:p w:rsidR="00AF0131" w:rsidRPr="00FC2BB6" w:rsidRDefault="00A154E3" w:rsidP="00C33FBD">
            <w:pPr>
              <w:pStyle w:val="Normal6"/>
              <w:rPr>
                <w:szCs w:val="24"/>
              </w:rPr>
            </w:pPr>
            <w:r w:rsidRPr="00FC2BB6">
              <w:t>2.4</w:t>
            </w:r>
            <w:r w:rsidRPr="00FC2BB6">
              <w:tab/>
              <w:t xml:space="preserve">Reform- och investeringsåtagandena följer, </w:t>
            </w:r>
            <w:r w:rsidRPr="00FC2BB6">
              <w:t>sammantagna, relevanta landsspecifika rekommendationer</w:t>
            </w:r>
            <w:r w:rsidRPr="00FC2BB6">
              <w:rPr>
                <w:b/>
                <w:i/>
              </w:rPr>
              <w:t xml:space="preserve"> i enlighet med artiklarna 121.4 och 148.4 i EUF-fördraget</w:t>
            </w:r>
            <w:r w:rsidRPr="00FC2BB6">
              <w:t>, i förekommande fall inbegripet rekommendationer som utfärdas inom förfarandet vid makroekonomiska obalanser</w:t>
            </w:r>
          </w:p>
        </w:tc>
      </w:tr>
    </w:tbl>
    <w:p w:rsidR="00AF0131" w:rsidRPr="00FC2BB6" w:rsidRDefault="00A154E3" w:rsidP="00C56375">
      <w:pPr>
        <w:rPr>
          <w:rStyle w:val="HideTWBExt"/>
          <w:rFonts w:ascii="Times New Roman" w:hAnsi="Times New Roman" w:cs="Times New Roman"/>
          <w:noProof w:val="0"/>
          <w:vanish w:val="0"/>
          <w:color w:val="auto"/>
          <w:sz w:val="24"/>
        </w:rPr>
      </w:pPr>
      <w:r w:rsidRPr="00FC2BB6">
        <w:rPr>
          <w:rStyle w:val="HideTWBExt"/>
        </w:rPr>
        <w:t>&lt;/Amend&gt;</w:t>
      </w:r>
    </w:p>
    <w:p w:rsidR="00AF0131" w:rsidRPr="00FC2BB6" w:rsidRDefault="00AF0131" w:rsidP="00AF0131">
      <w:pPr>
        <w:rPr>
          <w:rStyle w:val="HideTWBExt"/>
        </w:rPr>
      </w:pPr>
    </w:p>
    <w:p w:rsidR="00AF0131" w:rsidRPr="00FC2BB6" w:rsidRDefault="00A154E3" w:rsidP="00AF0131">
      <w:pPr>
        <w:pStyle w:val="AmNumberTabs"/>
      </w:pPr>
      <w:r w:rsidRPr="00FC2BB6">
        <w:rPr>
          <w:rStyle w:val="HideTWBExt"/>
          <w:b w:val="0"/>
        </w:rPr>
        <w:t>&lt;Amend&gt;</w:t>
      </w:r>
      <w:r w:rsidRPr="00FC2BB6">
        <w:t>Ändringsförslag</w:t>
      </w:r>
      <w:r w:rsidRPr="00FC2BB6">
        <w:tab/>
      </w:r>
      <w:r w:rsidRPr="00FC2BB6">
        <w:tab/>
      </w:r>
      <w:r w:rsidRPr="00FC2BB6">
        <w:rPr>
          <w:rStyle w:val="HideTWBExt"/>
          <w:b w:val="0"/>
        </w:rPr>
        <w:t>&lt;NumAm&gt;</w:t>
      </w:r>
      <w:r w:rsidRPr="00FC2BB6">
        <w:t>46</w:t>
      </w:r>
      <w:r w:rsidRPr="00FC2BB6">
        <w:rPr>
          <w:rStyle w:val="HideTWBExt"/>
          <w:b w:val="0"/>
        </w:rPr>
        <w:t>&lt;/NumAm&gt;</w:t>
      </w:r>
    </w:p>
    <w:p w:rsidR="00AF0131" w:rsidRPr="00FC2BB6" w:rsidRDefault="00AF0131" w:rsidP="00AF0131"/>
    <w:p w:rsidR="00AF0131" w:rsidRPr="00FC2BB6" w:rsidRDefault="00A154E3" w:rsidP="00AF0131">
      <w:pPr>
        <w:pStyle w:val="NormalBold"/>
        <w:keepNext/>
      </w:pPr>
      <w:r w:rsidRPr="00FC2BB6">
        <w:rPr>
          <w:rStyle w:val="HideTWBExt"/>
          <w:b w:val="0"/>
        </w:rPr>
        <w:t>&lt;DocAmend&gt;</w:t>
      </w:r>
      <w:r w:rsidRPr="00FC2BB6">
        <w:t>Förslag till förordning</w:t>
      </w:r>
      <w:r w:rsidRPr="00FC2BB6">
        <w:rPr>
          <w:rStyle w:val="HideTWBExt"/>
          <w:b w:val="0"/>
        </w:rPr>
        <w:t>&lt;/DocAmend&gt;</w:t>
      </w:r>
    </w:p>
    <w:p w:rsidR="00AF0131" w:rsidRPr="00FC2BB6" w:rsidRDefault="00A154E3" w:rsidP="00AF0131">
      <w:pPr>
        <w:pStyle w:val="NormalBold"/>
      </w:pPr>
      <w:r w:rsidRPr="00FC2BB6">
        <w:rPr>
          <w:rStyle w:val="HideTWBExt"/>
          <w:b w:val="0"/>
        </w:rPr>
        <w:t>&lt;Article&gt;</w:t>
      </w:r>
      <w:r w:rsidRPr="00FC2BB6">
        <w:t>Bilaga VII – stycke 2 – punkt 2 – punkt 2.4 – strecksats 1</w:t>
      </w:r>
      <w:r w:rsidRPr="00FC2BB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7A2D" w:rsidRPr="00FC2BB6" w:rsidTr="00C33FBD">
        <w:trPr>
          <w:jc w:val="center"/>
        </w:trPr>
        <w:tc>
          <w:tcPr>
            <w:tcW w:w="9752" w:type="dxa"/>
            <w:gridSpan w:val="2"/>
          </w:tcPr>
          <w:p w:rsidR="00AF0131" w:rsidRPr="00FC2BB6" w:rsidRDefault="00AF0131" w:rsidP="00C33FBD">
            <w:pPr>
              <w:keepNext/>
            </w:pPr>
          </w:p>
        </w:tc>
      </w:tr>
      <w:tr w:rsidR="00EC7A2D" w:rsidRPr="00FC2BB6" w:rsidTr="00C33FBD">
        <w:trPr>
          <w:jc w:val="center"/>
        </w:trPr>
        <w:tc>
          <w:tcPr>
            <w:tcW w:w="4876" w:type="dxa"/>
            <w:hideMark/>
          </w:tcPr>
          <w:p w:rsidR="00AF0131" w:rsidRPr="00FC2BB6" w:rsidRDefault="00A154E3" w:rsidP="00C33FBD">
            <w:pPr>
              <w:pStyle w:val="ColumnHeading"/>
              <w:keepNext/>
            </w:pPr>
            <w:r w:rsidRPr="00FC2BB6">
              <w:t>Kommissionens förslag</w:t>
            </w:r>
          </w:p>
        </w:tc>
        <w:tc>
          <w:tcPr>
            <w:tcW w:w="4876" w:type="dxa"/>
            <w:hideMark/>
          </w:tcPr>
          <w:p w:rsidR="00AF0131" w:rsidRPr="00FC2BB6" w:rsidRDefault="00A154E3" w:rsidP="00C33FBD">
            <w:pPr>
              <w:pStyle w:val="ColumnHeading"/>
              <w:keepNext/>
            </w:pPr>
            <w:r w:rsidRPr="00FC2BB6">
              <w:t>Ändringsförslag</w:t>
            </w:r>
          </w:p>
        </w:tc>
      </w:tr>
      <w:tr w:rsidR="00EC7A2D" w:rsidRPr="00FC2BB6" w:rsidTr="00C33FBD">
        <w:trPr>
          <w:jc w:val="center"/>
        </w:trPr>
        <w:tc>
          <w:tcPr>
            <w:tcW w:w="4876" w:type="dxa"/>
            <w:hideMark/>
          </w:tcPr>
          <w:p w:rsidR="00AF0131" w:rsidRPr="00FC2BB6" w:rsidRDefault="00A154E3" w:rsidP="00C33FBD">
            <w:pPr>
              <w:pStyle w:val="Normal6"/>
            </w:pPr>
            <w:r w:rsidRPr="00FC2BB6">
              <w:t>–</w:t>
            </w:r>
            <w:r w:rsidRPr="00FC2BB6">
              <w:tab/>
              <w:t>De reform- och investeringsåtaganden som ligger till grund för en förl</w:t>
            </w:r>
            <w:r w:rsidRPr="00FC2BB6">
              <w:t>ängning av anpassningsperioden förväntas sammantaget bidra till hanteringen av utmaningar som konstateras i relevanta landsspecifika rekommendationer, i förekommande fall inbegripet rekommendationer som utfärdas inom förfarandet vid makroekonomiska obalans</w:t>
            </w:r>
            <w:r w:rsidRPr="00FC2BB6">
              <w:t>er, varvid hänsyn i relevanta fall ska tas till de landsspecifika utmaningarnas omfattning och till de åtaganden som gjorts i återhämtnings- och resiliensplanerna.</w:t>
            </w:r>
          </w:p>
        </w:tc>
        <w:tc>
          <w:tcPr>
            <w:tcW w:w="4876" w:type="dxa"/>
            <w:hideMark/>
          </w:tcPr>
          <w:p w:rsidR="00AF0131" w:rsidRPr="00FC2BB6" w:rsidRDefault="00A154E3" w:rsidP="00C33FBD">
            <w:pPr>
              <w:pStyle w:val="Normal6"/>
              <w:rPr>
                <w:szCs w:val="24"/>
              </w:rPr>
            </w:pPr>
            <w:r w:rsidRPr="00FC2BB6">
              <w:t>–</w:t>
            </w:r>
            <w:r w:rsidRPr="00FC2BB6">
              <w:tab/>
              <w:t>De reform- och investeringsåtaganden som ligger till grund för en förlängning av anpassnin</w:t>
            </w:r>
            <w:r w:rsidRPr="00FC2BB6">
              <w:t>gsperioden förväntas sammantaget bidra till hanteringen av utmaningar som konstateras i relevanta landsspecifika rekommendationer, i förekommande fall inbegripet rekommendationer som utfärdas inom förfarandet vid makroekonomiska obalanser</w:t>
            </w:r>
            <w:r w:rsidRPr="00FC2BB6">
              <w:rPr>
                <w:b/>
                <w:i/>
              </w:rPr>
              <w:t xml:space="preserve"> och som inbegripe</w:t>
            </w:r>
            <w:r w:rsidRPr="00FC2BB6">
              <w:rPr>
                <w:b/>
                <w:i/>
              </w:rPr>
              <w:t>r de rekommendationer som utfärdats i enlighet med artikel 148.4 i EUF-fördraget</w:t>
            </w:r>
            <w:r w:rsidRPr="00FC2BB6">
              <w:t>, varvid hänsyn i relevanta fall ska tas till de landsspecifika utmaningarnas omfattning och till de åtaganden som gjorts i återhämtnings- och resiliensplanerna.</w:t>
            </w:r>
          </w:p>
        </w:tc>
      </w:tr>
    </w:tbl>
    <w:p w:rsidR="00AF0131" w:rsidRPr="00FC2BB6" w:rsidRDefault="00A154E3" w:rsidP="00AF0131">
      <w:pPr>
        <w:rPr>
          <w:rStyle w:val="HideTWBExt"/>
        </w:rPr>
      </w:pPr>
      <w:r w:rsidRPr="00FC2BB6">
        <w:rPr>
          <w:rStyle w:val="HideTWBExt"/>
        </w:rPr>
        <w:t>&lt;/Amend&gt;</w:t>
      </w:r>
    </w:p>
    <w:p w:rsidR="00AF0131" w:rsidRPr="00FC2BB6" w:rsidRDefault="00A154E3" w:rsidP="00AF0131">
      <w:pPr>
        <w:rPr>
          <w:rStyle w:val="HideTWBExt"/>
          <w:szCs w:val="20"/>
        </w:rPr>
      </w:pPr>
      <w:r w:rsidRPr="00FC2BB6">
        <w:rPr>
          <w:rStyle w:val="HideTWBExt"/>
        </w:rPr>
        <w:t>&lt;/RepeatBlock-Amend&gt;</w:t>
      </w:r>
    </w:p>
    <w:p w:rsidR="00AF0131" w:rsidRPr="00FC2BB6" w:rsidRDefault="00A154E3" w:rsidP="00AF0131">
      <w:r w:rsidRPr="00FC2BB6">
        <w:br w:type="page"/>
      </w:r>
    </w:p>
    <w:p w:rsidR="00AF0131" w:rsidRPr="00FC2BB6" w:rsidRDefault="00A154E3" w:rsidP="00AF0131">
      <w:pPr>
        <w:pStyle w:val="PageHeadingNotTOC"/>
      </w:pPr>
      <w:bookmarkStart w:id="1" w:name="ProcPageAD"/>
      <w:r w:rsidRPr="00FC2BB6">
        <w:t>ÄRENDETS GÅNG I DET RÅDGIVANDE UTSKOTTET</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C7A2D" w:rsidRPr="00FC2BB6"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b/>
                <w:bCs/>
                <w:color w:val="000000"/>
                <w:sz w:val="20"/>
                <w:szCs w:val="20"/>
              </w:rPr>
            </w:pPr>
            <w:r w:rsidRPr="00FC2BB6">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color w:val="000000"/>
                <w:sz w:val="20"/>
                <w:szCs w:val="20"/>
              </w:rPr>
            </w:pPr>
            <w:r w:rsidRPr="00FC2BB6">
              <w:rPr>
                <w:color w:val="000000"/>
                <w:sz w:val="20"/>
              </w:rPr>
              <w:t>Effektiv samordning av den ekonomiska politiken och multilateral budgetövervakning samt upphävande av rådets förordning (EG) nr 1466/97</w:t>
            </w:r>
          </w:p>
        </w:tc>
      </w:tr>
      <w:tr w:rsidR="00EC7A2D" w:rsidRPr="00FC2BB6"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b/>
                <w:bCs/>
                <w:color w:val="000000"/>
                <w:sz w:val="20"/>
                <w:szCs w:val="20"/>
              </w:rPr>
            </w:pPr>
            <w:r w:rsidRPr="00FC2BB6">
              <w:rPr>
                <w:b/>
                <w:color w:val="000000"/>
                <w:sz w:val="20"/>
              </w:rPr>
              <w:t>Referensnummer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color w:val="000000"/>
                <w:sz w:val="20"/>
                <w:szCs w:val="20"/>
              </w:rPr>
            </w:pPr>
            <w:r w:rsidRPr="00FC2BB6">
              <w:rPr>
                <w:color w:val="000000"/>
                <w:sz w:val="20"/>
              </w:rPr>
              <w:t xml:space="preserve">COM(2023)0240 – C9-0150/2023 – </w:t>
            </w:r>
            <w:r w:rsidRPr="00FC2BB6">
              <w:rPr>
                <w:color w:val="000000"/>
                <w:sz w:val="20"/>
              </w:rPr>
              <w:t>2023/0138(COD)</w:t>
            </w:r>
          </w:p>
        </w:tc>
      </w:tr>
      <w:tr w:rsidR="00EC7A2D" w:rsidRPr="00FC2BB6"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b/>
                <w:bCs/>
                <w:color w:val="000000"/>
                <w:sz w:val="20"/>
                <w:szCs w:val="20"/>
              </w:rPr>
            </w:pPr>
            <w:r w:rsidRPr="00FC2BB6">
              <w:rPr>
                <w:b/>
                <w:color w:val="000000"/>
                <w:sz w:val="20"/>
              </w:rPr>
              <w:t>Ansvarigt utskott</w:t>
            </w:r>
          </w:p>
          <w:p w:rsidR="00AF0131" w:rsidRPr="00FC2BB6" w:rsidRDefault="00A154E3" w:rsidP="00C33FBD">
            <w:pPr>
              <w:autoSpaceDE w:val="0"/>
              <w:autoSpaceDN w:val="0"/>
              <w:adjustRightInd w:val="0"/>
              <w:rPr>
                <w:color w:val="000000"/>
                <w:sz w:val="20"/>
                <w:szCs w:val="20"/>
              </w:rPr>
            </w:pPr>
            <w:r w:rsidRPr="00FC2BB6">
              <w:rPr>
                <w:color w:val="000000"/>
                <w:sz w:val="20"/>
              </w:rPr>
              <w:t>       Tillkännagivande i kammaren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FC2BB6" w:rsidRDefault="00A154E3" w:rsidP="00C33FBD">
            <w:pPr>
              <w:autoSpaceDE w:val="0"/>
              <w:autoSpaceDN w:val="0"/>
              <w:adjustRightInd w:val="0"/>
              <w:rPr>
                <w:color w:val="000000"/>
                <w:sz w:val="20"/>
                <w:szCs w:val="20"/>
              </w:rPr>
            </w:pPr>
            <w:r w:rsidRPr="00FC2BB6">
              <w:rPr>
                <w:color w:val="000000"/>
                <w:sz w:val="20"/>
              </w:rPr>
              <w:t>ECON</w:t>
            </w:r>
          </w:p>
          <w:p w:rsidR="00AF0131" w:rsidRPr="00FC2BB6" w:rsidRDefault="00A154E3" w:rsidP="00C33FBD">
            <w:pPr>
              <w:autoSpaceDE w:val="0"/>
              <w:autoSpaceDN w:val="0"/>
              <w:adjustRightInd w:val="0"/>
              <w:rPr>
                <w:color w:val="000000"/>
                <w:sz w:val="20"/>
                <w:szCs w:val="20"/>
              </w:rPr>
            </w:pPr>
            <w:r w:rsidRPr="00FC2BB6">
              <w:rPr>
                <w:color w:val="000000"/>
                <w:sz w:val="20"/>
              </w:rPr>
              <w:t>12.6.2023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FC2BB6"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FC2BB6"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FC2BB6" w:rsidRDefault="00AF0131" w:rsidP="00C33FBD">
            <w:pPr>
              <w:autoSpaceDE w:val="0"/>
              <w:autoSpaceDN w:val="0"/>
              <w:adjustRightInd w:val="0"/>
              <w:rPr>
                <w:rFonts w:ascii="sans-serif" w:hAnsi="sans-serif" w:cs="sans-serif"/>
                <w:color w:val="000000"/>
              </w:rPr>
            </w:pPr>
          </w:p>
        </w:tc>
      </w:tr>
      <w:tr w:rsidR="00EC7A2D" w:rsidRPr="00FC2BB6"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b/>
                <w:bCs/>
                <w:color w:val="000000"/>
                <w:sz w:val="20"/>
                <w:szCs w:val="20"/>
              </w:rPr>
            </w:pPr>
            <w:r w:rsidRPr="00FC2BB6">
              <w:rPr>
                <w:b/>
                <w:color w:val="000000"/>
                <w:sz w:val="20"/>
              </w:rPr>
              <w:t>Yttrande från</w:t>
            </w:r>
          </w:p>
          <w:p w:rsidR="00AF0131" w:rsidRPr="00FC2BB6" w:rsidRDefault="00A154E3" w:rsidP="00C33FBD">
            <w:pPr>
              <w:autoSpaceDE w:val="0"/>
              <w:autoSpaceDN w:val="0"/>
              <w:adjustRightInd w:val="0"/>
              <w:rPr>
                <w:color w:val="000000"/>
                <w:sz w:val="20"/>
                <w:szCs w:val="20"/>
              </w:rPr>
            </w:pPr>
            <w:r w:rsidRPr="00FC2BB6">
              <w:rPr>
                <w:color w:val="000000"/>
                <w:sz w:val="20"/>
              </w:rPr>
              <w:t>       Tillkännagivande i kammaren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color w:val="000000"/>
                <w:sz w:val="20"/>
                <w:szCs w:val="20"/>
              </w:rPr>
            </w:pPr>
            <w:r w:rsidRPr="00FC2BB6">
              <w:rPr>
                <w:color w:val="000000"/>
                <w:sz w:val="20"/>
              </w:rPr>
              <w:t>EMPL</w:t>
            </w:r>
          </w:p>
          <w:p w:rsidR="00AF0131" w:rsidRPr="00FC2BB6" w:rsidRDefault="00A154E3" w:rsidP="00C33FBD">
            <w:pPr>
              <w:autoSpaceDE w:val="0"/>
              <w:autoSpaceDN w:val="0"/>
              <w:adjustRightInd w:val="0"/>
              <w:rPr>
                <w:color w:val="000000"/>
                <w:sz w:val="20"/>
                <w:szCs w:val="20"/>
              </w:rPr>
            </w:pPr>
            <w:r w:rsidRPr="00FC2BB6">
              <w:rPr>
                <w:color w:val="000000"/>
                <w:sz w:val="20"/>
              </w:rPr>
              <w:t>12.6.2023</w:t>
            </w:r>
          </w:p>
        </w:tc>
      </w:tr>
      <w:tr w:rsidR="00EC7A2D" w:rsidRPr="00FC2BB6"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b/>
                <w:bCs/>
                <w:color w:val="000000"/>
                <w:sz w:val="20"/>
                <w:szCs w:val="20"/>
              </w:rPr>
            </w:pPr>
            <w:r w:rsidRPr="00FC2BB6">
              <w:rPr>
                <w:b/>
                <w:color w:val="000000"/>
                <w:sz w:val="20"/>
              </w:rPr>
              <w:t>Associerat utskott - tillkännagivande i kammaren</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color w:val="000000"/>
                <w:sz w:val="20"/>
                <w:szCs w:val="20"/>
              </w:rPr>
            </w:pPr>
            <w:r w:rsidRPr="00FC2BB6">
              <w:rPr>
                <w:color w:val="000000"/>
                <w:sz w:val="20"/>
              </w:rPr>
              <w:t>14.9.2023</w:t>
            </w:r>
          </w:p>
        </w:tc>
      </w:tr>
      <w:tr w:rsidR="00EC7A2D" w:rsidRPr="00FC2BB6"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b/>
                <w:bCs/>
                <w:color w:val="000000"/>
                <w:sz w:val="20"/>
                <w:szCs w:val="20"/>
              </w:rPr>
            </w:pPr>
            <w:r w:rsidRPr="00FC2BB6">
              <w:rPr>
                <w:b/>
                <w:color w:val="000000"/>
                <w:sz w:val="20"/>
              </w:rPr>
              <w:t>Föredragande av yttrande</w:t>
            </w:r>
          </w:p>
          <w:p w:rsidR="00AF0131" w:rsidRPr="00FC2BB6" w:rsidRDefault="00A154E3" w:rsidP="00C33FBD">
            <w:pPr>
              <w:autoSpaceDE w:val="0"/>
              <w:autoSpaceDN w:val="0"/>
              <w:adjustRightInd w:val="0"/>
              <w:rPr>
                <w:color w:val="000000"/>
                <w:sz w:val="20"/>
                <w:szCs w:val="20"/>
              </w:rPr>
            </w:pPr>
            <w:r w:rsidRPr="00FC2BB6">
              <w:rPr>
                <w:color w:val="000000"/>
                <w:sz w:val="20"/>
              </w:rPr>
              <w:t>       Utnämning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color w:val="000000"/>
                <w:sz w:val="20"/>
                <w:szCs w:val="20"/>
              </w:rPr>
            </w:pPr>
            <w:r w:rsidRPr="00FC2BB6">
              <w:rPr>
                <w:color w:val="000000"/>
                <w:sz w:val="20"/>
              </w:rPr>
              <w:t>Gabriele Bischoff</w:t>
            </w:r>
          </w:p>
          <w:p w:rsidR="00AF0131" w:rsidRPr="00FC2BB6" w:rsidRDefault="00A154E3" w:rsidP="00C33FBD">
            <w:pPr>
              <w:autoSpaceDE w:val="0"/>
              <w:autoSpaceDN w:val="0"/>
              <w:adjustRightInd w:val="0"/>
              <w:rPr>
                <w:color w:val="000000"/>
                <w:sz w:val="20"/>
                <w:szCs w:val="20"/>
              </w:rPr>
            </w:pPr>
            <w:r w:rsidRPr="00FC2BB6">
              <w:rPr>
                <w:color w:val="000000"/>
                <w:sz w:val="20"/>
              </w:rPr>
              <w:t>29.6.2023</w:t>
            </w:r>
          </w:p>
        </w:tc>
      </w:tr>
      <w:tr w:rsidR="00EC7A2D" w:rsidRPr="00FC2BB6"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b/>
                <w:bCs/>
                <w:color w:val="000000"/>
                <w:sz w:val="20"/>
                <w:szCs w:val="20"/>
              </w:rPr>
            </w:pPr>
            <w:r w:rsidRPr="00FC2BB6">
              <w:rPr>
                <w:b/>
                <w:color w:val="000000"/>
                <w:sz w:val="20"/>
              </w:rPr>
              <w:t>Behandling i utskott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FC2BB6" w:rsidRDefault="00A154E3" w:rsidP="00C33FBD">
            <w:pPr>
              <w:autoSpaceDE w:val="0"/>
              <w:autoSpaceDN w:val="0"/>
              <w:adjustRightInd w:val="0"/>
              <w:rPr>
                <w:color w:val="000000"/>
                <w:sz w:val="20"/>
                <w:szCs w:val="20"/>
              </w:rPr>
            </w:pPr>
            <w:r w:rsidRPr="00FC2BB6">
              <w:rPr>
                <w:color w:val="000000"/>
                <w:sz w:val="20"/>
              </w:rPr>
              <w:t>2.10.2023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FC2BB6"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FC2BB6"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FC2BB6" w:rsidRDefault="00AF0131" w:rsidP="00C33FBD">
            <w:pPr>
              <w:autoSpaceDE w:val="0"/>
              <w:autoSpaceDN w:val="0"/>
              <w:adjustRightInd w:val="0"/>
              <w:rPr>
                <w:rFonts w:ascii="sans-serif" w:hAnsi="sans-serif" w:cs="sans-serif"/>
                <w:color w:val="000000"/>
              </w:rPr>
            </w:pPr>
          </w:p>
        </w:tc>
      </w:tr>
      <w:tr w:rsidR="00EC7A2D" w:rsidRPr="00FC2BB6"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b/>
                <w:bCs/>
                <w:color w:val="000000"/>
                <w:sz w:val="20"/>
                <w:szCs w:val="20"/>
              </w:rPr>
            </w:pPr>
            <w:r w:rsidRPr="00FC2BB6">
              <w:rPr>
                <w:b/>
                <w:color w:val="000000"/>
                <w:sz w:val="20"/>
              </w:rPr>
              <w:t>Antagande</w:t>
            </w:r>
          </w:p>
        </w:tc>
        <w:tc>
          <w:tcPr>
            <w:tcW w:w="1530" w:type="dxa"/>
            <w:tcBorders>
              <w:top w:val="nil"/>
              <w:left w:val="nil"/>
              <w:bottom w:val="single" w:sz="8" w:space="0" w:color="000000"/>
              <w:right w:val="nil"/>
            </w:tcBorders>
            <w:tcMar>
              <w:top w:w="79" w:type="dxa"/>
              <w:left w:w="79" w:type="dxa"/>
              <w:bottom w:w="79" w:type="dxa"/>
              <w:right w:w="79" w:type="dxa"/>
            </w:tcMar>
          </w:tcPr>
          <w:p w:rsidR="00AF0131" w:rsidRPr="00FC2BB6" w:rsidRDefault="00A154E3" w:rsidP="00C33FBD">
            <w:pPr>
              <w:autoSpaceDE w:val="0"/>
              <w:autoSpaceDN w:val="0"/>
              <w:adjustRightInd w:val="0"/>
              <w:rPr>
                <w:color w:val="000000"/>
                <w:sz w:val="20"/>
                <w:szCs w:val="20"/>
              </w:rPr>
            </w:pPr>
            <w:r w:rsidRPr="00FC2BB6">
              <w:rPr>
                <w:color w:val="000000"/>
                <w:sz w:val="20"/>
              </w:rPr>
              <w:t>25.10.2023</w:t>
            </w:r>
          </w:p>
        </w:tc>
        <w:tc>
          <w:tcPr>
            <w:tcW w:w="1474" w:type="dxa"/>
            <w:tcBorders>
              <w:top w:val="nil"/>
              <w:left w:val="nil"/>
              <w:bottom w:val="single" w:sz="8" w:space="0" w:color="000000"/>
              <w:right w:val="nil"/>
            </w:tcBorders>
            <w:tcMar>
              <w:top w:w="79" w:type="dxa"/>
              <w:left w:w="79" w:type="dxa"/>
              <w:bottom w:w="79" w:type="dxa"/>
              <w:right w:w="79" w:type="dxa"/>
            </w:tcMar>
          </w:tcPr>
          <w:p w:rsidR="00AF0131" w:rsidRPr="00FC2BB6" w:rsidRDefault="00AF0131" w:rsidP="00C33F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AF0131" w:rsidRPr="00FC2BB6" w:rsidRDefault="00AF0131" w:rsidP="00C33F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F0131" w:rsidRPr="00FC2BB6" w:rsidRDefault="00AF0131" w:rsidP="00C33FBD">
            <w:pPr>
              <w:autoSpaceDE w:val="0"/>
              <w:autoSpaceDN w:val="0"/>
              <w:adjustRightInd w:val="0"/>
              <w:rPr>
                <w:rFonts w:ascii="sans-serif" w:hAnsi="sans-serif" w:cs="sans-serif"/>
                <w:color w:val="000000"/>
              </w:rPr>
            </w:pPr>
          </w:p>
        </w:tc>
      </w:tr>
      <w:tr w:rsidR="00EC7A2D" w:rsidRPr="00FC2BB6"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b/>
                <w:bCs/>
                <w:color w:val="000000"/>
                <w:sz w:val="20"/>
                <w:szCs w:val="20"/>
              </w:rPr>
            </w:pPr>
            <w:r w:rsidRPr="00FC2BB6">
              <w:rPr>
                <w:b/>
                <w:color w:val="000000"/>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FC2BB6" w:rsidRDefault="00A154E3" w:rsidP="00C33FBD">
            <w:pPr>
              <w:autoSpaceDE w:val="0"/>
              <w:autoSpaceDN w:val="0"/>
              <w:adjustRightInd w:val="0"/>
              <w:rPr>
                <w:color w:val="000000"/>
                <w:sz w:val="20"/>
                <w:szCs w:val="20"/>
              </w:rPr>
            </w:pPr>
            <w:r w:rsidRPr="00FC2BB6">
              <w:rPr>
                <w:color w:val="000000"/>
                <w:sz w:val="20"/>
              </w:rPr>
              <w:t>+:</w:t>
            </w:r>
          </w:p>
          <w:p w:rsidR="00AF0131" w:rsidRPr="00FC2BB6" w:rsidRDefault="00A154E3" w:rsidP="00C33FBD">
            <w:pPr>
              <w:autoSpaceDE w:val="0"/>
              <w:autoSpaceDN w:val="0"/>
              <w:adjustRightInd w:val="0"/>
              <w:rPr>
                <w:color w:val="000000"/>
                <w:sz w:val="20"/>
                <w:szCs w:val="20"/>
              </w:rPr>
            </w:pPr>
            <w:r w:rsidRPr="00FC2BB6">
              <w:rPr>
                <w:color w:val="000000"/>
                <w:sz w:val="20"/>
              </w:rPr>
              <w:t>–:</w:t>
            </w:r>
          </w:p>
          <w:p w:rsidR="00AF0131" w:rsidRPr="00FC2BB6" w:rsidRDefault="00A154E3" w:rsidP="00C33FBD">
            <w:pPr>
              <w:autoSpaceDE w:val="0"/>
              <w:autoSpaceDN w:val="0"/>
              <w:adjustRightInd w:val="0"/>
              <w:rPr>
                <w:color w:val="000000"/>
                <w:sz w:val="20"/>
                <w:szCs w:val="20"/>
              </w:rPr>
            </w:pPr>
            <w:r w:rsidRPr="00FC2BB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color w:val="000000"/>
                <w:sz w:val="20"/>
                <w:szCs w:val="20"/>
              </w:rPr>
            </w:pPr>
            <w:r w:rsidRPr="00FC2BB6">
              <w:rPr>
                <w:color w:val="000000"/>
                <w:sz w:val="20"/>
              </w:rPr>
              <w:t>29</w:t>
            </w:r>
          </w:p>
          <w:p w:rsidR="00AF0131" w:rsidRPr="00FC2BB6" w:rsidRDefault="00A154E3" w:rsidP="00C33FBD">
            <w:pPr>
              <w:autoSpaceDE w:val="0"/>
              <w:autoSpaceDN w:val="0"/>
              <w:adjustRightInd w:val="0"/>
              <w:rPr>
                <w:color w:val="000000"/>
                <w:sz w:val="20"/>
                <w:szCs w:val="20"/>
              </w:rPr>
            </w:pPr>
            <w:r w:rsidRPr="00FC2BB6">
              <w:rPr>
                <w:color w:val="000000"/>
                <w:sz w:val="20"/>
              </w:rPr>
              <w:t>4</w:t>
            </w:r>
          </w:p>
          <w:p w:rsidR="00AF0131" w:rsidRPr="00FC2BB6" w:rsidRDefault="00A154E3" w:rsidP="00C33FBD">
            <w:pPr>
              <w:autoSpaceDE w:val="0"/>
              <w:autoSpaceDN w:val="0"/>
              <w:adjustRightInd w:val="0"/>
              <w:rPr>
                <w:color w:val="000000"/>
                <w:sz w:val="20"/>
                <w:szCs w:val="20"/>
              </w:rPr>
            </w:pPr>
            <w:r w:rsidRPr="00FC2BB6">
              <w:rPr>
                <w:color w:val="000000"/>
                <w:sz w:val="20"/>
              </w:rPr>
              <w:t>10</w:t>
            </w:r>
          </w:p>
        </w:tc>
      </w:tr>
      <w:tr w:rsidR="00EC7A2D" w:rsidRPr="00FC2BB6"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b/>
                <w:bCs/>
                <w:color w:val="000000"/>
                <w:sz w:val="20"/>
                <w:szCs w:val="20"/>
              </w:rPr>
            </w:pPr>
            <w:r w:rsidRPr="00FC2BB6">
              <w:rPr>
                <w:b/>
                <w:color w:val="000000"/>
                <w:sz w:val="20"/>
              </w:rPr>
              <w:t>Slutomröstning: närvarande ledamöter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color w:val="000000"/>
                <w:sz w:val="20"/>
                <w:szCs w:val="20"/>
              </w:rPr>
            </w:pPr>
            <w:r w:rsidRPr="00FC2BB6">
              <w:rPr>
                <w:color w:val="000000"/>
                <w:sz w:val="20"/>
              </w:rPr>
              <w:t>João Albuquerque, Marc Angel, Dominique Bilde</w:t>
            </w:r>
            <w:bookmarkStart w:id="2" w:name="_GoBack"/>
            <w:bookmarkEnd w:id="2"/>
            <w:r w:rsidRPr="00FC2BB6">
              <w:rPr>
                <w:color w:val="000000"/>
                <w:sz w:val="20"/>
              </w:rPr>
              <w:t xml:space="preserve">, Gabriele Bischoff, Milan Brglez, Jordi </w:t>
            </w:r>
            <w:r w:rsidRPr="00FC2BB6">
              <w:rPr>
                <w:color w:val="000000"/>
                <w:sz w:val="20"/>
              </w:rPr>
              <w:t>Cañas, David Casa, Ilan De Basso, Margarita de la Pisa Carrión, Özlem Demirel, Klára Dobrev, Jarosław Duda, Estrella Durá Ferrandis, Lucia Ďuriš Nicholsonová, Loucas Fourlas, Cindy Franssen, Chiara Gemma, Helmut Geuking, Elisabetta Gualmini, Alicia Homs Gi</w:t>
            </w:r>
            <w:r w:rsidRPr="00FC2BB6">
              <w:rPr>
                <w:color w:val="000000"/>
                <w:sz w:val="20"/>
              </w:rPr>
              <w:t xml:space="preserve">nel, Agnes Jongerius, Stelios Kympouropoulos, Katrin Langensiepen, Miriam Lexmann, Elena Lizzi, Sara Matthieu, Max Orville, Kira Marie Peter-Hansen, Dragoş Pîslaru, Elżbieta Rafalska, Daniela Rondinelli, Pirkko Ruohonen-Lerner, Monica Semedo, Romana Tomc, </w:t>
            </w:r>
            <w:r w:rsidRPr="00FC2BB6">
              <w:rPr>
                <w:color w:val="000000"/>
                <w:sz w:val="20"/>
              </w:rPr>
              <w:t>Nikolaj Villumsen, Marianne Vind, Maria Walsh, Tomáš Zdechovský</w:t>
            </w:r>
          </w:p>
        </w:tc>
      </w:tr>
      <w:tr w:rsidR="00EC7A2D" w:rsidRPr="00FC2BB6"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b/>
                <w:bCs/>
                <w:color w:val="000000"/>
                <w:sz w:val="20"/>
                <w:szCs w:val="20"/>
              </w:rPr>
            </w:pPr>
            <w:r w:rsidRPr="00FC2BB6">
              <w:rPr>
                <w:b/>
                <w:color w:val="000000"/>
                <w:sz w:val="20"/>
              </w:rPr>
              <w:t>Slutomröstning: närvarande suppleanter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color w:val="000000"/>
                <w:sz w:val="20"/>
                <w:szCs w:val="20"/>
              </w:rPr>
            </w:pPr>
            <w:r w:rsidRPr="00FC2BB6">
              <w:rPr>
                <w:color w:val="000000"/>
                <w:sz w:val="20"/>
              </w:rPr>
              <w:t>Alexander Alexandrov Yordanov, Aurore Lalucq, Eugenia Rodríguez Palop</w:t>
            </w:r>
          </w:p>
        </w:tc>
      </w:tr>
      <w:tr w:rsidR="00EC7A2D" w:rsidRPr="00FC2BB6"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b/>
                <w:bCs/>
                <w:color w:val="000000"/>
                <w:sz w:val="20"/>
                <w:szCs w:val="20"/>
              </w:rPr>
            </w:pPr>
            <w:r w:rsidRPr="00FC2BB6">
              <w:rPr>
                <w:b/>
                <w:color w:val="000000"/>
                <w:sz w:val="20"/>
              </w:rPr>
              <w:t>Slutomröstning: närvarande suppleanter (art. 209.7)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FC2BB6" w:rsidRDefault="00A154E3" w:rsidP="00C33FBD">
            <w:pPr>
              <w:autoSpaceDE w:val="0"/>
              <w:autoSpaceDN w:val="0"/>
              <w:adjustRightInd w:val="0"/>
              <w:rPr>
                <w:color w:val="000000"/>
                <w:sz w:val="20"/>
                <w:szCs w:val="20"/>
              </w:rPr>
            </w:pPr>
            <w:r w:rsidRPr="00FC2BB6">
              <w:rPr>
                <w:color w:val="000000"/>
                <w:sz w:val="20"/>
              </w:rPr>
              <w:t xml:space="preserve">Sirpa Pietikäinen, Caroline </w:t>
            </w:r>
            <w:r w:rsidRPr="00FC2BB6">
              <w:rPr>
                <w:color w:val="000000"/>
                <w:sz w:val="20"/>
              </w:rPr>
              <w:t>Roose</w:t>
            </w:r>
          </w:p>
        </w:tc>
      </w:tr>
    </w:tbl>
    <w:p w:rsidR="00AF0131" w:rsidRPr="00FC2BB6" w:rsidRDefault="00AF0131" w:rsidP="00AF0131"/>
    <w:bookmarkEnd w:id="1"/>
    <w:p w:rsidR="00AF0131" w:rsidRPr="00FC2BB6" w:rsidRDefault="00AF0131" w:rsidP="00AF0131">
      <w:pPr>
        <w:sectPr w:rsidR="00AF0131" w:rsidRPr="00FC2BB6" w:rsidSect="00FC2BB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AF0131" w:rsidRPr="00FC2BB6" w:rsidRDefault="00A154E3" w:rsidP="00AF0131">
      <w:pPr>
        <w:pStyle w:val="PageHeadingNotTOC"/>
      </w:pPr>
      <w:bookmarkStart w:id="3" w:name="RollCallPageAD"/>
      <w:r w:rsidRPr="00FC2BB6">
        <w:t>SLUTOMRÖSTNING MED NAMNUPPROP I DET RÅDGIVANDE UTSKOTTET</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C7A2D" w:rsidRPr="00FC2BB6" w:rsidTr="00C33FBD">
        <w:trPr>
          <w:cantSplit/>
        </w:trPr>
        <w:tc>
          <w:tcPr>
            <w:tcW w:w="1701" w:type="dxa"/>
            <w:shd w:val="pct10" w:color="000000" w:fill="FFFFFF"/>
            <w:vAlign w:val="center"/>
          </w:tcPr>
          <w:p w:rsidR="00AF0131" w:rsidRPr="00FC2BB6" w:rsidRDefault="00A154E3" w:rsidP="00C33FBD">
            <w:pPr>
              <w:pStyle w:val="RollCallVotes"/>
            </w:pPr>
            <w:r w:rsidRPr="00FC2BB6">
              <w:t>29</w:t>
            </w:r>
          </w:p>
        </w:tc>
        <w:tc>
          <w:tcPr>
            <w:tcW w:w="7371" w:type="dxa"/>
            <w:shd w:val="pct10" w:color="000000" w:fill="FFFFFF"/>
          </w:tcPr>
          <w:p w:rsidR="00AF0131" w:rsidRPr="00FC2BB6" w:rsidRDefault="00A154E3" w:rsidP="00C33FBD">
            <w:pPr>
              <w:pStyle w:val="RollCallSymbols14pt"/>
            </w:pPr>
            <w:r w:rsidRPr="00FC2BB6">
              <w:t>+</w:t>
            </w:r>
          </w:p>
        </w:tc>
      </w:tr>
      <w:tr w:rsidR="00EC7A2D" w:rsidRPr="00FC2BB6" w:rsidTr="00C33FBD">
        <w:trPr>
          <w:cantSplit/>
        </w:trPr>
        <w:tc>
          <w:tcPr>
            <w:tcW w:w="1701" w:type="dxa"/>
            <w:shd w:val="clear" w:color="auto" w:fill="FFFFFF"/>
          </w:tcPr>
          <w:p w:rsidR="00AF0131" w:rsidRPr="00FC2BB6" w:rsidRDefault="00A154E3" w:rsidP="00C33FBD">
            <w:pPr>
              <w:pStyle w:val="RollCallTable"/>
            </w:pPr>
            <w:r w:rsidRPr="00FC2BB6">
              <w:t>PPE</w:t>
            </w:r>
          </w:p>
        </w:tc>
        <w:tc>
          <w:tcPr>
            <w:tcW w:w="7371" w:type="dxa"/>
            <w:shd w:val="clear" w:color="auto" w:fill="FFFFFF"/>
          </w:tcPr>
          <w:p w:rsidR="00AF0131" w:rsidRPr="00FC2BB6" w:rsidRDefault="00A154E3" w:rsidP="00C33FBD">
            <w:pPr>
              <w:pStyle w:val="RollCallTable"/>
            </w:pPr>
            <w:r w:rsidRPr="00FC2BB6">
              <w:t>David Casa, Loucas Fourlas, Cindy Franssen, Stelios Kympouropoulos, Sirpa Pietikäinen, Maria Walsh</w:t>
            </w:r>
          </w:p>
        </w:tc>
      </w:tr>
      <w:tr w:rsidR="00EC7A2D" w:rsidRPr="00FC2BB6" w:rsidTr="00C33FBD">
        <w:trPr>
          <w:cantSplit/>
        </w:trPr>
        <w:tc>
          <w:tcPr>
            <w:tcW w:w="1701" w:type="dxa"/>
            <w:shd w:val="clear" w:color="auto" w:fill="FFFFFF"/>
          </w:tcPr>
          <w:p w:rsidR="00AF0131" w:rsidRPr="00FC2BB6" w:rsidRDefault="00A154E3" w:rsidP="00C33FBD">
            <w:pPr>
              <w:pStyle w:val="RollCallTable"/>
            </w:pPr>
            <w:r w:rsidRPr="00FC2BB6">
              <w:t>Renew</w:t>
            </w:r>
          </w:p>
        </w:tc>
        <w:tc>
          <w:tcPr>
            <w:tcW w:w="7371" w:type="dxa"/>
            <w:shd w:val="clear" w:color="auto" w:fill="FFFFFF"/>
          </w:tcPr>
          <w:p w:rsidR="00AF0131" w:rsidRPr="00FC2BB6" w:rsidRDefault="00A154E3" w:rsidP="00C33FBD">
            <w:pPr>
              <w:pStyle w:val="RollCallTable"/>
            </w:pPr>
            <w:r w:rsidRPr="00FC2BB6">
              <w:t xml:space="preserve">Jordi Cañas, Lucia Ďuriš Nicholsonová, Max Orville, </w:t>
            </w:r>
            <w:r w:rsidRPr="00FC2BB6">
              <w:t>Dragoş Pîslaru, Monica Semedo</w:t>
            </w:r>
          </w:p>
        </w:tc>
      </w:tr>
      <w:tr w:rsidR="00EC7A2D" w:rsidRPr="00FC2BB6" w:rsidTr="00C33FBD">
        <w:trPr>
          <w:cantSplit/>
        </w:trPr>
        <w:tc>
          <w:tcPr>
            <w:tcW w:w="1701" w:type="dxa"/>
            <w:shd w:val="clear" w:color="auto" w:fill="FFFFFF"/>
          </w:tcPr>
          <w:p w:rsidR="00AF0131" w:rsidRPr="00FC2BB6" w:rsidRDefault="00A154E3" w:rsidP="00C33FBD">
            <w:pPr>
              <w:pStyle w:val="RollCallTable"/>
            </w:pPr>
            <w:r w:rsidRPr="00FC2BB6">
              <w:t>S&amp;D</w:t>
            </w:r>
          </w:p>
        </w:tc>
        <w:tc>
          <w:tcPr>
            <w:tcW w:w="7371" w:type="dxa"/>
            <w:shd w:val="clear" w:color="auto" w:fill="FFFFFF"/>
          </w:tcPr>
          <w:p w:rsidR="00AF0131" w:rsidRPr="00FC2BB6" w:rsidRDefault="00A154E3" w:rsidP="00C33FBD">
            <w:pPr>
              <w:pStyle w:val="RollCallTable"/>
            </w:pPr>
            <w:r w:rsidRPr="00FC2BB6">
              <w:t>João Albuquerque, Marc Angel, Gabriele Bischoff, Milan Brglez, Klára Dobrev, Estrella Durá Ferrandis, Elisabetta Gualmini, Alicia Homs Ginel, Agnes Jongerius, Aurore Lalucq, Daniela Rondinelli, Marianne Vind</w:t>
            </w:r>
          </w:p>
        </w:tc>
      </w:tr>
      <w:tr w:rsidR="00EC7A2D" w:rsidRPr="00FC2BB6" w:rsidTr="00C33FBD">
        <w:trPr>
          <w:cantSplit/>
        </w:trPr>
        <w:tc>
          <w:tcPr>
            <w:tcW w:w="1701" w:type="dxa"/>
            <w:shd w:val="clear" w:color="auto" w:fill="FFFFFF"/>
          </w:tcPr>
          <w:p w:rsidR="00AF0131" w:rsidRPr="00FC2BB6" w:rsidRDefault="00A154E3" w:rsidP="00C33FBD">
            <w:pPr>
              <w:pStyle w:val="RollCallTable"/>
            </w:pPr>
            <w:r w:rsidRPr="00FC2BB6">
              <w:t>The Left</w:t>
            </w:r>
          </w:p>
        </w:tc>
        <w:tc>
          <w:tcPr>
            <w:tcW w:w="7371" w:type="dxa"/>
            <w:shd w:val="clear" w:color="auto" w:fill="FFFFFF"/>
          </w:tcPr>
          <w:p w:rsidR="00AF0131" w:rsidRPr="00FC2BB6" w:rsidRDefault="00A154E3" w:rsidP="00C33FBD">
            <w:pPr>
              <w:pStyle w:val="RollCallTable"/>
            </w:pPr>
            <w:r w:rsidRPr="00FC2BB6">
              <w:t>Eug</w:t>
            </w:r>
            <w:r w:rsidRPr="00FC2BB6">
              <w:t>enia Rodríguez Palop, Nikolaj Villumsen</w:t>
            </w:r>
          </w:p>
        </w:tc>
      </w:tr>
      <w:tr w:rsidR="00EC7A2D" w:rsidRPr="00FC2BB6" w:rsidTr="00C33FBD">
        <w:trPr>
          <w:cantSplit/>
        </w:trPr>
        <w:tc>
          <w:tcPr>
            <w:tcW w:w="1701" w:type="dxa"/>
            <w:shd w:val="clear" w:color="auto" w:fill="FFFFFF"/>
          </w:tcPr>
          <w:p w:rsidR="00AF0131" w:rsidRPr="00FC2BB6" w:rsidRDefault="00A154E3" w:rsidP="00C33FBD">
            <w:pPr>
              <w:pStyle w:val="RollCallTable"/>
            </w:pPr>
            <w:r w:rsidRPr="00FC2BB6">
              <w:t>Verts/ALE</w:t>
            </w:r>
          </w:p>
        </w:tc>
        <w:tc>
          <w:tcPr>
            <w:tcW w:w="7371" w:type="dxa"/>
            <w:shd w:val="clear" w:color="auto" w:fill="FFFFFF"/>
          </w:tcPr>
          <w:p w:rsidR="00AF0131" w:rsidRPr="00FC2BB6" w:rsidRDefault="00A154E3" w:rsidP="00C33FBD">
            <w:pPr>
              <w:pStyle w:val="RollCallTable"/>
            </w:pPr>
            <w:r w:rsidRPr="00FC2BB6">
              <w:t>Katrin Langensiepen, Sara Matthieu, Kira Marie Peter-Hansen, Caroline Roose</w:t>
            </w:r>
          </w:p>
        </w:tc>
      </w:tr>
    </w:tbl>
    <w:p w:rsidR="00AF0131" w:rsidRPr="00FC2BB6"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C7A2D" w:rsidRPr="00FC2BB6" w:rsidTr="00C33FBD">
        <w:trPr>
          <w:cantSplit/>
        </w:trPr>
        <w:tc>
          <w:tcPr>
            <w:tcW w:w="1701" w:type="dxa"/>
            <w:shd w:val="pct10" w:color="000000" w:fill="FFFFFF"/>
            <w:vAlign w:val="center"/>
          </w:tcPr>
          <w:p w:rsidR="00AF0131" w:rsidRPr="00FC2BB6" w:rsidRDefault="00A154E3" w:rsidP="00C33FBD">
            <w:pPr>
              <w:pStyle w:val="RollCallVotes"/>
            </w:pPr>
            <w:r w:rsidRPr="00FC2BB6">
              <w:t>4</w:t>
            </w:r>
          </w:p>
        </w:tc>
        <w:tc>
          <w:tcPr>
            <w:tcW w:w="7371" w:type="dxa"/>
            <w:shd w:val="pct10" w:color="000000" w:fill="FFFFFF"/>
          </w:tcPr>
          <w:p w:rsidR="00AF0131" w:rsidRPr="00FC2BB6" w:rsidRDefault="00A154E3" w:rsidP="00C33FBD">
            <w:pPr>
              <w:pStyle w:val="RollCallSymbols14pt"/>
            </w:pPr>
            <w:r w:rsidRPr="00FC2BB6">
              <w:t>-</w:t>
            </w:r>
          </w:p>
        </w:tc>
      </w:tr>
      <w:tr w:rsidR="00EC7A2D" w:rsidRPr="00FC2BB6" w:rsidTr="00C33FBD">
        <w:trPr>
          <w:cantSplit/>
        </w:trPr>
        <w:tc>
          <w:tcPr>
            <w:tcW w:w="1701" w:type="dxa"/>
            <w:shd w:val="clear" w:color="auto" w:fill="FFFFFF"/>
          </w:tcPr>
          <w:p w:rsidR="00AF0131" w:rsidRPr="00FC2BB6" w:rsidRDefault="00A154E3" w:rsidP="00C33FBD">
            <w:pPr>
              <w:pStyle w:val="RollCallTable"/>
            </w:pPr>
            <w:r w:rsidRPr="00FC2BB6">
              <w:t>ECR</w:t>
            </w:r>
          </w:p>
        </w:tc>
        <w:tc>
          <w:tcPr>
            <w:tcW w:w="7371" w:type="dxa"/>
            <w:shd w:val="clear" w:color="auto" w:fill="FFFFFF"/>
          </w:tcPr>
          <w:p w:rsidR="00AF0131" w:rsidRPr="00FC2BB6" w:rsidRDefault="00A154E3" w:rsidP="00C33FBD">
            <w:pPr>
              <w:pStyle w:val="RollCallTable"/>
            </w:pPr>
            <w:r w:rsidRPr="00FC2BB6">
              <w:t>Margarita de la Pisa Carrión, Elżbieta Rafalska, Pirkko Ruohonen-Lerner</w:t>
            </w:r>
          </w:p>
        </w:tc>
      </w:tr>
      <w:tr w:rsidR="00EC7A2D" w:rsidRPr="00FC2BB6" w:rsidTr="00C33FBD">
        <w:trPr>
          <w:cantSplit/>
        </w:trPr>
        <w:tc>
          <w:tcPr>
            <w:tcW w:w="1701" w:type="dxa"/>
            <w:shd w:val="clear" w:color="auto" w:fill="FFFFFF"/>
          </w:tcPr>
          <w:p w:rsidR="00AF0131" w:rsidRPr="00FC2BB6" w:rsidRDefault="00A154E3" w:rsidP="00C33FBD">
            <w:pPr>
              <w:pStyle w:val="RollCallTable"/>
            </w:pPr>
            <w:r w:rsidRPr="00FC2BB6">
              <w:t>ID</w:t>
            </w:r>
          </w:p>
        </w:tc>
        <w:tc>
          <w:tcPr>
            <w:tcW w:w="7371" w:type="dxa"/>
            <w:shd w:val="clear" w:color="auto" w:fill="FFFFFF"/>
          </w:tcPr>
          <w:p w:rsidR="00AF0131" w:rsidRPr="00FC2BB6" w:rsidRDefault="00A154E3" w:rsidP="00C33FBD">
            <w:pPr>
              <w:pStyle w:val="RollCallTable"/>
            </w:pPr>
            <w:r w:rsidRPr="00FC2BB6">
              <w:t>Dominique Bilde</w:t>
            </w:r>
          </w:p>
        </w:tc>
      </w:tr>
    </w:tbl>
    <w:p w:rsidR="00AF0131" w:rsidRPr="00FC2BB6"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C7A2D" w:rsidRPr="00FC2BB6" w:rsidTr="00C33FBD">
        <w:trPr>
          <w:cantSplit/>
        </w:trPr>
        <w:tc>
          <w:tcPr>
            <w:tcW w:w="1701" w:type="dxa"/>
            <w:shd w:val="pct10" w:color="000000" w:fill="FFFFFF"/>
            <w:vAlign w:val="center"/>
          </w:tcPr>
          <w:p w:rsidR="00AF0131" w:rsidRPr="00FC2BB6" w:rsidRDefault="00A154E3" w:rsidP="00C33FBD">
            <w:pPr>
              <w:pStyle w:val="RollCallVotes"/>
            </w:pPr>
            <w:r w:rsidRPr="00FC2BB6">
              <w:t>10</w:t>
            </w:r>
          </w:p>
        </w:tc>
        <w:tc>
          <w:tcPr>
            <w:tcW w:w="7371" w:type="dxa"/>
            <w:shd w:val="pct10" w:color="000000" w:fill="FFFFFF"/>
          </w:tcPr>
          <w:p w:rsidR="00AF0131" w:rsidRPr="00FC2BB6" w:rsidRDefault="00A154E3" w:rsidP="00C33FBD">
            <w:pPr>
              <w:pStyle w:val="RollCallSymbols14pt"/>
            </w:pPr>
            <w:r w:rsidRPr="00FC2BB6">
              <w:t>0</w:t>
            </w:r>
          </w:p>
        </w:tc>
      </w:tr>
      <w:tr w:rsidR="00EC7A2D" w:rsidRPr="00FC2BB6" w:rsidTr="00C33FBD">
        <w:trPr>
          <w:cantSplit/>
        </w:trPr>
        <w:tc>
          <w:tcPr>
            <w:tcW w:w="1701" w:type="dxa"/>
            <w:shd w:val="clear" w:color="auto" w:fill="FFFFFF"/>
          </w:tcPr>
          <w:p w:rsidR="00AF0131" w:rsidRPr="00FC2BB6" w:rsidRDefault="00A154E3" w:rsidP="00C33FBD">
            <w:pPr>
              <w:pStyle w:val="RollCallTable"/>
            </w:pPr>
            <w:r w:rsidRPr="00FC2BB6">
              <w:t>ECR</w:t>
            </w:r>
          </w:p>
        </w:tc>
        <w:tc>
          <w:tcPr>
            <w:tcW w:w="7371" w:type="dxa"/>
            <w:shd w:val="clear" w:color="auto" w:fill="FFFFFF"/>
          </w:tcPr>
          <w:p w:rsidR="00AF0131" w:rsidRPr="00FC2BB6" w:rsidRDefault="00A154E3" w:rsidP="00C33FBD">
            <w:pPr>
              <w:pStyle w:val="RollCallTable"/>
            </w:pPr>
            <w:r w:rsidRPr="00FC2BB6">
              <w:t>Chiara Gemma</w:t>
            </w:r>
          </w:p>
        </w:tc>
      </w:tr>
      <w:tr w:rsidR="00EC7A2D" w:rsidRPr="00FC2BB6" w:rsidTr="00C33FBD">
        <w:trPr>
          <w:cantSplit/>
        </w:trPr>
        <w:tc>
          <w:tcPr>
            <w:tcW w:w="1701" w:type="dxa"/>
            <w:shd w:val="clear" w:color="auto" w:fill="FFFFFF"/>
          </w:tcPr>
          <w:p w:rsidR="00AF0131" w:rsidRPr="00FC2BB6" w:rsidRDefault="00A154E3" w:rsidP="00C33FBD">
            <w:pPr>
              <w:pStyle w:val="RollCallTable"/>
            </w:pPr>
            <w:r w:rsidRPr="00FC2BB6">
              <w:t>ID</w:t>
            </w:r>
          </w:p>
        </w:tc>
        <w:tc>
          <w:tcPr>
            <w:tcW w:w="7371" w:type="dxa"/>
            <w:shd w:val="clear" w:color="auto" w:fill="FFFFFF"/>
          </w:tcPr>
          <w:p w:rsidR="00AF0131" w:rsidRPr="00FC2BB6" w:rsidRDefault="00A154E3" w:rsidP="00C33FBD">
            <w:pPr>
              <w:pStyle w:val="RollCallTable"/>
            </w:pPr>
            <w:r w:rsidRPr="00FC2BB6">
              <w:t>Elena Lizzi</w:t>
            </w:r>
          </w:p>
        </w:tc>
      </w:tr>
      <w:tr w:rsidR="00EC7A2D" w:rsidRPr="00FC2BB6" w:rsidTr="00C33FBD">
        <w:trPr>
          <w:cantSplit/>
        </w:trPr>
        <w:tc>
          <w:tcPr>
            <w:tcW w:w="1701" w:type="dxa"/>
            <w:shd w:val="clear" w:color="auto" w:fill="FFFFFF"/>
          </w:tcPr>
          <w:p w:rsidR="00AF0131" w:rsidRPr="00FC2BB6" w:rsidRDefault="00A154E3" w:rsidP="00C33FBD">
            <w:pPr>
              <w:pStyle w:val="RollCallTable"/>
            </w:pPr>
            <w:r w:rsidRPr="00FC2BB6">
              <w:t>PPE</w:t>
            </w:r>
          </w:p>
        </w:tc>
        <w:tc>
          <w:tcPr>
            <w:tcW w:w="7371" w:type="dxa"/>
            <w:shd w:val="clear" w:color="auto" w:fill="FFFFFF"/>
          </w:tcPr>
          <w:p w:rsidR="00AF0131" w:rsidRPr="00FC2BB6" w:rsidRDefault="00A154E3" w:rsidP="00C33FBD">
            <w:pPr>
              <w:pStyle w:val="RollCallTable"/>
            </w:pPr>
            <w:r w:rsidRPr="00FC2BB6">
              <w:t>Alexander Alexandrov Yordanov, Jarosław Duda, Helmut Geuking, Miriam Lexmann, Romana Tomc, Tomáš Zdechovský</w:t>
            </w:r>
          </w:p>
        </w:tc>
      </w:tr>
      <w:tr w:rsidR="00EC7A2D" w:rsidRPr="00FC2BB6" w:rsidTr="00C33FBD">
        <w:trPr>
          <w:cantSplit/>
        </w:trPr>
        <w:tc>
          <w:tcPr>
            <w:tcW w:w="1701" w:type="dxa"/>
            <w:shd w:val="clear" w:color="auto" w:fill="FFFFFF"/>
          </w:tcPr>
          <w:p w:rsidR="00AF0131" w:rsidRPr="00FC2BB6" w:rsidRDefault="00A154E3" w:rsidP="00C33FBD">
            <w:pPr>
              <w:pStyle w:val="RollCallTable"/>
            </w:pPr>
            <w:r w:rsidRPr="00FC2BB6">
              <w:t>S&amp;D</w:t>
            </w:r>
          </w:p>
        </w:tc>
        <w:tc>
          <w:tcPr>
            <w:tcW w:w="7371" w:type="dxa"/>
            <w:shd w:val="clear" w:color="auto" w:fill="FFFFFF"/>
          </w:tcPr>
          <w:p w:rsidR="00AF0131" w:rsidRPr="00FC2BB6" w:rsidRDefault="00A154E3" w:rsidP="00C33FBD">
            <w:pPr>
              <w:pStyle w:val="RollCallTable"/>
            </w:pPr>
            <w:r w:rsidRPr="00FC2BB6">
              <w:t>Ilan De Basso</w:t>
            </w:r>
          </w:p>
        </w:tc>
      </w:tr>
      <w:tr w:rsidR="00EC7A2D" w:rsidRPr="00FC2BB6" w:rsidTr="00C33FBD">
        <w:trPr>
          <w:cantSplit/>
        </w:trPr>
        <w:tc>
          <w:tcPr>
            <w:tcW w:w="1701" w:type="dxa"/>
            <w:shd w:val="clear" w:color="auto" w:fill="FFFFFF"/>
          </w:tcPr>
          <w:p w:rsidR="00AF0131" w:rsidRPr="00FC2BB6" w:rsidRDefault="00A154E3" w:rsidP="00C33FBD">
            <w:pPr>
              <w:pStyle w:val="RollCallTable"/>
            </w:pPr>
            <w:r w:rsidRPr="00FC2BB6">
              <w:t>The Left</w:t>
            </w:r>
          </w:p>
        </w:tc>
        <w:tc>
          <w:tcPr>
            <w:tcW w:w="7371" w:type="dxa"/>
            <w:shd w:val="clear" w:color="auto" w:fill="FFFFFF"/>
          </w:tcPr>
          <w:p w:rsidR="00AF0131" w:rsidRPr="00FC2BB6" w:rsidRDefault="00A154E3" w:rsidP="00C33FBD">
            <w:pPr>
              <w:pStyle w:val="RollCallTable"/>
            </w:pPr>
            <w:r w:rsidRPr="00FC2BB6">
              <w:t>Özlem Demirel</w:t>
            </w:r>
          </w:p>
        </w:tc>
      </w:tr>
    </w:tbl>
    <w:p w:rsidR="00AF0131" w:rsidRPr="00FC2BB6" w:rsidRDefault="00AF0131" w:rsidP="00AF0131">
      <w:pPr>
        <w:pStyle w:val="Normal12a"/>
      </w:pPr>
    </w:p>
    <w:p w:rsidR="00AF0131" w:rsidRPr="00FC2BB6" w:rsidRDefault="00A154E3" w:rsidP="00AF0131">
      <w:r w:rsidRPr="00FC2BB6">
        <w:t>Teckenförklaring:</w:t>
      </w:r>
    </w:p>
    <w:p w:rsidR="00AF0131" w:rsidRPr="00FC2BB6" w:rsidRDefault="00A154E3" w:rsidP="00AF0131">
      <w:pPr>
        <w:pStyle w:val="RollCallTabs"/>
      </w:pPr>
      <w:r w:rsidRPr="00FC2BB6">
        <w:t>+</w:t>
      </w:r>
      <w:r w:rsidRPr="00FC2BB6">
        <w:tab/>
        <w:t>:</w:t>
      </w:r>
      <w:r w:rsidRPr="00FC2BB6">
        <w:tab/>
        <w:t>Ja-röster</w:t>
      </w:r>
    </w:p>
    <w:p w:rsidR="00AF0131" w:rsidRPr="00FC2BB6" w:rsidRDefault="00A154E3" w:rsidP="00AF0131">
      <w:pPr>
        <w:pStyle w:val="RollCallTabs"/>
      </w:pPr>
      <w:r w:rsidRPr="00FC2BB6">
        <w:t>-</w:t>
      </w:r>
      <w:r w:rsidRPr="00FC2BB6">
        <w:tab/>
        <w:t>:</w:t>
      </w:r>
      <w:r w:rsidRPr="00FC2BB6">
        <w:tab/>
        <w:t>Nej-röster</w:t>
      </w:r>
    </w:p>
    <w:p w:rsidR="00AF0131" w:rsidRPr="00FC2BB6" w:rsidRDefault="00A154E3" w:rsidP="00AF0131">
      <w:pPr>
        <w:pStyle w:val="RollCallTabs"/>
      </w:pPr>
      <w:r w:rsidRPr="00FC2BB6">
        <w:t>0</w:t>
      </w:r>
      <w:r w:rsidRPr="00FC2BB6">
        <w:tab/>
        <w:t>:</w:t>
      </w:r>
      <w:r w:rsidRPr="00FC2BB6">
        <w:tab/>
        <w:t>Nedlagda röster</w:t>
      </w:r>
    </w:p>
    <w:p w:rsidR="00AF0131" w:rsidRPr="00FC2BB6" w:rsidRDefault="00AF0131" w:rsidP="00AF0131"/>
    <w:bookmarkEnd w:id="3"/>
    <w:p w:rsidR="00AF0131" w:rsidRPr="00FC2BB6" w:rsidRDefault="00AF0131" w:rsidP="00AF0131"/>
    <w:p w:rsidR="00DB56E4" w:rsidRPr="00FC2BB6" w:rsidRDefault="00DB56E4" w:rsidP="00AF0131">
      <w:pPr>
        <w:pStyle w:val="CoverReference"/>
      </w:pPr>
    </w:p>
    <w:sectPr w:rsidR="00DB56E4" w:rsidRPr="00FC2BB6" w:rsidSect="00C56375">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C2BB6" w:rsidRDefault="00A154E3">
      <w:r w:rsidRPr="00FC2BB6">
        <w:separator/>
      </w:r>
    </w:p>
  </w:endnote>
  <w:endnote w:type="continuationSeparator" w:id="0">
    <w:p w:rsidR="00000000" w:rsidRPr="00FC2BB6" w:rsidRDefault="00A154E3">
      <w:r w:rsidRPr="00FC2B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BB6" w:rsidRPr="00FC2BB6" w:rsidRDefault="00FC2BB6" w:rsidP="00FC2BB6">
    <w:pPr>
      <w:pStyle w:val="EPFooter"/>
    </w:pPr>
    <w:r w:rsidRPr="00FC2BB6">
      <w:t>PE</w:t>
    </w:r>
    <w:r w:rsidRPr="00FC2BB6">
      <w:rPr>
        <w:rStyle w:val="HideTWBExt"/>
      </w:rPr>
      <w:t>&lt;NoPE&gt;</w:t>
    </w:r>
    <w:r w:rsidRPr="00FC2BB6">
      <w:t>752.621</w:t>
    </w:r>
    <w:r w:rsidRPr="00FC2BB6">
      <w:rPr>
        <w:rStyle w:val="HideTWBExt"/>
      </w:rPr>
      <w:t>&lt;/NoPE&gt;&lt;Version&gt;</w:t>
    </w:r>
    <w:r w:rsidRPr="00FC2BB6">
      <w:t>v02-00</w:t>
    </w:r>
    <w:r w:rsidRPr="00FC2BB6">
      <w:rPr>
        <w:rStyle w:val="HideTWBExt"/>
      </w:rPr>
      <w:t>&lt;/Version&gt;</w:t>
    </w:r>
    <w:r w:rsidRPr="00FC2BB6">
      <w:tab/>
    </w:r>
    <w:r w:rsidRPr="00FC2BB6">
      <w:fldChar w:fldCharType="begin"/>
    </w:r>
    <w:r w:rsidRPr="00FC2BB6">
      <w:instrText xml:space="preserve"> PAGE  \* MERGEFORMAT </w:instrText>
    </w:r>
    <w:r w:rsidRPr="00FC2BB6">
      <w:fldChar w:fldCharType="separate"/>
    </w:r>
    <w:r w:rsidR="00A154E3">
      <w:rPr>
        <w:noProof/>
      </w:rPr>
      <w:t>26</w:t>
    </w:r>
    <w:r w:rsidRPr="00FC2BB6">
      <w:fldChar w:fldCharType="end"/>
    </w:r>
    <w:r w:rsidRPr="00FC2BB6">
      <w:t>/</w:t>
    </w:r>
    <w:fldSimple w:instr=" NUMPAGES  \* MERGEFORMAT ">
      <w:r w:rsidR="00A154E3">
        <w:rPr>
          <w:noProof/>
        </w:rPr>
        <w:t>28</w:t>
      </w:r>
    </w:fldSimple>
    <w:r w:rsidRPr="00FC2BB6">
      <w:tab/>
    </w:r>
    <w:r w:rsidRPr="00FC2BB6">
      <w:rPr>
        <w:rStyle w:val="HideTWBExt"/>
      </w:rPr>
      <w:t>&lt;PathFdR&gt;</w:t>
    </w:r>
    <w:r w:rsidRPr="00FC2BB6">
      <w:t>AD\1288324SV.docx</w:t>
    </w:r>
    <w:r w:rsidRPr="00FC2BB6">
      <w:rPr>
        <w:rStyle w:val="HideTWBExt"/>
      </w:rPr>
      <w:t>&lt;/PathFdR&gt;</w:t>
    </w:r>
  </w:p>
  <w:p w:rsidR="00AF0131" w:rsidRPr="00FC2BB6" w:rsidRDefault="00FC2BB6" w:rsidP="00FC2BB6">
    <w:pPr>
      <w:pStyle w:val="EPFooter2"/>
    </w:pPr>
    <w:r w:rsidRPr="00FC2BB6">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BB6" w:rsidRPr="00FC2BB6" w:rsidRDefault="00FC2BB6" w:rsidP="00FC2BB6">
    <w:pPr>
      <w:pStyle w:val="EPFooter"/>
    </w:pPr>
    <w:r w:rsidRPr="00FC2BB6">
      <w:rPr>
        <w:rStyle w:val="HideTWBExt"/>
      </w:rPr>
      <w:t>&lt;PathFdR&gt;</w:t>
    </w:r>
    <w:r w:rsidRPr="00FC2BB6">
      <w:t>AD\1288324SV.docx</w:t>
    </w:r>
    <w:r w:rsidRPr="00FC2BB6">
      <w:rPr>
        <w:rStyle w:val="HideTWBExt"/>
      </w:rPr>
      <w:t>&lt;/PathFdR&gt;</w:t>
    </w:r>
    <w:r w:rsidRPr="00FC2BB6">
      <w:tab/>
    </w:r>
    <w:r w:rsidRPr="00FC2BB6">
      <w:fldChar w:fldCharType="begin"/>
    </w:r>
    <w:r w:rsidRPr="00FC2BB6">
      <w:instrText xml:space="preserve"> PAGE  \* MERGEFORMAT </w:instrText>
    </w:r>
    <w:r w:rsidRPr="00FC2BB6">
      <w:fldChar w:fldCharType="separate"/>
    </w:r>
    <w:r w:rsidR="00A154E3">
      <w:rPr>
        <w:noProof/>
      </w:rPr>
      <w:t>27</w:t>
    </w:r>
    <w:r w:rsidRPr="00FC2BB6">
      <w:fldChar w:fldCharType="end"/>
    </w:r>
    <w:r w:rsidRPr="00FC2BB6">
      <w:t>/</w:t>
    </w:r>
    <w:fldSimple w:instr=" NUMPAGES  \* MERGEFORMAT ">
      <w:r w:rsidR="00A154E3">
        <w:rPr>
          <w:noProof/>
        </w:rPr>
        <w:t>28</w:t>
      </w:r>
    </w:fldSimple>
    <w:r w:rsidRPr="00FC2BB6">
      <w:tab/>
      <w:t>PE</w:t>
    </w:r>
    <w:r w:rsidRPr="00FC2BB6">
      <w:rPr>
        <w:rStyle w:val="HideTWBExt"/>
      </w:rPr>
      <w:t>&lt;NoPE&gt;</w:t>
    </w:r>
    <w:r w:rsidRPr="00FC2BB6">
      <w:t>752.621</w:t>
    </w:r>
    <w:r w:rsidRPr="00FC2BB6">
      <w:rPr>
        <w:rStyle w:val="HideTWBExt"/>
      </w:rPr>
      <w:t>&lt;/NoPE&gt;&lt;Version&gt;</w:t>
    </w:r>
    <w:r w:rsidRPr="00FC2BB6">
      <w:t>v02-00</w:t>
    </w:r>
    <w:r w:rsidRPr="00FC2BB6">
      <w:rPr>
        <w:rStyle w:val="HideTWBExt"/>
      </w:rPr>
      <w:t>&lt;/Version&gt;</w:t>
    </w:r>
  </w:p>
  <w:p w:rsidR="00AF0131" w:rsidRPr="00FC2BB6" w:rsidRDefault="00FC2BB6" w:rsidP="00FC2BB6">
    <w:pPr>
      <w:pStyle w:val="EPFooter2"/>
    </w:pPr>
    <w:r w:rsidRPr="00FC2BB6">
      <w:tab/>
    </w:r>
    <w:r w:rsidRPr="00FC2BB6">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BB6" w:rsidRPr="00FC2BB6" w:rsidRDefault="00FC2BB6" w:rsidP="00FC2BB6">
    <w:pPr>
      <w:pStyle w:val="EPFooter"/>
    </w:pPr>
    <w:r w:rsidRPr="00FC2BB6">
      <w:rPr>
        <w:rStyle w:val="HideTWBExt"/>
      </w:rPr>
      <w:t>&lt;PathFdR&gt;</w:t>
    </w:r>
    <w:r w:rsidRPr="00FC2BB6">
      <w:t>AD\1288324SV.docx</w:t>
    </w:r>
    <w:r w:rsidRPr="00FC2BB6">
      <w:rPr>
        <w:rStyle w:val="HideTWBExt"/>
      </w:rPr>
      <w:t>&lt;/PathFdR&gt;</w:t>
    </w:r>
    <w:r w:rsidRPr="00FC2BB6">
      <w:tab/>
    </w:r>
    <w:r w:rsidRPr="00FC2BB6">
      <w:tab/>
      <w:t>PE</w:t>
    </w:r>
    <w:r w:rsidRPr="00FC2BB6">
      <w:rPr>
        <w:rStyle w:val="HideTWBExt"/>
      </w:rPr>
      <w:t>&lt;NoPE&gt;</w:t>
    </w:r>
    <w:r w:rsidRPr="00FC2BB6">
      <w:t>752.621</w:t>
    </w:r>
    <w:r w:rsidRPr="00FC2BB6">
      <w:rPr>
        <w:rStyle w:val="HideTWBExt"/>
      </w:rPr>
      <w:t>&lt;/NoPE&gt;&lt;Version&gt;</w:t>
    </w:r>
    <w:r w:rsidRPr="00FC2BB6">
      <w:t>v02-00</w:t>
    </w:r>
    <w:r w:rsidRPr="00FC2BB6">
      <w:rPr>
        <w:rStyle w:val="HideTWBExt"/>
      </w:rPr>
      <w:t>&lt;/Version&gt;</w:t>
    </w:r>
  </w:p>
  <w:p w:rsidR="00AF0131" w:rsidRPr="00FC2BB6" w:rsidRDefault="00FC2BB6" w:rsidP="00FC2BB6">
    <w:pPr>
      <w:pStyle w:val="EPFooter2"/>
    </w:pPr>
    <w:r w:rsidRPr="00FC2BB6">
      <w:t>SV</w:t>
    </w:r>
    <w:r w:rsidRPr="00FC2BB6">
      <w:tab/>
    </w:r>
    <w:r w:rsidRPr="00FC2BB6">
      <w:rPr>
        <w:b w:val="0"/>
        <w:i/>
        <w:color w:val="C0C0C0"/>
        <w:sz w:val="22"/>
      </w:rPr>
      <w:t>Förenade i mångfalden</w:t>
    </w:r>
    <w:r w:rsidRPr="00FC2BB6">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FC2BB6" w:rsidRDefault="00A154E3" w:rsidP="002258E0">
    <w:pPr>
      <w:pStyle w:val="EPFooter"/>
    </w:pPr>
    <w:r w:rsidRPr="00FC2BB6">
      <w:rPr>
        <w:rStyle w:val="HideTWBExt"/>
      </w:rPr>
      <w:t>&lt;PathFdR&gt;</w:t>
    </w:r>
    <w:r w:rsidRPr="00FC2BB6">
      <w:t>AD\1288324EN.docx</w:t>
    </w:r>
    <w:r w:rsidRPr="00FC2BB6">
      <w:rPr>
        <w:rStyle w:val="HideTWBExt"/>
      </w:rPr>
      <w:t>&lt;/PathFdR&gt;</w:t>
    </w:r>
    <w:r w:rsidRPr="00FC2BB6">
      <w:tab/>
    </w:r>
    <w:r w:rsidRPr="00FC2BB6">
      <w:tab/>
      <w:t>PE</w:t>
    </w:r>
    <w:r w:rsidRPr="00FC2BB6">
      <w:rPr>
        <w:rStyle w:val="HideTWBExt"/>
      </w:rPr>
      <w:t>&lt;NoPE&gt;</w:t>
    </w:r>
    <w:r w:rsidRPr="00FC2BB6">
      <w:t>752.621</w:t>
    </w:r>
    <w:r w:rsidRPr="00FC2BB6">
      <w:rPr>
        <w:rStyle w:val="HideTWBExt"/>
      </w:rPr>
      <w:t>&lt;/NoPE&gt;&lt;Version&gt;</w:t>
    </w:r>
    <w:r w:rsidRPr="00FC2BB6">
      <w:t>v02-00</w:t>
    </w:r>
    <w:r w:rsidRPr="00FC2BB6">
      <w:rPr>
        <w:rStyle w:val="HideTWBExt"/>
      </w:rPr>
      <w:t>&lt;/Version&gt;</w:t>
    </w:r>
  </w:p>
  <w:p w:rsidR="001A7452" w:rsidRPr="00FC2BB6" w:rsidRDefault="00A154E3" w:rsidP="002258E0">
    <w:pPr>
      <w:pStyle w:val="EPFooter2"/>
    </w:pPr>
    <w:r w:rsidRPr="00FC2BB6">
      <w:t>EN</w:t>
    </w:r>
    <w:r w:rsidRPr="00FC2BB6">
      <w:tab/>
    </w:r>
    <w:r w:rsidRPr="00FC2BB6">
      <w:rPr>
        <w:b w:val="0"/>
        <w:i/>
        <w:color w:val="C0C0C0"/>
        <w:sz w:val="22"/>
      </w:rPr>
      <w:t>United in diversity</w:t>
    </w:r>
    <w:r w:rsidRPr="00FC2BB6">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C2BB6" w:rsidRDefault="00A154E3">
      <w:r w:rsidRPr="00FC2BB6">
        <w:separator/>
      </w:r>
    </w:p>
  </w:footnote>
  <w:footnote w:type="continuationSeparator" w:id="0">
    <w:p w:rsidR="00000000" w:rsidRPr="00FC2BB6" w:rsidRDefault="00A154E3">
      <w:r w:rsidRPr="00FC2B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4E3" w:rsidRDefault="00A154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4E3" w:rsidRDefault="00A154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4E3" w:rsidRDefault="00A154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JMNU" w:val="1"/>
    <w:docVar w:name="CODEMNU" w:val=" 1"/>
    <w:docVar w:name="COM2KEY" w:val="ECON"/>
    <w:docVar w:name="COMKEY" w:val="EMPL"/>
    <w:docVar w:name="CopyToNetwork" w:val="-1"/>
    <w:docVar w:name="CVAR"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04921 HideTWBExt;}{_x000d__x000a_\s18\ql \li0\ri0\sa120\nowidctlpar\wrapdefault\aspalpha\aspnum\faauto\adjustright\rin0\lin0\itap0 \rtlch\fcs1 \af0\afs20\alang1025 \ltrch\fcs0 \fs24\lang2057\langfe2057\cgrid\langnp2057\langfenp2057 \sbasedon0 \snext18 \spriority0 \styrsid2104921 _x000d__x000a_Normal6a;}{\s19\ql \li0\ri0\nowidctlpar\wrapdefault\aspalpha\aspnum\faauto\adjustright\rin0\lin0\itap0 \rtlch\fcs1 \af0\afs20\alang1025 \ltrch\fcs0 \b\fs24\lang2057\langfe2057\cgrid\langnp2057\langfenp2057 \sbasedon0 \snext19 \spriority0 \styrsid2104921 _x000d__x000a_NormalBold;}{\*\cs20 \additive \v\f1\fs20\cf15 \spriority0 \styrsid2104921 HideTWBInt;}{\s21\qc \li0\ri0\sa240\nowidctlpar\wrapdefault\aspalpha\aspnum\faauto\adjustright\rin0\lin0\itap0 \rtlch\fcs1 \af0\afs20\alang1025 \ltrch\fcs0 _x000d__x000a_\i\fs24\lang2057\langfe2057\cgrid\langnp2057\langfenp2057 \sbasedon0 \snext21 \spriority0 \styrsid210492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104921 AmNumberTabs;}{\s23\ql \li0\ri0\sb240\nowidctlpar\wrapdefault\aspalpha\aspnum\faauto\adjustright\rin0\lin0\itap0 \rtlch\fcs1 _x000d__x000a_\af0\afs20\alang1025 \ltrch\fcs0 \b\fs24\lang2057\langfe2057\cgrid\langnp2057\langfenp2057 \sbasedon0 \snext23 \spriority0 \styrsid2104921 NormalBold12b;}}{\*\rsidtbl \rsid24658\rsid223860\rsid735077\rsid1718133\rsid2104921\rsid2892074\rsid3565327_x000d__x000a_\rsid4666813\rsid6641733\rsid7823322\rsid9636012\rsid10377208\rsid11215221\rsid11549030\rsid11881958\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30}{\nofchars176}{\nofcharsws20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04921\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881958 \chftnsep _x000d__x000a_\par }}{\*\ftnsepc \ltrpar \pard\plain \ltrpar\ql \li0\ri0\widctlpar\wrapdefault\aspalpha\aspnum\faauto\adjustright\rin0\lin0\itap0 \rtlch\fcs1 \af0\afs20\alang1025 \ltrch\fcs0 \fs24\lang2057\langfe2057\cgrid\langnp2057\langfenp2057 {\rtlch\fcs1 \af0 _x000d__x000a_\ltrch\fcs0 \insrsid11881958 \chftnsepc _x000d__x000a_\par }}{\*\aftnsep \ltrpar \pard\plain \ltrpar\ql \li0\ri0\widctlpar\wrapdefault\aspalpha\aspnum\faauto\adjustright\rin0\lin0\itap0 \rtlch\fcs1 \af0\afs20\alang1025 \ltrch\fcs0 \fs24\lang2057\langfe2057\cgrid\langnp2057\langfenp2057 {\rtlch\fcs1 \af0 _x000d__x000a_\ltrch\fcs0 \insrsid11881958 \chftnsep _x000d__x000a_\par }}{\*\aftnsepc \ltrpar \pard\plain \ltrpar\ql \li0\ri0\widctlpar\wrapdefault\aspalpha\aspnum\faauto\adjustright\rin0\lin0\itap0 \rtlch\fcs1 \af0\afs20\alang1025 \ltrch\fcs0 \fs24\lang2057\langfe2057\cgrid\langnp2057\langfenp2057 {\rtlch\fcs1 \af0 _x000d__x000a_\ltrch\fcs0 \insrsid11881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104921 \rtlch\fcs1 _x000d__x000a_\af0\afs20\alang1025 \ltrch\fcs0 \b\fs24\lang2057\langfe2057\cgrid\langnp2057\langfenp2057 {\rtlch\fcs1 \af0 \ltrch\fcs0 \cs17\b0\v\fs20\cf9\lang1024\langfe1024\loch\af1\hich\af1\dbch\af31501\noproof\insrsid2104921\charrsid7612140 {\*\bkmkstart restartA}_x000d__x000a_\hich\af1\dbch\af31501\loch\f1 &lt;AmendA&gt;}{\rtlch\fcs1 \af0 \ltrch\fcs0 \insrsid2104921\charrsid7612140 Amendment\tab \tab }{\rtlch\fcs1 \af0 \ltrch\fcs0 _x000d__x000a_\cs17\b0\v\fs20\cf9\lang1024\langfe1024\loch\af1\hich\af1\dbch\af31501\noproof\insrsid2104921\charrsid7612140 \hich\af1\dbch\af31501\loch\f1 &lt;NumAmA&gt;}{\rtlch\fcs1 \af0 \ltrch\fcs0 \insrsid2104921\charrsid7612140 #}{\rtlch\fcs1 \af1 \ltrch\fcs0 _x000d__x000a_\cs20\v\f1\fs20\cf15\insrsid2104921\charrsid7612140 ENMIENDA@NRAM@}{\rtlch\fcs1 \af0 \ltrch\fcs0 \insrsid2104921\charrsid7612140 #}{\rtlch\fcs1 \af0 \ltrch\fcs0 _x000d__x000a_\cs17\b0\v\fs20\cf9\lang1024\langfe1024\loch\af1\hich\af1\dbch\af31501\noproof\insrsid2104921\charrsid7612140 \hich\af1\dbch\af31501\loch\f1 &lt;/NumAmA&gt;}{\rtlch\fcs1 \af0 \ltrch\fcs0 \insrsid2104921\charrsid7612140 _x000d__x000a_\par }\pard\plain \ltrpar\s23\ql \li0\ri0\sb240\keepn\nowidctlpar\wrapdefault\aspalpha\aspnum\faauto\adjustright\rin0\lin0\itap0\pararsid2104921 \rtlch\fcs1 \af0\afs20\alang1025 \ltrch\fcs0 \b\fs24\lang2057\langfe2057\cgrid\langnp2057\langfenp2057 {_x000d__x000a_\rtlch\fcs1 \af0 \ltrch\fcs0 \cs17\b0\v\fs20\cf9\lang1024\langfe1024\loch\af1\hich\af1\dbch\af31501\noproof\insrsid2104921\charrsid7612140 \hich\af1\dbch\af31501\loch\f1 &lt;DocAmend&gt;}{\rtlch\fcs1 \af0 \ltrch\fcs0 \insrsid2104921\charrsid7612140 _x000d__x000a_Draft legislative resolution}{\rtlch\fcs1 \af0 \ltrch\fcs0 \cs17\b0\v\fs20\cf9\lang1024\langfe1024\loch\af1\hich\af1\dbch\af31501\noproof\insrsid2104921\charrsid7612140 \hich\af1\dbch\af31501\loch\f1 &lt;/DocAmend&gt;}{\rtlch\fcs1 \af0 \ltrch\fcs0 _x000d__x000a_\insrsid2104921\charrsid7612140 _x000d__x000a_\par }\pard\plain \ltrpar\s19\ql \li0\ri0\nowidctlpar\wrapdefault\aspalpha\aspnum\faauto\adjustright\rin0\lin0\itap0\pararsid2104921 \rtlch\fcs1 \af0\afs20\alang1025 \ltrch\fcs0 \b\fs24\lang2057\langfe2057\cgrid\langnp2057\langfenp2057 {\rtlch\fcs1 \af0 _x000d__x000a_\ltrch\fcs0 \cs17\b0\v\fs20\cf9\lang1024\langfe1024\loch\af1\hich\af1\dbch\af31501\noproof\insrsid2104921\charrsid7612140 \hich\af1\dbch\af31501\loch\f1 &lt;Article&gt;}{\rtlch\fcs1 \af0 \ltrch\fcs0 \cf10\insrsid2104921\charrsid10711382 \u9668\'3f}{\rtlch\fcs1 _x000d__x000a_\af0 \ltrch\fcs0 \insrsid2104921\charrsid7612140 #}{\rtlch\fcs1 \af1 \ltrch\fcs0 \cs20\v\f1\fs20\cf15\insrsid2104921\charrsid7612140 TVTRESPART@RESPART@}{\rtlch\fcs1 \af0 \ltrch\fcs0 \insrsid2104921\charrsid7612140 #}{\rtlch\fcs1 \af0 \ltrch\fcs0 _x000d__x000a_\cf10\insrsid2104921\charrsid10711382 \u9658\'3f}{\rtlch\fcs1 \af0 \ltrch\fcs0 \cs17\b0\v\fs20\cf9\lang1024\langfe1024\loch\af1\hich\af1\dbch\af31501\noproof\insrsid2104921\charrsid7612140 \hich\af1\dbch\af31501\loch\f1 &lt;/Article&gt;}{\rtlch\fcs1 \af0 _x000d__x000a_\ltrch\fcs0 \insrsid2104921\charrsid761214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2104921\charrsid7612140 \cell }\pard \ltrpar\ql \li0\ri0\widctlpar\intbl\wrapdefault\aspalpha\aspnum\faauto\adjustright\rin0\lin0 {\rtlch\fcs1 \af0 \ltrch\fcs0 _x000d__x000a_\insrsid2104921\charrsid7612140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2104921\charrsid7612140 Draft legislative resolution\cell Amendment\cell }\pard\plain \ltrpar\ql \li0\ri0\widctlpar\intbl\wrapdefault\aspalpha\aspnum\faauto\adjustright\rin0\lin0 \rtlch\fcs1 \af0\afs20\alang1025 \ltrch\fcs0 _x000d__x000a_\fs24\lang2057\langfe2057\cgrid\langnp2057\langfenp2057 {\rtlch\fcs1 \af0 \ltrch\fcs0 \insrsid2104921\charrsid7612140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104921\charrsid7612140 ##\cell ##}{\rtlch\fcs1 \af0\afs24 \ltrch\fcs0 \insrsid2104921\charrsid7612140 \cell }\pard\plain \ltrpar\ql \li0\ri0\widctlpar\intbl\wrapdefault\aspalpha\aspnum\faauto\adjustright\rin0\lin0 \rtlch\fcs1 _x000d__x000a_\af0\afs20\alang1025 \ltrch\fcs0 \fs24\lang2057\langfe2057\cgrid\langnp2057\langfenp2057 {\rtlch\fcs1 \af0 \ltrch\fcs0 \insrsid2104921\charrsid761214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104921 {\rtlch\fcs1 \af0 \ltrch\fcs0 \cs17\v\fs20\cf9\lang1024\langfe1024\loch\af1\hich\af1\dbch\af31501\noproof\insrsid2104921\charrsid7612140 _x000d__x000a_\hich\af1\dbch\af31501\loch\f1 &lt;/AmendA&gt;}{\rtlch\fcs1 \af0 \ltrch\fcs0 \insrsid210492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60_x000d__x000a_4a3d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85513 HideTWBExt;}{_x000d__x000a_\s18\ql \li0\ri0\sa120\nowidctlpar\wrapdefault\aspalpha\aspnum\faauto\adjustright\rin0\lin0\itap0 \rtlch\fcs1 \af0\afs20\alang1025 \ltrch\fcs0 \fs24\lang2057\langfe2057\cgrid\langnp2057\langfenp2057 \sbasedon0 \snext18 \spriority0 \styrsid15485513 _x000d__x000a_Normal6a;}{\s19\ql \li0\ri0\nowidctlpar\wrapdefault\aspalpha\aspnum\faauto\adjustright\rin0\lin0\itap0 \rtlch\fcs1 \af0\afs20\alang1025 \ltrch\fcs0 \b\fs24\lang2057\langfe2057\cgrid\langnp2057\langfenp2057 \sbasedon0 \snext19 \spriority0 \styrsid15485513 _x000d__x000a_NormalBold;}{\s20\ql \li0\ri0\sa240\nowidctlpar\wrapdefault\aspalpha\aspnum\faauto\adjustright\rin0\lin0\itap0 \rtlch\fcs1 \af0\afs20\alang1025 \ltrch\fcs0 \i\fs24\lang2057\langfe2057\cgrid\langnp2057\langfenp2057 _x000d__x000a_\sbasedon0 \snext20 \spriority0 \styrsid15485513 AmJustText;}{\s21\qc \li0\ri0\sb240\sa240\nowidctlpar\wrapdefault\aspalpha\aspnum\faauto\adjustright\rin0\lin0\itap0 \rtlch\fcs1 \af0\afs20\alang1025 \ltrch\fcs0 _x000d__x000a_\i\fs24\lang2057\langfe2057\cgrid\langnp2057\langfenp2057 \sbasedon0 \snext21 \spriority0 \styrsid15485513 AmCrossRef;}{\*\cs22 \additive \v\f1\fs20\cf15 \spriority0 \styrsid15485513 HideTWBInt;}{_x000d__x000a_\s23\qc \li0\ri0\sb240\sa240\keepn\nowidctlpar\wrapdefault\aspalpha\aspnum\faauto\adjustright\rin0\lin0\itap0 \rtlch\fcs1 \af0\afs20\alang1025 \ltrch\fcs0 \i\fs24\lang2057\langfe2057\cgrid\langnp2057\langfenp2057 _x000d__x000a_\sbasedon0 \snext20 \spriority0 \styrsid15485513 AmJustTitle;}{\s24\qc \li0\ri0\sa240\nowidctlpar\wrapdefault\aspalpha\aspnum\faauto\adjustright\rin0\lin0\itap0 \rtlch\fcs1 \af0\afs20\alang1025 \ltrch\fcs0 _x000d__x000a_\i\fs24\lang2057\langfe2057\cgrid\langnp2057\langfenp2057 \sbasedon0 \snext24 \spriority0 \styrsid1548551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485513 AmNumberTabs;}{\s26\ql \li0\ri0\sb240\nowidctlpar\wrapdefault\aspalpha\aspnum\faauto\adjustright\rin0\lin0\itap0 \rtlch\fcs1 _x000d__x000a_\af0\afs20\alang1025 \ltrch\fcs0 \b\fs24\lang2057\langfe2057\cgrid\langnp2057\langfenp2057 \sbasedon0 \snext26 \spriority0 \styrsid15485513 NormalBold12b;}}{\*\rsidtbl \rsid24658\rsid223860\rsid735077\rsid1718133\rsid2892074\rsid3565327\rsid4666813_x000d__x000a_\rsid6641733\rsid7823322\rsid9636012\rsid10377208\rsid11215221\rsid11549030\rsid12154954\rsid14382809\rsid14424199\rsid15204470\rsid15285974\rsid15485513\rsid15667495\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99}{\nofchars567}{\nofcharsws66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85513\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667495 \chftnsep _x000d__x000a_\par }}{\*\ftnsepc \ltrpar \pard\plain \ltrpar\ql \li0\ri0\widctlpar\wrapdefault\aspalpha\aspnum\faauto\adjustright\rin0\lin0\itap0 \rtlch\fcs1 \af0\afs20\alang1025 \ltrch\fcs0 \fs24\lang2057\langfe2057\cgrid\langnp2057\langfenp2057 {\rtlch\fcs1 \af0 _x000d__x000a_\ltrch\fcs0 \insrsid15667495 \chftnsepc _x000d__x000a_\par }}{\*\aftnsep \ltrpar \pard\plain \ltrpar\ql \li0\ri0\widctlpar\wrapdefault\aspalpha\aspnum\faauto\adjustright\rin0\lin0\itap0 \rtlch\fcs1 \af0\afs20\alang1025 \ltrch\fcs0 \fs24\lang2057\langfe2057\cgrid\langnp2057\langfenp2057 {\rtlch\fcs1 \af0 _x000d__x000a_\ltrch\fcs0 \insrsid15667495 \chftnsep _x000d__x000a_\par }}{\*\aftnsepc \ltrpar \pard\plain \ltrpar\ql \li0\ri0\widctlpar\wrapdefault\aspalpha\aspnum\faauto\adjustright\rin0\lin0\itap0 \rtlch\fcs1 \af0\afs20\alang1025 \ltrch\fcs0 \fs24\lang2057\langfe2057\cgrid\langnp2057\langfenp2057 {\rtlch\fcs1 \af0 _x000d__x000a_\ltrch\fcs0 \insrsid156674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485513 \rtlch\fcs1 _x000d__x000a_\af0\afs20\alang1025 \ltrch\fcs0 \b\fs24\lang2057\langfe2057\cgrid\langnp2057\langfenp2057 {\rtlch\fcs1 \af0 \ltrch\fcs0 \cs17\b0\v\fs20\cf9\lang1024\langfe1024\loch\af1\hich\af1\dbch\af31501\noproof\insrsid15485513\charrsid7612140 {\*\bkmkstart restartB}_x000d__x000a_\hich\af1\dbch\af31501\loch\f1 &lt;AmendB&gt;}{\rtlch\fcs1 \af0 \ltrch\fcs0 \insrsid15485513\charrsid7612140 Amendment\tab \tab }{\rtlch\fcs1 \af0 \ltrch\fcs0 _x000d__x000a_\cs17\b0\v\fs20\cf9\lang1024\langfe1024\loch\af1\hich\af1\dbch\af31501\noproof\insrsid15485513\charrsid7612140 \hich\af1\dbch\af31501\loch\f1 &lt;NumAmB&gt;}{\rtlch\fcs1 \af0 \ltrch\fcs0 \insrsid15485513\charrsid7612140 #}{\rtlch\fcs1 \af1 \ltrch\fcs0 _x000d__x000a_\cs22\v\f1\fs20\cf15\insrsid15485513\charrsid7612140 ENMIENDA@NRAM@}{\rtlch\fcs1 \af0 \ltrch\fcs0 \insrsid15485513\charrsid7612140 #}{\rtlch\fcs1 \af0 \ltrch\fcs0 _x000d__x000a_\cs17\b0\v\fs20\cf9\lang1024\langfe1024\loch\af1\hich\af1\dbch\af31501\noproof\insrsid15485513\charrsid7612140 \hich\af1\dbch\af31501\loch\f1 &lt;/NumAmB&gt;}{\rtlch\fcs1 \af0 \ltrch\fcs0 \insrsid15485513\charrsid7612140 _x000d__x000a_\par }\pard\plain \ltrpar\s26\ql \li0\ri0\sb240\keepn\nowidctlpar\wrapdefault\aspalpha\aspnum\faauto\adjustright\rin0\lin0\itap0\pararsid15485513 \rtlch\fcs1 \af0\afs20\alang1025 \ltrch\fcs0 \b\fs24\lang2057\langfe2057\cgrid\langnp2057\langfenp2057 {_x000d__x000a_\rtlch\fcs1 \af0 \ltrch\fcs0 \cs17\b0\v\fs20\cf9\lang1024\langfe1024\loch\af1\hich\af1\dbch\af31501\noproof\insrsid15485513\charrsid7612140 \hich\af1\dbch\af31501\loch\f1 &lt;DocAmend&gt;}{\rtlch\fcs1 \af0 \ltrch\fcs0 \insrsid15485513\charrsid7612140 #}{_x000d__x000a_\rtlch\fcs1 \af1 \ltrch\fcs0 \cs22\v\f1\fs20\cf15\insrsid15485513\charrsid7612140 MNU[OPTPROPOSALCOD][OPTPROPOSALCNS][OPTPROPOSALNLE][OPTPROPOSALINL]@CHOICE@CODEMNU}{\rtlch\fcs1 \af0 \ltrch\fcs0 \insrsid15485513\charrsid7612140 ##}{\rtlch\fcs1 \af1 _x000d__x000a_\ltrch\fcs0 \cs22\v\f1\fs20\cf15\insrsid15485513\charrsid7612140 MNU[AMACTYES][NOTAPP]@CHOICE@AMACTMNU}{\rtlch\fcs1 \af0 \ltrch\fcs0 \insrsid15485513\charrsid7612140 #}{\rtlch\fcs1 \af0 \ltrch\fcs0 _x000d__x000a_\cs17\b0\v\fs20\cf9\lang1024\langfe1024\loch\af1\hich\af1\dbch\af31501\noproof\insrsid15485513\charrsid7612140 \hich\af1\dbch\af31501\loch\f1 &lt;/DocAmend&gt;}{\rtlch\fcs1 \af0 \ltrch\fcs0 \insrsid15485513\charrsid7612140 _x000d__x000a_\par }\pard\plain \ltrpar\s19\ql \li0\ri0\keepn\nowidctlpar\wrapdefault\aspalpha\aspnum\faauto\adjustright\rin0\lin0\itap0\pararsid15485513 \rtlch\fcs1 \af0\afs20\alang1025 \ltrch\fcs0 \b\fs24\lang2057\langfe2057\cgrid\langnp2057\langfenp2057 {\rtlch\fcs1 _x000d__x000a_\af0 \ltrch\fcs0 \cs17\b0\v\fs20\cf9\lang1024\langfe1024\loch\af1\hich\af1\dbch\af31501\noproof\insrsid15485513\charrsid7612140 \hich\af1\dbch\af31501\loch\f1 &lt;Article&gt;}{\rtlch\fcs1 \af0 \ltrch\fcs0 \insrsid15485513\charrsid7612140 #}{\rtlch\fcs1 \af1 _x000d__x000a_\ltrch\fcs0 \cs22\v\f1\fs20\cf15\insrsid15485513\charrsid7612140 MNU[AMACTPARTYES][AMACTPARTNO]@CHOICE@AMACTMNU}{\rtlch\fcs1 \af0 \ltrch\fcs0 \insrsid15485513\charrsid7612140 #}{\rtlch\fcs1 \af0 \ltrch\fcs0 _x000d__x000a_\cs17\b0\v\fs20\cf9\lang1024\langfe1024\loch\af1\hich\af1\dbch\af31501\noproof\insrsid15485513\charrsid7612140 \hich\af1\dbch\af31501\loch\f1 &lt;/Article&gt;}{\rtlch\fcs1 \af0 \ltrch\fcs0 \insrsid15485513\charrsid7612140 _x000d__x000a_\par }\pard\plain \ltrpar\ql \li0\ri0\keepn\widctlpar\wrapdefault\aspalpha\aspnum\faauto\adjustright\rin0\lin0\itap0\pararsid15485513 \rtlch\fcs1 \af0\afs20\alang1025 \ltrch\fcs0 \fs24\lang2057\langfe2057\cgrid\langnp2057\langfenp2057 {\rtlch\fcs1 \af0 _x000d__x000a_\ltrch\fcs0 \cs17\v\fs20\cf9\lang1024\langfe1024\loch\af1\hich\af1\dbch\af31501\noproof\insrsid15485513\charrsid7612140 \hich\af1\dbch\af31501\loch\f1 &lt;DocAmend\hich\af1\dbch\af31501\loch\f1 2&gt;&lt;OptDel&gt;}{\rtlch\fcs1 \af0 \ltrch\fcs0 _x000d__x000a_\insrsid15485513\charrsid7612140 #}{\rtlch\fcs1 \af1 \ltrch\fcs0 \cs22\v\f1\fs20\cf15\insrsid15485513\charrsid7612140 MNU[OPTNRACTYES][NOTAPP]@CHOICE@AMACTMNU}{\rtlch\fcs1 \af0 \ltrch\fcs0 \insrsid15485513\charrsid7612140 #}{\rtlch\fcs1 \af0 \ltrch\fcs0 _x000d__x000a_\cs17\v\fs20\cf9\lang1024\langfe1024\loch\af1\hich\af1\dbch\af31501\noproof\insrsid15485513\charrsid7612140 \hich\af1\dbch\af31501\loch\f1 &lt;/OptDel&gt;&lt;/DocAmend2&gt;}{\rtlch\fcs1 \af0 \ltrch\fcs0 \insrsid15485513\charrsid7612140 _x000d__x000a_\par }\pard \ltrpar\ql \li0\ri0\widctlpar\wrapdefault\aspalpha\aspnum\faauto\adjustright\rin0\lin0\itap0\pararsid15485513 {\rtlch\fcs1 \af0 \ltrch\fcs0 \cs17\v\fs20\cf9\lang1024\langfe1024\loch\af1\hich\af1\dbch\af31501\noproof\insrsid15485513\charrsid7612140 _x000d__x000a_\hich\af1\dbch\af31501\loch\f1 &lt;Article2&gt;&lt;OptDel&gt;}{\rtlch\fcs1 \af0 \ltrch\fcs0 \insrsid15485513\charrsid7612140 #}{\rtlch\fcs1 \af1 \ltrch\fcs0 \cs22\v\f1\fs20\cf15\insrsid15485513\charrsid7612140 MNU[OPTACTPARTYES][NOTAPP]@CHOICE@AMACTMNU}{\rtlch\fcs1 _x000d__x000a_\af0 \ltrch\fcs0 \insrsid15485513\charrsid7612140 #}{\rtlch\fcs1 \af0 \ltrch\fcs0 \cs17\v\fs20\cf9\lang1024\langfe1024\loch\af1\hich\af1\dbch\af31501\noproof\insrsid15485513\charrsid7612140 \hich\af1\dbch\af31501\loch\f1 &lt;/OptDel&gt;&lt;/Article2&gt;}{\rtlch\fcs1 _x000d__x000a_\af0 \ltrch\fcs0 \insrsid15485513\charrsid761214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15485513\charrsid7612140 \cell }\pard \ltrpar\ql \li0\ri0\widctlpar\intbl\wrapdefault\aspalpha\aspnum\faauto\adjustright\rin0\lin0 {\rtlch\fcs1 \af0 \ltrch\fcs0 \insrsid15485513\charrsid761214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5485513\charrsid7612140 #}{\rtlch\fcs1 \af1 \ltrch\fcs0 \cs22\v\f1\fs20\cf15\insrsid15485513\charrsid7612140 MNU[OPTLEFTAMACT][LEFTPROP]@CHOICE@AMACTMNU}{\rtlch\fcs1 \af0 \ltrch\fcs0 \insrsid15485513\charrsid7612140 #\cell Amendment\cell _x000d__x000a_}\pard\plain \ltrpar\ql \li0\ri0\widctlpar\intbl\wrapdefault\aspalpha\aspnum\faauto\adjustright\rin0\lin0 \rtlch\fcs1 \af0\afs20\alang1025 \ltrch\fcs0 \fs24\lang2057\langfe2057\cgrid\langnp2057\langfenp2057 {\rtlch\fcs1 \af0 \ltrch\fcs0 _x000d__x000a_\insrsid15485513\charrsid7612140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5485513\charrsid7612140 ##\cell ##}{\rtlch\fcs1 \af0\afs24 \ltrch\fcs0 \insrsid15485513\charrsid7612140 \cell }\pard\plain \ltrpar\ql \li0\ri0\widctlpar\intbl\wrapdefault\aspalpha\aspnum\faauto\adjustright\rin0\lin0 _x000d__x000a_\rtlch\fcs1 \af0\afs20\alang1025 \ltrch\fcs0 \fs24\lang2057\langfe2057\cgrid\langnp2057\langfenp2057 {\rtlch\fcs1 \af0 \ltrch\fcs0 \insrsid15485513\charrsid761214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485513 \rtlch\fcs1 \af0\afs20\alang1025 \ltrch\fcs0 \i\fs24\lang2057\langfe2057\cgrid\langnp2057\langfenp2057 {\rtlch\fcs1 \af0 \ltrch\fcs0 _x000d__x000a_\cs17\i0\v\fs20\cf9\lang1024\langfe1024\loch\af1\hich\af1\dbch\af31501\noproof\insrsid15485513\charrsid7612140 \hich\af1\dbch\af31501\loch\f1 &lt;OptDel&gt;}{\rtlch\fcs1 \af0 \ltrch\fcs0 \insrsid15485513\charrsid7612140 #}{\rtlch\fcs1 \af1 \ltrch\fcs0 _x000d__x000a_\cs22\v\f1\fs20\cf15\insrsid15485513\charrsid7612140 MNU[CROSSREFNO][CROSSREFYES]@CHOICE@}{\rtlch\fcs1 \af0 \ltrch\fcs0 \insrsid15485513\charrsid7612140 #}{\rtlch\fcs1 \af0 \ltrch\fcs0 _x000d__x000a_\cs17\i0\v\fs20\cf9\lang1024\langfe1024\loch\af1\hich\af1\dbch\af31501\noproof\insrsid15485513\charrsid7612140 \hich\af1\dbch\af31501\loch\f1 &lt;/OptDel&gt;}{\rtlch\fcs1 \af0 \ltrch\fcs0 \insrsid15485513\charrsid7612140 _x000d__x000a_\par }\pard\plain \ltrpar\s23\qc \li0\ri0\sb240\sa240\keepn\nowidctlpar\wrapdefault\aspalpha\aspnum\faauto\adjustright\rin0\lin0\itap0\pararsid15485513 \rtlch\fcs1 \af0\afs20\alang1025 \ltrch\fcs0 \i\fs24\lang2057\langfe2057\cgrid\langnp2057\langfenp2057 {_x000d__x000a_\rtlch\fcs1 \af0 \ltrch\fcs0 \cs17\i0\v\fs20\cf9\lang1024\langfe1024\loch\af1\hich\af1\dbch\af31501\noproof\insrsid15485513\charrsid7612140 \hich\af1\dbch\af31501\loch\f1 &lt;TitreJust&gt;}{\rtlch\fcs1 \af0 \ltrch\fcs0 \insrsid15485513\charrsid7612140 _x000d__x000a_Justification}{\rtlch\fcs1 \af0 \ltrch\fcs0 \cs17\i0\v\fs20\cf9\lang1024\langfe1024\loch\af1\hich\af1\dbch\af31501\noproof\insrsid15485513\charrsid7612140 \hich\af1\dbch\af31501\loch\f1 &lt;/TitreJust&gt;}{\rtlch\fcs1 \af0 \ltrch\fcs0 _x000d__x000a_\insrsid15485513\charrsid7612140 _x000d__x000a_\par }\pard\plain \ltrpar\s20\ql \li0\ri0\sa240\nowidctlpar\wrapdefault\aspalpha\aspnum\faauto\adjustright\rin0\lin0\itap0\pararsid15485513 \rtlch\fcs1 \af0\afs20\alang1025 \ltrch\fcs0 \i\fs24\lang2057\langfe2057\cgrid\langnp2057\langfenp2057 {\rtlch\fcs1 _x000d__x000a_\af0 \ltrch\fcs0 \cs17\i0\v\fs20\cf9\lang1024\langfe1024\loch\af1\hich\af1\dbch\af31501\noproof\insrsid15485513\charrsid7612140 \hich\af1\dbch\af31501\loch\f1 &lt;OptDelPrev&gt;}{\rtlch\fcs1 \af0 \ltrch\fcs0 \insrsid15485513\charrsid7612140 #}{\rtlch\fcs1 \af1 _x000d__x000a_\ltrch\fcs0 \cs22\v\f1\fs20\cf15\insrsid15485513\charrsid7612140 MNU[TEXTJUSTYES][TEXTJUSTNO]@CHOICE@}{\rtlch\fcs1 \af0 \ltrch\fcs0 \insrsid15485513\charrsid7612140 #}{\rtlch\fcs1 \af0 \ltrch\fcs0 _x000d__x000a_\cs17\i0\v\fs20\cf9\lang1024\langfe1024\loch\af1\hich\af1\dbch\af31501\noproof\insrsid15485513\charrsid7612140 \hich\af1\dbch\af31501\loch\f1 &lt;/OptDelPrev&gt;}{\rtlch\fcs1 \af0 \ltrch\fcs0 \insrsid15485513\charrsid7612140 _x000d__x000a_\par }\pard\plain \ltrpar\ql \li0\ri0\widctlpar\wrapdefault\aspalpha\aspnum\faauto\adjustright\rin0\lin0\itap0\pararsid15485513 \rtlch\fcs1 \af0\afs20\alang1025 \ltrch\fcs0 \fs24\lang2057\langfe2057\cgrid\langnp2057\langfenp2057 {\rtlch\fcs1 \af0 \ltrch\fcs0 _x000d__x000a_\cs17\v\fs20\cf9\lang1024\langfe1024\loch\af1\hich\af1\dbch\af31501\noproof\insrsid15485513\charrsid7612140 \hich\af1\dbch\af31501\loch\f1 &lt;/AmendB&gt;}{\rtlch\fcs1 \af0 \ltrch\fcs0 \insrsid1548551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8_x000d__x000a_313f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73135 HideTWBExt;}{_x000d__x000a_\s18\ql \li0\ri0\sa120\nowidctlpar\wrapdefault\aspalpha\aspnum\faauto\adjustright\rin0\lin0\itap0 \rtlch\fcs1 \af0\afs20\alang1025 \ltrch\fcs0 \fs24\lang2057\langfe2057\cgrid\langnp2057\langfenp2057 \sbasedon0 \snext18 \spriority0 \styrsid8473135 _x000d__x000a_Normal6a;}{\s19\ql \li0\ri0\nowidctlpar\wrapdefault\aspalpha\aspnum\faauto\adjustright\rin0\lin0\itap0 \rtlch\fcs1 \af0\afs20\alang1025 \ltrch\fcs0 \b\fs24\lang2057\langfe2057\cgrid\langnp2057\langfenp2057 \sbasedon0 \snext19 \spriority0 \styrsid8473135 _x000d__x000a_NormalBold;}{\s20\qc \li0\ri0\sa240\nowidctlpar\wrapdefault\aspalpha\aspnum\faauto\adjustright\rin0\lin0\itap0 \rtlch\fcs1 \af0\afs20\alang1025 \ltrch\fcs0 \i\fs24\lang2057\langfe2057\cgrid\langnp2057\langfenp2057 _x000d__x000a_\sbasedon0 \snext20 \spriority0 \styrsid847313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473135 AmNumberTabs;}{\s22\ql \li0\ri0\sb240\nowidctlpar\wrapdefault\aspalpha\aspnum\faauto\adjustright\rin0\lin0\itap0 \rtlch\fcs1 _x000d__x000a_\af0\afs20\alang1025 \ltrch\fcs0 \b\fs24\lang2057\langfe2057\cgrid\langnp2057\langfenp2057 \sbasedon0 \snext22 \spriority0 \styrsid8473135 NormalBold12b;}}{\*\rsidtbl \rsid24658\rsid223860\rsid735077\rsid1718133\rsid2892074\rsid3565327\rsid4666813_x000d__x000a_\rsid6641733\rsid7823322\rsid8473135\rsid9636012\rsid10377208\rsid11215221\rsid11549030\rsid12154954\rsid14382809\rsid14424199\rsid15204470\rsid15285974\rsid15335601\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7313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335601 \chftnsep _x000d__x000a_\par }}{\*\ftnsepc \ltrpar \pard\plain \ltrpar\ql \li0\ri0\widctlpar\wrapdefault\aspalpha\aspnum\faauto\adjustright\rin0\lin0\itap0 \rtlch\fcs1 \af0\afs20\alang1025 \ltrch\fcs0 \fs24\lang2057\langfe2057\cgrid\langnp2057\langfenp2057 {\rtlch\fcs1 \af0 _x000d__x000a_\ltrch\fcs0 \insrsid15335601 \chftnsepc _x000d__x000a_\par }}{\*\aftnsep \ltrpar \pard\plain \ltrpar\ql \li0\ri0\widctlpar\wrapdefault\aspalpha\aspnum\faauto\adjustright\rin0\lin0\itap0 \rtlch\fcs1 \af0\afs20\alang1025 \ltrch\fcs0 \fs24\lang2057\langfe2057\cgrid\langnp2057\langfenp2057 {\rtlch\fcs1 \af0 _x000d__x000a_\ltrch\fcs0 \insrsid15335601 \chftnsep _x000d__x000a_\par }}{\*\aftnsepc \ltrpar \pard\plain \ltrpar\ql \li0\ri0\widctlpar\wrapdefault\aspalpha\aspnum\faauto\adjustright\rin0\lin0\itap0 \rtlch\fcs1 \af0\afs20\alang1025 \ltrch\fcs0 \fs24\lang2057\langfe2057\cgrid\langnp2057\langfenp2057 {\rtlch\fcs1 \af0 _x000d__x000a_\ltrch\fcs0 \insrsid153356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473135 \rtlch\fcs1 _x000d__x000a_\af0\afs20\alang1025 \ltrch\fcs0 \b\fs24\lang2057\langfe2057\cgrid\langnp2057\langfenp2057 {\rtlch\fcs1 \af0 \ltrch\fcs0 \cs17\b0\v\fs20\cf9\lang1024\langfe1024\loch\af1\hich\af1\dbch\af31501\noproof\insrsid8473135\charrsid15879488 {\*\bkmkstart restartA}_x000d__x000a_\hich\af1\dbch\af31501\loch\f1 &lt;AmendA&gt;}{\rtlch\fcs1 \af0 \ltrch\fcs0 \insrsid8473135\charrsid15879488 [ZAMENDMENT]\tab \tab }{\rtlch\fcs1 \af0 \ltrch\fcs0 _x000d__x000a_\cs17\b0\v\fs20\cf9\lang1024\langfe1024\loch\af1\hich\af1\dbch\af31501\noproof\insrsid8473135\charrsid15879488 \hich\af1\dbch\af31501\loch\f1 &lt;NumAmA&gt;}{\rtlch\fcs1 \af0 \ltrch\fcs0 \insrsid8473135\charrsid15879488 [ZNRAM]}{\rtlch\fcs1 \af0 \ltrch\fcs0 _x000d__x000a_\cs17\b0\v\fs20\cf9\lang1024\langfe1024\loch\af1\hich\af1\dbch\af31501\noproof\insrsid8473135\charrsid15879488 \hich\af1\dbch\af31501\loch\f1 &lt;/NumAmA&gt;}{\rtlch\fcs1 \af0 \ltrch\fcs0 \insrsid8473135\charrsid15879488 _x000d__x000a_\par }\pard\plain \ltrpar\s22\ql \li0\ri0\sb240\keepn\nowidctlpar\wrapdefault\aspalpha\aspnum\faauto\adjustright\rin0\lin0\itap0\pararsid8473135 \rtlch\fcs1 \af0\afs20\alang1025 \ltrch\fcs0 \b\fs24\lang2057\langfe2057\cgrid\langnp2057\langfenp2057 {_x000d__x000a_\rtlch\fcs1 \af0 \ltrch\fcs0 \cs17\b0\v\fs20\cf9\lang1024\langfe1024\loch\af1\hich\af1\dbch\af31501\noproof\langnp1036\insrsid8473135\charrsid11356624 \hich\af1\dbch\af31501\loch\f1 &lt;DocAmend&gt;}{\rtlch\fcs1 \af0 \ltrch\fcs0 _x000d__x000a_\lang1036\langfe2057\langnp1036\insrsid8473135\charrsid11356624 [ZRESOLUTION]}{\rtlch\fcs1 \af0 \ltrch\fcs0 \cs17\b0\v\fs20\cf9\lang1024\langfe1024\loch\af1\hich\af1\dbch\af31501\noproof\langnp1036\insrsid8473135\charrsid11356624 _x000d__x000a_\hich\af1\dbch\af31501\loch\f1 &lt;/DocAmend&gt;}{\rtlch\fcs1 \af0 \ltrch\fcs0 \lang1036\langfe2057\langnp1036\insrsid8473135\charrsid11356624 _x000d__x000a_\par }\pard\plain \ltrpar\s19\ql \li0\ri0\nowidctlpar\wrapdefault\aspalpha\aspnum\faauto\adjustright\rin0\lin0\itap0\pararsid8473135 \rtlch\fcs1 \af0\afs20\alang1025 \ltrch\fcs0 \b\fs24\lang2057\langfe2057\cgrid\langnp2057\langfenp2057 {\rtlch\fcs1 \af0 _x000d__x000a_\ltrch\fcs0 \cs17\b0\v\fs20\cf9\lang1024\langfe1024\loch\af1\hich\af1\dbch\af31501\noproof\langnp1036\insrsid8473135\charrsid11356624 \hich\af1\dbch\af31501\loch\f1 &lt;Article&gt;}{\rtlch\fcs1 \af0 \ltrch\fcs0 _x000d__x000a_\lang1036\langfe2057\langnp1036\insrsid8473135\charrsid11356624 [ZRESPART]}{\rtlch\fcs1 \af0 \ltrch\fcs0 \cs17\b0\v\fs20\cf9\lang1024\langfe1024\loch\af1\hich\af1\dbch\af31501\noproof\langnp1036\insrsid8473135\charrsid11356624 _x000d__x000a_\hich\af1\dbch\af31501\loch\f1 &lt;/Article&gt;}{\rtlch\fcs1 \af0 \ltrch\fcs0 \lang1036\langfe2057\langnp1036\insrsid847313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473135\charrsid11356624 \cell }\pard \ltrpar_x000d__x000a_\ql \li0\ri0\widctlpar\intbl\wrapdefault\aspalpha\aspnum\faauto\adjustright\rin0\lin0 {\rtlch\fcs1 \af0 \ltrch\fcs0 \insrsid847313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473135\charrsid15879488 [ZLEFTA]\cell [ZRIGHT]\cell }\pard\plain \ltrpar\ql \li0\ri0\widctlpar\intbl\wrapdefault\aspalpha\aspnum\faauto\adjustright\rin0\lin0 _x000d__x000a_\rtlch\fcs1 \af0\afs20\alang1025 \ltrch\fcs0 \fs24\lang2057\langfe2057\cgrid\langnp2057\langfenp2057 {\rtlch\fcs1 \af0 \ltrch\fcs0 \insrsid8473135\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473135\charrsid15879488 [ZTEXTL]\cell [ZTEXTR]}{\rtlch\fcs1 \af0\afs24 \ltrch\fcs0 \insrsid8473135\charrsid15879488 \cell }\pard\plain \ltrpar\ql \li0\ri0\widctlpar\intbl\wrapdefault\aspalpha\aspnum\faauto\adjustright\rin0\lin0 \rtlch\fcs1 _x000d__x000a_\af0\afs20\alang1025 \ltrch\fcs0 \fs24\lang2057\langfe2057\cgrid\langnp2057\langfenp2057 {\rtlch\fcs1 \af0 \ltrch\fcs0 \insrsid847313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473135 {\rtlch\fcs1 \af0 \ltrch\fcs0 \cs17\v\fs20\cf9\lang1024\langfe1024\loch\af1\hich\af1\dbch\af31501\noproof\insrsid8473135\charrsid15879488 _x000d__x000a_\hich\af1\dbch\af31501\loch\f1 &lt;/AmendA&gt;}{\rtlch\fcs1 \af0 \ltrch\fcs0 \insrsid847313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9_x000d__x000a_3041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2627 HideTWBExt;}{_x000d__x000a_\s18\ql \li0\ri0\sa120\nowidctlpar\wrapdefault\aspalpha\aspnum\faauto\adjustright\rin0\lin0\itap0 \rtlch\fcs1 \af0\afs20\alang1025 \ltrch\fcs0 \fs24\lang2057\langfe2057\cgrid\langnp2057\langfenp2057 \sbasedon0 \snext18 \spriority0 \styrsid722627 _x000d__x000a_Normal6a;}{\s19\ql \li0\ri0\nowidctlpar\wrapdefault\aspalpha\aspnum\faauto\adjustright\rin0\lin0\itap0 \rtlch\fcs1 \af0\afs20\alang1025 \ltrch\fcs0 \b\fs24\lang2057\langfe2057\cgrid\langnp2057\langfenp2057 \sbasedon0 \snext19 \spriority0 \styrsid722627 _x000d__x000a_NormalBold;}{\s20\ql \li0\ri0\sa240\nowidctlpar\wrapdefault\aspalpha\aspnum\faauto\adjustright\rin0\lin0\itap0 \rtlch\fcs1 \af0\afs20\alang1025 \ltrch\fcs0 \i\fs24\lang2057\langfe2057\cgrid\langnp2057\langfenp2057 _x000d__x000a_\sbasedon0 \snext20 \spriority0 \styrsid722627 AmJustText;}{\s21\qc \li0\ri0\sb240\sa240\nowidctlpar\wrapdefault\aspalpha\aspnum\faauto\adjustright\rin0\lin0\itap0 \rtlch\fcs1 \af0\afs20\alang1025 \ltrch\fcs0 _x000d__x000a_\i\fs24\lang2057\langfe2057\cgrid\langnp2057\langfenp2057 \sbasedon0 \snext21 \spriority0 \styrsid722627 AmCrossRef;}{\s22\qc \li0\ri0\sb240\sa240\keepn\nowidctlpar\wrapdefault\aspalpha\aspnum\faauto\adjustright\rin0\lin0\itap0 \rtlch\fcs1 _x000d__x000a_\af0\afs20\alang1025 \ltrch\fcs0 \i\fs24\lang2057\langfe2057\cgrid\langnp2057\langfenp2057 \sbasedon0 \snext20 \spriority0 \styrsid722627 AmJustTitle;}{\s23\qc \li0\ri0\sa240\nowidctlpar\wrapdefault\aspalpha\aspnum\faauto\adjustright\rin0\lin0\itap0 _x000d__x000a_\rtlch\fcs1 \af0\afs20\alang1025 \ltrch\fcs0 \i\fs24\lang2057\langfe2057\cgrid\langnp2057\langfenp2057 \sbasedon0 \snext23 \spriority0 \styrsid72262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2627 AmNumberTabs;}{\s25\ql \li0\ri0\sb240\nowidctlpar\wrapdefault\aspalpha\aspnum\faauto\adjustright\rin0\lin0\itap0 \rtlch\fcs1 _x000d__x000a_\af0\afs20\alang1025 \ltrch\fcs0 \b\fs24\lang2057\langfe2057\cgrid\langnp2057\langfenp2057 \sbasedon0 \snext25 \spriority0 \styrsid722627 NormalBold12b;}}{\*\rsidtbl \rsid24658\rsid223860\rsid722627\rsid735077\rsid1718133\rsid2375206\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55}{\nofchars317}{\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2627\newtblstyruls\nogrowautofit\usenormstyforlist\noindnmbrts\felnbrelev\nocxsptable\indrlsweleven\noafcnsttbl\afelev\utinl\hwelev\spltpgpar\notcvasp\notbrkcnstfrctbl\notvatxbx\krnprsnet\cachedcolbal \nouicompat \fet0_x000d__x000a_{\*\wgrffmtfilter 013f}\nofeaturethrottle1\ilfomacatclnup0{\*\template C:\\Users\\mkrieg\\AppData\\Local\\Temp\\Blank1.dotx}{\*\ftnsep \ltrpar \pard\plain \ltrpar\ql \li0\ri0\widctlpar\wrapdefault\aspalpha\aspnum\faauto\adjustright\rin0\lin0\itap0 _x000d__x000a_\rtlch\fcs1 \af0\afs20\alang1025 \ltrch\fcs0 \fs24\lang2057\langfe2057\cgrid\langnp2057\langfenp2057 {\rtlch\fcs1 \af0 \ltrch\fcs0 \insrsid2375206 \chftnsep _x000d__x000a_\par }}{\*\ftnsepc \ltrpar \pard\plain \ltrpar\ql \li0\ri0\widctlpar\wrapdefault\aspalpha\aspnum\faauto\adjustright\rin0\lin0\itap0 \rtlch\fcs1 \af0\afs20\alang1025 \ltrch\fcs0 \fs24\lang2057\langfe2057\cgrid\langnp2057\langfenp2057 {\rtlch\fcs1 \af0 _x000d__x000a_\ltrch\fcs0 \insrsid2375206 \chftnsepc _x000d__x000a_\par }}{\*\aftnsep \ltrpar \pard\plain \ltrpar\ql \li0\ri0\widctlpar\wrapdefault\aspalpha\aspnum\faauto\adjustright\rin0\lin0\itap0 \rtlch\fcs1 \af0\afs20\alang1025 \ltrch\fcs0 \fs24\lang2057\langfe2057\cgrid\langnp2057\langfenp2057 {\rtlch\fcs1 \af0 _x000d__x000a_\ltrch\fcs0 \insrsid2375206 \chftnsep _x000d__x000a_\par }}{\*\aftnsepc \ltrpar \pard\plain \ltrpar\ql \li0\ri0\widctlpar\wrapdefault\aspalpha\aspnum\faauto\adjustright\rin0\lin0\itap0 \rtlch\fcs1 \af0\afs20\alang1025 \ltrch\fcs0 \fs24\lang2057\langfe2057\cgrid\langnp2057\langfenp2057 {\rtlch\fcs1 \af0 _x000d__x000a_\ltrch\fcs0 \insrsid23752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22627 \rtlch\fcs1 _x000d__x000a_\af0\afs20\alang1025 \ltrch\fcs0 \b\fs24\lang2057\langfe2057\cgrid\langnp2057\langfenp2057 {\rtlch\fcs1 \af0 \ltrch\fcs0 \cs17\b0\v\fs20\cf9\lang1024\langfe1024\loch\af1\hich\af1\dbch\af31501\noproof\insrsid722627\charrsid15879488 {\*\bkmkstart restartB}_x000d__x000a_\hich\af1\dbch\af31501\loch\f1 &lt;AmendB&gt;}{\rtlch\fcs1 \af0 \ltrch\fcs0 \insrsid722627\charrsid15879488 [ZAMENDMENT]\tab \tab }{\rtlch\fcs1 \af0 \ltrch\fcs0 _x000d__x000a_\cs17\b0\v\fs20\cf9\lang1024\langfe1024\loch\af1\hich\af1\dbch\af31501\noproof\insrsid722627\charrsid15879488 \hich\af1\dbch\af31501\loch\f1 &lt;NumAmB&gt;}{\rtlch\fcs1 \af0 \ltrch\fcs0 \insrsid722627\charrsid15879488 [ZNRAM]}{\rtlch\fcs1 \af0 \ltrch\fcs0 _x000d__x000a_\cs17\b0\v\fs20\cf9\lang1024\langfe1024\loch\af1\hich\af1\dbch\af31501\noproof\insrsid722627\charrsid15879488 \hich\af1\dbch\af31501\loch\f1 &lt;/NumAmB&gt;}{\rtlch\fcs1 \af0 \ltrch\fcs0 \insrsid722627\charrsid15879488 _x000d__x000a_\par }\pard\plain \ltrpar\s25\ql \li0\ri0\sb240\keepn\nowidctlpar\wrapdefault\aspalpha\aspnum\faauto\adjustright\rin0\lin0\itap0\pararsid722627 \rtlch\fcs1 \af0\afs20\alang1025 \ltrch\fcs0 \b\fs24\lang2057\langfe2057\cgrid\langnp2057\langfenp2057 {\rtlch\fcs1 _x000d__x000a_\af0 \ltrch\fcs0 \cs17\b0\v\fs20\cf9\lang1024\langfe1024\loch\af1\hich\af1\dbch\af31501\noproof\insrsid722627\charrsid15879488 \hich\af1\dbch\af31501\loch\f1 &lt;DocAmend&gt;}{\rtlch\fcs1 \af0 \ltrch\fcs0 \insrsid722627\charrsid15879488 [ZPROPOSAL][ZAMACT]}{_x000d__x000a_\rtlch\fcs1 \af0 \ltrch\fcs0 \cs17\b0\v\fs20\cf9\lang1024\langfe1024\loch\af1\hich\af1\dbch\af31501\noproof\insrsid722627\charrsid15879488 \hich\af1\dbch\af31501\loch\f1 &lt;/DocAmend&gt;}{\rtlch\fcs1 \af0 \ltrch\fcs0 \insrsid722627\charrsid15879488 _x000d__x000a_\par }\pard\plain \ltrpar\s19\ql \li0\ri0\keepn\nowidctlpar\wrapdefault\aspalpha\aspnum\faauto\adjustright\rin0\lin0\itap0\pararsid722627 \rtlch\fcs1 \af0\afs20\alang1025 \ltrch\fcs0 \b\fs24\lang2057\langfe2057\cgrid\langnp2057\langfenp2057 {\rtlch\fcs1 \af0 _x000d__x000a_\ltrch\fcs0 \cs17\b0\v\fs20\cf9\lang1024\langfe1024\loch\af1\hich\af1\dbch\af31501\noproof\insrsid722627\charrsid15879488 \hich\af1\dbch\af31501\loch\f1 &lt;Article&gt;}{\rtlch\fcs1 \af0 \ltrch\fcs0 \insrsid722627\charrsid15879488 [ZAMPART]}{\rtlch\fcs1 \af0 _x000d__x000a_\ltrch\fcs0 \cs17\b0\v\fs20\cf9\lang1024\langfe1024\loch\af1\hich\af1\dbch\af31501\noproof\insrsid722627\charrsid15879488 \hich\af1\dbch\af31501\loch\f1 &lt;/Article&gt;}{\rtlch\fcs1 \af0 \ltrch\fcs0 \insrsid722627\charrsid15879488 _x000d__x000a_\par }\pard\plain \ltrpar\ql \li0\ri0\keepn\widctlpar\wrapdefault\aspalpha\aspnum\faauto\adjustright\rin0\lin0\itap0\pararsid722627 \rtlch\fcs1 \af0\afs20\alang1025 \ltrch\fcs0 \fs24\lang2057\langfe2057\cgrid\langnp2057\langfenp2057 {\rtlch\fcs1 \af0 _x000d__x000a_\ltrch\fcs0 \cs17\v\fs20\cf9\lang1024\langfe1024\loch\af1\hich\af1\dbch\af31501\noproof\insrsid722627\charrsid15879488 \hich\af1\dbch\af31501\loch\f1 &lt;DocAmend2&gt;&lt;OptDel&gt;}{\rtlch\fcs1 \af0 \ltrch\fcs0 \insrsid722627\charrsid15879488 [ZNRACT]}{\rtlch\fcs1 _x000d__x000a_\af0 \ltrch\fcs0 \cs17\v\fs20\cf9\lang1024\langfe1024\loch\af1\hich\af1\dbch\af31501\noproof\insrsid722627\charrsid15879488 \hich\af1\dbch\af31501\loch\f1 &lt;/OptDel&gt;&lt;/DocAmend2&gt;}{\rtlch\fcs1 \af0 \ltrch\fcs0 \insrsid722627\charrsid15879488 _x000d__x000a_\par }\pard \ltrpar\ql \li0\ri0\widctlpar\wrapdefault\aspalpha\aspnum\faauto\adjustright\rin0\lin0\itap0\pararsid722627 {\rtlch\fcs1 \af0 \ltrch\fcs0 _x000d__x000a_\cs17\v\fs20\cf9\lang1024\langfe1024\loch\af1\hich\af1\dbch\af31501\noproof\langnp1036\insrsid722627\charrsid11356624 \hich\af1\dbch\af31501\loch\f1 &lt;Article2&gt;&lt;OptDel&gt;}{\rtlch\fcs1 \af0 \ltrch\fcs0 _x000d__x000a_\lang1036\langfe2057\langnp1036\insrsid722627\charrsid11356624 [ZACTPART]}{\rtlch\fcs1 \af0 \ltrch\fcs0 \cs17\v\fs20\cf9\lang1024\langfe1024\loch\af1\hich\af1\dbch\af31501\noproof\langnp1036\insrsid722627\charrsid11356624 \hich\af1\dbch\af31501\loch\f1 _x000d__x000a_&lt;/OptDel&gt;&lt;/Article2&gt;}{\rtlch\fcs1 \af0 \ltrch\fcs0 \lang1036\langfe2057\langnp1036\insrsid72262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22627\charrsid11356624 \cell }\pard \ltrpar\ql \li0\ri0\widctlpar\intbl\wrapdefault\aspalpha\aspnum\faauto\adjustright\rin0\lin0 {\rtlch\fcs1 \af0 \ltrch\fcs0 \insrsid72262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22627\charrsid15879488 [ZLEFTB]\cell [ZRIGHT]\cell }\pard\plain \ltrpar\ql \li0\ri0\widctlpar\intbl\wrapdefault\aspalpha\aspnum\faauto\adjustright\rin0\lin0 \rtlch\fcs1 \af0\afs20\alang1025 \ltrch\fcs0 _x000d__x000a_\fs24\lang2057\langfe2057\cgrid\langnp2057\langfenp2057 {\rtlch\fcs1 \af0 \ltrch\fcs0 \insrsid72262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2627\charrsid15879488 [ZTEXTL]\cell [ZTEXTR]}{\rtlch\fcs1 \af0\afs24 \ltrch\fcs0 \insrsid722627\charrsid15879488 \cell }\pard\plain \ltrpar\ql \li0\ri0\widctlpar\intbl\wrapdefault\aspalpha\aspnum\faauto\adjustright\rin0\lin0 \rtlch\fcs1 _x000d__x000a_\af0\afs20\alang1025 \ltrch\fcs0 \fs24\lang2057\langfe2057\cgrid\langnp2057\langfenp2057 {\rtlch\fcs1 \af0 \ltrch\fcs0 \insrsid72262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22627 \rtlch\fcs1 \af0\afs20\alang1025 \ltrch\fcs0 \i\fs24\lang2057\langfe2057\cgrid\langnp2057\langfenp2057 {\rtlch\fcs1 \af0 \ltrch\fcs0 _x000d__x000a_\cs17\i0\v\fs20\cf9\lang1024\langfe1024\loch\af1\hich\af1\dbch\af31501\noproof\insrsid722627\charrsid15879488 \hich\af1\dbch\af31501\loch\f1 &lt;OptDel&gt;}{\rtlch\fcs1 \af0 \ltrch\fcs0 \insrsid722627\charrsid15879488 [ZCROSSREF]}{\rtlch\fcs1 \af0 \ltrch\fcs0 _x000d__x000a_\cs17\i0\v\fs20\cf9\lang1024\langfe1024\loch\af1\hich\af1\dbch\af31501\noproof\insrsid722627\charrsid15879488 \hich\af1\dbch\af31501\loch\f1 &lt;/OptDel&gt;}{\rtlch\fcs1 \af0 \ltrch\fcs0 \insrsid722627\charrsid15879488 _x000d__x000a_\par }\pard\plain \ltrpar\s22\qc \li0\ri0\sb240\sa240\keepn\nowidctlpar\wrapdefault\aspalpha\aspnum\faauto\adjustright\rin0\lin0\itap0\pararsid722627 \rtlch\fcs1 \af0\afs20\alang1025 \ltrch\fcs0 \i\fs24\lang2057\langfe2057\cgrid\langnp2057\langfenp2057 {_x000d__x000a_\rtlch\fcs1 \af0 \ltrch\fcs0 \cs17\i0\v\fs20\cf9\lang1024\langfe1024\loch\af1\hich\af1\dbch\af31501\noproof\insrsid722627\charrsid15879488 \hich\af1\dbch\af31501\loch\f1 &lt;TitreJust&gt;}{\rtlch\fcs1 \af0 \ltrch\fcs0 \insrsid722627\charrsid15879488 _x000d__x000a_[ZJUSTIFICATION]}{\rtlch\fcs1 \af0 \ltrch\fcs0 \cs17\i0\v\fs20\cf9\lang1024\langfe1024\loch\af1\hich\af1\dbch\af31501\noproof\insrsid722627\charrsid15879488 \hich\af1\dbch\af31501\loch\f1 &lt;/TitreJust&gt;}{\rtlch\fcs1 \af0 \ltrch\fcs0 _x000d__x000a_\insrsid722627\charrsid15879488 _x000d__x000a_\par }\pard\plain \ltrpar\s20\ql \li0\ri0\sa240\nowidctlpar\wrapdefault\aspalpha\aspnum\faauto\adjustright\rin0\lin0\itap0\pararsid722627 \rtlch\fcs1 \af0\afs20\alang1025 \ltrch\fcs0 \i\fs24\lang2057\langfe2057\cgrid\langnp2057\langfenp2057 {\rtlch\fcs1 \af0 _x000d__x000a_\ltrch\fcs0 \cs17\i0\v\fs20\cf9\lang1024\langfe1024\loch\af1\hich\af1\dbch\af31501\noproof\insrsid722627\charrsid15879488 \hich\af1\dbch\af31501\loch\f1 &lt;OptDelPrev&gt;}{\rtlch\fcs1 \af0 \ltrch\fcs0 \insrsid722627\charrsid15879488 [ZTEXTJUST]}{\rtlch\fcs1 _x000d__x000a_\af0 \ltrch\fcs0 \cs17\i0\v\fs20\cf9\lang1024\langfe1024\loch\af1\hich\af1\dbch\af31501\noproof\insrsid722627\charrsid15879488 \hich\af1\dbch\af31501\loch\f1 &lt;/OptDelPrev&gt;}{\rtlch\fcs1 \af0 \ltrch\fcs0 \insrsid722627\charrsid15879488 _x000d__x000a_\par }\pard\plain \ltrpar\ql \li0\ri0\widctlpar\wrapdefault\aspalpha\aspnum\faauto\adjustright\rin0\lin0\itap0\pararsid722627 \rtlch\fcs1 \af0\afs20\alang1025 \ltrch\fcs0 \fs24\lang2057\langfe2057\cgrid\langnp2057\langfenp2057 {\rtlch\fcs1 \af0 \ltrch\fcs0 _x000d__x000a_\cs17\v\fs20\cf9\lang1024\langfe1024\loch\af1\hich\af1\dbch\af31501\noproof\insrsid722627\charrsid15879488 \hich\af1\dbch\af31501\loch\f1 &lt;/AmendB&gt;}{\rtlch\fcs1 \af0 \ltrch\fcs0 \insrsid72262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7_x000d__x000a_1543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8"/>
    <w:docVar w:name="TITLECODMNU" w:val=" 1"/>
    <w:docVar w:name="TVTAMACTPART" w:val="abc"/>
    <w:docVar w:name="TVTRESPART" w:val="abc"/>
    <w:docVar w:name="TXTLANGUE" w:val="EN"/>
    <w:docVar w:name="TXTLANGUEMIN" w:val="en"/>
    <w:docVar w:name="TXTNRC" w:val="0150/2023"/>
    <w:docVar w:name="TXTNRCOM" w:val="(2023)0240"/>
    <w:docVar w:name="TXTNRFIRSTAM" w:val="1"/>
    <w:docVar w:name="TXTNRLASTAM" w:val="5"/>
    <w:docVar w:name="TXTNRPE" w:val="752.621"/>
    <w:docVar w:name="TXTNRPROC" w:val="2023/0138"/>
    <w:docVar w:name="TXTPEorAP" w:val="PE"/>
    <w:docVar w:name="TXTROUTE" w:val="AD\1288324EN.docx"/>
    <w:docVar w:name="TXTVERSION" w:val="02-00"/>
  </w:docVars>
  <w:rsids>
    <w:rsidRoot w:val="007426EC"/>
    <w:rsid w:val="00026559"/>
    <w:rsid w:val="00027FA8"/>
    <w:rsid w:val="0004474F"/>
    <w:rsid w:val="000522F2"/>
    <w:rsid w:val="00082EC4"/>
    <w:rsid w:val="000C751C"/>
    <w:rsid w:val="000D44A6"/>
    <w:rsid w:val="00121470"/>
    <w:rsid w:val="00122C05"/>
    <w:rsid w:val="00122CC3"/>
    <w:rsid w:val="00134974"/>
    <w:rsid w:val="00141CD7"/>
    <w:rsid w:val="001616BD"/>
    <w:rsid w:val="00180E36"/>
    <w:rsid w:val="001820A9"/>
    <w:rsid w:val="001A0556"/>
    <w:rsid w:val="001A7452"/>
    <w:rsid w:val="001B0A1E"/>
    <w:rsid w:val="001C0886"/>
    <w:rsid w:val="001D5154"/>
    <w:rsid w:val="001E3AC4"/>
    <w:rsid w:val="0020077A"/>
    <w:rsid w:val="00220500"/>
    <w:rsid w:val="002258E0"/>
    <w:rsid w:val="0023131B"/>
    <w:rsid w:val="002A67EE"/>
    <w:rsid w:val="002C26F8"/>
    <w:rsid w:val="002D23D0"/>
    <w:rsid w:val="00304EA8"/>
    <w:rsid w:val="003300D9"/>
    <w:rsid w:val="00341A99"/>
    <w:rsid w:val="00360FAA"/>
    <w:rsid w:val="003668DD"/>
    <w:rsid w:val="0038294E"/>
    <w:rsid w:val="003A2F84"/>
    <w:rsid w:val="003A6A67"/>
    <w:rsid w:val="003B07E2"/>
    <w:rsid w:val="003C7390"/>
    <w:rsid w:val="003E00BF"/>
    <w:rsid w:val="003E1280"/>
    <w:rsid w:val="003F128E"/>
    <w:rsid w:val="0040055C"/>
    <w:rsid w:val="00415589"/>
    <w:rsid w:val="004515F9"/>
    <w:rsid w:val="00487596"/>
    <w:rsid w:val="004B3A53"/>
    <w:rsid w:val="004C2A0D"/>
    <w:rsid w:val="004F1D2F"/>
    <w:rsid w:val="00502B76"/>
    <w:rsid w:val="00513F6F"/>
    <w:rsid w:val="00522B51"/>
    <w:rsid w:val="00524707"/>
    <w:rsid w:val="00525B43"/>
    <w:rsid w:val="00543D1E"/>
    <w:rsid w:val="005539B7"/>
    <w:rsid w:val="00565298"/>
    <w:rsid w:val="00571233"/>
    <w:rsid w:val="005716CD"/>
    <w:rsid w:val="00586041"/>
    <w:rsid w:val="005922EC"/>
    <w:rsid w:val="005D22C6"/>
    <w:rsid w:val="00600087"/>
    <w:rsid w:val="00613134"/>
    <w:rsid w:val="0062175F"/>
    <w:rsid w:val="00626D52"/>
    <w:rsid w:val="006315F6"/>
    <w:rsid w:val="00632FD4"/>
    <w:rsid w:val="00643DA8"/>
    <w:rsid w:val="00653EDA"/>
    <w:rsid w:val="00657D5C"/>
    <w:rsid w:val="00683DD1"/>
    <w:rsid w:val="00691B1C"/>
    <w:rsid w:val="006A0F0A"/>
    <w:rsid w:val="006A48AA"/>
    <w:rsid w:val="006B1267"/>
    <w:rsid w:val="006C3768"/>
    <w:rsid w:val="006D292E"/>
    <w:rsid w:val="006F1531"/>
    <w:rsid w:val="00712462"/>
    <w:rsid w:val="00716BAA"/>
    <w:rsid w:val="0073137C"/>
    <w:rsid w:val="00740A09"/>
    <w:rsid w:val="00741A65"/>
    <w:rsid w:val="007426EC"/>
    <w:rsid w:val="0078548A"/>
    <w:rsid w:val="007875FA"/>
    <w:rsid w:val="007B7CE3"/>
    <w:rsid w:val="007D04FC"/>
    <w:rsid w:val="007F187F"/>
    <w:rsid w:val="00817D13"/>
    <w:rsid w:val="00820C7D"/>
    <w:rsid w:val="00832841"/>
    <w:rsid w:val="00833D11"/>
    <w:rsid w:val="00836FD3"/>
    <w:rsid w:val="008375A8"/>
    <w:rsid w:val="008506A6"/>
    <w:rsid w:val="008652A4"/>
    <w:rsid w:val="00872A52"/>
    <w:rsid w:val="00876A73"/>
    <w:rsid w:val="0089388A"/>
    <w:rsid w:val="008F3DB0"/>
    <w:rsid w:val="00904864"/>
    <w:rsid w:val="009052FE"/>
    <w:rsid w:val="009215FC"/>
    <w:rsid w:val="00921659"/>
    <w:rsid w:val="009230BA"/>
    <w:rsid w:val="00924555"/>
    <w:rsid w:val="00930617"/>
    <w:rsid w:val="009368B3"/>
    <w:rsid w:val="00982B83"/>
    <w:rsid w:val="009857B4"/>
    <w:rsid w:val="009B6583"/>
    <w:rsid w:val="009E7319"/>
    <w:rsid w:val="00A154E3"/>
    <w:rsid w:val="00A36CA0"/>
    <w:rsid w:val="00A71228"/>
    <w:rsid w:val="00A74E25"/>
    <w:rsid w:val="00A9371F"/>
    <w:rsid w:val="00AC2A60"/>
    <w:rsid w:val="00AC6CD7"/>
    <w:rsid w:val="00AD49D0"/>
    <w:rsid w:val="00AF0131"/>
    <w:rsid w:val="00B0002A"/>
    <w:rsid w:val="00B00EE6"/>
    <w:rsid w:val="00B1322B"/>
    <w:rsid w:val="00B31BC8"/>
    <w:rsid w:val="00B476DC"/>
    <w:rsid w:val="00B556CD"/>
    <w:rsid w:val="00B62D4B"/>
    <w:rsid w:val="00B904FA"/>
    <w:rsid w:val="00BA3E40"/>
    <w:rsid w:val="00BA7875"/>
    <w:rsid w:val="00BB2414"/>
    <w:rsid w:val="00BD1F76"/>
    <w:rsid w:val="00BD41AD"/>
    <w:rsid w:val="00BE20CF"/>
    <w:rsid w:val="00C22327"/>
    <w:rsid w:val="00C22F30"/>
    <w:rsid w:val="00C335C6"/>
    <w:rsid w:val="00C33FBD"/>
    <w:rsid w:val="00C4219C"/>
    <w:rsid w:val="00C46349"/>
    <w:rsid w:val="00C47E8C"/>
    <w:rsid w:val="00C52A28"/>
    <w:rsid w:val="00C56375"/>
    <w:rsid w:val="00C709B7"/>
    <w:rsid w:val="00C75E98"/>
    <w:rsid w:val="00C81C5B"/>
    <w:rsid w:val="00C83B35"/>
    <w:rsid w:val="00CB6296"/>
    <w:rsid w:val="00D25CF2"/>
    <w:rsid w:val="00D56CE0"/>
    <w:rsid w:val="00D6254D"/>
    <w:rsid w:val="00D65AA8"/>
    <w:rsid w:val="00D6771F"/>
    <w:rsid w:val="00D67D0A"/>
    <w:rsid w:val="00D74FD1"/>
    <w:rsid w:val="00D851D4"/>
    <w:rsid w:val="00D943A5"/>
    <w:rsid w:val="00D9581F"/>
    <w:rsid w:val="00DB56E4"/>
    <w:rsid w:val="00E27F01"/>
    <w:rsid w:val="00E34A5C"/>
    <w:rsid w:val="00E602B4"/>
    <w:rsid w:val="00E6766A"/>
    <w:rsid w:val="00E77FF5"/>
    <w:rsid w:val="00E9018C"/>
    <w:rsid w:val="00E94D64"/>
    <w:rsid w:val="00EA24D0"/>
    <w:rsid w:val="00EA29B5"/>
    <w:rsid w:val="00EA3802"/>
    <w:rsid w:val="00EC7A2D"/>
    <w:rsid w:val="00EF1432"/>
    <w:rsid w:val="00EF33D5"/>
    <w:rsid w:val="00F15744"/>
    <w:rsid w:val="00F24D40"/>
    <w:rsid w:val="00FA3C27"/>
    <w:rsid w:val="00FC2BB6"/>
    <w:rsid w:val="00FD3BC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BAFF8"/>
  <w15:chartTrackingRefBased/>
  <w15:docId w15:val="{170D76C4-8E8F-426E-A880-D61A29C2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link w:val="NormalBold"/>
    <w:locked/>
    <w:rsid w:val="00525B43"/>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FooterChar">
    <w:name w:val="Footer Char"/>
    <w:basedOn w:val="DefaultParagraphFont"/>
    <w:link w:val="Footer"/>
    <w:rsid w:val="00525B43"/>
    <w:rPr>
      <w:sz w:val="22"/>
    </w:rPr>
  </w:style>
  <w:style w:type="paragraph" w:styleId="Footer">
    <w:name w:val="footer"/>
    <w:link w:val="FooterChar"/>
    <w:unhideWhenUsed/>
    <w:rsid w:val="00525B43"/>
    <w:pPr>
      <w:tabs>
        <w:tab w:val="center" w:pos="4536"/>
        <w:tab w:val="right" w:pos="9072"/>
      </w:tabs>
      <w:spacing w:before="240" w:after="240" w:line="220" w:lineRule="auto"/>
    </w:pPr>
    <w:rPr>
      <w:sz w:val="22"/>
    </w:rPr>
  </w:style>
  <w:style w:type="character" w:customStyle="1" w:styleId="Normal12Char">
    <w:name w:val="Normal12 Char"/>
    <w:link w:val="Normal12"/>
    <w:locked/>
    <w:rsid w:val="00525B43"/>
    <w:rPr>
      <w:noProof/>
      <w:sz w:val="24"/>
    </w:rPr>
  </w:style>
  <w:style w:type="paragraph" w:customStyle="1" w:styleId="Normal12">
    <w:name w:val="Normal12"/>
    <w:basedOn w:val="Normal"/>
    <w:link w:val="Normal12Char"/>
    <w:rsid w:val="00525B43"/>
    <w:pPr>
      <w:spacing w:after="240"/>
    </w:pPr>
    <w:rPr>
      <w:noProof/>
      <w:szCs w:val="20"/>
    </w:rPr>
  </w:style>
  <w:style w:type="character" w:customStyle="1" w:styleId="Normal6Char">
    <w:name w:val="Normal6 Char"/>
    <w:link w:val="Normal6"/>
    <w:locked/>
    <w:rsid w:val="00525B43"/>
    <w:rPr>
      <w:sz w:val="24"/>
      <w:lang w:val="sv-SE"/>
    </w:rPr>
  </w:style>
  <w:style w:type="paragraph" w:customStyle="1" w:styleId="Normal6">
    <w:name w:val="Normal6"/>
    <w:basedOn w:val="Normal"/>
    <w:link w:val="Normal6Char"/>
    <w:rsid w:val="00525B43"/>
    <w:pPr>
      <w:spacing w:after="120"/>
    </w:pPr>
    <w:rPr>
      <w:szCs w:val="20"/>
    </w:rPr>
  </w:style>
  <w:style w:type="paragraph" w:customStyle="1" w:styleId="Normal12Italic">
    <w:name w:val="Normal12Italic"/>
    <w:basedOn w:val="Normal12"/>
    <w:rsid w:val="00525B43"/>
    <w:rPr>
      <w:i/>
    </w:rPr>
  </w:style>
  <w:style w:type="paragraph" w:customStyle="1" w:styleId="Footer2">
    <w:name w:val="Footer2"/>
    <w:basedOn w:val="Normal12"/>
    <w:rsid w:val="00525B43"/>
    <w:pPr>
      <w:tabs>
        <w:tab w:val="center" w:pos="4535"/>
        <w:tab w:val="right" w:pos="9923"/>
      </w:tabs>
      <w:spacing w:line="480" w:lineRule="auto"/>
      <w:ind w:left="-851"/>
    </w:pPr>
    <w:rPr>
      <w:rFonts w:ascii="Arial" w:cs="Arial"/>
      <w:b/>
      <w:sz w:val="48"/>
    </w:rPr>
  </w:style>
  <w:style w:type="paragraph" w:customStyle="1" w:styleId="EntPE">
    <w:name w:val="EntPE"/>
    <w:basedOn w:val="Normal12"/>
    <w:rsid w:val="00525B43"/>
    <w:pPr>
      <w:jc w:val="center"/>
    </w:pPr>
    <w:rPr>
      <w:noProof w:val="0"/>
      <w:sz w:val="56"/>
    </w:rPr>
  </w:style>
  <w:style w:type="paragraph" w:customStyle="1" w:styleId="AMNumberTabs0">
    <w:name w:val="AMNumberTabs"/>
    <w:basedOn w:val="Normal"/>
    <w:rsid w:val="00525B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25B43"/>
    <w:pPr>
      <w:spacing w:after="240"/>
      <w:jc w:val="center"/>
    </w:pPr>
    <w:rPr>
      <w:i/>
      <w:szCs w:val="20"/>
    </w:rPr>
  </w:style>
  <w:style w:type="paragraph" w:customStyle="1" w:styleId="Olang">
    <w:name w:val="Olang"/>
    <w:basedOn w:val="Normal"/>
    <w:rsid w:val="00525B43"/>
    <w:pPr>
      <w:spacing w:before="240" w:after="240"/>
      <w:jc w:val="right"/>
    </w:pPr>
    <w:rPr>
      <w:noProof/>
    </w:rPr>
  </w:style>
  <w:style w:type="paragraph" w:styleId="BalloonText">
    <w:name w:val="Balloon Text"/>
    <w:basedOn w:val="Normal"/>
    <w:link w:val="BalloonTextChar"/>
    <w:semiHidden/>
    <w:unhideWhenUsed/>
    <w:rsid w:val="000522F2"/>
    <w:rPr>
      <w:rFonts w:ascii="Segoe UI" w:hAnsi="Segoe UI" w:cs="Segoe UI"/>
      <w:sz w:val="18"/>
      <w:szCs w:val="18"/>
    </w:rPr>
  </w:style>
  <w:style w:type="character" w:customStyle="1" w:styleId="BalloonTextChar">
    <w:name w:val="Balloon Text Char"/>
    <w:basedOn w:val="DefaultParagraphFont"/>
    <w:link w:val="BalloonText"/>
    <w:semiHidden/>
    <w:rsid w:val="000522F2"/>
    <w:rPr>
      <w:rFonts w:ascii="Segoe UI" w:hAnsi="Segoe UI" w:cs="Segoe UI"/>
      <w:sz w:val="18"/>
      <w:szCs w:val="18"/>
    </w:rPr>
  </w:style>
  <w:style w:type="paragraph" w:customStyle="1" w:styleId="RollCallSymbols14pt">
    <w:name w:val="RollCallSymbols14pt"/>
    <w:basedOn w:val="Normal"/>
    <w:rsid w:val="0056529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65298"/>
    <w:pPr>
      <w:tabs>
        <w:tab w:val="center" w:pos="284"/>
        <w:tab w:val="left" w:pos="426"/>
      </w:tabs>
    </w:pPr>
    <w:rPr>
      <w:snapToGrid w:val="0"/>
      <w:szCs w:val="20"/>
      <w:lang w:eastAsia="en-US"/>
    </w:rPr>
  </w:style>
  <w:style w:type="paragraph" w:customStyle="1" w:styleId="RollCallVotes">
    <w:name w:val="RollCallVotes"/>
    <w:basedOn w:val="Normal"/>
    <w:rsid w:val="00565298"/>
    <w:pPr>
      <w:spacing w:before="120" w:after="120"/>
      <w:jc w:val="center"/>
    </w:pPr>
    <w:rPr>
      <w:b/>
      <w:bCs/>
      <w:snapToGrid w:val="0"/>
      <w:sz w:val="16"/>
      <w:szCs w:val="20"/>
      <w:lang w:eastAsia="en-US"/>
    </w:rPr>
  </w:style>
  <w:style w:type="paragraph" w:customStyle="1" w:styleId="RollCallTable">
    <w:name w:val="RollCallTable"/>
    <w:basedOn w:val="Normal"/>
    <w:rsid w:val="00565298"/>
    <w:pPr>
      <w:spacing w:before="120" w:after="120"/>
    </w:pPr>
    <w:rPr>
      <w:snapToGrid w:val="0"/>
      <w:sz w:val="16"/>
      <w:szCs w:val="20"/>
      <w:lang w:eastAsia="en-US"/>
    </w:rPr>
  </w:style>
  <w:style w:type="character" w:styleId="CommentReference">
    <w:name w:val="annotation reference"/>
    <w:basedOn w:val="DefaultParagraphFont"/>
    <w:rsid w:val="00AF0131"/>
    <w:rPr>
      <w:sz w:val="16"/>
      <w:szCs w:val="16"/>
    </w:rPr>
  </w:style>
  <w:style w:type="paragraph" w:styleId="CommentText">
    <w:name w:val="annotation text"/>
    <w:basedOn w:val="Normal"/>
    <w:link w:val="CommentTextChar"/>
    <w:rsid w:val="00AF0131"/>
    <w:rPr>
      <w:sz w:val="20"/>
      <w:szCs w:val="20"/>
    </w:rPr>
  </w:style>
  <w:style w:type="character" w:customStyle="1" w:styleId="CommentTextChar">
    <w:name w:val="Comment Text Char"/>
    <w:basedOn w:val="DefaultParagraphFont"/>
    <w:link w:val="CommentText"/>
    <w:rsid w:val="00AF0131"/>
  </w:style>
  <w:style w:type="paragraph" w:styleId="CommentSubject">
    <w:name w:val="annotation subject"/>
    <w:basedOn w:val="CommentText"/>
    <w:next w:val="CommentText"/>
    <w:link w:val="CommentSubjectChar"/>
    <w:semiHidden/>
    <w:unhideWhenUsed/>
    <w:rsid w:val="00AF0131"/>
    <w:rPr>
      <w:b/>
      <w:bCs/>
    </w:rPr>
  </w:style>
  <w:style w:type="character" w:customStyle="1" w:styleId="CommentSubjectChar">
    <w:name w:val="Comment Subject Char"/>
    <w:basedOn w:val="CommentTextChar"/>
    <w:link w:val="CommentSubject"/>
    <w:semiHidden/>
    <w:rsid w:val="00AF01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6F540-E426-43A7-8CC3-06760EB36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6635</Words>
  <Characters>45167</Characters>
  <Application>Microsoft Office Word</Application>
  <DocSecurity>0</DocSecurity>
  <Lines>1721</Lines>
  <Paragraphs>435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2023-11-14T08:42:00Z</dcterms:created>
  <dcterms:modified xsi:type="dcterms:W3CDTF">2023-11-14T08:42:00Z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1288324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AD\1288324SV.docx</vt:lpwstr>
  </property>
  <property fmtid="{D5CDD505-2E9C-101B-9397-08002B2CF9AE}" pid="10" name="LastEdited with">
    <vt:lpwstr>9.16.1 Build [20230920]</vt:lpwstr>
  </property>
  <property fmtid="{D5CDD505-2E9C-101B-9397-08002B2CF9AE}" pid="11" name="PE number">
    <vt:lpwstr>752.621</vt:lpwstr>
  </property>
  <property fmtid="{D5CDD505-2E9C-101B-9397-08002B2CF9AE}" pid="12" name="SDLStudio">
    <vt:lpwstr/>
  </property>
  <property fmtid="{D5CDD505-2E9C-101B-9397-08002B2CF9AE}" pid="13" name="SendToEpades">
    <vt:lpwstr>OK - 2023/10/30 08:33</vt:lpwstr>
  </property>
  <property fmtid="{D5CDD505-2E9C-101B-9397-08002B2CF9AE}" pid="14" name="Bookout">
    <vt:lpwstr>OK - 2023/11/14 09:42</vt:lpwstr>
  </property>
</Properties>
</file>