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854CAC" w:rsidRPr="00024B73" w:rsidTr="00C85D0F">
        <w:trPr>
          <w:trHeight w:hRule="exact" w:val="1418"/>
        </w:trPr>
        <w:tc>
          <w:tcPr>
            <w:tcW w:w="6804" w:type="dxa"/>
            <w:shd w:val="clear" w:color="auto" w:fill="auto"/>
            <w:vAlign w:val="center"/>
          </w:tcPr>
          <w:p w:rsidR="00854CAC" w:rsidRPr="00024B73" w:rsidRDefault="008E4B4A" w:rsidP="00C85D0F">
            <w:pPr>
              <w:pStyle w:val="EPName"/>
            </w:pPr>
            <w:r w:rsidRPr="00024B73">
              <w:t>Parlamento europeo</w:t>
            </w:r>
          </w:p>
          <w:p w:rsidR="00854CAC" w:rsidRPr="00024B73" w:rsidRDefault="00AC1204" w:rsidP="00AC1204">
            <w:pPr>
              <w:pStyle w:val="EPTerm"/>
            </w:pPr>
            <w:r w:rsidRPr="00024B73">
              <w:t>2019-2024</w:t>
            </w:r>
          </w:p>
        </w:tc>
        <w:tc>
          <w:tcPr>
            <w:tcW w:w="2268" w:type="dxa"/>
            <w:shd w:val="clear" w:color="auto" w:fill="auto"/>
          </w:tcPr>
          <w:p w:rsidR="00854CAC" w:rsidRPr="00024B73" w:rsidRDefault="00854CAC" w:rsidP="00C85D0F">
            <w:pPr>
              <w:pStyle w:val="EPLogo"/>
            </w:pPr>
            <w:r w:rsidRPr="00024B73">
              <w:rPr>
                <w:noProof/>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1746D0" w:rsidRPr="00024B73" w:rsidRDefault="001746D0" w:rsidP="001746D0">
      <w:pPr>
        <w:pStyle w:val="LineTop"/>
      </w:pPr>
    </w:p>
    <w:p w:rsidR="001746D0" w:rsidRPr="00024B73" w:rsidRDefault="001746D0" w:rsidP="001746D0">
      <w:pPr>
        <w:pStyle w:val="EPBody"/>
      </w:pPr>
      <w:r w:rsidRPr="00497A67">
        <w:rPr>
          <w:rStyle w:val="HideTWBExt"/>
          <w:i w:val="0"/>
          <w:szCs w:val="20"/>
        </w:rPr>
        <w:t>&lt;Commission&gt;</w:t>
      </w:r>
      <w:r w:rsidRPr="00497A67">
        <w:rPr>
          <w:rStyle w:val="HideTWBInt"/>
          <w:i w:val="0"/>
          <w:szCs w:val="20"/>
        </w:rPr>
        <w:t>{EMPL}</w:t>
      </w:r>
      <w:r w:rsidRPr="00024B73">
        <w:t>Commissione per l'occupazione e gli affari sociali</w:t>
      </w:r>
      <w:r w:rsidRPr="00497A67">
        <w:rPr>
          <w:rStyle w:val="HideTWBExt"/>
          <w:i w:val="0"/>
          <w:szCs w:val="20"/>
        </w:rPr>
        <w:t>&lt;/Commission&gt;</w:t>
      </w:r>
    </w:p>
    <w:p w:rsidR="001746D0" w:rsidRPr="00024B73" w:rsidRDefault="001746D0" w:rsidP="001746D0">
      <w:pPr>
        <w:pStyle w:val="LineBottom"/>
      </w:pPr>
    </w:p>
    <w:p w:rsidR="002E2F2E" w:rsidRPr="00024B73" w:rsidRDefault="002E2F2E">
      <w:pPr>
        <w:pStyle w:val="CoverReference"/>
      </w:pPr>
      <w:r w:rsidRPr="00497A67">
        <w:rPr>
          <w:rStyle w:val="HideTWBExt"/>
          <w:b w:val="0"/>
        </w:rPr>
        <w:t>&lt;RefProc&gt;</w:t>
      </w:r>
      <w:r w:rsidRPr="00024B73">
        <w:t>2023/2163(DEC)</w:t>
      </w:r>
      <w:r w:rsidRPr="00497A67">
        <w:rPr>
          <w:rStyle w:val="HideTWBExt"/>
          <w:b w:val="0"/>
        </w:rPr>
        <w:t>&lt;/RefProc&gt;</w:t>
      </w:r>
    </w:p>
    <w:p w:rsidR="002E2F2E" w:rsidRPr="00024B73" w:rsidRDefault="002E2F2E">
      <w:pPr>
        <w:pStyle w:val="CoverDate"/>
      </w:pPr>
      <w:r w:rsidRPr="00497A67">
        <w:rPr>
          <w:rStyle w:val="HideTWBExt"/>
        </w:rPr>
        <w:t>&lt;Date&gt;</w:t>
      </w:r>
      <w:r w:rsidRPr="00497A67">
        <w:rPr>
          <w:rStyle w:val="HideTWBInt"/>
        </w:rPr>
        <w:t>{12/01/2024}</w:t>
      </w:r>
      <w:r w:rsidR="00497A67">
        <w:t>5.2</w:t>
      </w:r>
      <w:r w:rsidRPr="00024B73">
        <w:t>.2024</w:t>
      </w:r>
      <w:r w:rsidRPr="00497A67">
        <w:rPr>
          <w:rStyle w:val="HideTWBExt"/>
        </w:rPr>
        <w:t>&lt;/Date&gt;</w:t>
      </w:r>
    </w:p>
    <w:p w:rsidR="002E2F2E" w:rsidRPr="00024B73" w:rsidRDefault="002E2F2E">
      <w:pPr>
        <w:pStyle w:val="CoverDocType24a"/>
      </w:pPr>
      <w:r w:rsidRPr="00497A67">
        <w:rPr>
          <w:rStyle w:val="HideTWBExt"/>
          <w:b w:val="0"/>
        </w:rPr>
        <w:t>&lt;TitreType&gt;</w:t>
      </w:r>
      <w:r w:rsidRPr="00024B73">
        <w:t>PARERE</w:t>
      </w:r>
      <w:r w:rsidRPr="00497A67">
        <w:rPr>
          <w:rStyle w:val="HideTWBExt"/>
          <w:b w:val="0"/>
        </w:rPr>
        <w:t>&lt;/TitreType&gt;</w:t>
      </w:r>
    </w:p>
    <w:p w:rsidR="002E2F2E" w:rsidRPr="00024B73" w:rsidRDefault="002E2F2E">
      <w:pPr>
        <w:pStyle w:val="CoverNormal24a"/>
      </w:pPr>
      <w:r w:rsidRPr="00497A67">
        <w:rPr>
          <w:rStyle w:val="HideTWBExt"/>
        </w:rPr>
        <w:t>&lt;CommissionResp&gt;</w:t>
      </w:r>
      <w:r w:rsidRPr="00024B73">
        <w:t>della commissione per l'occupazione e gli affari sociali</w:t>
      </w:r>
      <w:r w:rsidRPr="00497A67">
        <w:rPr>
          <w:rStyle w:val="HideTWBExt"/>
        </w:rPr>
        <w:t>&lt;/CommissionResp&gt;</w:t>
      </w:r>
    </w:p>
    <w:p w:rsidR="002E2F2E" w:rsidRPr="00024B73" w:rsidRDefault="002E2F2E">
      <w:pPr>
        <w:pStyle w:val="CoverNormal24a"/>
      </w:pPr>
      <w:r w:rsidRPr="00497A67">
        <w:rPr>
          <w:rStyle w:val="HideTWBExt"/>
        </w:rPr>
        <w:t>&lt;CommissionInt&gt;</w:t>
      </w:r>
      <w:r w:rsidRPr="00024B73">
        <w:t>destinato alla commissione per il controllo dei bilanci</w:t>
      </w:r>
      <w:r w:rsidRPr="00497A67">
        <w:rPr>
          <w:rStyle w:val="HideTWBExt"/>
        </w:rPr>
        <w:t>&lt;/CommissionInt&gt;</w:t>
      </w:r>
    </w:p>
    <w:p w:rsidR="002E2F2E" w:rsidRPr="00024B73" w:rsidRDefault="002E2F2E">
      <w:pPr>
        <w:pStyle w:val="CoverNormal"/>
      </w:pPr>
      <w:r w:rsidRPr="00497A67">
        <w:rPr>
          <w:rStyle w:val="HideTWBExt"/>
        </w:rPr>
        <w:t>&lt;Titre&gt;</w:t>
      </w:r>
      <w:r w:rsidRPr="00024B73">
        <w:t>sul discarico per l'esecuzione del bilancio della Fondazione europea per la formazione professionale</w:t>
      </w:r>
      <w:r w:rsidRPr="00497A67">
        <w:rPr>
          <w:rStyle w:val="HideTWBExt"/>
        </w:rPr>
        <w:t>&lt;/Titre&gt;</w:t>
      </w:r>
    </w:p>
    <w:p w:rsidR="002E2F2E" w:rsidRPr="00024B73" w:rsidRDefault="002E2F2E">
      <w:pPr>
        <w:pStyle w:val="CoverNormal24a"/>
      </w:pPr>
      <w:r w:rsidRPr="00497A67">
        <w:rPr>
          <w:rStyle w:val="HideTWBExt"/>
        </w:rPr>
        <w:t>&lt;DocRef&gt;</w:t>
      </w:r>
      <w:r w:rsidRPr="00024B73">
        <w:t>(2023/2163(DEC))</w:t>
      </w:r>
      <w:r w:rsidRPr="00497A67">
        <w:rPr>
          <w:rStyle w:val="HideTWBExt"/>
        </w:rPr>
        <w:t>&lt;/DocRef&gt;</w:t>
      </w:r>
    </w:p>
    <w:p w:rsidR="002E2F2E" w:rsidRPr="00024B73" w:rsidRDefault="008E4B4A">
      <w:pPr>
        <w:pStyle w:val="CoverNormal24a"/>
      </w:pPr>
      <w:r w:rsidRPr="00024B73">
        <w:t xml:space="preserve">Relatrice per parere: </w:t>
      </w:r>
      <w:r w:rsidRPr="00497A67">
        <w:rPr>
          <w:rStyle w:val="HideTWBExt"/>
        </w:rPr>
        <w:t>&lt;Depute&gt;</w:t>
      </w:r>
      <w:r w:rsidRPr="00024B73">
        <w:t>Romana Tomc</w:t>
      </w:r>
      <w:r w:rsidRPr="00497A67">
        <w:rPr>
          <w:rStyle w:val="HideTWBExt"/>
        </w:rPr>
        <w:t>&lt;/Depute&gt;</w:t>
      </w:r>
    </w:p>
    <w:p w:rsidR="00A72C35" w:rsidRPr="00024B73" w:rsidRDefault="00A72C35" w:rsidP="00A72C35">
      <w:pPr>
        <w:pStyle w:val="CoverNormal"/>
      </w:pPr>
    </w:p>
    <w:p w:rsidR="002E2F2E" w:rsidRPr="00024B73" w:rsidRDefault="002E2F2E" w:rsidP="00E856D2">
      <w:pPr>
        <w:widowControl/>
        <w:tabs>
          <w:tab w:val="center" w:pos="4677"/>
        </w:tabs>
      </w:pPr>
      <w:r w:rsidRPr="00024B73">
        <w:br w:type="page"/>
      </w:r>
      <w:r w:rsidRPr="00024B73">
        <w:lastRenderedPageBreak/>
        <w:t>PA_NonLeg</w:t>
      </w:r>
    </w:p>
    <w:p w:rsidR="002E2F2E" w:rsidRPr="00024B73" w:rsidRDefault="002E2F2E">
      <w:pPr>
        <w:pStyle w:val="PageHeadingNotTOC"/>
      </w:pPr>
      <w:r w:rsidRPr="00024B73">
        <w:br w:type="page"/>
      </w:r>
      <w:r w:rsidRPr="00024B73">
        <w:lastRenderedPageBreak/>
        <w:t>SUGGERIMENTI</w:t>
      </w:r>
    </w:p>
    <w:p w:rsidR="002E2F2E" w:rsidRPr="00024B73" w:rsidRDefault="008E4B4A" w:rsidP="008313E7">
      <w:pPr>
        <w:pStyle w:val="Normal12a"/>
      </w:pPr>
      <w:r w:rsidRPr="00024B73">
        <w:t>La commissione per l'occupazione e gli affari sociali invita la commissione per il controllo dei bilanci, competente per il merito, a includere nella proposta di risoluzione che approverà i seguenti suggerimenti:</w:t>
      </w:r>
    </w:p>
    <w:p w:rsidR="002F465D" w:rsidRPr="00024B73" w:rsidRDefault="002F465D" w:rsidP="002F465D">
      <w:pPr>
        <w:pStyle w:val="NormalHanging12a"/>
      </w:pPr>
      <w:r w:rsidRPr="00024B73">
        <w:t>–</w:t>
      </w:r>
      <w:r w:rsidRPr="00024B73">
        <w:tab/>
        <w:t>vista la relazione annuale della Corte dei conti europea sull'esecuzione del bilancio dell'UE per l'esercizio finanziario 2022,</w:t>
      </w:r>
    </w:p>
    <w:p w:rsidR="002F465D" w:rsidRPr="00024B73" w:rsidRDefault="002F465D" w:rsidP="002F465D">
      <w:pPr>
        <w:pStyle w:val="NormalHanging12a"/>
      </w:pPr>
      <w:r w:rsidRPr="00024B73">
        <w:t>–</w:t>
      </w:r>
      <w:r w:rsidRPr="00024B73">
        <w:tab/>
        <w:t>vista la relazione annuale della Corte dei conti europea sulle agenzie dell'UE per l'esercizio finanziario 2022,</w:t>
      </w:r>
    </w:p>
    <w:p w:rsidR="00735063" w:rsidRPr="00024B73" w:rsidRDefault="00735063" w:rsidP="002F465D">
      <w:pPr>
        <w:pStyle w:val="NormalHanging12a"/>
      </w:pPr>
      <w:r w:rsidRPr="00024B73">
        <w:t>–</w:t>
      </w:r>
      <w:r w:rsidRPr="00024B73">
        <w:tab/>
        <w:t>vista la relazione annuale di attività consolidata per il 2022 della Fondazione europea per la formazione professionale,</w:t>
      </w:r>
    </w:p>
    <w:p w:rsidR="00735063" w:rsidRPr="00024B73" w:rsidRDefault="00735063" w:rsidP="00735063">
      <w:pPr>
        <w:pStyle w:val="NormalHanging12a"/>
      </w:pPr>
      <w:r w:rsidRPr="00024B73">
        <w:t>1.</w:t>
      </w:r>
      <w:r w:rsidRPr="00024B73">
        <w:tab/>
        <w:t>esprime soddisfazione per il fatto che la Corte dei conti europea (la "Corte") abbia dichiarato legittime e regolari le operazioni alla base dei conti annuali della Fondazione europea per la formazione professionale (la "Fondazione") per l'esercizio 2022 e che la posizione finanziaria di quest'ultima al 31 dicembre 2022 sia rappresentata in modo corretto;</w:t>
      </w:r>
    </w:p>
    <w:p w:rsidR="00A42BDC" w:rsidRPr="00024B73" w:rsidRDefault="00A42BDC" w:rsidP="00A42BDC">
      <w:pPr>
        <w:pStyle w:val="NormalHanging12a"/>
        <w:rPr>
          <w:szCs w:val="24"/>
        </w:rPr>
      </w:pPr>
      <w:r w:rsidRPr="00024B73">
        <w:t>2.</w:t>
      </w:r>
      <w:r w:rsidRPr="00024B73">
        <w:tab/>
        <w:t>accoglie con favore le attività della Fondazione volte ad aiutare i paesi partner dell'Unione a sfruttare il potenziale del loro capitale umano e a migliorare le prospettive occupazionali dei loro cittadini attraverso la riforma dei sistemi di istruzione, formazione professionale, competenze e mercato del lavoro, nel contesto delle politiche dell'Unione in materia di relazioni esterne;</w:t>
      </w:r>
    </w:p>
    <w:p w:rsidR="00A42BDC" w:rsidRPr="00024B73" w:rsidRDefault="004D1692" w:rsidP="00A42BDC">
      <w:pPr>
        <w:pStyle w:val="NormalHanging12a"/>
        <w:rPr>
          <w:szCs w:val="24"/>
        </w:rPr>
      </w:pPr>
      <w:r w:rsidRPr="00024B73">
        <w:t>3.</w:t>
      </w:r>
      <w:r w:rsidRPr="00024B73">
        <w:tab/>
        <w:t>apprezza, in particolare, il nuovo concetto di centri imprenditoriali di eccellenza professionale (CoVE) sviluppato dalla Fondazione per contribuire al dibattito internazionale in seno alla comunità dell'apprendimento imprenditoriale e per stimolare i centri di formazione a rispondere meglio alle esigenze in evoluzione dei cittadini, delle economie e delle società;</w:t>
      </w:r>
    </w:p>
    <w:p w:rsidR="00A42BDC" w:rsidRPr="00024B73" w:rsidRDefault="004D1692" w:rsidP="00A42BDC">
      <w:pPr>
        <w:pStyle w:val="NormalHanging12a"/>
        <w:rPr>
          <w:szCs w:val="24"/>
        </w:rPr>
      </w:pPr>
      <w:r w:rsidRPr="00024B73">
        <w:t>4.</w:t>
      </w:r>
      <w:r w:rsidRPr="00024B73">
        <w:tab/>
        <w:t>si compiace che il bilancio della Fondazione per l'esercizio 2022 sia aumentato fino a 25 milioni di EUR (21 milioni di EUR nel 2021)</w:t>
      </w:r>
      <w:r w:rsidR="00A42BDC" w:rsidRPr="00024B73">
        <w:rPr>
          <w:vertAlign w:val="superscript"/>
        </w:rPr>
        <w:footnoteReference w:id="1"/>
      </w:r>
      <w:r w:rsidRPr="00024B73">
        <w:t>; esprime soddisfazione per il fatto che la Fondazione abbia eseguito il 97,7 % del proprio bilancio per il 2022; mette in evidenza la necessità di continuare a garantire risorse umane e finanziarie adeguate che permettano alla Fondazione di adempiere al suo mandato e di proseguire l'attuazione del suo programma di lavoro con un tasso di completamento delle attività molto elevato;</w:t>
      </w:r>
    </w:p>
    <w:p w:rsidR="00610D64" w:rsidRPr="00024B73" w:rsidRDefault="004D1692" w:rsidP="00610D64">
      <w:pPr>
        <w:pStyle w:val="NormalHanging12a"/>
      </w:pPr>
      <w:r w:rsidRPr="00024B73">
        <w:t>5.</w:t>
      </w:r>
      <w:r w:rsidRPr="00024B73">
        <w:tab/>
        <w:t>si compiace che, nonostante la crisi di bilancio causata dall'inflazione e dai prezzi dei servizi di pubblica utilità nel 2022, la Fondazione sia riuscita a gestire efficacemente le proprie spese, a introdurre misure di riduzione dei costi e a ridefinire le proprie priorità senza gravi perturbazioni del programma di lavoro;</w:t>
      </w:r>
    </w:p>
    <w:p w:rsidR="00A42BDC" w:rsidRPr="00024B73" w:rsidRDefault="004D1692" w:rsidP="00A42BDC">
      <w:pPr>
        <w:pStyle w:val="NormalHanging12a"/>
        <w:rPr>
          <w:szCs w:val="24"/>
        </w:rPr>
      </w:pPr>
      <w:r w:rsidRPr="00024B73">
        <w:t>6.</w:t>
      </w:r>
      <w:r w:rsidRPr="00024B73">
        <w:tab/>
        <w:t xml:space="preserve">sottolinea l'importanza del lavoro della Fondazione e del valore aggiunto che apporta </w:t>
      </w:r>
      <w:r w:rsidRPr="00024B73">
        <w:lastRenderedPageBreak/>
        <w:t>nel suo ambito di competenza; riconosce che gli obiettivi e le azioni della Fondazione sono strettamente allineati alle politiche e alle attività dell'UE in materia di istruzione e formazione professionale, sviluppo umano, competenze e migrazione; plaude alla costante cooperazione e condivisione delle risorse con altre agenzie da parte della Fondazione, in particolare con Cedefop ed Eurofound, il che consente una significativa condivisione delle conoscenze;</w:t>
      </w:r>
    </w:p>
    <w:p w:rsidR="00A42BDC" w:rsidRPr="00024B73" w:rsidRDefault="004D1692" w:rsidP="00A42BDC">
      <w:pPr>
        <w:pStyle w:val="NormalHanging12a"/>
        <w:rPr>
          <w:szCs w:val="24"/>
        </w:rPr>
      </w:pPr>
      <w:r w:rsidRPr="00024B73">
        <w:t>7.</w:t>
      </w:r>
      <w:r w:rsidRPr="00024B73">
        <w:tab/>
        <w:t>osserva con preoccupazione che la Corte ha segnalato carenze in due procedure di appalto pubblico, in particolare riguardo alla legittimità e alla regolarità delle operazioni, legate alla mancanza di solvibilità finanziaria degli offerenti proposti dalla Fondazione; invita la Fondazione a migliorare ulteriormente le sue procedure di appalto pubblico, garantendo il pieno rispetto delle norme applicabili, per garantire il conseguimento del miglior rapporto qualità/prezzo possibile, in particolare semplificandone la metodologia e discutendo, insieme ai pertinenti servizi della Commissione, possibili metodi alternativi per realizzare attività nei paesi partner della Fondazione;</w:t>
      </w:r>
    </w:p>
    <w:p w:rsidR="00A42BDC" w:rsidRPr="00024B73" w:rsidRDefault="004D1692" w:rsidP="00A42BDC">
      <w:pPr>
        <w:pStyle w:val="NormalHanging12a"/>
        <w:rPr>
          <w:szCs w:val="24"/>
        </w:rPr>
      </w:pPr>
      <w:r w:rsidRPr="00024B73">
        <w:t>8.</w:t>
      </w:r>
      <w:r w:rsidRPr="00024B73">
        <w:tab/>
        <w:t>elogia la Fondazione per aver elaborato un piano di attività volto a migliorare l'efficienza energetica e la neutralità climatica delle sue operazioni;</w:t>
      </w:r>
    </w:p>
    <w:p w:rsidR="004D1692" w:rsidRPr="00024B73" w:rsidRDefault="004D1692" w:rsidP="004D1692">
      <w:pPr>
        <w:pStyle w:val="NormalHanging12a"/>
      </w:pPr>
      <w:r w:rsidRPr="00024B73">
        <w:t>9.</w:t>
      </w:r>
      <w:r w:rsidRPr="00024B73">
        <w:tab/>
        <w:t>raccomanda, sulla base dei dati disponibili, di concedere il discarico alla direttrice della Fondazione europea per la formazione in relazione all'esecuzione del bilancio della Fondazione per l'esercizio 2022.</w:t>
      </w:r>
      <w:r w:rsidRPr="00024B73">
        <w:br w:type="page"/>
      </w:r>
    </w:p>
    <w:p w:rsidR="00497A67" w:rsidRPr="00497A67" w:rsidRDefault="00497A67" w:rsidP="00497A67">
      <w:pPr>
        <w:pStyle w:val="PageHeadingNotTOC"/>
      </w:pPr>
      <w:bookmarkStart w:id="0" w:name="ProcPageAD"/>
      <w:r w:rsidRPr="00497A67">
        <w:lastRenderedPageBreak/>
        <w:t>ALLEGATO: ENTITÀ O PERSONE</w:t>
      </w:r>
      <w:r w:rsidRPr="00497A67">
        <w:br/>
        <w:t>DA CUI LA RELATRICE PER PARERE HA RICEVUTO CONTRIBUTI</w:t>
      </w:r>
    </w:p>
    <w:p w:rsidR="00497A67" w:rsidRPr="00497A67" w:rsidRDefault="00497A67" w:rsidP="00497A67">
      <w:pPr>
        <w:pStyle w:val="Normal24a"/>
        <w:rPr>
          <w:lang w:val="it-IT"/>
        </w:rPr>
      </w:pPr>
      <w:r w:rsidRPr="00497A67">
        <w:rPr>
          <w:rStyle w:val="HideTWBExt"/>
          <w:noProof w:val="0"/>
          <w:lang w:val="it-IT"/>
        </w:rPr>
        <w:t>&lt;FootprintIntro&gt;</w:t>
      </w:r>
      <w:r w:rsidRPr="00497A67">
        <w:rPr>
          <w:lang w:val="it-IT"/>
        </w:rPr>
        <w:t>La relatrice per parere dichiara, sotto la sua esclusiva responsabilità, di non aver ricevuto alcun contributo da entità o persone da menzionare nel presente allegato in virtù dell'allegato I, articolo 8, del regolamento.</w:t>
      </w:r>
      <w:r w:rsidRPr="00497A67">
        <w:rPr>
          <w:rStyle w:val="HideTWBExt"/>
          <w:noProof w:val="0"/>
          <w:lang w:val="it-IT"/>
        </w:rPr>
        <w:t>&lt;/FootprintIntro&gt;</w:t>
      </w:r>
    </w:p>
    <w:p w:rsidR="00497A67" w:rsidRDefault="00497A67">
      <w:pPr>
        <w:widowControl/>
      </w:pPr>
      <w:r>
        <w:br w:type="page"/>
      </w:r>
    </w:p>
    <w:p w:rsidR="004D1692" w:rsidRPr="00024B73" w:rsidRDefault="004D1692" w:rsidP="004D1692">
      <w:pPr>
        <w:pStyle w:val="PageHeadingNotTOC"/>
      </w:pPr>
      <w:r w:rsidRPr="00024B73">
        <w:lastRenderedPageBreak/>
        <w:t>INFORMAZIONI SULL'APPROVAZIONE IN SEDE DI COMMISSIONE COMPETENTE PER PARERE</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4D1692" w:rsidRPr="00024B73">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D1692" w:rsidRPr="00024B73" w:rsidRDefault="004D1692">
            <w:pPr>
              <w:autoSpaceDE w:val="0"/>
              <w:autoSpaceDN w:val="0"/>
              <w:adjustRightInd w:val="0"/>
              <w:rPr>
                <w:b/>
                <w:bCs/>
                <w:color w:val="000000"/>
                <w:sz w:val="20"/>
              </w:rPr>
            </w:pPr>
            <w:r w:rsidRPr="00024B73">
              <w:rPr>
                <w:b/>
                <w:color w:val="000000"/>
                <w:sz w:val="20"/>
              </w:rPr>
              <w:t>Approvazione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4D1692" w:rsidRPr="00024B73" w:rsidRDefault="004D1692">
            <w:pPr>
              <w:autoSpaceDE w:val="0"/>
              <w:autoSpaceDN w:val="0"/>
              <w:adjustRightInd w:val="0"/>
              <w:rPr>
                <w:color w:val="000000"/>
                <w:sz w:val="20"/>
              </w:rPr>
            </w:pPr>
            <w:r w:rsidRPr="00024B73">
              <w:rPr>
                <w:color w:val="000000"/>
                <w:sz w:val="20"/>
              </w:rPr>
              <w:t>11.1.2024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4D1692" w:rsidRPr="00024B73" w:rsidRDefault="004D1692">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4D1692" w:rsidRPr="00024B73" w:rsidRDefault="004D1692">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D1692" w:rsidRPr="00024B73" w:rsidRDefault="004D1692">
            <w:pPr>
              <w:autoSpaceDE w:val="0"/>
              <w:autoSpaceDN w:val="0"/>
              <w:adjustRightInd w:val="0"/>
              <w:rPr>
                <w:rFonts w:ascii="sans-serif" w:hAnsi="sans-serif" w:cs="sans-serif"/>
                <w:color w:val="000000"/>
                <w:szCs w:val="24"/>
              </w:rPr>
            </w:pPr>
          </w:p>
        </w:tc>
      </w:tr>
      <w:tr w:rsidR="004D1692" w:rsidRPr="00024B73">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D1692" w:rsidRPr="00024B73" w:rsidRDefault="004D1692">
            <w:pPr>
              <w:autoSpaceDE w:val="0"/>
              <w:autoSpaceDN w:val="0"/>
              <w:adjustRightInd w:val="0"/>
              <w:rPr>
                <w:b/>
                <w:bCs/>
                <w:color w:val="000000"/>
                <w:sz w:val="20"/>
              </w:rPr>
            </w:pPr>
            <w:r w:rsidRPr="00024B73">
              <w:rPr>
                <w:b/>
                <w:color w:val="000000"/>
                <w:sz w:val="20"/>
              </w:rPr>
              <w:t>Esito della votazione finale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4D1692" w:rsidRPr="00024B73" w:rsidRDefault="004D1692">
            <w:pPr>
              <w:autoSpaceDE w:val="0"/>
              <w:autoSpaceDN w:val="0"/>
              <w:adjustRightInd w:val="0"/>
              <w:rPr>
                <w:color w:val="000000"/>
                <w:sz w:val="20"/>
              </w:rPr>
            </w:pPr>
            <w:r w:rsidRPr="00024B73">
              <w:rPr>
                <w:color w:val="000000"/>
                <w:sz w:val="20"/>
              </w:rPr>
              <w:t>+:</w:t>
            </w:r>
          </w:p>
          <w:p w:rsidR="004D1692" w:rsidRPr="00024B73" w:rsidRDefault="004D1692">
            <w:pPr>
              <w:autoSpaceDE w:val="0"/>
              <w:autoSpaceDN w:val="0"/>
              <w:adjustRightInd w:val="0"/>
              <w:rPr>
                <w:color w:val="000000"/>
                <w:sz w:val="20"/>
              </w:rPr>
            </w:pPr>
            <w:r w:rsidRPr="00024B73">
              <w:rPr>
                <w:color w:val="000000"/>
                <w:sz w:val="20"/>
              </w:rPr>
              <w:t>–:</w:t>
            </w:r>
          </w:p>
          <w:p w:rsidR="004D1692" w:rsidRPr="00024B73" w:rsidRDefault="004D1692">
            <w:pPr>
              <w:autoSpaceDE w:val="0"/>
              <w:autoSpaceDN w:val="0"/>
              <w:adjustRightInd w:val="0"/>
              <w:rPr>
                <w:color w:val="000000"/>
                <w:sz w:val="20"/>
              </w:rPr>
            </w:pPr>
            <w:r w:rsidRPr="00024B73">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D1692" w:rsidRPr="00024B73" w:rsidRDefault="004D1692">
            <w:pPr>
              <w:autoSpaceDE w:val="0"/>
              <w:autoSpaceDN w:val="0"/>
              <w:adjustRightInd w:val="0"/>
              <w:rPr>
                <w:color w:val="000000"/>
                <w:sz w:val="20"/>
              </w:rPr>
            </w:pPr>
            <w:r w:rsidRPr="00024B73">
              <w:rPr>
                <w:color w:val="000000"/>
                <w:sz w:val="20"/>
              </w:rPr>
              <w:t>36</w:t>
            </w:r>
          </w:p>
          <w:p w:rsidR="004D1692" w:rsidRPr="00024B73" w:rsidRDefault="004D1692">
            <w:pPr>
              <w:autoSpaceDE w:val="0"/>
              <w:autoSpaceDN w:val="0"/>
              <w:adjustRightInd w:val="0"/>
              <w:rPr>
                <w:color w:val="000000"/>
                <w:sz w:val="20"/>
              </w:rPr>
            </w:pPr>
            <w:r w:rsidRPr="00024B73">
              <w:rPr>
                <w:color w:val="000000"/>
                <w:sz w:val="20"/>
              </w:rPr>
              <w:t>1</w:t>
            </w:r>
          </w:p>
          <w:p w:rsidR="004D1692" w:rsidRPr="00024B73" w:rsidRDefault="004D1692">
            <w:pPr>
              <w:autoSpaceDE w:val="0"/>
              <w:autoSpaceDN w:val="0"/>
              <w:adjustRightInd w:val="0"/>
              <w:rPr>
                <w:color w:val="000000"/>
                <w:sz w:val="20"/>
              </w:rPr>
            </w:pPr>
            <w:r w:rsidRPr="00024B73">
              <w:rPr>
                <w:color w:val="000000"/>
                <w:sz w:val="20"/>
              </w:rPr>
              <w:t>2</w:t>
            </w:r>
          </w:p>
        </w:tc>
      </w:tr>
      <w:tr w:rsidR="004D1692" w:rsidRPr="00024B73">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D1692" w:rsidRPr="00024B73" w:rsidRDefault="004D1692">
            <w:pPr>
              <w:autoSpaceDE w:val="0"/>
              <w:autoSpaceDN w:val="0"/>
              <w:adjustRightInd w:val="0"/>
              <w:rPr>
                <w:b/>
                <w:bCs/>
                <w:color w:val="000000"/>
                <w:sz w:val="20"/>
              </w:rPr>
            </w:pPr>
            <w:r w:rsidRPr="00024B73">
              <w:rPr>
                <w:b/>
                <w:color w:val="000000"/>
                <w:sz w:val="20"/>
              </w:rPr>
              <w:t>Membri titolari presenti al momento della votazione finale</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D1692" w:rsidRPr="00024B73" w:rsidRDefault="004D1692">
            <w:pPr>
              <w:autoSpaceDE w:val="0"/>
              <w:autoSpaceDN w:val="0"/>
              <w:adjustRightInd w:val="0"/>
              <w:rPr>
                <w:color w:val="000000"/>
                <w:sz w:val="20"/>
              </w:rPr>
            </w:pPr>
            <w:r w:rsidRPr="00024B73">
              <w:rPr>
                <w:color w:val="000000"/>
                <w:sz w:val="20"/>
              </w:rPr>
              <w:t>João Albuquerque, Atidzhe</w:t>
            </w:r>
            <w:bookmarkStart w:id="1" w:name="_GoBack"/>
            <w:bookmarkEnd w:id="1"/>
            <w:r w:rsidRPr="00024B73">
              <w:rPr>
                <w:color w:val="000000"/>
                <w:sz w:val="20"/>
              </w:rPr>
              <w:t xml:space="preserve"> Alieva-Veli, Dominique Bilde, Vilija Blinkevičiūtė, Milan Brglez, Jordi Cañas, David Casa, Leila Chaibi, Ilan De Basso, Jarosław Duda, Estrella Durá Ferrandis, Lucia Ďuriš Nicholsonová, Cindy Franssen, Chiara Gemma, Helmut Geuking, Elisabetta Gualmini, Agnes Jongerius, Radan Kanev, Ádám Kósa, Katrin Langensiepen, Elena Lizzi, Sara Matthieu, Jozef Mihál, Max Orville, Dennis Radtke, Antonio Maria Rinaldi, Mounir Satouri, Monica Semedo, Eugen Tomac, Romana Tomc, Nikolaj Villumsen, Maria Walsh</w:t>
            </w:r>
          </w:p>
        </w:tc>
      </w:tr>
      <w:tr w:rsidR="004D1692" w:rsidRPr="00024B73">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4D1692" w:rsidRPr="00024B73" w:rsidRDefault="004D1692">
            <w:pPr>
              <w:autoSpaceDE w:val="0"/>
              <w:autoSpaceDN w:val="0"/>
              <w:adjustRightInd w:val="0"/>
              <w:rPr>
                <w:b/>
                <w:bCs/>
                <w:color w:val="000000"/>
                <w:sz w:val="20"/>
              </w:rPr>
            </w:pPr>
            <w:r w:rsidRPr="00024B73">
              <w:rPr>
                <w:b/>
                <w:color w:val="000000"/>
                <w:sz w:val="20"/>
              </w:rPr>
              <w:t>Supplenti presenti al momento della votazione finale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4D1692" w:rsidRPr="00024B73" w:rsidRDefault="004D1692">
            <w:pPr>
              <w:autoSpaceDE w:val="0"/>
              <w:autoSpaceDN w:val="0"/>
              <w:adjustRightInd w:val="0"/>
              <w:rPr>
                <w:color w:val="000000"/>
                <w:sz w:val="20"/>
              </w:rPr>
            </w:pPr>
            <w:r w:rsidRPr="00024B73">
              <w:rPr>
                <w:color w:val="000000"/>
                <w:sz w:val="20"/>
              </w:rPr>
              <w:t>Catherine Amalric, Romeo Franz, Lina Gálvez Muñoz, José Gusmão</w:t>
            </w:r>
          </w:p>
        </w:tc>
      </w:tr>
      <w:tr w:rsidR="004D1692" w:rsidRPr="00024B73">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4D1692" w:rsidRPr="00024B73" w:rsidRDefault="004D1692">
            <w:pPr>
              <w:autoSpaceDE w:val="0"/>
              <w:autoSpaceDN w:val="0"/>
              <w:adjustRightInd w:val="0"/>
              <w:rPr>
                <w:b/>
                <w:bCs/>
                <w:color w:val="000000"/>
                <w:sz w:val="20"/>
              </w:rPr>
            </w:pPr>
            <w:r w:rsidRPr="00024B73">
              <w:rPr>
                <w:b/>
                <w:color w:val="000000"/>
                <w:sz w:val="20"/>
              </w:rPr>
              <w:t>Supplenti (art. 209, par. 7) presenti al momento della votazione finale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4D1692" w:rsidRPr="00024B73" w:rsidRDefault="004D1692">
            <w:pPr>
              <w:autoSpaceDE w:val="0"/>
              <w:autoSpaceDN w:val="0"/>
              <w:adjustRightInd w:val="0"/>
              <w:rPr>
                <w:color w:val="000000"/>
                <w:sz w:val="20"/>
              </w:rPr>
            </w:pPr>
            <w:r w:rsidRPr="00024B73">
              <w:rPr>
                <w:color w:val="000000"/>
                <w:sz w:val="20"/>
              </w:rPr>
              <w:t>Maria Noichl, Carina Ohlsson, Vera Tax</w:t>
            </w:r>
          </w:p>
        </w:tc>
      </w:tr>
    </w:tbl>
    <w:p w:rsidR="004D1692" w:rsidRPr="00024B73" w:rsidRDefault="004D1692" w:rsidP="004D1692"/>
    <w:bookmarkEnd w:id="0"/>
    <w:p w:rsidR="00497A67" w:rsidRDefault="00497A67" w:rsidP="004D1692">
      <w:pPr>
        <w:sectPr w:rsidR="00497A67" w:rsidSect="00497A67">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rsidR="004D1692" w:rsidRPr="00024B73" w:rsidRDefault="004D1692" w:rsidP="00C36610">
      <w:pPr>
        <w:pStyle w:val="PageHeadingNotTOC"/>
      </w:pPr>
      <w:bookmarkStart w:id="2" w:name="RollCallPageAD"/>
      <w:r w:rsidRPr="00024B73">
        <w:lastRenderedPageBreak/>
        <w:t>VOTAZIONE FINALE PER APPELLO NOMINALE IN SEDE DI COMMISSIONE COMPETENTE PER PARERE</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4D1692" w:rsidRPr="00024B73" w:rsidTr="008920AC">
        <w:trPr>
          <w:cantSplit/>
        </w:trPr>
        <w:tc>
          <w:tcPr>
            <w:tcW w:w="1701" w:type="dxa"/>
            <w:shd w:val="pct10" w:color="000000" w:fill="FFFFFF"/>
            <w:vAlign w:val="center"/>
          </w:tcPr>
          <w:p w:rsidR="004D1692" w:rsidRPr="00024B73" w:rsidRDefault="004D1692" w:rsidP="003858C5">
            <w:pPr>
              <w:pStyle w:val="RollCallVotes"/>
            </w:pPr>
            <w:r w:rsidRPr="00024B73">
              <w:t>36</w:t>
            </w:r>
          </w:p>
        </w:tc>
        <w:tc>
          <w:tcPr>
            <w:tcW w:w="7371" w:type="dxa"/>
            <w:shd w:val="pct10" w:color="000000" w:fill="FFFFFF"/>
          </w:tcPr>
          <w:p w:rsidR="004D1692" w:rsidRPr="00024B73" w:rsidRDefault="004D1692" w:rsidP="003858C5">
            <w:pPr>
              <w:pStyle w:val="RollCallSymbols14pt"/>
            </w:pPr>
            <w:r w:rsidRPr="00024B73">
              <w:t>+</w:t>
            </w:r>
          </w:p>
        </w:tc>
      </w:tr>
      <w:tr w:rsidR="004D1692" w:rsidRPr="00024B73" w:rsidTr="008920AC">
        <w:trPr>
          <w:cantSplit/>
        </w:trPr>
        <w:tc>
          <w:tcPr>
            <w:tcW w:w="1701" w:type="dxa"/>
            <w:shd w:val="clear" w:color="auto" w:fill="FFFFFF"/>
          </w:tcPr>
          <w:p w:rsidR="004D1692" w:rsidRPr="00024B73" w:rsidRDefault="004D1692" w:rsidP="003858C5">
            <w:pPr>
              <w:pStyle w:val="RollCallTable"/>
            </w:pPr>
            <w:r w:rsidRPr="00024B73">
              <w:t>ECR</w:t>
            </w:r>
          </w:p>
        </w:tc>
        <w:tc>
          <w:tcPr>
            <w:tcW w:w="7371" w:type="dxa"/>
            <w:shd w:val="clear" w:color="auto" w:fill="FFFFFF"/>
          </w:tcPr>
          <w:p w:rsidR="004D1692" w:rsidRPr="00024B73" w:rsidRDefault="004D1692" w:rsidP="003858C5">
            <w:pPr>
              <w:pStyle w:val="RollCallTable"/>
            </w:pPr>
            <w:r w:rsidRPr="00024B73">
              <w:t>Chiara Gemma</w:t>
            </w:r>
          </w:p>
        </w:tc>
      </w:tr>
      <w:tr w:rsidR="004D1692" w:rsidRPr="00024B73" w:rsidTr="008920AC">
        <w:trPr>
          <w:cantSplit/>
        </w:trPr>
        <w:tc>
          <w:tcPr>
            <w:tcW w:w="1701" w:type="dxa"/>
            <w:shd w:val="clear" w:color="auto" w:fill="FFFFFF"/>
          </w:tcPr>
          <w:p w:rsidR="004D1692" w:rsidRPr="00024B73" w:rsidRDefault="004D1692" w:rsidP="003858C5">
            <w:pPr>
              <w:pStyle w:val="RollCallTable"/>
            </w:pPr>
            <w:r w:rsidRPr="00024B73">
              <w:t>NI</w:t>
            </w:r>
          </w:p>
        </w:tc>
        <w:tc>
          <w:tcPr>
            <w:tcW w:w="7371" w:type="dxa"/>
            <w:shd w:val="clear" w:color="auto" w:fill="FFFFFF"/>
          </w:tcPr>
          <w:p w:rsidR="004D1692" w:rsidRPr="00024B73" w:rsidRDefault="004D1692" w:rsidP="003858C5">
            <w:pPr>
              <w:pStyle w:val="RollCallTable"/>
            </w:pPr>
            <w:r w:rsidRPr="00024B73">
              <w:t>Ádám Kósa</w:t>
            </w:r>
          </w:p>
        </w:tc>
      </w:tr>
      <w:tr w:rsidR="004D1692" w:rsidRPr="00024B73" w:rsidTr="008920AC">
        <w:trPr>
          <w:cantSplit/>
        </w:trPr>
        <w:tc>
          <w:tcPr>
            <w:tcW w:w="1701" w:type="dxa"/>
            <w:shd w:val="clear" w:color="auto" w:fill="FFFFFF"/>
          </w:tcPr>
          <w:p w:rsidR="004D1692" w:rsidRPr="00024B73" w:rsidRDefault="004D1692" w:rsidP="003858C5">
            <w:pPr>
              <w:pStyle w:val="RollCallTable"/>
            </w:pPr>
            <w:r w:rsidRPr="00024B73">
              <w:t>PPE</w:t>
            </w:r>
          </w:p>
        </w:tc>
        <w:tc>
          <w:tcPr>
            <w:tcW w:w="7371" w:type="dxa"/>
            <w:shd w:val="clear" w:color="auto" w:fill="FFFFFF"/>
          </w:tcPr>
          <w:p w:rsidR="004D1692" w:rsidRPr="00024B73" w:rsidRDefault="004D1692" w:rsidP="003858C5">
            <w:pPr>
              <w:pStyle w:val="RollCallTable"/>
            </w:pPr>
            <w:r w:rsidRPr="00024B73">
              <w:t>David Casa, Jarosław Duda, Cindy Franssen, Helmut Geuking, Radan Kanev, Dennis Radtke, Eugen Tomac, Romana Tomc, Maria Walsh</w:t>
            </w:r>
          </w:p>
        </w:tc>
      </w:tr>
      <w:tr w:rsidR="004D1692" w:rsidRPr="00024B73" w:rsidTr="008920AC">
        <w:trPr>
          <w:cantSplit/>
        </w:trPr>
        <w:tc>
          <w:tcPr>
            <w:tcW w:w="1701" w:type="dxa"/>
            <w:shd w:val="clear" w:color="auto" w:fill="FFFFFF"/>
          </w:tcPr>
          <w:p w:rsidR="004D1692" w:rsidRPr="00024B73" w:rsidRDefault="004D1692" w:rsidP="003858C5">
            <w:pPr>
              <w:pStyle w:val="RollCallTable"/>
            </w:pPr>
            <w:r w:rsidRPr="00024B73">
              <w:t>Renew</w:t>
            </w:r>
          </w:p>
        </w:tc>
        <w:tc>
          <w:tcPr>
            <w:tcW w:w="7371" w:type="dxa"/>
            <w:shd w:val="clear" w:color="auto" w:fill="FFFFFF"/>
          </w:tcPr>
          <w:p w:rsidR="004D1692" w:rsidRPr="00024B73" w:rsidRDefault="004D1692" w:rsidP="003858C5">
            <w:pPr>
              <w:pStyle w:val="RollCallTable"/>
            </w:pPr>
            <w:r w:rsidRPr="00024B73">
              <w:t>Atidzhe Alieva-Veli, Catherine Amalric, Jordi Cañas, Lucia Ďuriš Nicholsonová, Jozef Mihál, Max Orville, Monica Semedo</w:t>
            </w:r>
          </w:p>
        </w:tc>
      </w:tr>
      <w:tr w:rsidR="004D1692" w:rsidRPr="00024B73" w:rsidTr="008920AC">
        <w:trPr>
          <w:cantSplit/>
        </w:trPr>
        <w:tc>
          <w:tcPr>
            <w:tcW w:w="1701" w:type="dxa"/>
            <w:shd w:val="clear" w:color="auto" w:fill="FFFFFF"/>
          </w:tcPr>
          <w:p w:rsidR="004D1692" w:rsidRPr="00024B73" w:rsidRDefault="004D1692" w:rsidP="003858C5">
            <w:pPr>
              <w:pStyle w:val="RollCallTable"/>
            </w:pPr>
            <w:r w:rsidRPr="00024B73">
              <w:t>S&amp;D</w:t>
            </w:r>
          </w:p>
        </w:tc>
        <w:tc>
          <w:tcPr>
            <w:tcW w:w="7371" w:type="dxa"/>
            <w:shd w:val="clear" w:color="auto" w:fill="FFFFFF"/>
          </w:tcPr>
          <w:p w:rsidR="004D1692" w:rsidRPr="00024B73" w:rsidRDefault="004D1692" w:rsidP="003858C5">
            <w:pPr>
              <w:pStyle w:val="RollCallTable"/>
            </w:pPr>
            <w:r w:rsidRPr="00024B73">
              <w:t>João Albuquerque, Vilija Blinkevičiūtė, Milan Brglez, Ilan De Basso, Estrella Durá Ferrandis, Lina Gálvez Muñoz, Elisabetta Gualmini, Agnes Jongerius, Maria Noichl, Carina Ohlsson, Vera Tax</w:t>
            </w:r>
          </w:p>
        </w:tc>
      </w:tr>
      <w:tr w:rsidR="004D1692" w:rsidRPr="00024B73" w:rsidTr="008920AC">
        <w:trPr>
          <w:cantSplit/>
        </w:trPr>
        <w:tc>
          <w:tcPr>
            <w:tcW w:w="1701" w:type="dxa"/>
            <w:shd w:val="clear" w:color="auto" w:fill="FFFFFF"/>
          </w:tcPr>
          <w:p w:rsidR="004D1692" w:rsidRPr="00024B73" w:rsidRDefault="004D1692" w:rsidP="003858C5">
            <w:pPr>
              <w:pStyle w:val="RollCallTable"/>
            </w:pPr>
            <w:r w:rsidRPr="00024B73">
              <w:t>The Left</w:t>
            </w:r>
          </w:p>
        </w:tc>
        <w:tc>
          <w:tcPr>
            <w:tcW w:w="7371" w:type="dxa"/>
            <w:shd w:val="clear" w:color="auto" w:fill="FFFFFF"/>
          </w:tcPr>
          <w:p w:rsidR="004D1692" w:rsidRPr="00024B73" w:rsidRDefault="004D1692" w:rsidP="003858C5">
            <w:pPr>
              <w:pStyle w:val="RollCallTable"/>
            </w:pPr>
            <w:r w:rsidRPr="00024B73">
              <w:t>Leila Chaibi, José Gusmão, Nikolaj Villumsen</w:t>
            </w:r>
          </w:p>
        </w:tc>
      </w:tr>
      <w:tr w:rsidR="004D1692" w:rsidRPr="00024B73" w:rsidTr="008920AC">
        <w:trPr>
          <w:cantSplit/>
        </w:trPr>
        <w:tc>
          <w:tcPr>
            <w:tcW w:w="1701" w:type="dxa"/>
            <w:shd w:val="clear" w:color="auto" w:fill="FFFFFF"/>
          </w:tcPr>
          <w:p w:rsidR="004D1692" w:rsidRPr="00024B73" w:rsidRDefault="004D1692" w:rsidP="003858C5">
            <w:pPr>
              <w:pStyle w:val="RollCallTable"/>
            </w:pPr>
            <w:r w:rsidRPr="00024B73">
              <w:t>Verts/ALE</w:t>
            </w:r>
          </w:p>
        </w:tc>
        <w:tc>
          <w:tcPr>
            <w:tcW w:w="7371" w:type="dxa"/>
            <w:shd w:val="clear" w:color="auto" w:fill="FFFFFF"/>
          </w:tcPr>
          <w:p w:rsidR="004D1692" w:rsidRPr="00024B73" w:rsidRDefault="004D1692" w:rsidP="003858C5">
            <w:pPr>
              <w:pStyle w:val="RollCallTable"/>
            </w:pPr>
            <w:r w:rsidRPr="00024B73">
              <w:t>Romeo Franz, Katrin Langensiepen, Sara Matthieu, Mounir Satouri</w:t>
            </w:r>
          </w:p>
        </w:tc>
      </w:tr>
    </w:tbl>
    <w:p w:rsidR="004D1692" w:rsidRPr="00024B73" w:rsidRDefault="004D1692"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4D1692" w:rsidRPr="00024B73" w:rsidTr="008920AC">
        <w:trPr>
          <w:cantSplit/>
        </w:trPr>
        <w:tc>
          <w:tcPr>
            <w:tcW w:w="1701" w:type="dxa"/>
            <w:shd w:val="pct10" w:color="000000" w:fill="FFFFFF"/>
            <w:vAlign w:val="center"/>
          </w:tcPr>
          <w:p w:rsidR="004D1692" w:rsidRPr="00024B73" w:rsidRDefault="004D1692" w:rsidP="003858C5">
            <w:pPr>
              <w:pStyle w:val="RollCallVotes"/>
            </w:pPr>
            <w:r w:rsidRPr="00024B73">
              <w:t>1</w:t>
            </w:r>
          </w:p>
        </w:tc>
        <w:tc>
          <w:tcPr>
            <w:tcW w:w="7371" w:type="dxa"/>
            <w:shd w:val="pct10" w:color="000000" w:fill="FFFFFF"/>
          </w:tcPr>
          <w:p w:rsidR="004D1692" w:rsidRPr="00024B73" w:rsidRDefault="004D1692" w:rsidP="003858C5">
            <w:pPr>
              <w:pStyle w:val="RollCallSymbols14pt"/>
            </w:pPr>
            <w:r w:rsidRPr="00024B73">
              <w:t>-</w:t>
            </w:r>
          </w:p>
        </w:tc>
      </w:tr>
      <w:tr w:rsidR="004D1692" w:rsidRPr="00024B73" w:rsidTr="008920AC">
        <w:trPr>
          <w:cantSplit/>
        </w:trPr>
        <w:tc>
          <w:tcPr>
            <w:tcW w:w="1701" w:type="dxa"/>
            <w:shd w:val="clear" w:color="auto" w:fill="FFFFFF"/>
          </w:tcPr>
          <w:p w:rsidR="004D1692" w:rsidRPr="00024B73" w:rsidRDefault="004D1692" w:rsidP="003858C5">
            <w:pPr>
              <w:pStyle w:val="RollCallTable"/>
            </w:pPr>
            <w:r w:rsidRPr="00024B73">
              <w:t>ID</w:t>
            </w:r>
          </w:p>
        </w:tc>
        <w:tc>
          <w:tcPr>
            <w:tcW w:w="7371" w:type="dxa"/>
            <w:shd w:val="clear" w:color="auto" w:fill="FFFFFF"/>
          </w:tcPr>
          <w:p w:rsidR="004D1692" w:rsidRPr="00024B73" w:rsidRDefault="004D1692" w:rsidP="003858C5">
            <w:pPr>
              <w:pStyle w:val="RollCallTable"/>
            </w:pPr>
            <w:r w:rsidRPr="00024B73">
              <w:t>Dominique Bilde</w:t>
            </w:r>
          </w:p>
        </w:tc>
      </w:tr>
    </w:tbl>
    <w:p w:rsidR="004D1692" w:rsidRPr="00024B73" w:rsidRDefault="004D1692"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4D1692" w:rsidRPr="00024B73" w:rsidTr="008920AC">
        <w:trPr>
          <w:cantSplit/>
        </w:trPr>
        <w:tc>
          <w:tcPr>
            <w:tcW w:w="1701" w:type="dxa"/>
            <w:shd w:val="pct10" w:color="000000" w:fill="FFFFFF"/>
            <w:vAlign w:val="center"/>
          </w:tcPr>
          <w:p w:rsidR="004D1692" w:rsidRPr="00024B73" w:rsidRDefault="004D1692" w:rsidP="003858C5">
            <w:pPr>
              <w:pStyle w:val="RollCallVotes"/>
            </w:pPr>
            <w:r w:rsidRPr="00024B73">
              <w:t>2</w:t>
            </w:r>
          </w:p>
        </w:tc>
        <w:tc>
          <w:tcPr>
            <w:tcW w:w="7371" w:type="dxa"/>
            <w:shd w:val="pct10" w:color="000000" w:fill="FFFFFF"/>
          </w:tcPr>
          <w:p w:rsidR="004D1692" w:rsidRPr="00024B73" w:rsidRDefault="004D1692" w:rsidP="003858C5">
            <w:pPr>
              <w:pStyle w:val="RollCallSymbols14pt"/>
            </w:pPr>
            <w:r w:rsidRPr="00024B73">
              <w:t>0</w:t>
            </w:r>
          </w:p>
        </w:tc>
      </w:tr>
      <w:tr w:rsidR="004D1692" w:rsidRPr="00024B73" w:rsidTr="008920AC">
        <w:trPr>
          <w:cantSplit/>
        </w:trPr>
        <w:tc>
          <w:tcPr>
            <w:tcW w:w="1701" w:type="dxa"/>
            <w:shd w:val="clear" w:color="auto" w:fill="FFFFFF"/>
          </w:tcPr>
          <w:p w:rsidR="004D1692" w:rsidRPr="00024B73" w:rsidRDefault="004D1692" w:rsidP="003858C5">
            <w:pPr>
              <w:pStyle w:val="RollCallTable"/>
            </w:pPr>
            <w:r w:rsidRPr="00024B73">
              <w:t>ID</w:t>
            </w:r>
          </w:p>
        </w:tc>
        <w:tc>
          <w:tcPr>
            <w:tcW w:w="7371" w:type="dxa"/>
            <w:shd w:val="clear" w:color="auto" w:fill="FFFFFF"/>
          </w:tcPr>
          <w:p w:rsidR="004D1692" w:rsidRPr="00024B73" w:rsidRDefault="004D1692" w:rsidP="003858C5">
            <w:pPr>
              <w:pStyle w:val="RollCallTable"/>
            </w:pPr>
            <w:r w:rsidRPr="00024B73">
              <w:t>Elena Lizzi, Antonio Maria Rinaldi</w:t>
            </w:r>
          </w:p>
        </w:tc>
      </w:tr>
    </w:tbl>
    <w:p w:rsidR="004D1692" w:rsidRPr="00024B73" w:rsidRDefault="004D1692" w:rsidP="00147FBF">
      <w:pPr>
        <w:pStyle w:val="Normal12a"/>
      </w:pPr>
    </w:p>
    <w:p w:rsidR="004D1692" w:rsidRPr="00024B73" w:rsidRDefault="004D1692" w:rsidP="00B735E3">
      <w:r w:rsidRPr="00024B73">
        <w:t>Significato dei simboli utilizzati:</w:t>
      </w:r>
    </w:p>
    <w:p w:rsidR="004D1692" w:rsidRPr="00024B73" w:rsidRDefault="004D1692" w:rsidP="003858C5">
      <w:pPr>
        <w:pStyle w:val="RollCallTabs"/>
      </w:pPr>
      <w:r w:rsidRPr="00024B73">
        <w:t>+</w:t>
      </w:r>
      <w:r w:rsidRPr="00024B73">
        <w:tab/>
        <w:t>:</w:t>
      </w:r>
      <w:r w:rsidRPr="00024B73">
        <w:tab/>
        <w:t>favorevoli</w:t>
      </w:r>
    </w:p>
    <w:p w:rsidR="004D1692" w:rsidRPr="00024B73" w:rsidRDefault="004D1692" w:rsidP="003858C5">
      <w:pPr>
        <w:pStyle w:val="RollCallTabs"/>
      </w:pPr>
      <w:r w:rsidRPr="00024B73">
        <w:t>-</w:t>
      </w:r>
      <w:r w:rsidRPr="00024B73">
        <w:tab/>
        <w:t>:</w:t>
      </w:r>
      <w:r w:rsidRPr="00024B73">
        <w:tab/>
        <w:t>contrari</w:t>
      </w:r>
    </w:p>
    <w:p w:rsidR="004D1692" w:rsidRPr="00024B73" w:rsidRDefault="004D1692" w:rsidP="003858C5">
      <w:pPr>
        <w:pStyle w:val="RollCallTabs"/>
      </w:pPr>
      <w:r w:rsidRPr="00024B73">
        <w:t>0</w:t>
      </w:r>
      <w:r w:rsidRPr="00024B73">
        <w:tab/>
        <w:t>:</w:t>
      </w:r>
      <w:r w:rsidRPr="00024B73">
        <w:tab/>
        <w:t>astenuti</w:t>
      </w:r>
    </w:p>
    <w:p w:rsidR="004D1692" w:rsidRPr="00024B73" w:rsidRDefault="004D1692" w:rsidP="00207509"/>
    <w:bookmarkEnd w:id="2"/>
    <w:p w:rsidR="004D1692" w:rsidRPr="00024B73" w:rsidRDefault="004D1692" w:rsidP="004D1692"/>
    <w:sectPr w:rsidR="004D1692" w:rsidRPr="00024B73" w:rsidSect="00497A6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E4B4A" w:rsidRPr="00024B73" w:rsidRDefault="008E4B4A">
      <w:r w:rsidRPr="00024B73">
        <w:separator/>
      </w:r>
    </w:p>
  </w:endnote>
  <w:endnote w:type="continuationSeparator" w:id="0">
    <w:p w:rsidR="008E4B4A" w:rsidRPr="00024B73" w:rsidRDefault="008E4B4A">
      <w:r w:rsidRPr="00024B7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3E5E" w:rsidRPr="00024B73" w:rsidRDefault="002C3E5E" w:rsidP="002C3E5E">
    <w:pPr>
      <w:pStyle w:val="EPFooter"/>
    </w:pPr>
    <w:r w:rsidRPr="00024B73">
      <w:t>PE</w:t>
    </w:r>
    <w:r w:rsidRPr="00497A67">
      <w:rPr>
        <w:rStyle w:val="HideTWBExt"/>
      </w:rPr>
      <w:t>&lt;NoPE&gt;</w:t>
    </w:r>
    <w:r w:rsidRPr="00024B73">
      <w:t>752.903</w:t>
    </w:r>
    <w:r w:rsidRPr="00497A67">
      <w:rPr>
        <w:rStyle w:val="HideTWBExt"/>
      </w:rPr>
      <w:t>&lt;/NoPE&gt;&lt;Version&gt;</w:t>
    </w:r>
    <w:r w:rsidRPr="00024B73">
      <w:t>v04-00</w:t>
    </w:r>
    <w:r w:rsidRPr="00497A67">
      <w:rPr>
        <w:rStyle w:val="HideTWBExt"/>
      </w:rPr>
      <w:t>&lt;/Version&gt;</w:t>
    </w:r>
    <w:r w:rsidRPr="00024B73">
      <w:tab/>
    </w:r>
    <w:r w:rsidRPr="00024B73">
      <w:fldChar w:fldCharType="begin"/>
    </w:r>
    <w:r w:rsidRPr="00024B73">
      <w:instrText xml:space="preserve"> PAGE  \* MERGEFORMAT </w:instrText>
    </w:r>
    <w:r w:rsidRPr="00024B73">
      <w:fldChar w:fldCharType="separate"/>
    </w:r>
    <w:r w:rsidR="00497A67">
      <w:rPr>
        <w:noProof/>
      </w:rPr>
      <w:t>6</w:t>
    </w:r>
    <w:r w:rsidRPr="00024B73">
      <w:fldChar w:fldCharType="end"/>
    </w:r>
    <w:r w:rsidRPr="00024B73">
      <w:t>/</w:t>
    </w:r>
    <w:fldSimple w:instr=" NUMPAGES  \* MERGEFORMAT ">
      <w:r w:rsidR="00497A67">
        <w:rPr>
          <w:noProof/>
        </w:rPr>
        <w:t>7</w:t>
      </w:r>
    </w:fldSimple>
    <w:r w:rsidRPr="00024B73">
      <w:tab/>
    </w:r>
    <w:r w:rsidRPr="00497A67">
      <w:rPr>
        <w:rStyle w:val="HideTWBExt"/>
      </w:rPr>
      <w:t>&lt;PathFdR&gt;</w:t>
    </w:r>
    <w:r w:rsidRPr="00024B73">
      <w:t>AD\1296088IT.docx</w:t>
    </w:r>
    <w:r w:rsidRPr="00497A67">
      <w:rPr>
        <w:rStyle w:val="HideTWBExt"/>
      </w:rPr>
      <w:t>&lt;/PathFdR&gt;</w:t>
    </w:r>
  </w:p>
  <w:p w:rsidR="002E2F2E" w:rsidRPr="00024B73" w:rsidRDefault="002C3E5E" w:rsidP="002C3E5E">
    <w:pPr>
      <w:pStyle w:val="EPFooter2"/>
    </w:pPr>
    <w:r w:rsidRPr="00024B73">
      <w:t>IT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3E5E" w:rsidRPr="00024B73" w:rsidRDefault="002C3E5E" w:rsidP="002C3E5E">
    <w:pPr>
      <w:pStyle w:val="EPFooter"/>
    </w:pPr>
    <w:r w:rsidRPr="00497A67">
      <w:rPr>
        <w:rStyle w:val="HideTWBExt"/>
      </w:rPr>
      <w:t>&lt;PathFdR&gt;</w:t>
    </w:r>
    <w:r w:rsidRPr="00024B73">
      <w:t>AD\1296088IT.docx</w:t>
    </w:r>
    <w:r w:rsidRPr="00497A67">
      <w:rPr>
        <w:rStyle w:val="HideTWBExt"/>
      </w:rPr>
      <w:t>&lt;/PathFdR&gt;</w:t>
    </w:r>
    <w:r w:rsidRPr="00024B73">
      <w:tab/>
    </w:r>
    <w:r w:rsidRPr="00024B73">
      <w:fldChar w:fldCharType="begin"/>
    </w:r>
    <w:r w:rsidRPr="00024B73">
      <w:instrText xml:space="preserve"> PAGE  \* MERGEFORMAT </w:instrText>
    </w:r>
    <w:r w:rsidRPr="00024B73">
      <w:fldChar w:fldCharType="separate"/>
    </w:r>
    <w:r w:rsidR="00497A67">
      <w:rPr>
        <w:noProof/>
      </w:rPr>
      <w:t>5</w:t>
    </w:r>
    <w:r w:rsidRPr="00024B73">
      <w:fldChar w:fldCharType="end"/>
    </w:r>
    <w:r w:rsidRPr="00024B73">
      <w:t>/</w:t>
    </w:r>
    <w:fldSimple w:instr=" NUMPAGES  \* MERGEFORMAT ">
      <w:r w:rsidR="00497A67">
        <w:rPr>
          <w:noProof/>
        </w:rPr>
        <w:t>7</w:t>
      </w:r>
    </w:fldSimple>
    <w:r w:rsidRPr="00024B73">
      <w:tab/>
      <w:t>PE</w:t>
    </w:r>
    <w:r w:rsidRPr="00497A67">
      <w:rPr>
        <w:rStyle w:val="HideTWBExt"/>
      </w:rPr>
      <w:t>&lt;NoPE&gt;</w:t>
    </w:r>
    <w:r w:rsidRPr="00024B73">
      <w:t>752.903</w:t>
    </w:r>
    <w:r w:rsidRPr="00497A67">
      <w:rPr>
        <w:rStyle w:val="HideTWBExt"/>
      </w:rPr>
      <w:t>&lt;/NoPE&gt;&lt;Version&gt;</w:t>
    </w:r>
    <w:r w:rsidRPr="00024B73">
      <w:t>v04-00</w:t>
    </w:r>
    <w:r w:rsidRPr="00497A67">
      <w:rPr>
        <w:rStyle w:val="HideTWBExt"/>
      </w:rPr>
      <w:t>&lt;/Version&gt;</w:t>
    </w:r>
  </w:p>
  <w:p w:rsidR="002E2F2E" w:rsidRPr="00024B73" w:rsidRDefault="002C3E5E" w:rsidP="002C3E5E">
    <w:pPr>
      <w:pStyle w:val="EPFooter2"/>
    </w:pPr>
    <w:r w:rsidRPr="00024B73">
      <w:tab/>
    </w:r>
    <w:r w:rsidRPr="00024B73">
      <w:tab/>
      <w:t>IT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3E5E" w:rsidRPr="00024B73" w:rsidRDefault="002C3E5E" w:rsidP="002C3E5E">
    <w:pPr>
      <w:pStyle w:val="EPFooter"/>
    </w:pPr>
    <w:r w:rsidRPr="00497A67">
      <w:rPr>
        <w:rStyle w:val="HideTWBExt"/>
      </w:rPr>
      <w:t>&lt;PathFdR&gt;</w:t>
    </w:r>
    <w:r w:rsidRPr="00024B73">
      <w:t>AD\1296088IT.docx</w:t>
    </w:r>
    <w:r w:rsidRPr="00497A67">
      <w:rPr>
        <w:rStyle w:val="HideTWBExt"/>
      </w:rPr>
      <w:t>&lt;/PathFdR&gt;</w:t>
    </w:r>
    <w:r w:rsidRPr="00024B73">
      <w:tab/>
    </w:r>
    <w:r w:rsidRPr="00024B73">
      <w:tab/>
      <w:t>PE</w:t>
    </w:r>
    <w:r w:rsidRPr="00497A67">
      <w:rPr>
        <w:rStyle w:val="HideTWBExt"/>
      </w:rPr>
      <w:t>&lt;NoPE&gt;</w:t>
    </w:r>
    <w:r w:rsidRPr="00024B73">
      <w:t>752.903</w:t>
    </w:r>
    <w:r w:rsidRPr="00497A67">
      <w:rPr>
        <w:rStyle w:val="HideTWBExt"/>
      </w:rPr>
      <w:t>&lt;/NoPE&gt;&lt;Version&gt;</w:t>
    </w:r>
    <w:r w:rsidRPr="00024B73">
      <w:t>v04-00</w:t>
    </w:r>
    <w:r w:rsidRPr="00497A67">
      <w:rPr>
        <w:rStyle w:val="HideTWBExt"/>
      </w:rPr>
      <w:t>&lt;/Version&gt;</w:t>
    </w:r>
  </w:p>
  <w:p w:rsidR="002E2F2E" w:rsidRPr="00024B73" w:rsidRDefault="002C3E5E" w:rsidP="002C3E5E">
    <w:pPr>
      <w:pStyle w:val="EPFooter2"/>
    </w:pPr>
    <w:r w:rsidRPr="00024B73">
      <w:t>IT</w:t>
    </w:r>
    <w:r w:rsidRPr="00024B73">
      <w:tab/>
    </w:r>
    <w:r w:rsidRPr="00024B73">
      <w:rPr>
        <w:b w:val="0"/>
        <w:i/>
        <w:color w:val="C0C0C0"/>
        <w:sz w:val="22"/>
      </w:rPr>
      <w:t>Unita nella diversità</w:t>
    </w:r>
    <w:r w:rsidRPr="00024B73">
      <w:tab/>
      <w:t>IT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E4B4A" w:rsidRPr="00024B73" w:rsidRDefault="008E4B4A">
      <w:r w:rsidRPr="00024B73">
        <w:separator/>
      </w:r>
    </w:p>
  </w:footnote>
  <w:footnote w:type="continuationSeparator" w:id="0">
    <w:p w:rsidR="008E4B4A" w:rsidRPr="00024B73" w:rsidRDefault="008E4B4A">
      <w:r w:rsidRPr="00024B73">
        <w:continuationSeparator/>
      </w:r>
    </w:p>
  </w:footnote>
  <w:footnote w:id="1">
    <w:p w:rsidR="00A42BDC" w:rsidRPr="00024B73" w:rsidRDefault="00A42BDC" w:rsidP="00A42BDC">
      <w:pPr>
        <w:pStyle w:val="FootnoteText"/>
      </w:pPr>
      <w:r w:rsidRPr="00024B73">
        <w:rPr>
          <w:rStyle w:val="FootnoteReference"/>
        </w:rPr>
        <w:footnoteRef/>
      </w:r>
      <w:r w:rsidRPr="00024B73">
        <w:t xml:space="preserve"> I dati di bilancio sono tratti dalla relazione annuale della Corte dei conti europea sulle agenzie dell'UE per l'esercizio finanziario 2022 e si basano sul totale degli stanziamenti di pagamento disponibili durante l'esercizio.</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7A67" w:rsidRDefault="00497A6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7A67" w:rsidRDefault="00497A6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7A67" w:rsidRDefault="00497A6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4577"/>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DOCDECMNU" w:val=" 1"/>
    <w:docVar w:name="AUTHORMFMNU" w:val=" 2"/>
    <w:docVar w:name="CJMNU" w:val="1"/>
    <w:docVar w:name="CODEMNU" w:val=" 7"/>
    <w:docVar w:name="COM2KEY" w:val="CONT"/>
    <w:docVar w:name="COMKEY" w:val="EMPL"/>
    <w:docVar w:name="CONTRIBUTIONMNU" w:val=" 2"/>
    <w:docVar w:name="FONCTIONMNU" w:val=" 2"/>
    <w:docVar w:name="LastEditedSection"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9\fbidi \froman\fcharset238\fprq2 Times New Roman CE;}{\f330\fbidi \froman\fcharset204\fprq2 Times New Roman Cyr;}_x000d__x000a_{\f332\fbidi \froman\fcharset161\fprq2 Times New Roman Greek;}{\f333\fbidi \froman\fcharset162\fprq2 Times New Roman Tur;}{\f334\fbidi \froman\fcharset177\fprq2 Times New Roman (Hebrew);}{\f335\fbidi \froman\fcharset178\fprq2 Times New Roman (Arabic);}_x000d__x000a_{\f336\fbidi \froman\fcharset186\fprq2 Times New Roman Baltic;}{\f337\fbidi \froman\fcharset163\fprq2 Times New Roman (Vietnamese);}{\f339\fbidi \fswiss\fcharset238\fprq2 Arial CE;}{\f340\fbidi \fswiss\fcharset204\fprq2 Arial Cyr;}_x000d__x000a_{\f342\fbidi \fswiss\fcharset161\fprq2 Arial Greek;}{\f343\fbidi \fswiss\fcharset162\fprq2 Arial Tur;}{\f344\fbidi \fswiss\fcharset177\fprq2 Arial (Hebrew);}{\f345\fbidi \fswiss\fcharset178\fprq2 Arial (Arabic);}_x000d__x000a_{\f346\fbidi \fswiss\fcharset186\fprq2 Arial Baltic;}{\f347\fbidi \fswiss\fcharset163\fprq2 Arial (Vietnamese);}{\f669\fbidi \froman\fcharset238\fprq2 Cambria Math CE;}{\f670\fbidi \froman\fcharset204\fprq2 Cambria Math Cyr;}_x000d__x000a_{\f672\fbidi \froman\fcharset161\fprq2 Cambria Math Greek;}{\f673\fbidi \froman\fcharset162\fprq2 Cambria Math Tur;}{\f676\fbidi \froman\fcharset186\fprq2 Cambria Math Baltic;}{\f67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1934513 HideTWBInt;}{_x000d__x000a_\s18\ql \fi-567\li567\ri0\sa240\nowidctlpar\wrapdefault\aspalpha\aspnum\faauto\adjustright\rin0\lin567\itap0 \rtlch\fcs1 \af0\afs20\alang1025 \ltrch\fcs0 \fs24\lang2057\langfe2057\cgrid\langnp2057\langfenp2057 _x000d__x000a_\sbasedon0 \snext18 \spriority0 \styrsid11934513 NormalHanging12a;}}{\*\rsidtbl \rsid24658\rsid223860\rsid735077\rsid1718133\rsid2892074\rsid3565327\rsid4666813\rsid6641733\rsid7823322\rsid9636012\rsid10377208\rsid10976796\rsid11215221\rsid11549030_x000d__x000a_\rsid11934513\rsid12154954\rsid14382809\rsid14424199\rsid15204470\rsid15285974\rsid15950462\rsid16324206\rsid16662270}{\mmathPr\mmathFont34\mbrkBin0\mbrkBinSub0\msmallFrac0\mdispDef1\mlMargin0\mrMargin0\mdefJc1\mwrapIndent1440\mintLim0\mnaryLim1}{\info_x000d__x000a_{\author NOTARIDOU Aikaterini}{\operator NOTARIDOU Aikaterini}{\creatim\yr2023\mo12\dy8\hr20\min39}{\revtim\yr2023\mo12\dy8\hr20\min39}{\version1}{\edmins0}{\nofpages1}{\nofwords1}{\nofchars12}{\nofcharsws12}{\vern109}}{\*\xmlnstbl {\xmlns1 http://schemas_x000d__x000a_.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viewnobound1\snaptogridincell\allowfieldendsel_x000d__x000a_\wrppunct\asianbrkrule\nojkernpunct\rsidroot11934513\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EP\\AppData\\Local\\Temp\\Blank1.dotx}{\*\ftnsep \ltrpar \pard\plain \ltrpar_x000d__x000a_\ql \li0\ri0\widctlpar\wrapdefault\aspalpha\aspnum\faauto\adjustright\rin0\lin0\itap0 \rtlch\fcs1 \af0\afs20\alang1025 \ltrch\fcs0 \fs24\lang2057\langfe2057\cgrid\langnp2057\langfenp2057 {\rtlch\fcs1 \af0 \ltrch\fcs0 \insrsid10976796 \chftnsep _x000d__x000a_\par }}{\*\ftnsepc \ltrpar \pard\plain \ltrpar\ql \li0\ri0\widctlpar\wrapdefault\aspalpha\aspnum\faauto\adjustright\rin0\lin0\itap0 \rtlch\fcs1 \af0\afs20\alang1025 \ltrch\fcs0 \fs24\lang2057\langfe2057\cgrid\langnp2057\langfenp2057 {\rtlch\fcs1 \af0 _x000d__x000a_\ltrch\fcs0 \insrsid10976796 \chftnsepc _x000d__x000a_\par }}{\*\aftnsep \ltrpar \pard\plain \ltrpar\ql \li0\ri0\widctlpar\wrapdefault\aspalpha\aspnum\faauto\adjustright\rin0\lin0\itap0 \rtlch\fcs1 \af0\afs20\alang1025 \ltrch\fcs0 \fs24\lang2057\langfe2057\cgrid\langnp2057\langfenp2057 {\rtlch\fcs1 \af0 _x000d__x000a_\ltrch\fcs0 \insrsid10976796 \chftnsep _x000d__x000a_\par }}{\*\aftnsepc \ltrpar \pard\plain \ltrpar\ql \li0\ri0\widctlpar\wrapdefault\aspalpha\aspnum\faauto\adjustright\rin0\lin0\itap0 \rtlch\fcs1 \af0\afs20\alang1025 \ltrch\fcs0 \fs24\lang2057\langfe2057\cgrid\langnp2057\langfenp2057 {\rtlch\fcs1 \af0 _x000d__x000a_\ltrch\fcs0 \insrsid1097679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8\ql \fi-567\li567\ri0\sa240\nowidctlpar\wrapdefault\aspalpha\aspnum\faauto\adjustright\rin0\lin567\itap0\pararsid11934513 \rtlch\fcs1 \af0\afs20\alang1025 \ltrch\fcs0 \fs24\lang2057\langfe2057\cgrid\langnp2057\langfenp2057 {\rtlch\fcs1 \af0 _x000d__x000a_\ltrch\fcs0 \insrsid11934513\charrsid9785132 {\*\bkmkstart restart}#}{\rtlch\fcs1 \af1 \ltrch\fcs0 \cs17\v\f1\fs20\cf15\insrsid11934513\charrsid9785132 NRMSG}{\rtlch\fcs1 \af0 \ltrch\fcs0 \insrsid11934513\charrsid9785132 #.\tab ##}{\rtlch\fcs1 \af0 _x000d__x000a_\ltrch\fcs0 \insrsid11934513\charrsid16324206 {\*\bkmkend restar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dd_x000d__x000a_2d3f0e2a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9\fbidi \froman\fcharset238\fprq2 Times New Roman CE;}{\f330\fbidi \froman\fcharset204\fprq2 Times New Roman Cyr;}_x000d__x000a_{\f332\fbidi \froman\fcharset161\fprq2 Times New Roman Greek;}{\f333\fbidi \froman\fcharset162\fprq2 Times New Roman Tur;}{\f334\fbidi \froman\fcharset177\fprq2 Times New Roman (Hebrew);}{\f335\fbidi \froman\fcharset178\fprq2 Times New Roman (Arabic);}_x000d__x000a_{\f336\fbidi \froman\fcharset186\fprq2 Times New Roman Baltic;}{\f337\fbidi \froman\fcharset163\fprq2 Times New Roman (Vietnamese);}{\f669\fbidi \froman\fcharset238\fprq2 Cambria Math CE;}{\f670\fbidi \froman\fcharset204\fprq2 Cambria Math Cyr;}_x000d__x000a_{\f672\fbidi \froman\fcharset161\fprq2 Cambria Math Greek;}{\f673\fbidi \froman\fcharset162\fprq2 Cambria Math Tur;}{\f676\fbidi \froman\fcharset186\fprq2 Cambria Math Baltic;}{\f67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s17\ql \fi-567\li567\ri0\sa240\nowidctlpar\wrapdefault\aspalpha\aspnum\faauto\adjustright\rin0\lin567\itap0 \rtlch\fcs1 \af0\afs20\alang1025 \ltrch\fcs0 _x000d__x000a_\fs24\lang2057\langfe2057\cgrid\langnp2057\langfenp2057 \sbasedon0 \snext17 \spriority0 \styrsid6375660 NormalHanging12a;}}{\*\rsidtbl \rsid24658\rsid223860\rsid735077\rsid1718133\rsid2892074\rsid3565327\rsid4666813\rsid4994266\rsid6375660\rsid6641733_x000d__x000a_\rsid7823322\rsid9636012\rsid10377208\rsid11215221\rsid11549030\rsid12154954\rsid14382809\rsid14424199\rsid15204470\rsid15285974\rsid15950462\rsid16324206\rsid16662270}{\mmathPr\mmathFont34\mbrkBin0\mbrkBinSub0\msmallFrac0\mdispDef1\mlMargin0\mrMargin0_x000d__x000a_\mdefJc1\mwrapIndent1440\mintLim0\mnaryLim1}{\info{\author NOTARIDOU Aikaterini}{\operator NOTARIDOU Aikaterini}{\creatim\yr2023\mo12\dy8\hr20\min39}{\revtim\yr2023\mo12\dy8\hr20\min39}{\version1}{\edmins0}{\nofpages1}{\nofwords5}{\nofchars30}_x000d__x000a_{\nofcharsws34}{\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viewnobound1\snaptogridincell\allowfieldendsel_x000d__x000a_\wrppunct\asianbrkrule\nojkernpunct\rsidroot6375660\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EP\\AppData\\Local\\Temp\\Blank1.dotx}{\*\ftnsep \ltrpar \pard\plain \ltrpar_x000d__x000a_\ql \li0\ri0\widctlpar\wrapdefault\aspalpha\aspnum\faauto\adjustright\rin0\lin0\itap0 \rtlch\fcs1 \af0\afs20\alang1025 \ltrch\fcs0 \fs24\lang2057\langfe2057\cgrid\langnp2057\langfenp2057 {\rtlch\fcs1 \af0 \ltrch\fcs0 \insrsid4994266 \chftnsep _x000d__x000a_\par }}{\*\ftnsepc \ltrpar \pard\plain \ltrpar\ql \li0\ri0\widctlpar\wrapdefault\aspalpha\aspnum\faauto\adjustright\rin0\lin0\itap0 \rtlch\fcs1 \af0\afs20\alang1025 \ltrch\fcs0 \fs24\lang2057\langfe2057\cgrid\langnp2057\langfenp2057 {\rtlch\fcs1 \af0 _x000d__x000a_\ltrch\fcs0 \insrsid4994266 \chftnsepc _x000d__x000a_\par }}{\*\aftnsep \ltrpar \pard\plain \ltrpar\ql \li0\ri0\widctlpar\wrapdefault\aspalpha\aspnum\faauto\adjustright\rin0\lin0\itap0 \rtlch\fcs1 \af0\afs20\alang1025 \ltrch\fcs0 \fs24\lang2057\langfe2057\cgrid\langnp2057\langfenp2057 {\rtlch\fcs1 \af0 _x000d__x000a_\ltrch\fcs0 \insrsid4994266 \chftnsep _x000d__x000a_\par }}{\*\aftnsepc \ltrpar \pard\plain \ltrpar\ql \li0\ri0\widctlpar\wrapdefault\aspalpha\aspnum\faauto\adjustright\rin0\lin0\itap0 \rtlch\fcs1 \af0\afs20\alang1025 \ltrch\fcs0 \fs24\lang2057\langfe2057\cgrid\langnp2057\langfenp2057 {\rtlch\fcs1 \af0 _x000d__x000a_\ltrch\fcs0 \insrsid499426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7\ql \fi-567\li567\ri0\sa240\nowidctlpar\wrapdefault\aspalpha\aspnum\faauto\adjustright\rin0\lin567\itap0\pararsid6375660 \rtlch\fcs1 \af0\afs20\alang1025 \ltrch\fcs0 \fs24\lang2057\langfe2057\cgrid\langnp2057\langfenp2057 {\rtlch\fcs1 \af0 _x000d__x000a_\ltrch\fcs0 \insrsid6375660\charrsid1525456 {\*\bkmkstart restart}[ZSUGGESTIONNR]\tab [ZSUGGESTIONTEXT]}{\rtlch\fcs1 \af0 \ltrch\fcs0 \insrsid6375660\charrsid16324206 {\*\bkmkend restar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0a_x000d__x000a_31420e2a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NonLeg"/>
    <w:docVar w:name="strSubDir" w:val="1296"/>
    <w:docVar w:name="TXTLANGUE" w:val="IT"/>
    <w:docVar w:name="TXTLANGUEMIN" w:val="it"/>
    <w:docVar w:name="TXTNRPE" w:val="752.903"/>
    <w:docVar w:name="TXTNRPROC" w:val="2023/2163"/>
    <w:docVar w:name="TXTPEorAP" w:val="PE"/>
    <w:docVar w:name="TXTROUTE" w:val="AD\1296088IT.docx"/>
    <w:docVar w:name="TXTTITLE" w:val="of the European Training Foundation"/>
    <w:docVar w:name="TXTVERSION" w:val="04-00"/>
  </w:docVars>
  <w:rsids>
    <w:rsidRoot w:val="008E4B4A"/>
    <w:rsid w:val="00024B73"/>
    <w:rsid w:val="00031559"/>
    <w:rsid w:val="000E7EBF"/>
    <w:rsid w:val="0011631E"/>
    <w:rsid w:val="00124F60"/>
    <w:rsid w:val="00135121"/>
    <w:rsid w:val="00140BE6"/>
    <w:rsid w:val="00147F4E"/>
    <w:rsid w:val="0016635E"/>
    <w:rsid w:val="001746D0"/>
    <w:rsid w:val="001B7393"/>
    <w:rsid w:val="001D2ED9"/>
    <w:rsid w:val="00274281"/>
    <w:rsid w:val="002C3E5E"/>
    <w:rsid w:val="002D28A7"/>
    <w:rsid w:val="002E2F2E"/>
    <w:rsid w:val="002E6F98"/>
    <w:rsid w:val="002F465D"/>
    <w:rsid w:val="00321BD2"/>
    <w:rsid w:val="00325BCB"/>
    <w:rsid w:val="00331944"/>
    <w:rsid w:val="00332AD9"/>
    <w:rsid w:val="00347D2C"/>
    <w:rsid w:val="0037356F"/>
    <w:rsid w:val="00390EB2"/>
    <w:rsid w:val="00396A0E"/>
    <w:rsid w:val="003B10B5"/>
    <w:rsid w:val="003E2402"/>
    <w:rsid w:val="0043632B"/>
    <w:rsid w:val="004402EC"/>
    <w:rsid w:val="00497A67"/>
    <w:rsid w:val="004C28FB"/>
    <w:rsid w:val="004C44C0"/>
    <w:rsid w:val="004D1692"/>
    <w:rsid w:val="0052544E"/>
    <w:rsid w:val="005940C3"/>
    <w:rsid w:val="00594C48"/>
    <w:rsid w:val="005B2F11"/>
    <w:rsid w:val="005C0BDF"/>
    <w:rsid w:val="005D60C6"/>
    <w:rsid w:val="006102E7"/>
    <w:rsid w:val="00610D64"/>
    <w:rsid w:val="00640C1B"/>
    <w:rsid w:val="00657AFB"/>
    <w:rsid w:val="006804C1"/>
    <w:rsid w:val="006A005F"/>
    <w:rsid w:val="006B1C9C"/>
    <w:rsid w:val="006D5BF7"/>
    <w:rsid w:val="0072189D"/>
    <w:rsid w:val="00735063"/>
    <w:rsid w:val="007A0AB9"/>
    <w:rsid w:val="00822AE6"/>
    <w:rsid w:val="008313E7"/>
    <w:rsid w:val="00854CAC"/>
    <w:rsid w:val="00867BF3"/>
    <w:rsid w:val="008A32C5"/>
    <w:rsid w:val="008C6203"/>
    <w:rsid w:val="008D61E7"/>
    <w:rsid w:val="008E4B4A"/>
    <w:rsid w:val="008F7002"/>
    <w:rsid w:val="0099493F"/>
    <w:rsid w:val="009D1D42"/>
    <w:rsid w:val="00A16BEA"/>
    <w:rsid w:val="00A312B3"/>
    <w:rsid w:val="00A42BDC"/>
    <w:rsid w:val="00A72C35"/>
    <w:rsid w:val="00AC1204"/>
    <w:rsid w:val="00AE180F"/>
    <w:rsid w:val="00B362F7"/>
    <w:rsid w:val="00B5456B"/>
    <w:rsid w:val="00B74B53"/>
    <w:rsid w:val="00B75600"/>
    <w:rsid w:val="00BC26E4"/>
    <w:rsid w:val="00BD1EAA"/>
    <w:rsid w:val="00C23A02"/>
    <w:rsid w:val="00C52739"/>
    <w:rsid w:val="00C827FF"/>
    <w:rsid w:val="00CD34AC"/>
    <w:rsid w:val="00D54033"/>
    <w:rsid w:val="00DE19FF"/>
    <w:rsid w:val="00E266AB"/>
    <w:rsid w:val="00E81BA6"/>
    <w:rsid w:val="00E856D2"/>
    <w:rsid w:val="00E92624"/>
    <w:rsid w:val="00E929A7"/>
    <w:rsid w:val="00F064BC"/>
    <w:rsid w:val="00FC6460"/>
    <w:rsid w:val="00FD0D14"/>
    <w:rsid w:val="00FD4BC4"/>
    <w:rsid w:val="00FF4B5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14:docId w14:val="244566A2"/>
  <w15:chartTrackingRefBased/>
  <w15:docId w15:val="{6FBAB018-2392-416E-AB95-1041FDB13C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194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PageHeadingNotTOC">
    <w:name w:val="PageHeadingNotTOC"/>
    <w:basedOn w:val="Normal"/>
    <w:pPr>
      <w:keepNext/>
      <w:spacing w:after="480"/>
      <w:jc w:val="center"/>
    </w:pPr>
    <w:rPr>
      <w:rFonts w:ascii="Arial" w:hAnsi="Arial" w:cs="Arial"/>
      <w:b/>
    </w:rPr>
  </w:style>
  <w:style w:type="paragraph" w:customStyle="1" w:styleId="EPName">
    <w:name w:val="EPName"/>
    <w:basedOn w:val="Normal"/>
    <w:rsid w:val="00E856D2"/>
    <w:pPr>
      <w:spacing w:before="80" w:after="80"/>
    </w:pPr>
    <w:rPr>
      <w:rFonts w:ascii="Arial Narrow" w:hAnsi="Arial Narrow" w:cs="Arial"/>
      <w:b/>
      <w:sz w:val="32"/>
      <w:szCs w:val="22"/>
    </w:rPr>
  </w:style>
  <w:style w:type="paragraph" w:customStyle="1" w:styleId="CoverNormal24a">
    <w:name w:val="CoverNormal24a"/>
    <w:basedOn w:val="Normal"/>
    <w:rsid w:val="00347D2C"/>
    <w:pPr>
      <w:spacing w:after="480"/>
      <w:ind w:left="1417"/>
    </w:pPr>
  </w:style>
  <w:style w:type="paragraph" w:customStyle="1" w:styleId="CoverNormal">
    <w:name w:val="CoverNormal"/>
    <w:basedOn w:val="Normal"/>
    <w:pPr>
      <w:ind w:left="1418"/>
    </w:pPr>
  </w:style>
  <w:style w:type="paragraph" w:styleId="Header">
    <w:name w:val="header"/>
    <w:basedOn w:val="Normal"/>
    <w:link w:val="HeaderChar"/>
    <w:semiHidden/>
    <w:rsid w:val="005C0BDF"/>
    <w:pPr>
      <w:tabs>
        <w:tab w:val="center" w:pos="4513"/>
        <w:tab w:val="right" w:pos="9026"/>
      </w:tabs>
    </w:pPr>
  </w:style>
  <w:style w:type="paragraph" w:customStyle="1" w:styleId="CoverReference">
    <w:name w:val="CoverReference"/>
    <w:basedOn w:val="Normal"/>
    <w:rsid w:val="00E81BA6"/>
    <w:pPr>
      <w:spacing w:before="1080"/>
      <w:jc w:val="right"/>
    </w:pPr>
    <w:rPr>
      <w:rFonts w:ascii="Arial" w:hAnsi="Arial" w:cs="Arial"/>
      <w:b/>
    </w:rPr>
  </w:style>
  <w:style w:type="paragraph" w:customStyle="1" w:styleId="CoverDocType24a">
    <w:name w:val="CoverDocType24a"/>
    <w:basedOn w:val="Normal"/>
    <w:rsid w:val="00347D2C"/>
    <w:pPr>
      <w:spacing w:after="480"/>
      <w:ind w:left="1418"/>
    </w:pPr>
    <w:rPr>
      <w:rFonts w:ascii="Arial" w:hAnsi="Arial"/>
      <w:b/>
      <w:sz w:val="48"/>
    </w:rPr>
  </w:style>
  <w:style w:type="paragraph" w:customStyle="1" w:styleId="CoverDate">
    <w:name w:val="CoverDate"/>
    <w:basedOn w:val="Normal"/>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746D0"/>
    <w:pPr>
      <w:jc w:val="center"/>
    </w:pPr>
    <w:rPr>
      <w:rFonts w:ascii="Arial" w:hAnsi="Arial" w:cs="Arial"/>
      <w:i/>
      <w:sz w:val="22"/>
      <w:szCs w:val="22"/>
    </w:rPr>
  </w:style>
  <w:style w:type="paragraph" w:customStyle="1" w:styleId="LineTop">
    <w:name w:val="LineTop"/>
    <w:basedOn w:val="Normal"/>
    <w:next w:val="Normal"/>
    <w:rsid w:val="001746D0"/>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746D0"/>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E856D2"/>
    <w:pPr>
      <w:spacing w:after="80"/>
    </w:pPr>
    <w:rPr>
      <w:rFonts w:ascii="Arial" w:hAnsi="Arial" w:cs="Arial"/>
      <w:sz w:val="20"/>
      <w:szCs w:val="22"/>
    </w:rPr>
  </w:style>
  <w:style w:type="paragraph" w:customStyle="1" w:styleId="EPLogo">
    <w:name w:val="EPLogo"/>
    <w:basedOn w:val="Normal"/>
    <w:qFormat/>
    <w:rsid w:val="00E856D2"/>
    <w:pPr>
      <w:jc w:val="right"/>
    </w:pPr>
  </w:style>
  <w:style w:type="paragraph" w:customStyle="1" w:styleId="NormalHanging12a">
    <w:name w:val="NormalHanging12a"/>
    <w:basedOn w:val="Normal"/>
    <w:link w:val="NormalHanging12aChar"/>
    <w:rsid w:val="008313E7"/>
    <w:pPr>
      <w:spacing w:after="240"/>
      <w:ind w:left="567" w:hanging="567"/>
    </w:pPr>
  </w:style>
  <w:style w:type="paragraph" w:customStyle="1" w:styleId="EPFooter">
    <w:name w:val="EPFooter"/>
    <w:basedOn w:val="Normal"/>
    <w:rsid w:val="00347D2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5C0BDF"/>
    <w:rPr>
      <w:sz w:val="24"/>
    </w:rPr>
  </w:style>
  <w:style w:type="paragraph" w:styleId="FootnoteText">
    <w:name w:val="footnote text"/>
    <w:basedOn w:val="Normal"/>
    <w:link w:val="FootnoteTextChar"/>
    <w:rsid w:val="009D1D42"/>
    <w:rPr>
      <w:sz w:val="20"/>
    </w:rPr>
  </w:style>
  <w:style w:type="character" w:customStyle="1" w:styleId="FootnoteTextChar">
    <w:name w:val="Footnote Text Char"/>
    <w:basedOn w:val="DefaultParagraphFont"/>
    <w:link w:val="FootnoteText"/>
    <w:rsid w:val="009D1D42"/>
  </w:style>
  <w:style w:type="character" w:styleId="FootnoteReference">
    <w:name w:val="footnote reference"/>
    <w:basedOn w:val="DefaultParagraphFont"/>
    <w:rsid w:val="009D1D42"/>
    <w:rPr>
      <w:vertAlign w:val="superscript"/>
    </w:rPr>
  </w:style>
  <w:style w:type="paragraph" w:styleId="Footer">
    <w:name w:val="footer"/>
    <w:basedOn w:val="Normal"/>
    <w:link w:val="FooterChar"/>
    <w:semiHidden/>
    <w:rsid w:val="003B10B5"/>
    <w:pPr>
      <w:tabs>
        <w:tab w:val="center" w:pos="4513"/>
        <w:tab w:val="right" w:pos="9026"/>
      </w:tabs>
    </w:pPr>
  </w:style>
  <w:style w:type="character" w:customStyle="1" w:styleId="FooterChar">
    <w:name w:val="Footer Char"/>
    <w:basedOn w:val="DefaultParagraphFont"/>
    <w:link w:val="Footer"/>
    <w:semiHidden/>
    <w:rsid w:val="003B10B5"/>
    <w:rPr>
      <w:sz w:val="24"/>
    </w:rPr>
  </w:style>
  <w:style w:type="character" w:customStyle="1" w:styleId="NormalHanging12aChar">
    <w:name w:val="NormalHanging12a Char"/>
    <w:basedOn w:val="DefaultParagraphFont"/>
    <w:link w:val="NormalHanging12a"/>
    <w:locked/>
    <w:rsid w:val="00A42BDC"/>
    <w:rPr>
      <w:sz w:val="24"/>
    </w:rPr>
  </w:style>
  <w:style w:type="paragraph" w:styleId="BalloonText">
    <w:name w:val="Balloon Text"/>
    <w:basedOn w:val="Normal"/>
    <w:link w:val="BalloonTextChar"/>
    <w:semiHidden/>
    <w:unhideWhenUsed/>
    <w:rsid w:val="00321BD2"/>
    <w:rPr>
      <w:rFonts w:ascii="Segoe UI" w:hAnsi="Segoe UI" w:cs="Segoe UI"/>
      <w:sz w:val="18"/>
      <w:szCs w:val="18"/>
    </w:rPr>
  </w:style>
  <w:style w:type="character" w:customStyle="1" w:styleId="BalloonTextChar">
    <w:name w:val="Balloon Text Char"/>
    <w:basedOn w:val="DefaultParagraphFont"/>
    <w:link w:val="BalloonText"/>
    <w:semiHidden/>
    <w:rsid w:val="00321BD2"/>
    <w:rPr>
      <w:rFonts w:ascii="Segoe UI" w:hAnsi="Segoe UI" w:cs="Segoe UI"/>
      <w:sz w:val="18"/>
      <w:szCs w:val="18"/>
    </w:rPr>
  </w:style>
  <w:style w:type="paragraph" w:customStyle="1" w:styleId="RollCallSymbols14pt">
    <w:name w:val="RollCallSymbols14pt"/>
    <w:basedOn w:val="Normal"/>
    <w:rsid w:val="004D1692"/>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4D1692"/>
    <w:pPr>
      <w:tabs>
        <w:tab w:val="center" w:pos="284"/>
        <w:tab w:val="left" w:pos="426"/>
      </w:tabs>
    </w:pPr>
    <w:rPr>
      <w:snapToGrid w:val="0"/>
      <w:lang w:eastAsia="en-US"/>
    </w:rPr>
  </w:style>
  <w:style w:type="paragraph" w:customStyle="1" w:styleId="RollCallVotes">
    <w:name w:val="RollCallVotes"/>
    <w:basedOn w:val="Normal"/>
    <w:rsid w:val="004D1692"/>
    <w:pPr>
      <w:spacing w:before="120" w:after="120"/>
      <w:jc w:val="center"/>
    </w:pPr>
    <w:rPr>
      <w:b/>
      <w:bCs/>
      <w:snapToGrid w:val="0"/>
      <w:sz w:val="16"/>
      <w:lang w:eastAsia="en-US"/>
    </w:rPr>
  </w:style>
  <w:style w:type="paragraph" w:customStyle="1" w:styleId="RollCallTable">
    <w:name w:val="RollCallTable"/>
    <w:basedOn w:val="Normal"/>
    <w:rsid w:val="004D1692"/>
    <w:pPr>
      <w:spacing w:before="120" w:after="120"/>
    </w:pPr>
    <w:rPr>
      <w:snapToGrid w:val="0"/>
      <w:sz w:val="16"/>
      <w:lang w:eastAsia="en-US"/>
    </w:rPr>
  </w:style>
  <w:style w:type="paragraph" w:customStyle="1" w:styleId="Normal24a">
    <w:name w:val="Normal24a"/>
    <w:basedOn w:val="Normal"/>
    <w:rsid w:val="00497A67"/>
    <w:pPr>
      <w:spacing w:after="480"/>
    </w:pPr>
    <w:rPr>
      <w:lang w:val="en-GB"/>
    </w:rPr>
  </w:style>
  <w:style w:type="paragraph" w:customStyle="1" w:styleId="NormalBoldCenter">
    <w:name w:val="NormalBoldCenter"/>
    <w:basedOn w:val="Normal"/>
    <w:rsid w:val="00497A67"/>
    <w:pPr>
      <w:jc w:val="center"/>
    </w:pPr>
    <w:rPr>
      <w:b/>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6407275">
      <w:bodyDiv w:val="1"/>
      <w:marLeft w:val="0"/>
      <w:marRight w:val="0"/>
      <w:marTop w:val="0"/>
      <w:marBottom w:val="0"/>
      <w:divBdr>
        <w:top w:val="none" w:sz="0" w:space="0" w:color="auto"/>
        <w:left w:val="none" w:sz="0" w:space="0" w:color="auto"/>
        <w:bottom w:val="none" w:sz="0" w:space="0" w:color="auto"/>
        <w:right w:val="none" w:sz="0" w:space="0" w:color="auto"/>
      </w:divBdr>
    </w:div>
    <w:div w:id="440957679">
      <w:bodyDiv w:val="1"/>
      <w:marLeft w:val="0"/>
      <w:marRight w:val="0"/>
      <w:marTop w:val="0"/>
      <w:marBottom w:val="0"/>
      <w:divBdr>
        <w:top w:val="none" w:sz="0" w:space="0" w:color="auto"/>
        <w:left w:val="none" w:sz="0" w:space="0" w:color="auto"/>
        <w:bottom w:val="none" w:sz="0" w:space="0" w:color="auto"/>
        <w:right w:val="none" w:sz="0" w:space="0" w:color="auto"/>
      </w:divBdr>
    </w:div>
    <w:div w:id="810365317">
      <w:bodyDiv w:val="1"/>
      <w:marLeft w:val="0"/>
      <w:marRight w:val="0"/>
      <w:marTop w:val="0"/>
      <w:marBottom w:val="0"/>
      <w:divBdr>
        <w:top w:val="none" w:sz="0" w:space="0" w:color="auto"/>
        <w:left w:val="none" w:sz="0" w:space="0" w:color="auto"/>
        <w:bottom w:val="none" w:sz="0" w:space="0" w:color="auto"/>
        <w:right w:val="none" w:sz="0" w:space="0" w:color="auto"/>
      </w:divBdr>
    </w:div>
    <w:div w:id="866720834">
      <w:bodyDiv w:val="1"/>
      <w:marLeft w:val="0"/>
      <w:marRight w:val="0"/>
      <w:marTop w:val="0"/>
      <w:marBottom w:val="0"/>
      <w:divBdr>
        <w:top w:val="none" w:sz="0" w:space="0" w:color="auto"/>
        <w:left w:val="none" w:sz="0" w:space="0" w:color="auto"/>
        <w:bottom w:val="none" w:sz="0" w:space="0" w:color="auto"/>
        <w:right w:val="none" w:sz="0" w:space="0" w:color="auto"/>
      </w:divBdr>
    </w:div>
    <w:div w:id="1010454421">
      <w:bodyDiv w:val="1"/>
      <w:marLeft w:val="0"/>
      <w:marRight w:val="0"/>
      <w:marTop w:val="0"/>
      <w:marBottom w:val="0"/>
      <w:divBdr>
        <w:top w:val="none" w:sz="0" w:space="0" w:color="auto"/>
        <w:left w:val="none" w:sz="0" w:space="0" w:color="auto"/>
        <w:bottom w:val="none" w:sz="0" w:space="0" w:color="auto"/>
        <w:right w:val="none" w:sz="0" w:space="0" w:color="auto"/>
      </w:divBdr>
    </w:div>
    <w:div w:id="1824658342">
      <w:bodyDiv w:val="1"/>
      <w:marLeft w:val="0"/>
      <w:marRight w:val="0"/>
      <w:marTop w:val="0"/>
      <w:marBottom w:val="0"/>
      <w:divBdr>
        <w:top w:val="none" w:sz="0" w:space="0" w:color="auto"/>
        <w:left w:val="none" w:sz="0" w:space="0" w:color="auto"/>
        <w:bottom w:val="none" w:sz="0" w:space="0" w:color="auto"/>
        <w:right w:val="none" w:sz="0" w:space="0" w:color="auto"/>
      </w:divBdr>
    </w:div>
    <w:div w:id="1861776521">
      <w:bodyDiv w:val="1"/>
      <w:marLeft w:val="0"/>
      <w:marRight w:val="0"/>
      <w:marTop w:val="0"/>
      <w:marBottom w:val="0"/>
      <w:divBdr>
        <w:top w:val="none" w:sz="0" w:space="0" w:color="auto"/>
        <w:left w:val="none" w:sz="0" w:space="0" w:color="auto"/>
        <w:bottom w:val="none" w:sz="0" w:space="0" w:color="auto"/>
        <w:right w:val="none" w:sz="0" w:space="0" w:color="auto"/>
      </w:divBdr>
    </w:div>
    <w:div w:id="2002729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945</Words>
  <Characters>5702</Characters>
  <Application>Microsoft Office Word</Application>
  <DocSecurity>0</DocSecurity>
  <Lines>151</Lines>
  <Paragraphs>73</Paragraphs>
  <ScaleCrop>false</ScaleCrop>
  <HeadingPairs>
    <vt:vector size="2" baseType="variant">
      <vt:variant>
        <vt:lpstr>Title</vt:lpstr>
      </vt:variant>
      <vt:variant>
        <vt:i4>1</vt:i4>
      </vt:variant>
    </vt:vector>
  </HeadingPairs>
  <TitlesOfParts>
    <vt:vector size="1" baseType="lpstr">
      <vt:lpstr>PA_NonLeg</vt:lpstr>
    </vt:vector>
  </TitlesOfParts>
  <Company/>
  <LinksUpToDate>false</LinksUpToDate>
  <CharactersWithSpaces>6575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subject/>
  <dc:creator>European Parliament</dc:creator>
  <cp:keywords/>
  <dc:description/>
  <cp:lastModifiedBy>European Parliament</cp:lastModifiedBy>
  <cp:revision>2</cp:revision>
  <cp:lastPrinted>2004-10-28T10:33:00Z</cp:lastPrinted>
  <dcterms:created xsi:type="dcterms:W3CDTF">2024-02-06T10:51:00Z</dcterms:created>
  <dcterms:modified xsi:type="dcterms:W3CDTF">2024-02-06T10:51:00Z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Created with">
    <vt:lpwstr>9.14.1 Build [20230315]</vt:lpwstr>
  </property>
  <property fmtid="{D5CDD505-2E9C-101B-9397-08002B2CF9AE}" pid="4" name="LastEdited with">
    <vt:lpwstr>9.17.1 Build [20240111]</vt:lpwstr>
  </property>
  <property fmtid="{D5CDD505-2E9C-101B-9397-08002B2CF9AE}" pid="5" name="&lt;FdR&gt;">
    <vt:lpwstr>1296088</vt:lpwstr>
  </property>
  <property fmtid="{D5CDD505-2E9C-101B-9397-08002B2CF9AE}" pid="6" name="&lt;Type&gt;">
    <vt:lpwstr>AD</vt:lpwstr>
  </property>
  <property fmtid="{D5CDD505-2E9C-101B-9397-08002B2CF9AE}" pid="7" name="&lt;ModelCod&gt;">
    <vt:lpwstr>\\eiciBRUpr1\pdocep$\DocEP\DOCS\General\PA\PA_NonLeg\PA_NonLeg.dotx(19/12/2022 07:51:20)</vt:lpwstr>
  </property>
  <property fmtid="{D5CDD505-2E9C-101B-9397-08002B2CF9AE}" pid="8" name="&lt;ModelTra&gt;">
    <vt:lpwstr>\\eiciBRUpr1\pdocep$\DocEP\TRANSFIL\EN\PA_NonLeg.EN(15/06/2023 11:55:00)</vt:lpwstr>
  </property>
  <property fmtid="{D5CDD505-2E9C-101B-9397-08002B2CF9AE}" pid="9" name="&lt;Model&gt;">
    <vt:lpwstr>PA_NonLeg</vt:lpwstr>
  </property>
  <property fmtid="{D5CDD505-2E9C-101B-9397-08002B2CF9AE}" pid="10" name="FooterPath">
    <vt:lpwstr>AD\1296088IT.docx</vt:lpwstr>
  </property>
  <property fmtid="{D5CDD505-2E9C-101B-9397-08002B2CF9AE}" pid="11" name="PE number">
    <vt:lpwstr>752.903</vt:lpwstr>
  </property>
  <property fmtid="{D5CDD505-2E9C-101B-9397-08002B2CF9AE}" pid="12" name="SendToEpades">
    <vt:lpwstr>OK - 2024/01/12 10:26</vt:lpwstr>
  </property>
  <property fmtid="{D5CDD505-2E9C-101B-9397-08002B2CF9AE}" pid="13" name="SDLStudio">
    <vt:lpwstr/>
  </property>
  <property fmtid="{D5CDD505-2E9C-101B-9397-08002B2CF9AE}" pid="14" name="Bookout">
    <vt:lpwstr>OK - 2024/02/06 11:51</vt:lpwstr>
  </property>
</Properties>
</file>