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43E72" w:rsidTr="00C85D0F">
        <w:trPr>
          <w:trHeight w:hRule="exact" w:val="1418"/>
        </w:trPr>
        <w:tc>
          <w:tcPr>
            <w:tcW w:w="6804" w:type="dxa"/>
            <w:shd w:val="clear" w:color="auto" w:fill="auto"/>
            <w:vAlign w:val="center"/>
          </w:tcPr>
          <w:p w:rsidR="00854CAC" w:rsidRPr="00B43E72" w:rsidRDefault="00B43E72" w:rsidP="00C85D0F">
            <w:pPr>
              <w:pStyle w:val="EPName"/>
            </w:pPr>
            <w:r>
              <w:t>Parlament Ewropew</w:t>
            </w:r>
          </w:p>
          <w:p w:rsidR="00854CAC" w:rsidRPr="00D57C21" w:rsidRDefault="00D57C21" w:rsidP="00D57C21">
            <w:pPr>
              <w:pStyle w:val="EPTerm"/>
            </w:pPr>
            <w:r>
              <w:t>2019-2024</w:t>
            </w:r>
          </w:p>
        </w:tc>
        <w:tc>
          <w:tcPr>
            <w:tcW w:w="2268" w:type="dxa"/>
            <w:shd w:val="clear" w:color="auto" w:fill="auto"/>
          </w:tcPr>
          <w:p w:rsidR="00854CAC" w:rsidRPr="00B43E72" w:rsidRDefault="00854CAC" w:rsidP="00C85D0F">
            <w:pPr>
              <w:pStyle w:val="EPLogo"/>
            </w:pPr>
            <w:r w:rsidRPr="00B43E7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B43E72" w:rsidRDefault="001746D0" w:rsidP="001746D0">
      <w:pPr>
        <w:pStyle w:val="LineTop"/>
      </w:pPr>
    </w:p>
    <w:p w:rsidR="001746D0" w:rsidRPr="00B43E72" w:rsidRDefault="001746D0" w:rsidP="001746D0">
      <w:pPr>
        <w:pStyle w:val="EPBody"/>
      </w:pPr>
      <w:r>
        <w:rPr>
          <w:rStyle w:val="HideTWBExt"/>
        </w:rPr>
        <w:t>&lt;</w:t>
      </w:r>
      <w:r>
        <w:rPr>
          <w:rStyle w:val="HideTWBExt"/>
          <w:i w:val="0"/>
        </w:rPr>
        <w:t>Commission</w:t>
      </w:r>
      <w:r>
        <w:rPr>
          <w:rStyle w:val="HideTWBExt"/>
        </w:rPr>
        <w:t>&gt;</w:t>
      </w:r>
      <w:r>
        <w:rPr>
          <w:rStyle w:val="HideTWBInt"/>
        </w:rPr>
        <w:t>{EMPL}</w:t>
      </w:r>
      <w:r>
        <w:t>Kumitat għall-Impjiegi u l-Affarijiet Soċjali</w:t>
      </w:r>
      <w:r>
        <w:rPr>
          <w:rStyle w:val="HideTWBExt"/>
        </w:rPr>
        <w:t>&lt;/</w:t>
      </w:r>
      <w:r>
        <w:rPr>
          <w:rStyle w:val="HideTWBExt"/>
          <w:i w:val="0"/>
        </w:rPr>
        <w:t>Commission</w:t>
      </w:r>
      <w:r>
        <w:rPr>
          <w:rStyle w:val="HideTWBExt"/>
        </w:rPr>
        <w:t>&gt;</w:t>
      </w:r>
    </w:p>
    <w:p w:rsidR="001746D0" w:rsidRPr="00B43E72" w:rsidRDefault="001746D0" w:rsidP="001746D0">
      <w:pPr>
        <w:pStyle w:val="LineBottom"/>
      </w:pPr>
    </w:p>
    <w:p w:rsidR="002E2F2E" w:rsidRPr="00B43E72" w:rsidRDefault="002E2F2E">
      <w:pPr>
        <w:pStyle w:val="CoverReference"/>
      </w:pPr>
      <w:r>
        <w:rPr>
          <w:rStyle w:val="HideTWBExt"/>
          <w:b w:val="0"/>
        </w:rPr>
        <w:t>&lt;RefProc&gt;</w:t>
      </w:r>
      <w:r>
        <w:t>2023/2143</w:t>
      </w:r>
      <w:r>
        <w:rPr>
          <w:rStyle w:val="HideTWBExt"/>
          <w:b w:val="0"/>
        </w:rPr>
        <w:t>&lt;/RefProc&gt;&lt;RefTypeProc&gt;</w:t>
      </w:r>
      <w:r>
        <w:t>(DEC)</w:t>
      </w:r>
      <w:r>
        <w:rPr>
          <w:rStyle w:val="HideTWBExt"/>
          <w:b w:val="0"/>
        </w:rPr>
        <w:t>&lt;/RefTypeProc&gt;</w:t>
      </w:r>
    </w:p>
    <w:p w:rsidR="002E2F2E" w:rsidRPr="00B43E72" w:rsidRDefault="002E2F2E">
      <w:pPr>
        <w:pStyle w:val="CoverDate"/>
      </w:pPr>
      <w:r>
        <w:rPr>
          <w:rStyle w:val="HideTWBExt"/>
        </w:rPr>
        <w:t>&lt;Date&gt;</w:t>
      </w:r>
      <w:r>
        <w:rPr>
          <w:rStyle w:val="HideTWBInt"/>
        </w:rPr>
        <w:t>{05/02/2024}</w:t>
      </w:r>
      <w:r>
        <w:t>5.2.2024</w:t>
      </w:r>
      <w:r>
        <w:rPr>
          <w:rStyle w:val="HideTWBExt"/>
        </w:rPr>
        <w:t>&lt;/Date&gt;</w:t>
      </w:r>
    </w:p>
    <w:p w:rsidR="002E2F2E" w:rsidRPr="00B43E72" w:rsidRDefault="002E2F2E">
      <w:pPr>
        <w:pStyle w:val="CoverDocType24a"/>
      </w:pPr>
      <w:r>
        <w:rPr>
          <w:rStyle w:val="HideTWBExt"/>
          <w:b w:val="0"/>
        </w:rPr>
        <w:t>&lt;TitreType&gt;</w:t>
      </w:r>
      <w:r>
        <w:t>OPINJONI</w:t>
      </w:r>
      <w:r>
        <w:rPr>
          <w:rStyle w:val="HideTWBExt"/>
          <w:b w:val="0"/>
        </w:rPr>
        <w:t>&lt;/TitreType&gt;</w:t>
      </w:r>
    </w:p>
    <w:p w:rsidR="002E2F2E" w:rsidRPr="00B43E72" w:rsidRDefault="002E2F2E">
      <w:pPr>
        <w:pStyle w:val="CoverNormal24a"/>
      </w:pPr>
      <w:r>
        <w:rPr>
          <w:rStyle w:val="HideTWBExt"/>
        </w:rPr>
        <w:t>&lt;CommissionResp&gt;</w:t>
      </w:r>
      <w:r>
        <w:t>tal-Kumitat għall-Impjiegi u l-Affarijiet Soċjali</w:t>
      </w:r>
      <w:r>
        <w:rPr>
          <w:rStyle w:val="HideTWBExt"/>
        </w:rPr>
        <w:t>&lt;/CommissionResp&gt;</w:t>
      </w:r>
      <w:bookmarkStart w:id="0" w:name="_GoBack"/>
      <w:bookmarkEnd w:id="0"/>
    </w:p>
    <w:p w:rsidR="002E2F2E" w:rsidRPr="00B43E72" w:rsidRDefault="002E2F2E">
      <w:pPr>
        <w:pStyle w:val="CoverNormal24a"/>
      </w:pPr>
      <w:r>
        <w:rPr>
          <w:rStyle w:val="HideTWBExt"/>
        </w:rPr>
        <w:t>&lt;CommissionInt&gt;</w:t>
      </w:r>
      <w:r>
        <w:t>għall-Kumitat għall-Kontroll tal-Baġit</w:t>
      </w:r>
      <w:r>
        <w:rPr>
          <w:rStyle w:val="HideTWBExt"/>
        </w:rPr>
        <w:t>&lt;/CommissionInt&gt;</w:t>
      </w:r>
    </w:p>
    <w:p w:rsidR="002E2F2E" w:rsidRPr="00B43E72" w:rsidRDefault="002E2F2E">
      <w:pPr>
        <w:pStyle w:val="CoverNormal"/>
      </w:pPr>
      <w:r>
        <w:rPr>
          <w:rStyle w:val="HideTWBExt"/>
        </w:rPr>
        <w:t>&lt;Titre&gt;</w:t>
      </w:r>
      <w:r>
        <w:t>dwar il-kwittanza għall-implimentazzjoni tal-baġit taċ-Ċentru Ewropew għall-Iżvilupp ta’ Taħriġ Vokazzjonali (Cedefop)</w:t>
      </w:r>
      <w:r>
        <w:rPr>
          <w:rStyle w:val="HideTWBExt"/>
        </w:rPr>
        <w:t>&lt;/Titre&gt;</w:t>
      </w:r>
    </w:p>
    <w:p w:rsidR="002E2F2E" w:rsidRPr="00B43E72" w:rsidRDefault="002E2F2E">
      <w:pPr>
        <w:pStyle w:val="CoverNormal24a"/>
      </w:pPr>
      <w:r>
        <w:rPr>
          <w:rStyle w:val="HideTWBExt"/>
        </w:rPr>
        <w:t>&lt;DocRef&gt;</w:t>
      </w:r>
      <w:r>
        <w:t>(2023/2143(DEC))</w:t>
      </w:r>
      <w:r>
        <w:rPr>
          <w:rStyle w:val="HideTWBExt"/>
        </w:rPr>
        <w:t>&lt;/DocRef&gt;</w:t>
      </w:r>
    </w:p>
    <w:p w:rsidR="002E2F2E" w:rsidRPr="00B43E72" w:rsidRDefault="00B43E72">
      <w:pPr>
        <w:pStyle w:val="CoverNormal24a"/>
      </w:pPr>
      <w:r>
        <w:t xml:space="preserve">Rapporteur għal opinjoni: </w:t>
      </w:r>
      <w:r>
        <w:rPr>
          <w:rStyle w:val="HideTWBExt"/>
        </w:rPr>
        <w:t>&lt;Depute&gt;</w:t>
      </w:r>
      <w:r>
        <w:t>Romana Tomc</w:t>
      </w:r>
      <w:r>
        <w:rPr>
          <w:rStyle w:val="HideTWBExt"/>
        </w:rPr>
        <w:t>&lt;/Depute&gt;</w:t>
      </w:r>
    </w:p>
    <w:p w:rsidR="00A72C35" w:rsidRPr="00B43E72" w:rsidRDefault="00A72C35" w:rsidP="00A72C35">
      <w:pPr>
        <w:pStyle w:val="CoverNormal"/>
      </w:pPr>
    </w:p>
    <w:p w:rsidR="002E2F2E" w:rsidRPr="00B43E72" w:rsidRDefault="002E2F2E" w:rsidP="00E856D2">
      <w:pPr>
        <w:widowControl/>
        <w:tabs>
          <w:tab w:val="center" w:pos="4677"/>
        </w:tabs>
      </w:pPr>
      <w:r>
        <w:br w:type="page"/>
      </w:r>
      <w:r>
        <w:lastRenderedPageBreak/>
        <w:t>PA_NonLeg</w:t>
      </w:r>
    </w:p>
    <w:p w:rsidR="002E2F2E" w:rsidRPr="00B43E72" w:rsidRDefault="002E2F2E">
      <w:pPr>
        <w:pStyle w:val="PageHeadingNotTOC"/>
      </w:pPr>
      <w:r>
        <w:br w:type="page"/>
      </w:r>
      <w:r>
        <w:lastRenderedPageBreak/>
        <w:t>SUĠĠERIMENTI</w:t>
      </w:r>
    </w:p>
    <w:p w:rsidR="00D57C21" w:rsidRPr="001632D6" w:rsidRDefault="00D57C21" w:rsidP="00D57C21">
      <w:pPr>
        <w:pStyle w:val="Normal12a"/>
      </w:pPr>
      <w:r>
        <w:t>Il-Kumitat għall-Impjiegi u l-Affarijiet Soċjali jistieden lill-Kumitat għall-Kontroll tal-Baġit, bħala l-kumitat responsabbli, biex jinkorpora s-suġġerimenti li ġejjin fil-mozzjoni għal riżoluzzjoni tiegħu:</w:t>
      </w:r>
    </w:p>
    <w:p w:rsidR="00D57C21" w:rsidRPr="001632D6" w:rsidRDefault="00D57C21" w:rsidP="00D57C21">
      <w:pPr>
        <w:pStyle w:val="NormalHanging12a"/>
      </w:pPr>
      <w:r>
        <w:t>–</w:t>
      </w:r>
      <w:r>
        <w:tab/>
        <w:t>wara li kkunsidra r-rapport annwali tal-Qorti Ewropea tal-Awdituri dwar l-implimentazzjoni tal-baġit tal-UE għas-sena finanzjarja 2022;</w:t>
      </w:r>
    </w:p>
    <w:p w:rsidR="00D57C21" w:rsidRPr="001632D6" w:rsidRDefault="00D57C21" w:rsidP="00D57C21">
      <w:pPr>
        <w:pStyle w:val="NormalHanging12a"/>
      </w:pPr>
      <w:r>
        <w:t>–</w:t>
      </w:r>
      <w:r>
        <w:tab/>
        <w:t>wara li kkunsidra r-rapport annwali tal-Qorti Ewropea tal-Awdituri dwar l-aġenziji tal-UE għas-sena finanzjarja 2022;</w:t>
      </w:r>
    </w:p>
    <w:p w:rsidR="00D57C21" w:rsidRPr="001632D6" w:rsidRDefault="00D57C21" w:rsidP="00D57C21">
      <w:pPr>
        <w:pStyle w:val="NormalHanging12a"/>
      </w:pPr>
      <w:r>
        <w:t>–</w:t>
      </w:r>
      <w:r>
        <w:tab/>
        <w:t>wara li kkunsidra r-Rapport Annwali Konsolidat tal-Attività (CAAR) 2022 tas-Cedefop;</w:t>
      </w:r>
    </w:p>
    <w:p w:rsidR="00D57C21" w:rsidRPr="001632D6" w:rsidRDefault="00D57C21" w:rsidP="00D57C21">
      <w:pPr>
        <w:pStyle w:val="NormalHanging12a"/>
      </w:pPr>
      <w:r>
        <w:t>1.</w:t>
      </w:r>
      <w:r>
        <w:tab/>
        <w:t>Jesprimi s-sodisfazzjon tiegħu għall-fatt li l-Qorti Ewropea tal-Awdituri (il-“Qorti”) iddikjarat li t-tranżazzjonijiet li fuqhom huma bbażati l-kontijiet annwali taċ-Ċentru Ewropew għall-Iżvilupp ta’ Taħriġ Vokazzjonali (Cedefop) għas-sena finanzjarja 2022 huma legali u regolari u li l-pożizzjoni finanzjarja tiegħu kif kienet fil-31 ta’ Diċembru 2022 hija rappreżentata b’mod ġust;</w:t>
      </w:r>
    </w:p>
    <w:p w:rsidR="00D57C21" w:rsidRPr="001632D6" w:rsidRDefault="00D57C21" w:rsidP="00D57C21">
      <w:pPr>
        <w:pStyle w:val="NormalHanging12a"/>
        <w:rPr>
          <w:szCs w:val="24"/>
        </w:rPr>
      </w:pPr>
      <w:r>
        <w:t>2.</w:t>
      </w:r>
      <w:r>
        <w:tab/>
        <w:t>Jilqa’ l-fatt li l-baġit tas-Cedefop għas-sena finanzjarja 2022 żdied għal EUR 26 miljun (25 miljun fl-2021)</w:t>
      </w:r>
      <w:r w:rsidRPr="001632D6">
        <w:rPr>
          <w:vertAlign w:val="superscript"/>
        </w:rPr>
        <w:footnoteReference w:id="1"/>
      </w:r>
      <w:r>
        <w:t>; jesprimi s-sodisfazzjon tiegħu għall-fatt li s-Cedefop essenzjalment uża l-finanzjament disponibbli kollu tiegħu b’rata globali ta’ implimentazzjoni tal-baġit ta’ 99,98 %;</w:t>
      </w:r>
    </w:p>
    <w:p w:rsidR="00D57C21" w:rsidRPr="001632D6" w:rsidRDefault="00D57C21" w:rsidP="00D57C21">
      <w:pPr>
        <w:pStyle w:val="NormalHanging12a"/>
        <w:rPr>
          <w:szCs w:val="24"/>
        </w:rPr>
      </w:pPr>
      <w:r>
        <w:t>3.</w:t>
      </w:r>
      <w:r>
        <w:tab/>
        <w:t>Japprezza l-attivitajiet u l-ħidma ta’ kwalità għolja tas-Cedefop biex jipprovdi riċerka, analiżi kif ukoll għarfien espert u pariri tekniċi fil-politiki tal-edukazzjoni u t-taħriġ vokazzjonali (VET), tal-kwalifiki u tal-ħiliet, bil-għan li jippromwovi taħriġ ta’ kwalità għolja mfassal għall-ħtiġijiet tal-individwi u tas-suq tax-xogħol; jenfasizza l-ħtieġa li jibqgħu jiġu żgurati riżorsi umani u finanzjarji adegwati li jippermettu liċ-Ċentru jwettaq il-mandat tiegħu u jkompli jimplimenta l-programm ta’ ħidma tiegħu b’rata għolja ta’ tlestija tal-attivitajiet;</w:t>
      </w:r>
    </w:p>
    <w:p w:rsidR="00D57C21" w:rsidRPr="001632D6" w:rsidRDefault="00D57C21" w:rsidP="00D57C21">
      <w:pPr>
        <w:pStyle w:val="NormalHanging12a"/>
        <w:rPr>
          <w:szCs w:val="24"/>
        </w:rPr>
      </w:pPr>
      <w:r>
        <w:t>4.</w:t>
      </w:r>
      <w:r>
        <w:tab/>
        <w:t>Jilqa’ l-ħidma taċ-Ċentru biex jgħin fl-analiżi tal-impatt tal-pandemija u tat-tranżizzjoni diġitali fuq l-adattament tal-prattiki kummerċjali għar-realtajiet il-ġodda fis-suq tax-xogħol tal-Unjoni, pereżempju permezz tal-Istħarriġ dwar il-Kumpaniji Ewropej b’rabta mal-COVID-19 b’mod konġunt mal-Eurofound; jilqa’, barra minn hekk, ir-rwol taċ-Ċentru fil-kompilazzjoni u t-tixrid tar-riċerka dwar in-nuqqas ta’ tlaqqigħ tal-ħiliet; jenfasizza, f’dan ir-rigward, l-eżerċizzji settorjali ta’ prospettiva tal-ħiliet taċ-Ċentru, jiġifieri approċċ li jħares ’il quddiem biex wieħed jifhem liema huma l-profili tal-ħiliet meħtieġa għat-tranżizzjoni doppja;</w:t>
      </w:r>
    </w:p>
    <w:p w:rsidR="00D57C21" w:rsidRPr="001632D6" w:rsidRDefault="00D57C21" w:rsidP="00D57C21">
      <w:pPr>
        <w:pStyle w:val="NormalHanging12a"/>
        <w:rPr>
          <w:szCs w:val="24"/>
        </w:rPr>
      </w:pPr>
      <w:r>
        <w:t>5.</w:t>
      </w:r>
      <w:r>
        <w:tab/>
        <w:t>Ifakkar fl-importanza tar-rwol taċ-Ċentru biex jiżgura li l-ħiliet diġitali jiġu integrati fil-VET madwar l-Unjoni u biex jissorvelja l-implimentazzjoni u l-impatt tar-Rakkomandazzjonijiet tal-Kunsill dwar l-Aġenda għall-Ħiliet għall-Ewropa, l-</w:t>
      </w:r>
      <w:r>
        <w:lastRenderedPageBreak/>
        <w:t>edukazzjoni u t-taħriġ vokazzjonali (VET) għall-kompetittività sostenibbli, il-ġustizzja soċjali u r-reżiljenza u l-Pjan ta’ Azzjoni għall-Edukazzjoni Diġitali;</w:t>
      </w:r>
    </w:p>
    <w:p w:rsidR="00D57C21" w:rsidRPr="001632D6" w:rsidRDefault="00D57C21" w:rsidP="00D57C21">
      <w:pPr>
        <w:pStyle w:val="NormalHanging12a"/>
      </w:pPr>
      <w:r>
        <w:t>6.</w:t>
      </w:r>
      <w:r>
        <w:tab/>
        <w:t>Jinnota l-fatt li minħabba r-rati għoljin ta’ inflazzjoni, u l-aġġustament tas-salarji relatat, iż-żidiet fis-salarji ogħla mill-projezzjonijiet inizjali flimkien ma’ żieda fil-fattur ta’ ponderazzjoni, il-flessibbiltà biex jiġu żgurati riżorsi addizzjonali għall-attività prinċipali kienet limitata;</w:t>
      </w:r>
    </w:p>
    <w:p w:rsidR="00D57C21" w:rsidRPr="001632D6" w:rsidRDefault="00D57C21" w:rsidP="00D57C21">
      <w:pPr>
        <w:pStyle w:val="NormalHanging12a"/>
        <w:rPr>
          <w:szCs w:val="24"/>
        </w:rPr>
      </w:pPr>
      <w:r>
        <w:t>7.</w:t>
      </w:r>
      <w:r>
        <w:tab/>
        <w:t>Jifraħ lis-Cedefop għall-impenn tiegħu favur is-Sena Ewropea taż-Żgħażagħ u talli mexxa b’suċċess, flimkien mal-Eurofound, l-avveniment ta’ ħames Aġenziji “Youth first! Employment, skills and social policies that work for young Europeans in times of uncertainty” (Iż-żgħażagħ jiġu l-ewwel! Politiki tal-impjiegi, tal-ħiliet u soċjali li jaħdmu għaż-żgħażagħ Ewropej fi żminijiet ta’ inċertezza), ospitat mill-Parlament Ewropew f’Settembru 2022; japprezza l-fatt li l-avveniment kien opportunità addizzjonali biex jiġu diskussi l-politiki taż-żgħażagħ kif ukoll l-opportunitajiet u l-isfidi li ż-żgħażagħ qed jiffaċċjaw, f’termini ta’ impjieg, kundizzjonijiet tax-xogħol, benesseri u saħħa mentali;</w:t>
      </w:r>
    </w:p>
    <w:p w:rsidR="00D57C21" w:rsidRPr="001632D6" w:rsidRDefault="00D57C21" w:rsidP="00D57C21">
      <w:pPr>
        <w:pStyle w:val="NormalHanging12a"/>
        <w:rPr>
          <w:szCs w:val="24"/>
        </w:rPr>
      </w:pPr>
      <w:r>
        <w:t>8.</w:t>
      </w:r>
      <w:r>
        <w:tab/>
        <w:t>Jiddispjaċih għall-fatt li l-Qorti sabet xi irregolaritajiet relatati mal-pagament tal-kumpens għas-sussistenza għal kull jum li saru mis-Cedefop lil żewġ esperti nazzjonali sekondati (SNEs) impjegati minnu; jirrikonoxxi l-fatt li s-Cedefop identifika u ddokumenta tali irregolaritajiet fir-reġistru tan-nuqqas ta’ konformità u rrettifika s-sitwazzjoni abbażi ta’ parir legali estern; jilqa’ l-għan taċ-Ċentru li jemenda r-regoli tiegħu biex jagħmilha possibbli li kwalunkwe SNE li jkollu jibdel il-post tal-għajxien tiegħu u jirriloka f’Salonka jkun eliġibbli li jirċievi allowances, peress li dan jiżgura wkoll it-trattament ugwali tal-SNEs indipendentement min-nazzjonalità tagħhom;</w:t>
      </w:r>
    </w:p>
    <w:p w:rsidR="00D57C21" w:rsidRPr="001632D6" w:rsidRDefault="00D57C21" w:rsidP="00D57C21">
      <w:pPr>
        <w:pStyle w:val="NormalHanging12a"/>
        <w:rPr>
          <w:szCs w:val="24"/>
        </w:rPr>
      </w:pPr>
      <w:r>
        <w:t>9.</w:t>
      </w:r>
      <w:r>
        <w:tab/>
        <w:t>Jiddispjaċih li l-Qorti għamlet osservazzjonijiet dwar il-ġestjoni baġitarja, b’mod partikolari li l-metodu ta’ kalkolu tal-kontribuzzjoni ma ġiex applikat b’mod korrett u jistieden lis-Cedefop itejjeb il-proċeduri interni tiegħu f’dan ir-rigward;</w:t>
      </w:r>
    </w:p>
    <w:p w:rsidR="00D57C21" w:rsidRPr="001632D6" w:rsidRDefault="00D57C21" w:rsidP="00D57C21">
      <w:pPr>
        <w:pStyle w:val="NormalHanging12a"/>
        <w:rPr>
          <w:szCs w:val="24"/>
        </w:rPr>
      </w:pPr>
      <w:r>
        <w:t>10.</w:t>
      </w:r>
      <w:r>
        <w:tab/>
        <w:t>Ifaħħar lis-Cedefop talli stabbilixxa pjan korporattiv biex ittejjeb l-effiċjenza enerġetika u n-newtralità klimatika tal-operazzjonijiet tiegħu;</w:t>
      </w:r>
    </w:p>
    <w:p w:rsidR="00D57C21" w:rsidRPr="001632D6" w:rsidRDefault="00D57C21" w:rsidP="00D57C21">
      <w:pPr>
        <w:pStyle w:val="NormalHanging12a"/>
      </w:pPr>
      <w:r>
        <w:t>11.</w:t>
      </w:r>
      <w:r>
        <w:tab/>
        <w:t>Jilqa’ l-fatt li s-Cedefop ikkompleta l-azzjonijiet kollha meħuda abbażi tal-osservazzjonijiet tal-Qorti b’rabta mal-implimentazzjoni tal-baġit għas-sena finanzjarja 2021;</w:t>
      </w:r>
    </w:p>
    <w:p w:rsidR="00D57C21" w:rsidRDefault="00D57C21" w:rsidP="00D57C21">
      <w:pPr>
        <w:widowControl/>
        <w:tabs>
          <w:tab w:val="left" w:pos="-720"/>
        </w:tabs>
        <w:ind w:left="567" w:hanging="567"/>
      </w:pPr>
      <w:r>
        <w:t>12.</w:t>
      </w:r>
      <w:r>
        <w:tab/>
        <w:t>Jirrakkomanda, abbażi tal-fatti disponibbli, li tingħata l-kwittanza lid-Direttur Eżekuttiv taċ-Ċentru Ewropew għall-Iżvilupp ta’ Taħriġ Vokazzjonali għall-implimentazzjoni tal-baġit tas-Cedefop għas-sena finanzjarja 2022.</w:t>
      </w:r>
    </w:p>
    <w:p w:rsidR="00D57C21" w:rsidRDefault="00D57C21" w:rsidP="00D57C21">
      <w:pPr>
        <w:sectPr w:rsidR="00D57C21" w:rsidSect="00D57C2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57C21" w:rsidRDefault="00D57C21" w:rsidP="002B2C72">
      <w:pPr>
        <w:pStyle w:val="PageHeadingNotTOC"/>
        <w:rPr>
          <w:noProof/>
        </w:rPr>
      </w:pPr>
      <w:bookmarkStart w:id="1" w:name="FootprintPageAD"/>
      <w:r>
        <w:lastRenderedPageBreak/>
        <w:t>ANNESS: ENTITAJIET JEW PERSUNI</w:t>
      </w:r>
      <w:r>
        <w:br/>
        <w:t>LI R-RAPPORTEUR GĦAL OPINJONI RĊEVIET KONTRIBUT MINGĦANDHOM</w:t>
      </w:r>
    </w:p>
    <w:p w:rsidR="00D57C21" w:rsidRPr="0099178F" w:rsidRDefault="00D57C21" w:rsidP="00037518">
      <w:pPr>
        <w:pStyle w:val="Normal24a"/>
      </w:pPr>
      <w:r>
        <w:rPr>
          <w:rStyle w:val="HideTWBExt"/>
        </w:rPr>
        <w:t>&lt;FootprintIntro&gt;</w:t>
      </w:r>
      <w:r>
        <w:t>Ir-rapporteur għal opinjoni tiddikjara, taħt ir-responsabbiltà esklużiva tagħha, li ma rċeviet l-ebda kontribut minn entità jew persuna li jrid jissemma f’dan l-Anness f’konformità mal-Artikolu 8 tal-Anness I tar-Regoli ta’ Proċedura.</w:t>
      </w:r>
      <w:r>
        <w:rPr>
          <w:rStyle w:val="HideTWBExt"/>
        </w:rPr>
        <w:t>&lt;/FootprintIntro&gt;</w:t>
      </w:r>
    </w:p>
    <w:p w:rsidR="00D57C21" w:rsidRDefault="00D57C21" w:rsidP="00AD5932"/>
    <w:p w:rsidR="00D57C21" w:rsidRPr="00D57C21" w:rsidRDefault="00D57C21" w:rsidP="00D57C21"/>
    <w:bookmarkEnd w:id="1"/>
    <w:p w:rsidR="00D57C21" w:rsidRDefault="00D57C21" w:rsidP="00D57C21">
      <w:pPr>
        <w:sectPr w:rsidR="00D57C21" w:rsidSect="00D57C2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7C21" w:rsidRPr="00D57C21" w:rsidRDefault="00D57C21" w:rsidP="00D57C21"/>
    <w:p w:rsidR="00D57C21" w:rsidRDefault="00D57C21" w:rsidP="00D57C21">
      <w:pPr>
        <w:pStyle w:val="PageHeadingNotTOC"/>
      </w:pPr>
      <w:bookmarkStart w:id="2" w:name="ProcPageAD"/>
      <w:r>
        <w:t>INFORMAZZJONI DWAR L-ADOZZJONI</w:t>
      </w:r>
      <w:r>
        <w:br/>
        <w:t>FIL-KUMITAT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57C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7C21" w:rsidRDefault="00D57C21">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7C21" w:rsidRDefault="00D57C2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7C21" w:rsidRDefault="00D57C2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rFonts w:ascii="sans-serif" w:hAnsi="sans-serif" w:cs="sans-serif"/>
                <w:color w:val="000000"/>
                <w:szCs w:val="24"/>
              </w:rPr>
            </w:pPr>
          </w:p>
        </w:tc>
      </w:tr>
      <w:tr w:rsidR="00D57C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7C21" w:rsidRDefault="00D57C21">
            <w:pPr>
              <w:autoSpaceDE w:val="0"/>
              <w:autoSpaceDN w:val="0"/>
              <w:adjustRightInd w:val="0"/>
              <w:rPr>
                <w:color w:val="000000"/>
                <w:sz w:val="20"/>
              </w:rPr>
            </w:pPr>
            <w:r>
              <w:rPr>
                <w:color w:val="000000"/>
                <w:sz w:val="20"/>
              </w:rPr>
              <w:t>+:</w:t>
            </w:r>
          </w:p>
          <w:p w:rsidR="00D57C21" w:rsidRDefault="00D57C21">
            <w:pPr>
              <w:autoSpaceDE w:val="0"/>
              <w:autoSpaceDN w:val="0"/>
              <w:adjustRightInd w:val="0"/>
              <w:rPr>
                <w:color w:val="000000"/>
                <w:sz w:val="20"/>
              </w:rPr>
            </w:pPr>
            <w:r>
              <w:rPr>
                <w:color w:val="000000"/>
                <w:sz w:val="20"/>
              </w:rPr>
              <w:t>–:</w:t>
            </w:r>
          </w:p>
          <w:p w:rsidR="00D57C21" w:rsidRDefault="00D57C2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color w:val="000000"/>
                <w:sz w:val="20"/>
              </w:rPr>
            </w:pPr>
            <w:r>
              <w:rPr>
                <w:color w:val="000000"/>
                <w:sz w:val="20"/>
              </w:rPr>
              <w:t>36</w:t>
            </w:r>
          </w:p>
          <w:p w:rsidR="00D57C21" w:rsidRDefault="00D57C21">
            <w:pPr>
              <w:autoSpaceDE w:val="0"/>
              <w:autoSpaceDN w:val="0"/>
              <w:adjustRightInd w:val="0"/>
              <w:rPr>
                <w:color w:val="000000"/>
                <w:sz w:val="20"/>
              </w:rPr>
            </w:pPr>
            <w:r>
              <w:rPr>
                <w:color w:val="000000"/>
                <w:sz w:val="20"/>
              </w:rPr>
              <w:t>1</w:t>
            </w:r>
          </w:p>
          <w:p w:rsidR="00D57C21" w:rsidRDefault="00D57C21">
            <w:pPr>
              <w:autoSpaceDE w:val="0"/>
              <w:autoSpaceDN w:val="0"/>
              <w:adjustRightInd w:val="0"/>
              <w:rPr>
                <w:color w:val="000000"/>
                <w:sz w:val="20"/>
              </w:rPr>
            </w:pPr>
            <w:r>
              <w:rPr>
                <w:color w:val="000000"/>
                <w:sz w:val="20"/>
              </w:rPr>
              <w:t>2</w:t>
            </w:r>
          </w:p>
        </w:tc>
      </w:tr>
      <w:tr w:rsidR="00D57C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b/>
                <w:bCs/>
                <w:color w:val="000000"/>
                <w:sz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color w:val="000000"/>
                <w:sz w:val="20"/>
              </w:rPr>
            </w:pPr>
            <w:r>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D57C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color w:val="000000"/>
                <w:sz w:val="20"/>
              </w:rPr>
            </w:pPr>
            <w:r>
              <w:rPr>
                <w:color w:val="000000"/>
                <w:sz w:val="20"/>
              </w:rPr>
              <w:t>Catherine Amalric, Romeo Franz, Lina Gálvez Muñoz, José Gusmão</w:t>
            </w:r>
          </w:p>
        </w:tc>
      </w:tr>
      <w:tr w:rsidR="00D57C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b/>
                <w:bCs/>
                <w:color w:val="000000"/>
                <w:sz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7C21" w:rsidRDefault="00D57C21">
            <w:pPr>
              <w:autoSpaceDE w:val="0"/>
              <w:autoSpaceDN w:val="0"/>
              <w:adjustRightInd w:val="0"/>
              <w:rPr>
                <w:color w:val="000000"/>
                <w:sz w:val="20"/>
              </w:rPr>
            </w:pPr>
            <w:r>
              <w:rPr>
                <w:color w:val="000000"/>
                <w:sz w:val="20"/>
              </w:rPr>
              <w:t>Maria Noichl, Carina Ohlsson, Vera Tax</w:t>
            </w:r>
          </w:p>
        </w:tc>
      </w:tr>
    </w:tbl>
    <w:p w:rsidR="00D57C21" w:rsidRPr="00D57C21" w:rsidRDefault="00D57C21" w:rsidP="00D57C21"/>
    <w:bookmarkEnd w:id="2"/>
    <w:p w:rsidR="00D57C21" w:rsidRDefault="00D57C21" w:rsidP="00D57C21">
      <w:pPr>
        <w:sectPr w:rsidR="00D57C21" w:rsidSect="00D57C2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7C21" w:rsidRPr="0099178F" w:rsidRDefault="00D57C21" w:rsidP="00C36610">
      <w:pPr>
        <w:pStyle w:val="PageHeadingNotTOC"/>
      </w:pPr>
      <w:bookmarkStart w:id="3" w:name="RollCallPageAD"/>
      <w:r>
        <w:lastRenderedPageBreak/>
        <w:t>VOTAZZJONI FINALI B’SEJĦA TAL-ISMIJIET</w:t>
      </w:r>
      <w:r>
        <w:br/>
        <w:t>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7C21" w:rsidRPr="001632D6" w:rsidTr="005E5A94">
        <w:trPr>
          <w:cantSplit/>
        </w:trPr>
        <w:tc>
          <w:tcPr>
            <w:tcW w:w="1701" w:type="dxa"/>
            <w:shd w:val="pct10" w:color="000000" w:fill="FFFFFF"/>
            <w:vAlign w:val="center"/>
          </w:tcPr>
          <w:p w:rsidR="00D57C21" w:rsidRPr="001632D6" w:rsidRDefault="00D57C21" w:rsidP="005E5A94">
            <w:pPr>
              <w:pStyle w:val="RollCallVotes"/>
            </w:pPr>
            <w:r>
              <w:t>36</w:t>
            </w:r>
          </w:p>
        </w:tc>
        <w:tc>
          <w:tcPr>
            <w:tcW w:w="7371" w:type="dxa"/>
            <w:shd w:val="pct10" w:color="000000" w:fill="FFFFFF"/>
          </w:tcPr>
          <w:p w:rsidR="00D57C21" w:rsidRPr="001632D6" w:rsidRDefault="00D57C21" w:rsidP="005E5A94">
            <w:pPr>
              <w:pStyle w:val="RollCallSymbols14pt"/>
            </w:pPr>
            <w:r>
              <w:t>+</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ECR</w:t>
            </w:r>
          </w:p>
        </w:tc>
        <w:tc>
          <w:tcPr>
            <w:tcW w:w="7371" w:type="dxa"/>
            <w:shd w:val="clear" w:color="auto" w:fill="FFFFFF"/>
          </w:tcPr>
          <w:p w:rsidR="00D57C21" w:rsidRPr="001632D6" w:rsidRDefault="00D57C21" w:rsidP="005E5A94">
            <w:pPr>
              <w:pStyle w:val="RollCallTable"/>
            </w:pPr>
            <w:r>
              <w:t>Chiara Gemma</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NI</w:t>
            </w:r>
          </w:p>
        </w:tc>
        <w:tc>
          <w:tcPr>
            <w:tcW w:w="7371" w:type="dxa"/>
            <w:shd w:val="clear" w:color="auto" w:fill="FFFFFF"/>
          </w:tcPr>
          <w:p w:rsidR="00D57C21" w:rsidRPr="001632D6" w:rsidRDefault="00D57C21" w:rsidP="005E5A94">
            <w:pPr>
              <w:pStyle w:val="RollCallTable"/>
            </w:pPr>
            <w:r>
              <w:t>Ádám Kósa</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PPE</w:t>
            </w:r>
          </w:p>
        </w:tc>
        <w:tc>
          <w:tcPr>
            <w:tcW w:w="7371" w:type="dxa"/>
            <w:shd w:val="clear" w:color="auto" w:fill="FFFFFF"/>
          </w:tcPr>
          <w:p w:rsidR="00D57C21" w:rsidRPr="001632D6" w:rsidRDefault="00D57C21" w:rsidP="005E5A94">
            <w:pPr>
              <w:pStyle w:val="RollCallTable"/>
            </w:pPr>
            <w:r>
              <w:t>David Casa, Jarosław Duda, Cindy Franssen, Helmut Geuking, Radan Kanev, Dennis Radtke, Eugen Tomac, Romana Tomc, Maria Walsh</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Renew</w:t>
            </w:r>
          </w:p>
        </w:tc>
        <w:tc>
          <w:tcPr>
            <w:tcW w:w="7371" w:type="dxa"/>
            <w:shd w:val="clear" w:color="auto" w:fill="FFFFFF"/>
          </w:tcPr>
          <w:p w:rsidR="00D57C21" w:rsidRPr="001632D6" w:rsidRDefault="00D57C21" w:rsidP="005E5A94">
            <w:pPr>
              <w:pStyle w:val="RollCallTable"/>
            </w:pPr>
            <w:r>
              <w:t>Atidzhe Alieva-Veli, Catherine Amalric, Jordi Cañas, Lucia Ďuriš Nicholsonová, Jozef Mihál, Max Orville, Monica Semedo</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S&amp;D</w:t>
            </w:r>
          </w:p>
        </w:tc>
        <w:tc>
          <w:tcPr>
            <w:tcW w:w="7371" w:type="dxa"/>
            <w:shd w:val="clear" w:color="auto" w:fill="FFFFFF"/>
          </w:tcPr>
          <w:p w:rsidR="00D57C21" w:rsidRPr="001632D6" w:rsidRDefault="00D57C21" w:rsidP="005E5A94">
            <w:pPr>
              <w:pStyle w:val="RollCallTable"/>
            </w:pPr>
            <w:r>
              <w:t>João Albuquerque, Vilija Blinkevičiūtė, Milan Brglez, Ilan De Basso, Estrella Durá Ferrandis, Lina Gálvez Muñoz, Elisabetta Gualmini, Agnes Jongerius, Maria Noichl, Carina Ohlsson, Vera Tax</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The Left</w:t>
            </w:r>
          </w:p>
        </w:tc>
        <w:tc>
          <w:tcPr>
            <w:tcW w:w="7371" w:type="dxa"/>
            <w:shd w:val="clear" w:color="auto" w:fill="FFFFFF"/>
          </w:tcPr>
          <w:p w:rsidR="00D57C21" w:rsidRPr="001632D6" w:rsidRDefault="00D57C21" w:rsidP="005E5A94">
            <w:pPr>
              <w:pStyle w:val="RollCallTable"/>
            </w:pPr>
            <w:r>
              <w:t>Leila Chaibi, José Gusmão, Nikolaj Villumsen</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Verts/ALE</w:t>
            </w:r>
          </w:p>
        </w:tc>
        <w:tc>
          <w:tcPr>
            <w:tcW w:w="7371" w:type="dxa"/>
            <w:shd w:val="clear" w:color="auto" w:fill="FFFFFF"/>
          </w:tcPr>
          <w:p w:rsidR="00D57C21" w:rsidRPr="001632D6" w:rsidRDefault="00D57C21" w:rsidP="005E5A94">
            <w:pPr>
              <w:pStyle w:val="RollCallTable"/>
            </w:pPr>
            <w:r>
              <w:t>Romeo Franz, Katrin Langensiepen, Sara Matthieu, Mounir Satouri</w:t>
            </w:r>
          </w:p>
        </w:tc>
      </w:tr>
    </w:tbl>
    <w:p w:rsidR="00D57C21" w:rsidRPr="001632D6" w:rsidRDefault="00D57C21" w:rsidP="00D57C2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7C21" w:rsidRPr="001632D6" w:rsidTr="005E5A94">
        <w:trPr>
          <w:cantSplit/>
        </w:trPr>
        <w:tc>
          <w:tcPr>
            <w:tcW w:w="1701" w:type="dxa"/>
            <w:shd w:val="pct10" w:color="000000" w:fill="FFFFFF"/>
            <w:vAlign w:val="center"/>
          </w:tcPr>
          <w:p w:rsidR="00D57C21" w:rsidRPr="001632D6" w:rsidRDefault="00D57C21" w:rsidP="005E5A94">
            <w:pPr>
              <w:pStyle w:val="RollCallVotes"/>
            </w:pPr>
            <w:r>
              <w:t>1</w:t>
            </w:r>
          </w:p>
        </w:tc>
        <w:tc>
          <w:tcPr>
            <w:tcW w:w="7371" w:type="dxa"/>
            <w:shd w:val="pct10" w:color="000000" w:fill="FFFFFF"/>
          </w:tcPr>
          <w:p w:rsidR="00D57C21" w:rsidRPr="001632D6" w:rsidRDefault="00D57C21" w:rsidP="005E5A94">
            <w:pPr>
              <w:pStyle w:val="RollCallSymbols14pt"/>
            </w:pPr>
            <w:r>
              <w:t>-</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ID</w:t>
            </w:r>
          </w:p>
        </w:tc>
        <w:tc>
          <w:tcPr>
            <w:tcW w:w="7371" w:type="dxa"/>
            <w:shd w:val="clear" w:color="auto" w:fill="FFFFFF"/>
          </w:tcPr>
          <w:p w:rsidR="00D57C21" w:rsidRPr="001632D6" w:rsidRDefault="00D57C21" w:rsidP="005E5A94">
            <w:pPr>
              <w:pStyle w:val="RollCallTable"/>
            </w:pPr>
            <w:r>
              <w:t>Dominique Bilde</w:t>
            </w:r>
          </w:p>
        </w:tc>
      </w:tr>
    </w:tbl>
    <w:p w:rsidR="00D57C21" w:rsidRPr="001632D6" w:rsidRDefault="00D57C21" w:rsidP="00D57C2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7C21" w:rsidRPr="001632D6" w:rsidTr="005E5A94">
        <w:trPr>
          <w:cantSplit/>
        </w:trPr>
        <w:tc>
          <w:tcPr>
            <w:tcW w:w="1701" w:type="dxa"/>
            <w:shd w:val="pct10" w:color="000000" w:fill="FFFFFF"/>
            <w:vAlign w:val="center"/>
          </w:tcPr>
          <w:p w:rsidR="00D57C21" w:rsidRPr="001632D6" w:rsidRDefault="00D57C21" w:rsidP="005E5A94">
            <w:pPr>
              <w:pStyle w:val="RollCallVotes"/>
            </w:pPr>
            <w:r>
              <w:t>2</w:t>
            </w:r>
          </w:p>
        </w:tc>
        <w:tc>
          <w:tcPr>
            <w:tcW w:w="7371" w:type="dxa"/>
            <w:shd w:val="pct10" w:color="000000" w:fill="FFFFFF"/>
          </w:tcPr>
          <w:p w:rsidR="00D57C21" w:rsidRPr="001632D6" w:rsidRDefault="00D57C21" w:rsidP="005E5A94">
            <w:pPr>
              <w:pStyle w:val="RollCallSymbols14pt"/>
            </w:pPr>
            <w:r>
              <w:t>0</w:t>
            </w:r>
          </w:p>
        </w:tc>
      </w:tr>
      <w:tr w:rsidR="00D57C21" w:rsidRPr="001632D6" w:rsidTr="005E5A94">
        <w:trPr>
          <w:cantSplit/>
        </w:trPr>
        <w:tc>
          <w:tcPr>
            <w:tcW w:w="1701" w:type="dxa"/>
            <w:shd w:val="clear" w:color="auto" w:fill="FFFFFF"/>
          </w:tcPr>
          <w:p w:rsidR="00D57C21" w:rsidRPr="001632D6" w:rsidRDefault="00D57C21" w:rsidP="005E5A94">
            <w:pPr>
              <w:pStyle w:val="RollCallTable"/>
            </w:pPr>
            <w:r>
              <w:t>ID</w:t>
            </w:r>
          </w:p>
        </w:tc>
        <w:tc>
          <w:tcPr>
            <w:tcW w:w="7371" w:type="dxa"/>
            <w:shd w:val="clear" w:color="auto" w:fill="FFFFFF"/>
          </w:tcPr>
          <w:p w:rsidR="00D57C21" w:rsidRPr="001632D6" w:rsidRDefault="00D57C21" w:rsidP="005E5A94">
            <w:pPr>
              <w:pStyle w:val="RollCallTable"/>
            </w:pPr>
            <w:r>
              <w:t>Elena Lizzi, Antonio Maria Rinaldi</w:t>
            </w:r>
          </w:p>
        </w:tc>
      </w:tr>
    </w:tbl>
    <w:p w:rsidR="00D57C21" w:rsidRDefault="00D57C21" w:rsidP="00147FBF">
      <w:pPr>
        <w:pStyle w:val="Normal12a"/>
      </w:pPr>
    </w:p>
    <w:p w:rsidR="00D57C21" w:rsidRDefault="00D57C21" w:rsidP="00B735E3">
      <w:r>
        <w:t>Tifsira tas-simboli użati:</w:t>
      </w:r>
    </w:p>
    <w:p w:rsidR="00D57C21" w:rsidRDefault="00D57C21" w:rsidP="003858C5">
      <w:pPr>
        <w:pStyle w:val="RollCallTabs"/>
      </w:pPr>
      <w:r>
        <w:t>+</w:t>
      </w:r>
      <w:r>
        <w:tab/>
        <w:t>:</w:t>
      </w:r>
      <w:r>
        <w:tab/>
        <w:t>favur</w:t>
      </w:r>
    </w:p>
    <w:p w:rsidR="00D57C21" w:rsidRDefault="00D57C21" w:rsidP="003858C5">
      <w:pPr>
        <w:pStyle w:val="RollCallTabs"/>
      </w:pPr>
      <w:r>
        <w:t>-</w:t>
      </w:r>
      <w:r>
        <w:tab/>
        <w:t>:</w:t>
      </w:r>
      <w:r>
        <w:tab/>
        <w:t>kontra</w:t>
      </w:r>
    </w:p>
    <w:p w:rsidR="00D57C21" w:rsidRDefault="00D57C21" w:rsidP="003858C5">
      <w:pPr>
        <w:pStyle w:val="RollCallTabs"/>
      </w:pPr>
      <w:r>
        <w:t>0</w:t>
      </w:r>
      <w:r>
        <w:tab/>
        <w:t>:</w:t>
      </w:r>
      <w:r>
        <w:tab/>
        <w:t>astensjoni</w:t>
      </w:r>
    </w:p>
    <w:p w:rsidR="00D57C21" w:rsidRDefault="00D57C21" w:rsidP="00207509"/>
    <w:bookmarkEnd w:id="3"/>
    <w:p w:rsidR="002E6F98" w:rsidRPr="00D57C21" w:rsidRDefault="002E6F98" w:rsidP="00D57C21"/>
    <w:sectPr w:rsidR="002E6F98" w:rsidRPr="00D57C21" w:rsidSect="00D57C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E72" w:rsidRPr="00B43E72" w:rsidRDefault="00B43E72">
      <w:r w:rsidRPr="00B43E72">
        <w:separator/>
      </w:r>
    </w:p>
  </w:endnote>
  <w:endnote w:type="continuationSeparator" w:id="0">
    <w:p w:rsidR="00B43E72" w:rsidRPr="00B43E72" w:rsidRDefault="00B43E72">
      <w:r w:rsidRPr="00B43E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21" w:rsidRDefault="00D57C21" w:rsidP="00D57C21">
    <w:pPr>
      <w:pStyle w:val="EPFooter"/>
    </w:pPr>
    <w:r>
      <w:t>PE</w:t>
    </w:r>
    <w:r w:rsidRPr="00D57C21">
      <w:rPr>
        <w:rStyle w:val="HideTWBExt"/>
      </w:rPr>
      <w:t>&lt;NoPE&gt;</w:t>
    </w:r>
    <w:r>
      <w:t>752.905</w:t>
    </w:r>
    <w:r w:rsidRPr="00D57C21">
      <w:rPr>
        <w:rStyle w:val="HideTWBExt"/>
      </w:rPr>
      <w:t>&lt;/NoPE&gt;&lt;Version&gt;</w:t>
    </w:r>
    <w:r>
      <w:t>v04-00</w:t>
    </w:r>
    <w:r w:rsidRPr="00D57C21">
      <w:rPr>
        <w:rStyle w:val="HideTWBExt"/>
      </w:rPr>
      <w:t>&lt;/Version&gt;</w:t>
    </w:r>
    <w:r>
      <w:tab/>
    </w:r>
    <w:r>
      <w:fldChar w:fldCharType="begin"/>
    </w:r>
    <w:r>
      <w:instrText xml:space="preserve"> PAGE  \* MERGEFORMAT </w:instrText>
    </w:r>
    <w:r>
      <w:fldChar w:fldCharType="separate"/>
    </w:r>
    <w:r w:rsidR="0016181F">
      <w:rPr>
        <w:noProof/>
      </w:rPr>
      <w:t>2</w:t>
    </w:r>
    <w:r>
      <w:fldChar w:fldCharType="end"/>
    </w:r>
    <w:r>
      <w:t>/</w:t>
    </w:r>
    <w:r w:rsidR="0016181F">
      <w:fldChar w:fldCharType="begin"/>
    </w:r>
    <w:r w:rsidR="0016181F">
      <w:instrText xml:space="preserve"> NUMPAGES  \* MERGEFORMAT </w:instrText>
    </w:r>
    <w:r w:rsidR="0016181F">
      <w:fldChar w:fldCharType="separate"/>
    </w:r>
    <w:r w:rsidR="0016181F">
      <w:rPr>
        <w:noProof/>
      </w:rPr>
      <w:t>7</w:t>
    </w:r>
    <w:r w:rsidR="0016181F">
      <w:rPr>
        <w:noProof/>
      </w:rPr>
      <w:fldChar w:fldCharType="end"/>
    </w:r>
    <w:r>
      <w:tab/>
    </w:r>
    <w:r w:rsidRPr="00D57C21">
      <w:rPr>
        <w:rStyle w:val="HideTWBExt"/>
      </w:rPr>
      <w:t>&lt;PathFdR&gt;</w:t>
    </w:r>
    <w:r>
      <w:t>AD\1296107MT.docx</w:t>
    </w:r>
    <w:r w:rsidRPr="00D57C21">
      <w:rPr>
        <w:rStyle w:val="HideTWBExt"/>
      </w:rPr>
      <w:t>&lt;/PathFdR&gt;</w:t>
    </w:r>
  </w:p>
  <w:p w:rsidR="002E2F2E" w:rsidRPr="00B43E72" w:rsidRDefault="00D57C21" w:rsidP="00D57C21">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21" w:rsidRDefault="00D57C21" w:rsidP="00D57C21">
    <w:pPr>
      <w:pStyle w:val="EPFooter"/>
    </w:pPr>
    <w:r w:rsidRPr="00D57C21">
      <w:rPr>
        <w:rStyle w:val="HideTWBExt"/>
      </w:rPr>
      <w:t>&lt;PathFdR&gt;</w:t>
    </w:r>
    <w:r>
      <w:t>AD\1296107MT.docx</w:t>
    </w:r>
    <w:r w:rsidRPr="00D57C21">
      <w:rPr>
        <w:rStyle w:val="HideTWBExt"/>
      </w:rPr>
      <w:t>&lt;/PathFdR&gt;</w:t>
    </w:r>
    <w:r>
      <w:tab/>
    </w:r>
    <w:r>
      <w:fldChar w:fldCharType="begin"/>
    </w:r>
    <w:r>
      <w:instrText xml:space="preserve"> PAGE  \* MERGEFORMAT </w:instrText>
    </w:r>
    <w:r>
      <w:fldChar w:fldCharType="separate"/>
    </w:r>
    <w:r w:rsidR="0016181F">
      <w:rPr>
        <w:noProof/>
      </w:rPr>
      <w:t>7</w:t>
    </w:r>
    <w:r>
      <w:fldChar w:fldCharType="end"/>
    </w:r>
    <w:r>
      <w:t>/</w:t>
    </w:r>
    <w:r w:rsidR="0016181F">
      <w:fldChar w:fldCharType="begin"/>
    </w:r>
    <w:r w:rsidR="0016181F">
      <w:instrText xml:space="preserve"> NUMPAGES  \* MERGEFORMAT </w:instrText>
    </w:r>
    <w:r w:rsidR="0016181F">
      <w:fldChar w:fldCharType="separate"/>
    </w:r>
    <w:r w:rsidR="0016181F">
      <w:rPr>
        <w:noProof/>
      </w:rPr>
      <w:t>7</w:t>
    </w:r>
    <w:r w:rsidR="0016181F">
      <w:rPr>
        <w:noProof/>
      </w:rPr>
      <w:fldChar w:fldCharType="end"/>
    </w:r>
    <w:r>
      <w:tab/>
      <w:t>PE</w:t>
    </w:r>
    <w:r w:rsidRPr="00D57C21">
      <w:rPr>
        <w:rStyle w:val="HideTWBExt"/>
      </w:rPr>
      <w:t>&lt;NoPE&gt;</w:t>
    </w:r>
    <w:r>
      <w:t>752.905</w:t>
    </w:r>
    <w:r w:rsidRPr="00D57C21">
      <w:rPr>
        <w:rStyle w:val="HideTWBExt"/>
      </w:rPr>
      <w:t>&lt;/NoPE&gt;&lt;Version&gt;</w:t>
    </w:r>
    <w:r>
      <w:t>v04-00</w:t>
    </w:r>
    <w:r w:rsidRPr="00D57C21">
      <w:rPr>
        <w:rStyle w:val="HideTWBExt"/>
      </w:rPr>
      <w:t>&lt;/Version&gt;</w:t>
    </w:r>
  </w:p>
  <w:p w:rsidR="002E2F2E" w:rsidRPr="00B43E72" w:rsidRDefault="00D57C21" w:rsidP="00D57C21">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21" w:rsidRDefault="00D57C21" w:rsidP="00D57C21">
    <w:pPr>
      <w:pStyle w:val="EPFooter"/>
    </w:pPr>
    <w:r w:rsidRPr="00D57C21">
      <w:rPr>
        <w:rStyle w:val="HideTWBExt"/>
      </w:rPr>
      <w:t>&lt;PathFdR&gt;</w:t>
    </w:r>
    <w:r>
      <w:t>AD\1296107MT.docx</w:t>
    </w:r>
    <w:r w:rsidRPr="00D57C21">
      <w:rPr>
        <w:rStyle w:val="HideTWBExt"/>
      </w:rPr>
      <w:t>&lt;/PathFdR&gt;</w:t>
    </w:r>
    <w:r>
      <w:tab/>
    </w:r>
    <w:r>
      <w:tab/>
      <w:t>PE</w:t>
    </w:r>
    <w:r w:rsidRPr="00D57C21">
      <w:rPr>
        <w:rStyle w:val="HideTWBExt"/>
      </w:rPr>
      <w:t>&lt;NoPE&gt;</w:t>
    </w:r>
    <w:r>
      <w:t>752.905</w:t>
    </w:r>
    <w:r w:rsidRPr="00D57C21">
      <w:rPr>
        <w:rStyle w:val="HideTWBExt"/>
      </w:rPr>
      <w:t>&lt;/NoPE&gt;&lt;Version&gt;</w:t>
    </w:r>
    <w:r>
      <w:t>v04-00</w:t>
    </w:r>
    <w:r w:rsidRPr="00D57C21">
      <w:rPr>
        <w:rStyle w:val="HideTWBExt"/>
      </w:rPr>
      <w:t>&lt;/Version&gt;</w:t>
    </w:r>
  </w:p>
  <w:p w:rsidR="002E2F2E" w:rsidRPr="00B43E72" w:rsidRDefault="00D57C21" w:rsidP="00D57C21">
    <w:pPr>
      <w:pStyle w:val="EPFooter2"/>
    </w:pPr>
    <w:r>
      <w:t>MT</w:t>
    </w:r>
    <w:r>
      <w:tab/>
    </w:r>
    <w:r w:rsidRPr="00D57C21">
      <w:rPr>
        <w:b w:val="0"/>
        <w:i/>
        <w:color w:val="C0C0C0"/>
        <w:sz w:val="22"/>
      </w:rPr>
      <w:t>Magħquda fid-diversità</w:t>
    </w:r>
    <w:r>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E72" w:rsidRPr="00B43E72" w:rsidRDefault="00B43E72">
      <w:r w:rsidRPr="00B43E72">
        <w:separator/>
      </w:r>
    </w:p>
  </w:footnote>
  <w:footnote w:type="continuationSeparator" w:id="0">
    <w:p w:rsidR="00B43E72" w:rsidRPr="00B43E72" w:rsidRDefault="00B43E72">
      <w:r w:rsidRPr="00B43E72">
        <w:continuationSeparator/>
      </w:r>
    </w:p>
  </w:footnote>
  <w:footnote w:id="1">
    <w:p w:rsidR="00D57C21" w:rsidRPr="00492C80" w:rsidRDefault="00D57C21" w:rsidP="00D57C21">
      <w:pPr>
        <w:pStyle w:val="FootnoteText"/>
      </w:pPr>
      <w:r>
        <w:rPr>
          <w:rStyle w:val="FootnoteReference"/>
        </w:rPr>
        <w:footnoteRef/>
      </w:r>
      <w:r>
        <w:t xml:space="preserve"> Dawn iċ-ċifri tal-baġit ittieħdu mir-rapport annwali tal-QEA dwar l-aġenziji tal-UE għas-sena finanzjarja 2022 u huma bbażati fuq l-approprjazzjonijiet ta’ pagament totali disponibbli matul is-sena finanzjarja.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21" w:rsidRDefault="00D57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21" w:rsidRDefault="00D57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21" w:rsidRDefault="00D57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7"/>
    <w:docVar w:name="COM2KEY" w:val="CONT"/>
    <w:docVar w:name="COMKEY" w:val="EMPL"/>
    <w:docVar w:name="CONTRIBUTIONMNU" w:val=" 2"/>
    <w:docVar w:name="FONCTIONMNU" w:val=" 1"/>
    <w:docVar w:name="LastEditedSection" w:val=" 1"/>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91843 HideTWBInt;}{_x000d__x000a_\s18\ql \fi-567\li567\ri0\sa240\nowidctlpar\wrapdefault\aspalpha\aspnum\faauto\adjustright\rin0\lin567\itap0 \rtlch\fcs1 \af0\afs20\alang1025 \ltrch\fcs0 \fs24\lang1082\langfe2057\cgrid\langnp1082\langfenp2057 _x000d__x000a_\sbasedon0 \snext18 \spriority0 \styrsid1191843 NormalHanging12a;}}{\*\rsidtbl \rsid24658\rsid223860\rsid735077\rsid1191843\rsid1718133\rsid2892074\rsid3565327\rsid4666813\rsid6440462\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SCIRTO GAUCI Lindsay}{\operator SCIRTO GAUCI Lindsay}{\creatim\yr2024\mo2\dy1\hr13\min4}{\revtim\yr2024\mo2\dy1\hr13\min4}{\version1}{\edmins0}{\nofpages1}{\nofwords1}{\nofchars12}{\nofcharsws12}{\vern109}}{\*\xmlnstbl {\xmlns1 http://schemas.mic_x000d__x000a_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1843\newtblstyruls\nogrowautofit\usenormstyforlist\noindnmbrts\felnbrelev\nocxsptable\indrlsweleven\noafcnsttbl\afelev\utinl\hwelev\spltpgpar\notcvasp\notbrkcnstfrctbl\notvatxbx\krnprsnet\cachedcolbal _x000d__x000a_\nouicompat \fet0{\*\wgrffmtfilter 013f}\nofeaturethrottle1\ilfomacatclnup0{\*\template C:\\Users\\LSCIRT~1\\AppData\\Local\\Temp\\Blank1.dotx}{\*\ftnsep \ltrpar \pard\plain \ltrpar_x000d__x000a_\ql \li0\ri0\widctlpar\wrapdefault\aspalpha\aspnum\faauto\adjustright\rin0\lin0\itap0 \rtlch\fcs1 \af0\afs20\alang1025 \ltrch\fcs0 \fs24\lang2057\langfe2057\cgrid\langnp2057\langfenp2057 {\rtlch\fcs1 \af0 \ltrch\fcs0 \insrsid6440462 \chftnsep _x000d__x000a_\par }}{\*\ftnsepc \ltrpar \pard\plain \ltrpar\ql \li0\ri0\widctlpar\wrapdefault\aspalpha\aspnum\faauto\adjustright\rin0\lin0\itap0 \rtlch\fcs1 \af0\afs20\alang1025 \ltrch\fcs0 \fs24\lang2057\langfe2057\cgrid\langnp2057\langfenp2057 {\rtlch\fcs1 \af0 _x000d__x000a_\ltrch\fcs0 \insrsid6440462 \chftnsepc _x000d__x000a_\par }}{\*\aftnsep \ltrpar \pard\plain \ltrpar\ql \li0\ri0\widctlpar\wrapdefault\aspalpha\aspnum\faauto\adjustright\rin0\lin0\itap0 \rtlch\fcs1 \af0\afs20\alang1025 \ltrch\fcs0 \fs24\lang2057\langfe2057\cgrid\langnp2057\langfenp2057 {\rtlch\fcs1 \af0 _x000d__x000a_\ltrch\fcs0 \insrsid6440462 \chftnsep _x000d__x000a_\par }}{\*\aftnsepc \ltrpar \pard\plain \ltrpar\ql \li0\ri0\widctlpar\wrapdefault\aspalpha\aspnum\faauto\adjustright\rin0\lin0\itap0 \rtlch\fcs1 \af0\afs20\alang1025 \ltrch\fcs0 \fs24\lang2057\langfe2057\cgrid\langnp2057\langfenp2057 {\rtlch\fcs1 \af0 _x000d__x000a_\ltrch\fcs0 \insrsid64404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91843 \rtlch\fcs1 \af0\afs20\alang1025 \ltrch\fcs0 \fs24\lang1082\langfe2057\cgrid\langnp1082\langfenp2057 {\rtlch\fcs1 \af0 _x000d__x000a_\ltrch\fcs0 \insrsid1191843\charrsid12612085 {\*\bkmkstart restart}#}{\rtlch\fcs1 \af1 \ltrch\fcs0 \cs17\v\f1\fs20\cf15\insrsid1191843\charrsid12612085 NRMSG}{\rtlch\fcs1 \af0 \ltrch\fcs0 \insrsid1191843\charrsid12612085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a_x000d__x000a_e8d106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628091 NormalHanging12a;}}{\*\rsidtbl \rsid24658\rsid223860\rsid735077\rsid1718133\rsid2892074\rsid3565327\rsid4666813\rsid6641733\rsid6710012\rsid7823322_x000d__x000a_\rsid9636012\rsid10377208\rsid11215221\rsid11549030\rsid11628091\rsid12154954\rsid14382809\rsid14424199\rsid15204470\rsid15285974\rsid15950462\rsid16324206\rsid16662270}{\mmathPr\mmathFont34\mbrkBin0\mbrkBinSub0\msmallFrac0\mdispDef1\mlMargin0\mrMargin0_x000d__x000a_\mdefJc1\mwrapIndent1440\mintLim0\mnaryLim1}{\info{\author SCIRTO GAUCI Lindsay}{\operator SCIRTO GAUCI Lindsay}{\creatim\yr2024\mo2\dy7\hr15\min32}{\revtim\yr2024\mo2\dy7\hr15\min32}{\version1}{\edmins0}{\nofpages1}{\nofwords4}{\nofchars31}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28091\newtblstyruls\nogrowautofit\usenormstyforlist\noindnmbrts\felnbrelev\nocxsptable\indrlsweleven\noafcnsttbl\afelev\utinl\hwelev\spltpgpar\notcvasp\notbrkcnstfrctbl\notvatxbx\krnprsnet\cachedcolbal _x000d__x000a_\nouicompat \fet0{\*\wgrffmtfilter 013f}\nofeaturethrottle1\ilfomacatclnup0{\*\template C:\\Users\\LSCIRT~1\\AppData\\Local\\Temp\\Blank1.dotx}{\*\ftnsep \ltrpar \pard\plain \ltrpar_x000d__x000a_\ql \li0\ri0\widctlpar\wrapdefault\aspalpha\aspnum\faauto\adjustright\rin0\lin0\itap0 \rtlch\fcs1 \af0\afs20\alang1025 \ltrch\fcs0 \fs24\lang2057\langfe2057\cgrid\langnp2057\langfenp2057 {\rtlch\fcs1 \af0 \ltrch\fcs0 \insrsid6710012 \chftnsep _x000d__x000a_\par }}{\*\ftnsepc \ltrpar \pard\plain \ltrpar\ql \li0\ri0\widctlpar\wrapdefault\aspalpha\aspnum\faauto\adjustright\rin0\lin0\itap0 \rtlch\fcs1 \af0\afs20\alang1025 \ltrch\fcs0 \fs24\lang2057\langfe2057\cgrid\langnp2057\langfenp2057 {\rtlch\fcs1 \af0 _x000d__x000a_\ltrch\fcs0 \insrsid6710012 \chftnsepc _x000d__x000a_\par }}{\*\aftnsep \ltrpar \pard\plain \ltrpar\ql \li0\ri0\widctlpar\wrapdefault\aspalpha\aspnum\faauto\adjustright\rin0\lin0\itap0 \rtlch\fcs1 \af0\afs20\alang1025 \ltrch\fcs0 \fs24\lang2057\langfe2057\cgrid\langnp2057\langfenp2057 {\rtlch\fcs1 \af0 _x000d__x000a_\ltrch\fcs0 \insrsid6710012 \chftnsep _x000d__x000a_\par }}{\*\aftnsepc \ltrpar \pard\plain \ltrpar\ql \li0\ri0\widctlpar\wrapdefault\aspalpha\aspnum\faauto\adjustright\rin0\lin0\itap0 \rtlch\fcs1 \af0\afs20\alang1025 \ltrch\fcs0 \fs24\lang2057\langfe2057\cgrid\langnp2057\langfenp2057 {\rtlch\fcs1 \af0 _x000d__x000a_\ltrch\fcs0 \insrsid67100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628091 \rtlch\fcs1 \af0\afs20\alang1025 \ltrch\fcs0 \fs24\lang2057\langfe2057\cgrid\langnp2057\langfenp2057 {\rtlch\fcs1 \af0 _x000d__x000a_\ltrch\fcs0 \insrsid11628091\charrsid1525456 {\*\bkmkstart restart}[ZSUGGESTIONNR]\tab [ZSUGGESTIONTEXT]}{\rtlch\fcs1 \af0 \ltrch\fcs0 \insrsid1162809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076ad25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MT"/>
    <w:docVar w:name="TXTLANGUEMIN" w:val="mt"/>
    <w:docVar w:name="TXTNRPROC" w:val="2023/2143"/>
    <w:docVar w:name="TXTROUTE" w:val="AD\1296107MT.docx"/>
    <w:docVar w:name="TXTVERSION" w:val="04-00"/>
  </w:docVars>
  <w:rsids>
    <w:rsidRoot w:val="00B43E72"/>
    <w:rsid w:val="000E7EBF"/>
    <w:rsid w:val="00124F60"/>
    <w:rsid w:val="00135121"/>
    <w:rsid w:val="00140BE6"/>
    <w:rsid w:val="00147F4E"/>
    <w:rsid w:val="0016181F"/>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940C3"/>
    <w:rsid w:val="00594C48"/>
    <w:rsid w:val="005B2F11"/>
    <w:rsid w:val="005C0BDF"/>
    <w:rsid w:val="005D60C6"/>
    <w:rsid w:val="006102E7"/>
    <w:rsid w:val="00640C1B"/>
    <w:rsid w:val="00657AFB"/>
    <w:rsid w:val="006D5BF7"/>
    <w:rsid w:val="008313E7"/>
    <w:rsid w:val="00854CAC"/>
    <w:rsid w:val="008A32C5"/>
    <w:rsid w:val="008C6203"/>
    <w:rsid w:val="008D61E7"/>
    <w:rsid w:val="008F7002"/>
    <w:rsid w:val="0099493F"/>
    <w:rsid w:val="009E1439"/>
    <w:rsid w:val="00A16BEA"/>
    <w:rsid w:val="00A312B3"/>
    <w:rsid w:val="00A72C35"/>
    <w:rsid w:val="00AE180F"/>
    <w:rsid w:val="00B362F7"/>
    <w:rsid w:val="00B43E72"/>
    <w:rsid w:val="00B5456B"/>
    <w:rsid w:val="00B74B53"/>
    <w:rsid w:val="00BC26E4"/>
    <w:rsid w:val="00BD1EAA"/>
    <w:rsid w:val="00C52739"/>
    <w:rsid w:val="00C827FF"/>
    <w:rsid w:val="00CD34AC"/>
    <w:rsid w:val="00D57C21"/>
    <w:rsid w:val="00DE19FF"/>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59A602D8-671E-473A-8F76-201775C4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D57C21"/>
    <w:rPr>
      <w:sz w:val="20"/>
    </w:rPr>
  </w:style>
  <w:style w:type="character" w:customStyle="1" w:styleId="FootnoteTextChar">
    <w:name w:val="Footnote Text Char"/>
    <w:basedOn w:val="DefaultParagraphFont"/>
    <w:link w:val="FootnoteText"/>
    <w:rsid w:val="00D57C21"/>
  </w:style>
  <w:style w:type="character" w:styleId="FootnoteReference">
    <w:name w:val="footnote reference"/>
    <w:basedOn w:val="DefaultParagraphFont"/>
    <w:rsid w:val="00D57C21"/>
    <w:rPr>
      <w:vertAlign w:val="superscript"/>
    </w:rPr>
  </w:style>
  <w:style w:type="character" w:customStyle="1" w:styleId="NormalHanging12aChar">
    <w:name w:val="NormalHanging12a Char"/>
    <w:basedOn w:val="DefaultParagraphFont"/>
    <w:link w:val="NormalHanging12a"/>
    <w:locked/>
    <w:rsid w:val="00D57C21"/>
    <w:rPr>
      <w:sz w:val="24"/>
      <w:lang w:val="mt-MT"/>
    </w:rPr>
  </w:style>
  <w:style w:type="paragraph" w:customStyle="1" w:styleId="Normal24a">
    <w:name w:val="Normal24a"/>
    <w:basedOn w:val="Normal"/>
    <w:rsid w:val="00D57C21"/>
    <w:pPr>
      <w:spacing w:after="480"/>
    </w:pPr>
  </w:style>
  <w:style w:type="paragraph" w:customStyle="1" w:styleId="NormalBoldCenter">
    <w:name w:val="NormalBoldCenter"/>
    <w:basedOn w:val="Normal"/>
    <w:rsid w:val="00D57C21"/>
    <w:pPr>
      <w:jc w:val="center"/>
    </w:pPr>
    <w:rPr>
      <w:b/>
    </w:rPr>
  </w:style>
  <w:style w:type="paragraph" w:customStyle="1" w:styleId="RollCallSymbols14pt">
    <w:name w:val="RollCallSymbols14pt"/>
    <w:basedOn w:val="Normal"/>
    <w:rsid w:val="00D57C2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57C21"/>
    <w:pPr>
      <w:tabs>
        <w:tab w:val="center" w:pos="284"/>
        <w:tab w:val="left" w:pos="426"/>
      </w:tabs>
    </w:pPr>
    <w:rPr>
      <w:snapToGrid w:val="0"/>
      <w:lang w:eastAsia="en-US"/>
    </w:rPr>
  </w:style>
  <w:style w:type="paragraph" w:customStyle="1" w:styleId="RollCallVotes">
    <w:name w:val="RollCallVotes"/>
    <w:basedOn w:val="Normal"/>
    <w:rsid w:val="00D57C21"/>
    <w:pPr>
      <w:spacing w:before="120" w:after="120"/>
      <w:jc w:val="center"/>
    </w:pPr>
    <w:rPr>
      <w:b/>
      <w:bCs/>
      <w:snapToGrid w:val="0"/>
      <w:sz w:val="16"/>
      <w:lang w:eastAsia="en-US"/>
    </w:rPr>
  </w:style>
  <w:style w:type="paragraph" w:customStyle="1" w:styleId="RollCallTable">
    <w:name w:val="RollCallTable"/>
    <w:basedOn w:val="Normal"/>
    <w:rsid w:val="00D57C21"/>
    <w:pPr>
      <w:spacing w:before="120" w:after="120"/>
    </w:pPr>
    <w:rPr>
      <w:snapToGrid w:val="0"/>
      <w:sz w:val="16"/>
      <w:lang w:eastAsia="en-US"/>
    </w:rPr>
  </w:style>
  <w:style w:type="paragraph" w:styleId="Footer">
    <w:name w:val="footer"/>
    <w:basedOn w:val="Normal"/>
    <w:link w:val="FooterChar"/>
    <w:semiHidden/>
    <w:rsid w:val="00D57C21"/>
    <w:pPr>
      <w:tabs>
        <w:tab w:val="center" w:pos="4513"/>
        <w:tab w:val="right" w:pos="9026"/>
      </w:tabs>
    </w:pPr>
  </w:style>
  <w:style w:type="character" w:customStyle="1" w:styleId="FooterChar">
    <w:name w:val="Footer Char"/>
    <w:basedOn w:val="DefaultParagraphFont"/>
    <w:link w:val="Footer"/>
    <w:semiHidden/>
    <w:rsid w:val="00D57C21"/>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941</Words>
  <Characters>6875</Characters>
  <Application>Microsoft Office Word</Application>
  <DocSecurity>0</DocSecurity>
  <Lines>167</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2024-02-14T10:07:00Z</dcterms:created>
  <dcterms:modified xsi:type="dcterms:W3CDTF">2024-02-14T10:07:00Z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9.17.1 Build [20240111]</vt:lpwstr>
  </property>
  <property fmtid="{D5CDD505-2E9C-101B-9397-08002B2CF9AE}" pid="4" name="LastEdited with">
    <vt:lpwstr>9.17.1 Build [20240111]</vt:lpwstr>
  </property>
  <property fmtid="{D5CDD505-2E9C-101B-9397-08002B2CF9AE}" pid="5" name="&lt;FdR&gt;">
    <vt:lpwstr>1296107</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\\eiciLUXpr1\pdocep$\DocEP\TRANSFIL\MT\PA_NonLeg.MT(18/09/2023 10:08:02)</vt:lpwstr>
  </property>
  <property fmtid="{D5CDD505-2E9C-101B-9397-08002B2CF9AE}" pid="9" name="&lt;Model&gt;">
    <vt:lpwstr>PA_NonLeg</vt:lpwstr>
  </property>
  <property fmtid="{D5CDD505-2E9C-101B-9397-08002B2CF9AE}" pid="10" name="FooterPath">
    <vt:lpwstr>AD\1296107MT.docx</vt:lpwstr>
  </property>
  <property fmtid="{D5CDD505-2E9C-101B-9397-08002B2CF9AE}" pid="11" name="PE number">
    <vt:lpwstr>752.905</vt:lpwstr>
  </property>
  <property fmtid="{D5CDD505-2E9C-101B-9397-08002B2CF9AE}" pid="12" name="Bookout">
    <vt:lpwstr>OK - 2024/02/14 11:06</vt:lpwstr>
  </property>
  <property fmtid="{D5CDD505-2E9C-101B-9397-08002B2CF9AE}" pid="13" name="SDLStudio">
    <vt:lpwstr/>
  </property>
</Properties>
</file>