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975D2D" w:rsidTr="00C85D0F">
        <w:trPr>
          <w:trHeight w:hRule="exact" w:val="1418"/>
        </w:trPr>
        <w:tc>
          <w:tcPr>
            <w:tcW w:w="6804" w:type="dxa"/>
            <w:shd w:val="clear" w:color="auto" w:fill="auto"/>
            <w:vAlign w:val="center"/>
          </w:tcPr>
          <w:p w:rsidR="00854CAC" w:rsidRPr="00975D2D" w:rsidRDefault="00A00A68" w:rsidP="00C85D0F">
            <w:pPr>
              <w:pStyle w:val="EPName"/>
            </w:pPr>
            <w:r>
              <w:t>Parlament Europejski</w:t>
            </w:r>
          </w:p>
          <w:p w:rsidR="00854CAC" w:rsidRPr="00975D2D" w:rsidRDefault="00351A35" w:rsidP="00351A35">
            <w:pPr>
              <w:pStyle w:val="EPTerm"/>
            </w:pPr>
            <w:r>
              <w:t>2019-2024</w:t>
            </w:r>
          </w:p>
        </w:tc>
        <w:tc>
          <w:tcPr>
            <w:tcW w:w="2268" w:type="dxa"/>
            <w:shd w:val="clear" w:color="auto" w:fill="auto"/>
          </w:tcPr>
          <w:p w:rsidR="00854CAC" w:rsidRPr="00975D2D" w:rsidRDefault="00854CAC" w:rsidP="00C85D0F">
            <w:pPr>
              <w:pStyle w:val="EPLogo"/>
            </w:pPr>
            <w:r w:rsidRPr="00975D2D">
              <w:rPr>
                <w:noProof/>
                <w:lang w:eastAsia="pl-PL"/>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975D2D" w:rsidRDefault="001746D0" w:rsidP="001746D0">
      <w:pPr>
        <w:pStyle w:val="LineTop"/>
      </w:pPr>
    </w:p>
    <w:p w:rsidR="001746D0" w:rsidRPr="00807619" w:rsidRDefault="001746D0" w:rsidP="001746D0">
      <w:pPr>
        <w:pStyle w:val="EPBody"/>
      </w:pPr>
      <w:r>
        <w:rPr>
          <w:rStyle w:val="HideTWBExt"/>
          <w:lang w:val="en-GB"/>
        </w:rPr>
        <w:t>&lt;</w:t>
      </w:r>
      <w:r>
        <w:rPr>
          <w:rStyle w:val="HideTWBExt"/>
          <w:i w:val="0"/>
          <w:lang w:val="en-GB"/>
        </w:rPr>
        <w:t>Commission</w:t>
      </w:r>
      <w:r>
        <w:rPr>
          <w:rStyle w:val="HideTWBExt"/>
          <w:lang w:val="en-GB"/>
        </w:rPr>
        <w:t>&gt;</w:t>
      </w:r>
      <w:r>
        <w:rPr>
          <w:rStyle w:val="HideTWBInt"/>
          <w:lang w:val="en-GB"/>
        </w:rPr>
        <w:t>{EMPL}</w:t>
      </w:r>
      <w:r>
        <w:t>Komisja Zatrudnienia i Spraw Socjalnych</w:t>
      </w:r>
      <w:r>
        <w:rPr>
          <w:rStyle w:val="HideTWBExt"/>
          <w:lang w:val="en-GB"/>
        </w:rPr>
        <w:t>&lt;/</w:t>
      </w:r>
      <w:r>
        <w:rPr>
          <w:rStyle w:val="HideTWBExt"/>
          <w:i w:val="0"/>
          <w:lang w:val="en-GB"/>
        </w:rPr>
        <w:t>Commission</w:t>
      </w:r>
      <w:r>
        <w:rPr>
          <w:rStyle w:val="HideTWBExt"/>
          <w:lang w:val="en-GB"/>
        </w:rPr>
        <w:t>&gt;</w:t>
      </w:r>
    </w:p>
    <w:p w:rsidR="001746D0" w:rsidRPr="00807619" w:rsidRDefault="001746D0" w:rsidP="001746D0">
      <w:pPr>
        <w:pStyle w:val="LineBottom"/>
        <w:rPr>
          <w:lang w:val="en-GB"/>
        </w:rPr>
      </w:pPr>
    </w:p>
    <w:p w:rsidR="002E2F2E" w:rsidRPr="00807619" w:rsidRDefault="002E2F2E">
      <w:pPr>
        <w:pStyle w:val="CoverReference"/>
      </w:pPr>
      <w:r>
        <w:rPr>
          <w:rStyle w:val="HideTWBExt"/>
          <w:b w:val="0"/>
          <w:lang w:val="en-GB"/>
        </w:rPr>
        <w:t>&lt;RefProc&gt;</w:t>
      </w:r>
      <w:r>
        <w:t>2023/2143(DEC)</w:t>
      </w:r>
      <w:r>
        <w:rPr>
          <w:rStyle w:val="HideTWBExt"/>
          <w:b w:val="0"/>
          <w:lang w:val="en-GB"/>
        </w:rPr>
        <w:t>&lt;/RefProc&gt;</w:t>
      </w:r>
    </w:p>
    <w:p w:rsidR="002E2F2E" w:rsidRPr="00807619" w:rsidRDefault="002E2F2E">
      <w:pPr>
        <w:pStyle w:val="CoverDate"/>
      </w:pPr>
      <w:r>
        <w:rPr>
          <w:rStyle w:val="HideTWBExt"/>
          <w:lang w:val="en-GB"/>
        </w:rPr>
        <w:t>&lt;Date&gt;</w:t>
      </w:r>
      <w:r>
        <w:rPr>
          <w:rStyle w:val="HideTWBInt"/>
          <w:lang w:val="en-GB"/>
        </w:rPr>
        <w:t>{05/02/2024}</w:t>
      </w:r>
      <w:r>
        <w:t>5.2.2024</w:t>
      </w:r>
      <w:r>
        <w:rPr>
          <w:rStyle w:val="HideTWBExt"/>
          <w:lang w:val="en-GB"/>
        </w:rPr>
        <w:t>&lt;/Date&gt;</w:t>
      </w:r>
    </w:p>
    <w:p w:rsidR="002E2F2E" w:rsidRPr="00807619" w:rsidRDefault="002E2F2E">
      <w:pPr>
        <w:pStyle w:val="CoverDocType24a"/>
      </w:pPr>
      <w:r>
        <w:rPr>
          <w:rStyle w:val="HideTWBExt"/>
          <w:b w:val="0"/>
          <w:lang w:val="en-GB"/>
        </w:rPr>
        <w:t>&lt;TitreType&gt;</w:t>
      </w:r>
      <w:r>
        <w:t>OPINIA</w:t>
      </w:r>
      <w:r>
        <w:rPr>
          <w:rStyle w:val="HideTWBExt"/>
          <w:b w:val="0"/>
          <w:lang w:val="en-GB"/>
        </w:rPr>
        <w:t>&lt;/TitreType&gt;</w:t>
      </w:r>
    </w:p>
    <w:p w:rsidR="002E2F2E" w:rsidRPr="00807619" w:rsidRDefault="002E2F2E">
      <w:pPr>
        <w:pStyle w:val="CoverNormal24a"/>
      </w:pPr>
      <w:r>
        <w:rPr>
          <w:rStyle w:val="HideTWBExt"/>
          <w:lang w:val="en-GB"/>
        </w:rPr>
        <w:t>&lt;CommissionResp&gt;</w:t>
      </w:r>
      <w:r>
        <w:t>Komisji Zatrudnienia i Spraw Socjalnych</w:t>
      </w:r>
      <w:r>
        <w:rPr>
          <w:rStyle w:val="HideTWBExt"/>
          <w:lang w:val="en-GB"/>
        </w:rPr>
        <w:t>&lt;/CommissionResp&gt;</w:t>
      </w:r>
    </w:p>
    <w:p w:rsidR="002E2F2E" w:rsidRPr="00807619" w:rsidRDefault="002E2F2E">
      <w:pPr>
        <w:pStyle w:val="CoverNormal24a"/>
      </w:pPr>
      <w:r>
        <w:rPr>
          <w:rStyle w:val="HideTWBExt"/>
          <w:lang w:val="en-GB"/>
        </w:rPr>
        <w:t>&lt;CommissionInt&gt;</w:t>
      </w:r>
      <w:r>
        <w:t>dla Komisji Kontroli Budżetowej</w:t>
      </w:r>
      <w:r>
        <w:rPr>
          <w:rStyle w:val="HideTWBExt"/>
          <w:lang w:val="en-GB"/>
        </w:rPr>
        <w:t>&lt;/CommissionInt&gt;</w:t>
      </w:r>
    </w:p>
    <w:p w:rsidR="002E2F2E" w:rsidRPr="00807619" w:rsidRDefault="002E2F2E">
      <w:pPr>
        <w:pStyle w:val="CoverNormal"/>
      </w:pPr>
      <w:r>
        <w:rPr>
          <w:rStyle w:val="HideTWBExt"/>
          <w:lang w:val="en-GB"/>
        </w:rPr>
        <w:t>&lt;Titre&gt;</w:t>
      </w:r>
      <w:r>
        <w:t>w sprawie absolutorium z wykonania budżetu Europejskiego Centrum Rozwoju Kształcenia Zawodowego (Cedefop)</w:t>
      </w:r>
      <w:r>
        <w:rPr>
          <w:rStyle w:val="HideTWBExt"/>
          <w:lang w:val="en-GB"/>
        </w:rPr>
        <w:t>&lt;/Titre&gt;</w:t>
      </w:r>
    </w:p>
    <w:p w:rsidR="002E2F2E" w:rsidRPr="00807619" w:rsidRDefault="002E2F2E">
      <w:pPr>
        <w:pStyle w:val="CoverNormal24a"/>
      </w:pPr>
      <w:r>
        <w:rPr>
          <w:rStyle w:val="HideTWBExt"/>
          <w:lang w:val="en-GB"/>
        </w:rPr>
        <w:t>&lt;DocRef&gt;</w:t>
      </w:r>
      <w:r>
        <w:t>(2023/2143(DEC))</w:t>
      </w:r>
      <w:r>
        <w:rPr>
          <w:rStyle w:val="HideTWBExt"/>
          <w:lang w:val="en-GB"/>
        </w:rPr>
        <w:t>&lt;/DocRef&gt;</w:t>
      </w:r>
    </w:p>
    <w:p w:rsidR="002E2F2E" w:rsidRPr="00807619" w:rsidRDefault="00A00A68">
      <w:pPr>
        <w:pStyle w:val="CoverNormal24a"/>
      </w:pPr>
      <w:r>
        <w:t xml:space="preserve">Sprawozdawczyni komisji opiniodawczej: </w:t>
      </w:r>
      <w:r>
        <w:rPr>
          <w:rStyle w:val="HideTWBExt"/>
          <w:lang w:val="en-GB"/>
        </w:rPr>
        <w:t>&lt;Depute&gt;</w:t>
      </w:r>
      <w:r>
        <w:t>Romana Tomc</w:t>
      </w:r>
      <w:r>
        <w:rPr>
          <w:rStyle w:val="HideTWBExt"/>
          <w:lang w:val="en-GB"/>
        </w:rPr>
        <w:t>&lt;/Depute&gt;</w:t>
      </w:r>
    </w:p>
    <w:p w:rsidR="00A72C35" w:rsidRPr="00807619" w:rsidRDefault="00A72C35" w:rsidP="00A72C35">
      <w:pPr>
        <w:pStyle w:val="CoverNormal"/>
        <w:rPr>
          <w:lang w:val="en-GB"/>
        </w:rPr>
      </w:pPr>
    </w:p>
    <w:p w:rsidR="002E2F2E" w:rsidRPr="00807619" w:rsidRDefault="002E2F2E" w:rsidP="00E856D2">
      <w:pPr>
        <w:widowControl/>
        <w:tabs>
          <w:tab w:val="center" w:pos="4677"/>
        </w:tabs>
      </w:pPr>
      <w:r>
        <w:br w:type="page"/>
      </w:r>
      <w:r>
        <w:lastRenderedPageBreak/>
        <w:t>PA_NonLeg</w:t>
      </w:r>
    </w:p>
    <w:p w:rsidR="002E2F2E" w:rsidRPr="00807619" w:rsidRDefault="002E2F2E">
      <w:pPr>
        <w:pStyle w:val="PageHeadingNotTOC"/>
      </w:pPr>
      <w:r>
        <w:br w:type="page"/>
      </w:r>
      <w:r>
        <w:lastRenderedPageBreak/>
        <w:t>WSKAZÓWKI</w:t>
      </w:r>
    </w:p>
    <w:p w:rsidR="002E2F2E" w:rsidRPr="00807619" w:rsidRDefault="00A00A68" w:rsidP="008313E7">
      <w:pPr>
        <w:pStyle w:val="Normal12a"/>
      </w:pPr>
      <w:r>
        <w:t>Komisja Zatrudnienia i Spraw Socjalnych zwraca się do Komisji Kontroli Budżetowej, jako komisji przedmiotowo właściwej, o uwzględnienie w końcowym tekście projektu rezolucji następujących wskazówek:</w:t>
      </w:r>
    </w:p>
    <w:p w:rsidR="005B362B" w:rsidRPr="00807619" w:rsidRDefault="005B362B" w:rsidP="005B362B">
      <w:pPr>
        <w:pStyle w:val="NormalHanging12a"/>
      </w:pPr>
      <w:r>
        <w:t>–</w:t>
      </w:r>
      <w:r>
        <w:tab/>
        <w:t>uwzględniając sprawozdanie roczne Europejskiego Trybunału Obrachunkowego dotyczące wykonania budżetu UE za rok budżetowy 2022,</w:t>
      </w:r>
    </w:p>
    <w:p w:rsidR="005B362B" w:rsidRPr="00807619" w:rsidRDefault="005B362B" w:rsidP="005B362B">
      <w:pPr>
        <w:pStyle w:val="NormalHanging12a"/>
      </w:pPr>
      <w:r>
        <w:t>–</w:t>
      </w:r>
      <w:r>
        <w:tab/>
        <w:t>uwzględniając sprawozdanie roczne Europejskiego Trybunału Obrachunkowego na temat agencji UE za rok budżetowy 2022,</w:t>
      </w:r>
    </w:p>
    <w:p w:rsidR="003A4E1D" w:rsidRPr="00807619" w:rsidRDefault="003A4E1D" w:rsidP="005B362B">
      <w:pPr>
        <w:pStyle w:val="NormalHanging12a"/>
      </w:pPr>
      <w:r>
        <w:t>–</w:t>
      </w:r>
      <w:r>
        <w:tab/>
        <w:t>uwzględniając skonsolidowane roczne sprawozdanie z działalności Cedefop za rok 2022,</w:t>
      </w:r>
    </w:p>
    <w:p w:rsidR="003A4E1D" w:rsidRPr="00807619" w:rsidRDefault="003A4E1D" w:rsidP="003A4E1D">
      <w:pPr>
        <w:pStyle w:val="NormalHanging12a"/>
      </w:pPr>
      <w:r>
        <w:t>1.</w:t>
      </w:r>
      <w:r>
        <w:tab/>
        <w:t>wyraża zadowolenie, że Europejski Trybunał Obrachunkowy („Trybunał”) uznał, iż transakcje leżące u podstaw rocznego sprawozdania finansowego Europejskiego Centrum Rozwoju Kształcenia Zawodowego („Cedefop”) za rok budżetowy 2022 są legalne i prawidłowe, a jego sytuacja finansowa na dzień 31 grudnia 2022 r. została rzetelnie przedstawiona;</w:t>
      </w:r>
    </w:p>
    <w:p w:rsidR="00D81B21" w:rsidRPr="00807619" w:rsidRDefault="00D81B21" w:rsidP="00D81B21">
      <w:pPr>
        <w:pStyle w:val="NormalHanging12a"/>
        <w:rPr>
          <w:szCs w:val="24"/>
        </w:rPr>
      </w:pPr>
      <w:r>
        <w:t>2.</w:t>
      </w:r>
      <w:r>
        <w:tab/>
        <w:t>wyraża zadowolenie, że budżet Cedefop na rok budżetowy 2022 wzrósł do 26 mln EUR (w porównaniu z 25 mln EUR w 2021 r.)</w:t>
      </w:r>
      <w:r w:rsidRPr="00975D2D">
        <w:rPr>
          <w:vertAlign w:val="superscript"/>
        </w:rPr>
        <w:footnoteReference w:id="1"/>
      </w:r>
      <w:r>
        <w:t>; wyraża zadowolenie, że Cedefop wykorzystał zasadniczo całość dostępnych środków finansowych, a ogólny wskaźnik wykonania budżetu wyniósł 99,98 %;</w:t>
      </w:r>
    </w:p>
    <w:p w:rsidR="00D81B21" w:rsidRPr="00807619" w:rsidRDefault="00D81B21" w:rsidP="00D81B21">
      <w:pPr>
        <w:pStyle w:val="NormalHanging12a"/>
        <w:rPr>
          <w:szCs w:val="24"/>
        </w:rPr>
      </w:pPr>
      <w:r>
        <w:t>3.</w:t>
      </w:r>
      <w:r>
        <w:tab/>
        <w:t>docenia działalność Centrum i wysokiej jakości pracę, dzięki której powstają badania oraz analizy i Centrum świadczy usługi doradztwa technicznego na potrzeby strategii politycznych dotyczących kształcenia i szkolenia zawodowego, kwalifikacji i umiejętności, aby promować szkolenia wysokiej jakości, dostosowane do indywidualnych potrzeb i rynku pracy; podkreśla, że należy dalej zapewniać odpowiednie zasoby kadrowe i finansowe, aby umożliwiać Centrum wykonywanie mandatu i dalszą realizację programu pracy przy wysokim wskaźniku realizacji działań;</w:t>
      </w:r>
    </w:p>
    <w:p w:rsidR="00D81B21" w:rsidRPr="00807619" w:rsidRDefault="00E6519D" w:rsidP="00D81B21">
      <w:pPr>
        <w:pStyle w:val="NormalHanging12a"/>
        <w:rPr>
          <w:szCs w:val="24"/>
        </w:rPr>
      </w:pPr>
      <w:r>
        <w:t>4.</w:t>
      </w:r>
      <w:r>
        <w:tab/>
        <w:t>z zadowoleniem przyjmuje wkład Centrum w analizę wpływu pandemii i transformacji cyfrowej na praktyki biznesowe w nowych realiach unijnego rynku pracy, którego przykładem jest europejski sondaż przedsiębiorstw COVID-19 przygotowany we współpracy z Eurofound; ponadto z zadowoleniem przyjmuje rolę Centrum w gromadzeniu i rozpowszechnianiu badań nad niedopasowaniem umiejętności; podkreśla w związku z tym działania Centrum w zakresie prognozowania umiejętności sektorowych, a tym samym perspektywiczne podejście do zrozumienia, jakie profile umiejętności są potrzebne do dwojakiej transformacji;</w:t>
      </w:r>
    </w:p>
    <w:p w:rsidR="00D81B21" w:rsidRPr="00807619" w:rsidRDefault="00E6519D" w:rsidP="00D81B21">
      <w:pPr>
        <w:pStyle w:val="NormalHanging12a"/>
        <w:rPr>
          <w:szCs w:val="24"/>
        </w:rPr>
      </w:pPr>
      <w:r>
        <w:t>5.</w:t>
      </w:r>
      <w:r>
        <w:tab/>
        <w:t xml:space="preserve">przypomina o ważnej roli Centrum w zapewnianiu włączenia umiejętności cyfrowych do programów kształcenia i szkolenia zawodowego w całej Unii oraz w monitorowaniu </w:t>
      </w:r>
      <w:r>
        <w:lastRenderedPageBreak/>
        <w:t>wdrażania i wpływu zaleceń Rady w sprawie nowego europejskiego programu na rzecz umiejętności, kształcenia i szkolenia zawodowego na rzecz trwałej konkurencyjności, sprawiedliwości społecznej i odporności oraz planu działania w dziedzinie edukacji cyfrowej;</w:t>
      </w:r>
    </w:p>
    <w:p w:rsidR="003A4E1D" w:rsidRPr="00807619" w:rsidRDefault="00E6519D" w:rsidP="003A4E1D">
      <w:pPr>
        <w:pStyle w:val="NormalHanging12a"/>
      </w:pPr>
      <w:r>
        <w:t>6.</w:t>
      </w:r>
      <w:r>
        <w:tab/>
        <w:t>zauważa, że elastyczność w zakresie zabezpieczenia dodatkowych zasobów na podstawową działalność była ograniczona ze względu na wysokie stopy inflacji i związaną z tym korektę wynagrodzeń, wzrost wynagrodzeń przewyższający początkowe prognozy w połączeniu ze wzrostem współczynnika ważenia;</w:t>
      </w:r>
    </w:p>
    <w:p w:rsidR="00D81B21" w:rsidRPr="00807619" w:rsidRDefault="00E6519D" w:rsidP="00D81B21">
      <w:pPr>
        <w:pStyle w:val="NormalHanging12a"/>
        <w:rPr>
          <w:szCs w:val="24"/>
        </w:rPr>
      </w:pPr>
      <w:r>
        <w:t>7.</w:t>
      </w:r>
      <w:r>
        <w:tab/>
        <w:t>gratuluje Cedefop jego zaangażowania w Europejski Rok Młodzieży i pomyślnego współprowadzenia z Eurofound wydarzenia pt. „Najpierw młodzież! Zatrudnienie, umiejętności i polityka społeczna służąca młodym Europejczykom w czasach niepewności”, które zorganizowało pięć agencji, a którego gospodarzem był Parlament Europejski we wrześniu 2022 r.; docenia fakt, że wydarzenie to było dodatkową okazją do omówienia polityki młodzieżowej oraz możliwości i wyzwań stojących przed młodymi ludźmi pod względem zatrudnienia, warunków pracy, dobrostanu i zdrowia psychicznego;</w:t>
      </w:r>
    </w:p>
    <w:p w:rsidR="00D81B21" w:rsidRPr="00807619" w:rsidRDefault="00E6519D" w:rsidP="00D81B21">
      <w:pPr>
        <w:pStyle w:val="NormalHanging12a"/>
        <w:rPr>
          <w:szCs w:val="24"/>
        </w:rPr>
      </w:pPr>
      <w:r>
        <w:t>8.</w:t>
      </w:r>
      <w:r>
        <w:tab/>
        <w:t>ubolewa, że Trybunał zidentyfikował pewne problemy związane z nieprawidłowościami w wypłacie diet dziennych przez Cedefop na rzecz dwóch oddelegowanych ekspertów krajowych zatrudnionych przez Cedefop; przyjmuje do wiadomości, że Cedefop stwierdził i udokumentował takie nieprawidłowości w rejestrze niezgodności oraz naprawił sytuację w oparciu o zewnętrzną poradę prawną; z zadowoleniem przyjmuje cel Cedefop, jakim jest zmiana jego przepisów, tak aby każdy oddelegowany ekspert krajowy, który musi zmienić miejsce zamieszkania i przenieść się do Salonik, kwalifikował się do otrzymywania dodatków, ponieważ zapewniłoby to równe traktowanie oddelegowanych ekspertów krajowych niezależnie od ich narodowości;</w:t>
      </w:r>
    </w:p>
    <w:p w:rsidR="00D81B21" w:rsidRPr="00807619" w:rsidRDefault="00E6519D" w:rsidP="00D81B21">
      <w:pPr>
        <w:pStyle w:val="NormalHanging12a"/>
        <w:rPr>
          <w:szCs w:val="24"/>
        </w:rPr>
      </w:pPr>
      <w:r>
        <w:t>9.</w:t>
      </w:r>
      <w:r>
        <w:tab/>
        <w:t>ubolewa, że Trybunał zgłosił uwagi dotyczące zarządzania budżetem, w szczególności nieprawidłowego zastosowania metody obliczania składki, i wzywa Cedefop do poprawy wewnętrznych procedur w tym zakresie;</w:t>
      </w:r>
    </w:p>
    <w:p w:rsidR="00BA573A" w:rsidRPr="00807619" w:rsidRDefault="00E6519D" w:rsidP="00BA573A">
      <w:pPr>
        <w:pStyle w:val="NormalHanging12a"/>
        <w:rPr>
          <w:szCs w:val="24"/>
        </w:rPr>
      </w:pPr>
      <w:r>
        <w:t>10.</w:t>
      </w:r>
      <w:r>
        <w:tab/>
        <w:t>wyraża uznanie dla Cedefop za opracowanie planu korporacyjnego na rzecz poprawy efektywności energetycznej i neutralności klimatycznej jego działań;</w:t>
      </w:r>
    </w:p>
    <w:p w:rsidR="003A4E1D" w:rsidRPr="00807619" w:rsidRDefault="00E6519D" w:rsidP="003A4E1D">
      <w:pPr>
        <w:pStyle w:val="NormalHanging12a"/>
      </w:pPr>
      <w:r>
        <w:t>11.</w:t>
      </w:r>
      <w:r>
        <w:tab/>
        <w:t>z zadowoleniem zauważa, że Cedefop zakończył wszystkie działania podjęte w związku z uwagami Trybunału dotyczącymi wykonania budżetu na rok budżetowy 2021;</w:t>
      </w:r>
    </w:p>
    <w:p w:rsidR="00351A35" w:rsidRPr="00807619" w:rsidRDefault="00E6519D" w:rsidP="003A4E1D">
      <w:pPr>
        <w:pStyle w:val="NormalHanging12a"/>
      </w:pPr>
      <w:r>
        <w:t>12.</w:t>
      </w:r>
      <w:r>
        <w:tab/>
        <w:t>na podstawie dostępnych danych zaleca udzielenie dyrektorowi wykonawczemu Europejskiego Centrum Rozwoju Kształcenia Zawodowego absolutorium z wykonania budżetu Cedefop za rok budżetowy 2022.</w:t>
      </w:r>
    </w:p>
    <w:p w:rsidR="00F57FA1" w:rsidRPr="00807619" w:rsidRDefault="00E6519D" w:rsidP="00F57FA1">
      <w:pPr>
        <w:pStyle w:val="PageHeadingNotTOC"/>
        <w:rPr>
          <w:noProof/>
        </w:rPr>
      </w:pPr>
      <w:r>
        <w:br w:type="page"/>
      </w:r>
      <w:r>
        <w:lastRenderedPageBreak/>
        <w:t xml:space="preserve">ZAŁĄCZNIK: PODMIOTY LUB OSOBY, </w:t>
      </w:r>
      <w:r>
        <w:br/>
        <w:t>OD KTÓRYCH SPRAWOZDAWCZYNI OTRZYMAŁA INFORMACJE</w:t>
      </w:r>
    </w:p>
    <w:p w:rsidR="00F57FA1" w:rsidRPr="00807619" w:rsidRDefault="00F57FA1" w:rsidP="00F57FA1">
      <w:pPr>
        <w:pStyle w:val="Normal24a"/>
      </w:pPr>
      <w:r>
        <w:rPr>
          <w:rStyle w:val="HideTWBExt"/>
          <w:lang w:val="en-GB"/>
        </w:rPr>
        <w:t>&lt;FootprintIntro&gt;</w:t>
      </w:r>
      <w:r>
        <w:t>Sprawozdawczyni oświadcza na własną odpowiedzialność, że nie otrzymała informacji od żadnego podmiotu ani osoby, które należałoby wymienić w tym załączniku zgodnie z art. 8 załącznika I do Regulaminu.</w:t>
      </w:r>
      <w:r>
        <w:rPr>
          <w:rStyle w:val="HideTWBExt"/>
          <w:lang w:val="en-GB"/>
        </w:rPr>
        <w:t>&lt;/FootprintIntro&gt;</w:t>
      </w:r>
    </w:p>
    <w:p w:rsidR="00F57FA1" w:rsidRPr="00807619" w:rsidRDefault="00F57FA1" w:rsidP="00F57FA1">
      <w:pPr>
        <w:rPr>
          <w:lang w:val="en-GB"/>
        </w:rPr>
      </w:pPr>
    </w:p>
    <w:p w:rsidR="00F57FA1" w:rsidRPr="00807619" w:rsidRDefault="00F57FA1">
      <w:pPr>
        <w:widowControl/>
      </w:pPr>
      <w:r>
        <w:br w:type="page"/>
      </w:r>
    </w:p>
    <w:p w:rsidR="00807619" w:rsidRPr="00807619" w:rsidRDefault="00807619" w:rsidP="00807619">
      <w:bookmarkStart w:id="0" w:name="_GoBack"/>
      <w:bookmarkEnd w:id="0"/>
    </w:p>
    <w:p w:rsidR="00807619" w:rsidRDefault="00807619" w:rsidP="00807619">
      <w:pPr>
        <w:pStyle w:val="PageHeadingNotTOC"/>
      </w:pPr>
      <w:bookmarkStart w:id="1" w:name="ProcPageAD"/>
      <w:r>
        <w:t>INFORMACJE O PRZYJĘCIU PRZEZ KOMISJĘ OPINIODAWCZĄ</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0761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7619" w:rsidRDefault="00807619">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7619" w:rsidRDefault="0080761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07619" w:rsidRDefault="0080761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rFonts w:ascii="sans-serif" w:hAnsi="sans-serif" w:cs="sans-serif"/>
                <w:color w:val="000000"/>
                <w:szCs w:val="24"/>
              </w:rPr>
            </w:pPr>
          </w:p>
        </w:tc>
      </w:tr>
      <w:tr w:rsidR="0080761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07619" w:rsidRDefault="00807619">
            <w:pPr>
              <w:autoSpaceDE w:val="0"/>
              <w:autoSpaceDN w:val="0"/>
              <w:adjustRightInd w:val="0"/>
              <w:rPr>
                <w:color w:val="000000"/>
                <w:sz w:val="20"/>
              </w:rPr>
            </w:pPr>
            <w:r>
              <w:rPr>
                <w:color w:val="000000"/>
                <w:sz w:val="20"/>
              </w:rPr>
              <w:t>+:</w:t>
            </w:r>
          </w:p>
          <w:p w:rsidR="00807619" w:rsidRDefault="00807619">
            <w:pPr>
              <w:autoSpaceDE w:val="0"/>
              <w:autoSpaceDN w:val="0"/>
              <w:adjustRightInd w:val="0"/>
              <w:rPr>
                <w:color w:val="000000"/>
                <w:sz w:val="20"/>
              </w:rPr>
            </w:pPr>
            <w:r>
              <w:rPr>
                <w:color w:val="000000"/>
                <w:sz w:val="20"/>
              </w:rPr>
              <w:t>–:</w:t>
            </w:r>
          </w:p>
          <w:p w:rsidR="00807619" w:rsidRDefault="0080761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color w:val="000000"/>
                <w:sz w:val="20"/>
              </w:rPr>
            </w:pPr>
            <w:r>
              <w:rPr>
                <w:color w:val="000000"/>
                <w:sz w:val="20"/>
              </w:rPr>
              <w:t>36</w:t>
            </w:r>
          </w:p>
          <w:p w:rsidR="00807619" w:rsidRDefault="00807619">
            <w:pPr>
              <w:autoSpaceDE w:val="0"/>
              <w:autoSpaceDN w:val="0"/>
              <w:adjustRightInd w:val="0"/>
              <w:rPr>
                <w:color w:val="000000"/>
                <w:sz w:val="20"/>
              </w:rPr>
            </w:pPr>
            <w:r>
              <w:rPr>
                <w:color w:val="000000"/>
                <w:sz w:val="20"/>
              </w:rPr>
              <w:t>1</w:t>
            </w:r>
          </w:p>
          <w:p w:rsidR="00807619" w:rsidRDefault="00807619">
            <w:pPr>
              <w:autoSpaceDE w:val="0"/>
              <w:autoSpaceDN w:val="0"/>
              <w:adjustRightInd w:val="0"/>
              <w:rPr>
                <w:color w:val="000000"/>
                <w:sz w:val="20"/>
              </w:rPr>
            </w:pPr>
            <w:r>
              <w:rPr>
                <w:color w:val="000000"/>
                <w:sz w:val="20"/>
              </w:rPr>
              <w:t>2</w:t>
            </w:r>
          </w:p>
        </w:tc>
      </w:tr>
      <w:tr w:rsidR="0080761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color w:val="000000"/>
                <w:sz w:val="20"/>
              </w:rPr>
            </w:pPr>
            <w:r>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80761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color w:val="000000"/>
                <w:sz w:val="20"/>
              </w:rPr>
            </w:pPr>
            <w:r>
              <w:rPr>
                <w:color w:val="000000"/>
                <w:sz w:val="20"/>
              </w:rPr>
              <w:t>Catherine Amalric, Romeo Franz, Lina Gálvez Muñoz, José Gusmão</w:t>
            </w:r>
          </w:p>
        </w:tc>
      </w:tr>
      <w:tr w:rsidR="0080761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b/>
                <w:bCs/>
                <w:color w:val="000000"/>
                <w:sz w:val="20"/>
              </w:rPr>
            </w:pPr>
            <w:r>
              <w:rPr>
                <w:b/>
                <w:color w:val="000000"/>
                <w:sz w:val="20"/>
              </w:rPr>
              <w:t>Zastępcy (art. 209 ust. 7)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07619" w:rsidRDefault="00807619">
            <w:pPr>
              <w:autoSpaceDE w:val="0"/>
              <w:autoSpaceDN w:val="0"/>
              <w:adjustRightInd w:val="0"/>
              <w:rPr>
                <w:color w:val="000000"/>
                <w:sz w:val="20"/>
              </w:rPr>
            </w:pPr>
            <w:r>
              <w:rPr>
                <w:color w:val="000000"/>
                <w:sz w:val="20"/>
              </w:rPr>
              <w:t>Maria Noichl, Carina Ohlsson, Vera Tax</w:t>
            </w:r>
          </w:p>
        </w:tc>
      </w:tr>
    </w:tbl>
    <w:p w:rsidR="00807619" w:rsidRPr="00807619" w:rsidRDefault="00807619" w:rsidP="00807619"/>
    <w:bookmarkEnd w:id="1"/>
    <w:p w:rsidR="00807619" w:rsidRDefault="00807619" w:rsidP="00807619">
      <w:pPr>
        <w:sectPr w:rsidR="00807619" w:rsidSect="008076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07619" w:rsidRPr="0099178F" w:rsidRDefault="00807619" w:rsidP="00C36610">
      <w:pPr>
        <w:pStyle w:val="PageHeadingNotTOC"/>
      </w:pPr>
      <w:bookmarkStart w:id="2" w:name="RollCallPageAD"/>
      <w:r>
        <w:lastRenderedPageBreak/>
        <w:t>GŁOSOWANIE KOŃCOWE W FORMIE GŁOSOWANIA IMIENNEGO 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7619" w:rsidRPr="00975D2D" w:rsidTr="004D78E8">
        <w:trPr>
          <w:cantSplit/>
        </w:trPr>
        <w:tc>
          <w:tcPr>
            <w:tcW w:w="1701" w:type="dxa"/>
            <w:shd w:val="pct10" w:color="000000" w:fill="FFFFFF"/>
            <w:vAlign w:val="center"/>
          </w:tcPr>
          <w:p w:rsidR="00807619" w:rsidRPr="00975D2D" w:rsidRDefault="00807619" w:rsidP="004D78E8">
            <w:pPr>
              <w:pStyle w:val="RollCallVotes"/>
            </w:pPr>
            <w:r>
              <w:t>36</w:t>
            </w:r>
          </w:p>
        </w:tc>
        <w:tc>
          <w:tcPr>
            <w:tcW w:w="7371" w:type="dxa"/>
            <w:shd w:val="pct10" w:color="000000" w:fill="FFFFFF"/>
          </w:tcPr>
          <w:p w:rsidR="00807619" w:rsidRPr="00975D2D" w:rsidRDefault="00807619" w:rsidP="004D78E8">
            <w:pPr>
              <w:pStyle w:val="RollCallSymbols14pt"/>
            </w:pPr>
            <w:r>
              <w:t>+</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ECR</w:t>
            </w:r>
          </w:p>
        </w:tc>
        <w:tc>
          <w:tcPr>
            <w:tcW w:w="7371" w:type="dxa"/>
            <w:shd w:val="clear" w:color="auto" w:fill="FFFFFF"/>
          </w:tcPr>
          <w:p w:rsidR="00807619" w:rsidRPr="00975D2D" w:rsidRDefault="00807619" w:rsidP="004D78E8">
            <w:pPr>
              <w:pStyle w:val="RollCallTable"/>
            </w:pPr>
            <w:r>
              <w:t>Chiara Gemma</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NI</w:t>
            </w:r>
          </w:p>
        </w:tc>
        <w:tc>
          <w:tcPr>
            <w:tcW w:w="7371" w:type="dxa"/>
            <w:shd w:val="clear" w:color="auto" w:fill="FFFFFF"/>
          </w:tcPr>
          <w:p w:rsidR="00807619" w:rsidRPr="00975D2D" w:rsidRDefault="00807619" w:rsidP="004D78E8">
            <w:pPr>
              <w:pStyle w:val="RollCallTable"/>
            </w:pPr>
            <w:r>
              <w:t>Ádám Kósa</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PPE</w:t>
            </w:r>
          </w:p>
        </w:tc>
        <w:tc>
          <w:tcPr>
            <w:tcW w:w="7371" w:type="dxa"/>
            <w:shd w:val="clear" w:color="auto" w:fill="FFFFFF"/>
          </w:tcPr>
          <w:p w:rsidR="00807619" w:rsidRPr="00975D2D" w:rsidRDefault="00807619" w:rsidP="004D78E8">
            <w:pPr>
              <w:pStyle w:val="RollCallTable"/>
            </w:pPr>
            <w:r>
              <w:t>David Casa, Jarosław Duda, Cindy Franssen, Helmut Geuking, Radan Kanev, Dennis Radtke, Eugen Tomac, Romana Tomc, Maria Walsh</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Renew</w:t>
            </w:r>
          </w:p>
        </w:tc>
        <w:tc>
          <w:tcPr>
            <w:tcW w:w="7371" w:type="dxa"/>
            <w:shd w:val="clear" w:color="auto" w:fill="FFFFFF"/>
          </w:tcPr>
          <w:p w:rsidR="00807619" w:rsidRPr="00975D2D" w:rsidRDefault="00807619" w:rsidP="004D78E8">
            <w:pPr>
              <w:pStyle w:val="RollCallTable"/>
            </w:pPr>
            <w:r>
              <w:t>Atidzhe Alieva-Veli, Catherine Amalric, Jordi Cañas, Lucia Ďuriš Nicholsonová, Jozef Mihál, Max Orville, Monica Semedo</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S&amp;D</w:t>
            </w:r>
          </w:p>
        </w:tc>
        <w:tc>
          <w:tcPr>
            <w:tcW w:w="7371" w:type="dxa"/>
            <w:shd w:val="clear" w:color="auto" w:fill="FFFFFF"/>
          </w:tcPr>
          <w:p w:rsidR="00807619" w:rsidRPr="00975D2D" w:rsidRDefault="00807619" w:rsidP="004D78E8">
            <w:pPr>
              <w:pStyle w:val="RollCallTable"/>
            </w:pPr>
            <w:r>
              <w:t>João Albuquerque, Vilija Blinkevičiūtė, Milan Brglez, Ilan De Basso, Estrella Durá Ferrandis, Lina Gálvez Muñoz, Elisabetta Gualmini, Agnes Jongerius, Maria Noichl, Carina Ohlsson, Vera Tax</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The Left</w:t>
            </w:r>
          </w:p>
        </w:tc>
        <w:tc>
          <w:tcPr>
            <w:tcW w:w="7371" w:type="dxa"/>
            <w:shd w:val="clear" w:color="auto" w:fill="FFFFFF"/>
          </w:tcPr>
          <w:p w:rsidR="00807619" w:rsidRPr="00975D2D" w:rsidRDefault="00807619" w:rsidP="004D78E8">
            <w:pPr>
              <w:pStyle w:val="RollCallTable"/>
            </w:pPr>
            <w:r>
              <w:t>Leila Chaibi, José Gusmão, Nikolaj Villumsen</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Verts/ALE</w:t>
            </w:r>
          </w:p>
        </w:tc>
        <w:tc>
          <w:tcPr>
            <w:tcW w:w="7371" w:type="dxa"/>
            <w:shd w:val="clear" w:color="auto" w:fill="FFFFFF"/>
          </w:tcPr>
          <w:p w:rsidR="00807619" w:rsidRPr="00975D2D" w:rsidRDefault="00807619" w:rsidP="004D78E8">
            <w:pPr>
              <w:pStyle w:val="RollCallTable"/>
            </w:pPr>
            <w:r>
              <w:t>Romeo Franz, Katrin Langensiepen, Sara Matthieu, Mounir Satouri</w:t>
            </w:r>
          </w:p>
        </w:tc>
      </w:tr>
    </w:tbl>
    <w:p w:rsidR="00807619" w:rsidRPr="00975D2D" w:rsidRDefault="00807619" w:rsidP="0080761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7619" w:rsidRPr="00975D2D" w:rsidTr="004D78E8">
        <w:trPr>
          <w:cantSplit/>
        </w:trPr>
        <w:tc>
          <w:tcPr>
            <w:tcW w:w="1701" w:type="dxa"/>
            <w:shd w:val="pct10" w:color="000000" w:fill="FFFFFF"/>
            <w:vAlign w:val="center"/>
          </w:tcPr>
          <w:p w:rsidR="00807619" w:rsidRPr="00975D2D" w:rsidRDefault="00807619" w:rsidP="004D78E8">
            <w:pPr>
              <w:pStyle w:val="RollCallVotes"/>
            </w:pPr>
            <w:r>
              <w:t>1</w:t>
            </w:r>
          </w:p>
        </w:tc>
        <w:tc>
          <w:tcPr>
            <w:tcW w:w="7371" w:type="dxa"/>
            <w:shd w:val="pct10" w:color="000000" w:fill="FFFFFF"/>
          </w:tcPr>
          <w:p w:rsidR="00807619" w:rsidRPr="00975D2D" w:rsidRDefault="00807619" w:rsidP="004D78E8">
            <w:pPr>
              <w:pStyle w:val="RollCallSymbols14pt"/>
            </w:pPr>
            <w:r>
              <w:t>-</w:t>
            </w:r>
          </w:p>
        </w:tc>
      </w:tr>
      <w:tr w:rsidR="00807619" w:rsidRPr="00975D2D" w:rsidTr="004D78E8">
        <w:trPr>
          <w:cantSplit/>
        </w:trPr>
        <w:tc>
          <w:tcPr>
            <w:tcW w:w="1701" w:type="dxa"/>
            <w:shd w:val="clear" w:color="auto" w:fill="FFFFFF"/>
          </w:tcPr>
          <w:p w:rsidR="00807619" w:rsidRPr="00975D2D" w:rsidRDefault="00807619" w:rsidP="004D78E8">
            <w:pPr>
              <w:pStyle w:val="RollCallTable"/>
            </w:pPr>
            <w:r>
              <w:t>ID</w:t>
            </w:r>
          </w:p>
        </w:tc>
        <w:tc>
          <w:tcPr>
            <w:tcW w:w="7371" w:type="dxa"/>
            <w:shd w:val="clear" w:color="auto" w:fill="FFFFFF"/>
          </w:tcPr>
          <w:p w:rsidR="00807619" w:rsidRPr="00975D2D" w:rsidRDefault="00807619" w:rsidP="004D78E8">
            <w:pPr>
              <w:pStyle w:val="RollCallTable"/>
            </w:pPr>
            <w:r>
              <w:t>Dominique Bilde</w:t>
            </w:r>
          </w:p>
        </w:tc>
      </w:tr>
    </w:tbl>
    <w:p w:rsidR="00807619" w:rsidRPr="00975D2D" w:rsidRDefault="00807619" w:rsidP="0080761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07619" w:rsidRPr="00975D2D" w:rsidTr="004D78E8">
        <w:trPr>
          <w:cantSplit/>
        </w:trPr>
        <w:tc>
          <w:tcPr>
            <w:tcW w:w="1701" w:type="dxa"/>
            <w:shd w:val="pct10" w:color="000000" w:fill="FFFFFF"/>
            <w:vAlign w:val="center"/>
          </w:tcPr>
          <w:p w:rsidR="00807619" w:rsidRPr="00975D2D" w:rsidRDefault="00807619" w:rsidP="004D78E8">
            <w:pPr>
              <w:pStyle w:val="RollCallVotes"/>
            </w:pPr>
            <w:r>
              <w:t>2</w:t>
            </w:r>
          </w:p>
        </w:tc>
        <w:tc>
          <w:tcPr>
            <w:tcW w:w="7371" w:type="dxa"/>
            <w:shd w:val="pct10" w:color="000000" w:fill="FFFFFF"/>
          </w:tcPr>
          <w:p w:rsidR="00807619" w:rsidRPr="00975D2D" w:rsidRDefault="00807619" w:rsidP="004D78E8">
            <w:pPr>
              <w:pStyle w:val="RollCallSymbols14pt"/>
            </w:pPr>
            <w:r>
              <w:t>0</w:t>
            </w:r>
          </w:p>
        </w:tc>
      </w:tr>
      <w:tr w:rsidR="00807619" w:rsidRPr="00807619" w:rsidTr="004D78E8">
        <w:trPr>
          <w:cantSplit/>
        </w:trPr>
        <w:tc>
          <w:tcPr>
            <w:tcW w:w="1701" w:type="dxa"/>
            <w:shd w:val="clear" w:color="auto" w:fill="FFFFFF"/>
          </w:tcPr>
          <w:p w:rsidR="00807619" w:rsidRPr="00975D2D" w:rsidRDefault="00807619" w:rsidP="004D78E8">
            <w:pPr>
              <w:pStyle w:val="RollCallTable"/>
            </w:pPr>
            <w:r>
              <w:t>ID</w:t>
            </w:r>
          </w:p>
        </w:tc>
        <w:tc>
          <w:tcPr>
            <w:tcW w:w="7371" w:type="dxa"/>
            <w:shd w:val="clear" w:color="auto" w:fill="FFFFFF"/>
          </w:tcPr>
          <w:p w:rsidR="00807619" w:rsidRPr="00807619" w:rsidRDefault="00807619" w:rsidP="004D78E8">
            <w:pPr>
              <w:pStyle w:val="RollCallTable"/>
            </w:pPr>
            <w:r>
              <w:t>Elena Lizzi, Antonio Maria Rinaldi</w:t>
            </w:r>
          </w:p>
        </w:tc>
      </w:tr>
    </w:tbl>
    <w:p w:rsidR="00807619" w:rsidRPr="00807619" w:rsidRDefault="00807619" w:rsidP="00147FBF">
      <w:pPr>
        <w:pStyle w:val="Normal12a"/>
        <w:rPr>
          <w:lang w:val="it-IT"/>
        </w:rPr>
      </w:pPr>
    </w:p>
    <w:p w:rsidR="00807619" w:rsidRDefault="00807619" w:rsidP="00B735E3">
      <w:r>
        <w:t>Objaśnienie używanych znaków:</w:t>
      </w:r>
    </w:p>
    <w:p w:rsidR="00807619" w:rsidRDefault="00807619" w:rsidP="003858C5">
      <w:pPr>
        <w:pStyle w:val="RollCallTabs"/>
      </w:pPr>
      <w:r>
        <w:t>+</w:t>
      </w:r>
      <w:r>
        <w:tab/>
        <w:t>:</w:t>
      </w:r>
      <w:r>
        <w:tab/>
        <w:t>za</w:t>
      </w:r>
    </w:p>
    <w:p w:rsidR="00807619" w:rsidRDefault="00807619" w:rsidP="003858C5">
      <w:pPr>
        <w:pStyle w:val="RollCallTabs"/>
      </w:pPr>
      <w:r>
        <w:t>-</w:t>
      </w:r>
      <w:r>
        <w:tab/>
        <w:t>:</w:t>
      </w:r>
      <w:r>
        <w:tab/>
        <w:t>przeciw</w:t>
      </w:r>
    </w:p>
    <w:p w:rsidR="00807619" w:rsidRDefault="00807619" w:rsidP="003858C5">
      <w:pPr>
        <w:pStyle w:val="RollCallTabs"/>
      </w:pPr>
      <w:r>
        <w:t>0</w:t>
      </w:r>
      <w:r>
        <w:tab/>
        <w:t>:</w:t>
      </w:r>
      <w:r>
        <w:tab/>
        <w:t>wstrzymało się</w:t>
      </w:r>
    </w:p>
    <w:p w:rsidR="00807619" w:rsidRDefault="00807619" w:rsidP="00207509"/>
    <w:bookmarkEnd w:id="2"/>
    <w:p w:rsidR="002E6F98" w:rsidRPr="00807619" w:rsidRDefault="002E6F98" w:rsidP="00807619"/>
    <w:sectPr w:rsidR="002E6F98" w:rsidRPr="00807619" w:rsidSect="0080761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A68" w:rsidRPr="00975D2D" w:rsidRDefault="00A00A68">
      <w:r w:rsidRPr="00975D2D">
        <w:separator/>
      </w:r>
    </w:p>
  </w:endnote>
  <w:endnote w:type="continuationSeparator" w:id="0">
    <w:p w:rsidR="00A00A68" w:rsidRPr="00975D2D" w:rsidRDefault="00A00A68">
      <w:r w:rsidRPr="00975D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E19" w:rsidRPr="00975D2D" w:rsidRDefault="00B35E19" w:rsidP="00B35E19">
    <w:pPr>
      <w:pStyle w:val="EPFooter"/>
    </w:pPr>
    <w:r w:rsidRPr="00975D2D">
      <w:t>PE</w:t>
    </w:r>
    <w:r w:rsidRPr="00975D2D">
      <w:rPr>
        <w:rStyle w:val="HideTWBExt"/>
      </w:rPr>
      <w:t>&lt;NoPE&gt;</w:t>
    </w:r>
    <w:r w:rsidRPr="00975D2D">
      <w:t>752.905</w:t>
    </w:r>
    <w:r w:rsidRPr="00975D2D">
      <w:rPr>
        <w:rStyle w:val="HideTWBExt"/>
      </w:rPr>
      <w:t>&lt;/NoPE&gt;&lt;Version&gt;</w:t>
    </w:r>
    <w:r w:rsidRPr="00975D2D">
      <w:t>v04-00</w:t>
    </w:r>
    <w:r w:rsidRPr="00975D2D">
      <w:rPr>
        <w:rStyle w:val="HideTWBExt"/>
      </w:rPr>
      <w:t>&lt;/Version&gt;</w:t>
    </w:r>
    <w:r w:rsidRPr="00975D2D">
      <w:tab/>
    </w:r>
    <w:r w:rsidRPr="00975D2D">
      <w:fldChar w:fldCharType="begin"/>
    </w:r>
    <w:r w:rsidRPr="00975D2D">
      <w:instrText xml:space="preserve"> PAGE  \* MERGEFORMAT </w:instrText>
    </w:r>
    <w:r w:rsidRPr="00975D2D">
      <w:fldChar w:fldCharType="separate"/>
    </w:r>
    <w:r w:rsidR="001A0CAB">
      <w:rPr>
        <w:noProof/>
      </w:rPr>
      <w:t>6</w:t>
    </w:r>
    <w:r w:rsidRPr="00975D2D">
      <w:fldChar w:fldCharType="end"/>
    </w:r>
    <w:r w:rsidRPr="00975D2D">
      <w:t>/</w:t>
    </w:r>
    <w:fldSimple w:instr=" NUMPAGES  \* MERGEFORMAT ">
      <w:r w:rsidR="001A0CAB">
        <w:rPr>
          <w:noProof/>
        </w:rPr>
        <w:t>7</w:t>
      </w:r>
    </w:fldSimple>
    <w:r w:rsidRPr="00975D2D">
      <w:tab/>
    </w:r>
    <w:r w:rsidRPr="00975D2D">
      <w:rPr>
        <w:rStyle w:val="HideTWBExt"/>
      </w:rPr>
      <w:t>&lt;PathFdR&gt;</w:t>
    </w:r>
    <w:r w:rsidRPr="00975D2D">
      <w:t>AD\1296107PL.docx</w:t>
    </w:r>
    <w:r w:rsidRPr="00975D2D">
      <w:rPr>
        <w:rStyle w:val="HideTWBExt"/>
      </w:rPr>
      <w:t>&lt;/PathFdR&gt;</w:t>
    </w:r>
  </w:p>
  <w:p w:rsidR="002E2F2E" w:rsidRPr="00975D2D" w:rsidRDefault="00B35E19" w:rsidP="00B35E19">
    <w:pPr>
      <w:pStyle w:val="EPFooter2"/>
    </w:pPr>
    <w:r w:rsidRPr="00975D2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E19" w:rsidRPr="00975D2D" w:rsidRDefault="00B35E19" w:rsidP="00B35E19">
    <w:pPr>
      <w:pStyle w:val="EPFooter"/>
    </w:pPr>
    <w:r w:rsidRPr="00975D2D">
      <w:rPr>
        <w:rStyle w:val="HideTWBExt"/>
      </w:rPr>
      <w:t>&lt;PathFdR&gt;</w:t>
    </w:r>
    <w:r w:rsidRPr="00975D2D">
      <w:t>AD\1296107PL.docx</w:t>
    </w:r>
    <w:r w:rsidRPr="00975D2D">
      <w:rPr>
        <w:rStyle w:val="HideTWBExt"/>
      </w:rPr>
      <w:t>&lt;/PathFdR&gt;</w:t>
    </w:r>
    <w:r w:rsidRPr="00975D2D">
      <w:tab/>
    </w:r>
    <w:r w:rsidRPr="00975D2D">
      <w:fldChar w:fldCharType="begin"/>
    </w:r>
    <w:r w:rsidRPr="00975D2D">
      <w:instrText xml:space="preserve"> PAGE  \* MERGEFORMAT </w:instrText>
    </w:r>
    <w:r w:rsidRPr="00975D2D">
      <w:fldChar w:fldCharType="separate"/>
    </w:r>
    <w:r w:rsidR="001A0CAB">
      <w:rPr>
        <w:noProof/>
      </w:rPr>
      <w:t>5</w:t>
    </w:r>
    <w:r w:rsidRPr="00975D2D">
      <w:fldChar w:fldCharType="end"/>
    </w:r>
    <w:r w:rsidRPr="00975D2D">
      <w:t>/</w:t>
    </w:r>
    <w:fldSimple w:instr=" NUMPAGES  \* MERGEFORMAT ">
      <w:r w:rsidR="001A0CAB">
        <w:rPr>
          <w:noProof/>
        </w:rPr>
        <w:t>7</w:t>
      </w:r>
    </w:fldSimple>
    <w:r w:rsidRPr="00975D2D">
      <w:tab/>
      <w:t>PE</w:t>
    </w:r>
    <w:r w:rsidRPr="00975D2D">
      <w:rPr>
        <w:rStyle w:val="HideTWBExt"/>
      </w:rPr>
      <w:t>&lt;NoPE&gt;</w:t>
    </w:r>
    <w:r w:rsidRPr="00975D2D">
      <w:t>752.905</w:t>
    </w:r>
    <w:r w:rsidRPr="00975D2D">
      <w:rPr>
        <w:rStyle w:val="HideTWBExt"/>
      </w:rPr>
      <w:t>&lt;/NoPE&gt;&lt;Version&gt;</w:t>
    </w:r>
    <w:r w:rsidRPr="00975D2D">
      <w:t>v04-00</w:t>
    </w:r>
    <w:r w:rsidRPr="00975D2D">
      <w:rPr>
        <w:rStyle w:val="HideTWBExt"/>
      </w:rPr>
      <w:t>&lt;/Version&gt;</w:t>
    </w:r>
  </w:p>
  <w:p w:rsidR="002E2F2E" w:rsidRPr="00975D2D" w:rsidRDefault="00B35E19" w:rsidP="00B35E19">
    <w:pPr>
      <w:pStyle w:val="EPFooter2"/>
    </w:pPr>
    <w:r w:rsidRPr="00975D2D">
      <w:tab/>
    </w:r>
    <w:r w:rsidRPr="00975D2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E19" w:rsidRPr="00975D2D" w:rsidRDefault="00B35E19" w:rsidP="00B35E19">
    <w:pPr>
      <w:pStyle w:val="EPFooter"/>
    </w:pPr>
    <w:r w:rsidRPr="00975D2D">
      <w:rPr>
        <w:rStyle w:val="HideTWBExt"/>
      </w:rPr>
      <w:t>&lt;PathFdR&gt;</w:t>
    </w:r>
    <w:r w:rsidRPr="00975D2D">
      <w:t>AD\1296107PL.docx</w:t>
    </w:r>
    <w:r w:rsidRPr="00975D2D">
      <w:rPr>
        <w:rStyle w:val="HideTWBExt"/>
      </w:rPr>
      <w:t>&lt;/PathFdR&gt;</w:t>
    </w:r>
    <w:r w:rsidRPr="00975D2D">
      <w:tab/>
    </w:r>
    <w:r w:rsidRPr="00975D2D">
      <w:tab/>
      <w:t>PE</w:t>
    </w:r>
    <w:r w:rsidRPr="00975D2D">
      <w:rPr>
        <w:rStyle w:val="HideTWBExt"/>
      </w:rPr>
      <w:t>&lt;NoPE&gt;</w:t>
    </w:r>
    <w:r w:rsidRPr="00975D2D">
      <w:t>752.905</w:t>
    </w:r>
    <w:r w:rsidRPr="00975D2D">
      <w:rPr>
        <w:rStyle w:val="HideTWBExt"/>
      </w:rPr>
      <w:t>&lt;/NoPE&gt;&lt;Version&gt;</w:t>
    </w:r>
    <w:r w:rsidRPr="00975D2D">
      <w:t>v04-00</w:t>
    </w:r>
    <w:r w:rsidRPr="00975D2D">
      <w:rPr>
        <w:rStyle w:val="HideTWBExt"/>
      </w:rPr>
      <w:t>&lt;/Version&gt;</w:t>
    </w:r>
  </w:p>
  <w:p w:rsidR="002E2F2E" w:rsidRPr="00975D2D" w:rsidRDefault="00B35E19" w:rsidP="00B35E19">
    <w:pPr>
      <w:pStyle w:val="EPFooter2"/>
    </w:pPr>
    <w:r w:rsidRPr="00975D2D">
      <w:t>PL</w:t>
    </w:r>
    <w:r w:rsidRPr="00975D2D">
      <w:tab/>
    </w:r>
    <w:r w:rsidRPr="00975D2D">
      <w:rPr>
        <w:b w:val="0"/>
        <w:i/>
        <w:color w:val="C0C0C0"/>
        <w:sz w:val="22"/>
      </w:rPr>
      <w:t>Zjednoczona w różnorodności</w:t>
    </w:r>
    <w:r w:rsidRPr="00975D2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A68" w:rsidRPr="00975D2D" w:rsidRDefault="00A00A68">
      <w:r w:rsidRPr="00975D2D">
        <w:separator/>
      </w:r>
    </w:p>
  </w:footnote>
  <w:footnote w:type="continuationSeparator" w:id="0">
    <w:p w:rsidR="00A00A68" w:rsidRPr="00975D2D" w:rsidRDefault="00A00A68">
      <w:r w:rsidRPr="00975D2D">
        <w:continuationSeparator/>
      </w:r>
    </w:p>
  </w:footnote>
  <w:footnote w:id="1">
    <w:p w:rsidR="00D81B21" w:rsidRPr="00807619" w:rsidRDefault="00D81B21" w:rsidP="00D81B21">
      <w:pPr>
        <w:pStyle w:val="FootnoteText"/>
      </w:pPr>
      <w:r>
        <w:rPr>
          <w:rStyle w:val="FootnoteReference"/>
        </w:rPr>
        <w:footnoteRef/>
      </w:r>
      <w:r>
        <w:t xml:space="preserve"> Dane te pochodzą ze sprawozdania rocznego Trybunału dotyczącego agencji UE za rok budżetowy 2022 i opierają się na łącznej kwocie środków na płatności dostępnych w danym roku budżetowym.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619" w:rsidRDefault="008076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619" w:rsidRDefault="008076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619" w:rsidRDefault="00807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EMPL"/>
    <w:docVar w:name="CONTRIBUTIONMNU" w:val=" 2"/>
    <w:docVar w:name="FONCTIONMNU" w:val=" 1"/>
    <w:docVar w:name="LastEditedSection"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235579 HideTWBInt;}{_x000d__x000a_\s18\ql \fi-567\li567\ri0\sa240\nowidctlpar\wrapdefault\aspalpha\aspnum\faauto\adjustright\rin0\lin567\itap0 \rtlch\fcs1 \af0\afs20\alang1025 \ltrch\fcs0 \fs24\lang2057\langfe2057\cgrid\langnp2057\langfenp2057 _x000d__x000a_\sbasedon0 \snext18 \spriority0 \styrsid2235579 NormalHanging12a;}}{\*\rsidtbl \rsid24658\rsid223860\rsid735077\rsid858727\rsid1718133\rsid2235579\rsid2892074\rsid3565327\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NOTARIDOU Aikaterini}{\operator NOTARIDOU Aikaterini}{\creatim\yr2023\mo12\dy11\hr13\min1}{\revtim\yr2023\mo12\dy11\hr13\min1}{\version1}{\edmins0}{\nofpages1}{\nofwords1}{\nofchars12}{\nofcharsws12}{\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557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58727 \chftnsep _x000d__x000a_\par }}{\*\ftnsepc \ltrpar \pard\plain \ltrpar\ql \li0\ri0\widctlpar\wrapdefault\aspalpha\aspnum\faauto\adjustright\rin0\lin0\itap0 \rtlch\fcs1 \af0\afs20\alang1025 \ltrch\fcs0 \fs24\lang2057\langfe2057\cgrid\langnp2057\langfenp2057 {\rtlch\fcs1 \af0 _x000d__x000a_\ltrch\fcs0 \insrsid858727 \chftnsepc _x000d__x000a_\par }}{\*\aftnsep \ltrpar \pard\plain \ltrpar\ql \li0\ri0\widctlpar\wrapdefault\aspalpha\aspnum\faauto\adjustright\rin0\lin0\itap0 \rtlch\fcs1 \af0\afs20\alang1025 \ltrch\fcs0 \fs24\lang2057\langfe2057\cgrid\langnp2057\langfenp2057 {\rtlch\fcs1 \af0 _x000d__x000a_\ltrch\fcs0 \insrsid858727 \chftnsep _x000d__x000a_\par }}{\*\aftnsepc \ltrpar \pard\plain \ltrpar\ql \li0\ri0\widctlpar\wrapdefault\aspalpha\aspnum\faauto\adjustright\rin0\lin0\itap0 \rtlch\fcs1 \af0\afs20\alang1025 \ltrch\fcs0 \fs24\lang2057\langfe2057\cgrid\langnp2057\langfenp2057 {\rtlch\fcs1 \af0 _x000d__x000a_\ltrch\fcs0 \insrsid858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235579 \rtlch\fcs1 \af0\afs20\alang1025 \ltrch\fcs0 \fs24\lang2057\langfe2057\cgrid\langnp2057\langfenp2057 {\rtlch\fcs1 \af0 _x000d__x000a_\ltrch\fcs0 \insrsid2235579\charrsid9785132 {\*\bkmkstart restart}#}{\rtlch\fcs1 \af1 \ltrch\fcs0 \cs17\v\f1\fs20\cf15\insrsid2235579\charrsid9785132 NRMSG}{\rtlch\fcs1 \af0 \ltrch\fcs0 \insrsid2235579\charrsid9785132 #.\tab ##}{\rtlch\fcs1 \af0 _x000d__x000a_\ltrch\fcs0 \insrsid223557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9_x000d__x000a_3dc429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2040058 NormalHanging12a;}}{\*\rsidtbl \rsid24658\rsid223860\rsid735077\rsid1718133\rsid2040058\rsid2892074\rsid3565327\rsid4666813\rsid6641733\rsid7823322_x000d__x000a_\rsid8064149\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OTARIDOU Aikaterini}{\operator NOTARIDOU Aikaterini}{\creatim\yr2023\mo12\dy11\hr13\min1}{\revtim\yr2023\mo12\dy11\hr13\min1}{\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40058\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8064149 \chftnsep _x000d__x000a_\par }}{\*\ftnsepc \ltrpar \pard\plain \ltrpar\ql \li0\ri0\widctlpar\wrapdefault\aspalpha\aspnum\faauto\adjustright\rin0\lin0\itap0 \rtlch\fcs1 \af0\afs20\alang1025 \ltrch\fcs0 \fs24\lang2057\langfe2057\cgrid\langnp2057\langfenp2057 {\rtlch\fcs1 \af0 _x000d__x000a_\ltrch\fcs0 \insrsid8064149 \chftnsepc _x000d__x000a_\par }}{\*\aftnsep \ltrpar \pard\plain \ltrpar\ql \li0\ri0\widctlpar\wrapdefault\aspalpha\aspnum\faauto\adjustright\rin0\lin0\itap0 \rtlch\fcs1 \af0\afs20\alang1025 \ltrch\fcs0 \fs24\lang2057\langfe2057\cgrid\langnp2057\langfenp2057 {\rtlch\fcs1 \af0 _x000d__x000a_\ltrch\fcs0 \insrsid8064149 \chftnsep _x000d__x000a_\par }}{\*\aftnsepc \ltrpar \pard\plain \ltrpar\ql \li0\ri0\widctlpar\wrapdefault\aspalpha\aspnum\faauto\adjustright\rin0\lin0\itap0 \rtlch\fcs1 \af0\afs20\alang1025 \ltrch\fcs0 \fs24\lang2057\langfe2057\cgrid\langnp2057\langfenp2057 {\rtlch\fcs1 \af0 _x000d__x000a_\ltrch\fcs0 \insrsid80641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2040058 \rtlch\fcs1 \af0\afs20\alang1025 \ltrch\fcs0 \fs24\lang2057\langfe2057\cgrid\langnp2057\langfenp2057 {\rtlch\fcs1 \af0 _x000d__x000a_\ltrch\fcs0 \insrsid2040058\charrsid1525456 {\*\bkmkstart restart}[ZSUGGESTIONNR]\tab [ZSUGGESTIONTEXT]}{\rtlch\fcs1 \af0 \ltrch\fcs0 \insrsid204005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e_x000d__x000a_a4c629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PL"/>
    <w:docVar w:name="TXTLANGUEMIN" w:val="pl"/>
    <w:docVar w:name="TXTNRPE" w:val="752.905"/>
    <w:docVar w:name="TXTNRPROC" w:val="2023/2143"/>
    <w:docVar w:name="TXTPEorAP" w:val="PE"/>
    <w:docVar w:name="TXTROUTE" w:val="AD\1296107PL.docx"/>
    <w:docVar w:name="TXTTITLE" w:val="of the European Centre for the Development of Vocational Training (Cedefop)"/>
    <w:docVar w:name="TXTVERSION" w:val="04-00"/>
  </w:docVars>
  <w:rsids>
    <w:rsidRoot w:val="00A00A68"/>
    <w:rsid w:val="00060ED1"/>
    <w:rsid w:val="000E7EBF"/>
    <w:rsid w:val="001156E1"/>
    <w:rsid w:val="00124F60"/>
    <w:rsid w:val="00135121"/>
    <w:rsid w:val="00140BE6"/>
    <w:rsid w:val="00147F4E"/>
    <w:rsid w:val="001632D6"/>
    <w:rsid w:val="0016635E"/>
    <w:rsid w:val="001746D0"/>
    <w:rsid w:val="0018717C"/>
    <w:rsid w:val="001A0CAB"/>
    <w:rsid w:val="001B7393"/>
    <w:rsid w:val="001D2ED9"/>
    <w:rsid w:val="001D75C6"/>
    <w:rsid w:val="00207E91"/>
    <w:rsid w:val="002D28A7"/>
    <w:rsid w:val="002E2F2E"/>
    <w:rsid w:val="002E6F98"/>
    <w:rsid w:val="00325BCB"/>
    <w:rsid w:val="00331944"/>
    <w:rsid w:val="00332AD9"/>
    <w:rsid w:val="00347D2C"/>
    <w:rsid w:val="00351A35"/>
    <w:rsid w:val="0037356F"/>
    <w:rsid w:val="00390EB2"/>
    <w:rsid w:val="00396A0E"/>
    <w:rsid w:val="003A4E1D"/>
    <w:rsid w:val="003E2402"/>
    <w:rsid w:val="00402443"/>
    <w:rsid w:val="00492C80"/>
    <w:rsid w:val="004C28FB"/>
    <w:rsid w:val="004C44C0"/>
    <w:rsid w:val="0052544E"/>
    <w:rsid w:val="005940C3"/>
    <w:rsid w:val="00594C48"/>
    <w:rsid w:val="005B2F11"/>
    <w:rsid w:val="005B362B"/>
    <w:rsid w:val="005C0BDF"/>
    <w:rsid w:val="005D60C6"/>
    <w:rsid w:val="006102E7"/>
    <w:rsid w:val="00620993"/>
    <w:rsid w:val="00640C1B"/>
    <w:rsid w:val="006509C5"/>
    <w:rsid w:val="00657AFB"/>
    <w:rsid w:val="006D5BF7"/>
    <w:rsid w:val="007124CE"/>
    <w:rsid w:val="00807619"/>
    <w:rsid w:val="008313E7"/>
    <w:rsid w:val="00854CAC"/>
    <w:rsid w:val="008A32C5"/>
    <w:rsid w:val="008C6203"/>
    <w:rsid w:val="008D61E7"/>
    <w:rsid w:val="008F7002"/>
    <w:rsid w:val="00940719"/>
    <w:rsid w:val="009604CA"/>
    <w:rsid w:val="00971056"/>
    <w:rsid w:val="00975D2D"/>
    <w:rsid w:val="0098302C"/>
    <w:rsid w:val="0099493F"/>
    <w:rsid w:val="00995AED"/>
    <w:rsid w:val="00A00A68"/>
    <w:rsid w:val="00A16BEA"/>
    <w:rsid w:val="00A312B3"/>
    <w:rsid w:val="00A7036B"/>
    <w:rsid w:val="00A72C35"/>
    <w:rsid w:val="00A80E1B"/>
    <w:rsid w:val="00AE180F"/>
    <w:rsid w:val="00B35E19"/>
    <w:rsid w:val="00B362F7"/>
    <w:rsid w:val="00B5456B"/>
    <w:rsid w:val="00B74B53"/>
    <w:rsid w:val="00BA573A"/>
    <w:rsid w:val="00BC26E4"/>
    <w:rsid w:val="00BD1EAA"/>
    <w:rsid w:val="00C52739"/>
    <w:rsid w:val="00C827FF"/>
    <w:rsid w:val="00CD34AC"/>
    <w:rsid w:val="00D81B21"/>
    <w:rsid w:val="00D90E33"/>
    <w:rsid w:val="00DE19FF"/>
    <w:rsid w:val="00E22C7F"/>
    <w:rsid w:val="00E56DEA"/>
    <w:rsid w:val="00E6519D"/>
    <w:rsid w:val="00E81BA6"/>
    <w:rsid w:val="00E856D2"/>
    <w:rsid w:val="00E929A7"/>
    <w:rsid w:val="00EC1CD9"/>
    <w:rsid w:val="00F57FA1"/>
    <w:rsid w:val="00FB533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chartTrackingRefBased/>
  <w15:docId w15:val="{50569F6B-6765-42CC-9288-561F1BDD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3A4E1D"/>
    <w:rPr>
      <w:sz w:val="20"/>
    </w:rPr>
  </w:style>
  <w:style w:type="character" w:customStyle="1" w:styleId="FootnoteTextChar">
    <w:name w:val="Footnote Text Char"/>
    <w:basedOn w:val="DefaultParagraphFont"/>
    <w:link w:val="FootnoteText"/>
    <w:rsid w:val="003A4E1D"/>
  </w:style>
  <w:style w:type="character" w:styleId="FootnoteReference">
    <w:name w:val="footnote reference"/>
    <w:basedOn w:val="DefaultParagraphFont"/>
    <w:rsid w:val="003A4E1D"/>
    <w:rPr>
      <w:vertAlign w:val="superscript"/>
    </w:rPr>
  </w:style>
  <w:style w:type="paragraph" w:styleId="Footer">
    <w:name w:val="footer"/>
    <w:basedOn w:val="Normal"/>
    <w:link w:val="FooterChar"/>
    <w:semiHidden/>
    <w:rsid w:val="001156E1"/>
    <w:pPr>
      <w:tabs>
        <w:tab w:val="center" w:pos="4513"/>
        <w:tab w:val="right" w:pos="9026"/>
      </w:tabs>
    </w:pPr>
  </w:style>
  <w:style w:type="character" w:customStyle="1" w:styleId="FooterChar">
    <w:name w:val="Footer Char"/>
    <w:basedOn w:val="DefaultParagraphFont"/>
    <w:link w:val="Footer"/>
    <w:semiHidden/>
    <w:rsid w:val="001156E1"/>
    <w:rPr>
      <w:sz w:val="24"/>
    </w:rPr>
  </w:style>
  <w:style w:type="character" w:customStyle="1" w:styleId="NormalHanging12aChar">
    <w:name w:val="NormalHanging12a Char"/>
    <w:basedOn w:val="DefaultParagraphFont"/>
    <w:link w:val="NormalHanging12a"/>
    <w:locked/>
    <w:rsid w:val="00D81B21"/>
    <w:rPr>
      <w:sz w:val="24"/>
    </w:rPr>
  </w:style>
  <w:style w:type="paragraph" w:customStyle="1" w:styleId="RollCallSymbols14pt">
    <w:name w:val="RollCallSymbols14pt"/>
    <w:basedOn w:val="Normal"/>
    <w:rsid w:val="00E651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6519D"/>
    <w:pPr>
      <w:tabs>
        <w:tab w:val="center" w:pos="284"/>
        <w:tab w:val="left" w:pos="426"/>
      </w:tabs>
    </w:pPr>
    <w:rPr>
      <w:snapToGrid w:val="0"/>
      <w:lang w:eastAsia="en-US"/>
    </w:rPr>
  </w:style>
  <w:style w:type="paragraph" w:customStyle="1" w:styleId="RollCallVotes">
    <w:name w:val="RollCallVotes"/>
    <w:basedOn w:val="Normal"/>
    <w:rsid w:val="00E6519D"/>
    <w:pPr>
      <w:spacing w:before="120" w:after="120"/>
      <w:jc w:val="center"/>
    </w:pPr>
    <w:rPr>
      <w:b/>
      <w:bCs/>
      <w:snapToGrid w:val="0"/>
      <w:sz w:val="16"/>
      <w:lang w:eastAsia="en-US"/>
    </w:rPr>
  </w:style>
  <w:style w:type="paragraph" w:customStyle="1" w:styleId="RollCallTable">
    <w:name w:val="RollCallTable"/>
    <w:basedOn w:val="Normal"/>
    <w:rsid w:val="00E6519D"/>
    <w:pPr>
      <w:spacing w:before="120" w:after="120"/>
    </w:pPr>
    <w:rPr>
      <w:snapToGrid w:val="0"/>
      <w:sz w:val="16"/>
      <w:lang w:eastAsia="en-US"/>
    </w:rPr>
  </w:style>
  <w:style w:type="paragraph" w:styleId="BalloonText">
    <w:name w:val="Balloon Text"/>
    <w:basedOn w:val="Normal"/>
    <w:link w:val="BalloonTextChar"/>
    <w:semiHidden/>
    <w:unhideWhenUsed/>
    <w:rsid w:val="00F57FA1"/>
    <w:rPr>
      <w:rFonts w:ascii="Segoe UI" w:hAnsi="Segoe UI" w:cs="Segoe UI"/>
      <w:sz w:val="18"/>
      <w:szCs w:val="18"/>
    </w:rPr>
  </w:style>
  <w:style w:type="character" w:customStyle="1" w:styleId="BalloonTextChar">
    <w:name w:val="Balloon Text Char"/>
    <w:basedOn w:val="DefaultParagraphFont"/>
    <w:link w:val="BalloonText"/>
    <w:semiHidden/>
    <w:rsid w:val="00F57FA1"/>
    <w:rPr>
      <w:rFonts w:ascii="Segoe UI" w:hAnsi="Segoe UI" w:cs="Segoe UI"/>
      <w:sz w:val="18"/>
      <w:szCs w:val="18"/>
    </w:rPr>
  </w:style>
  <w:style w:type="paragraph" w:customStyle="1" w:styleId="Normal24a">
    <w:name w:val="Normal24a"/>
    <w:basedOn w:val="Normal"/>
    <w:rsid w:val="00F57FA1"/>
    <w:pPr>
      <w:spacing w:after="480"/>
    </w:pPr>
  </w:style>
  <w:style w:type="paragraph" w:customStyle="1" w:styleId="NormalBoldCenter">
    <w:name w:val="NormalBoldCenter"/>
    <w:basedOn w:val="Normal"/>
    <w:rsid w:val="00F57FA1"/>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61806">
      <w:bodyDiv w:val="1"/>
      <w:marLeft w:val="0"/>
      <w:marRight w:val="0"/>
      <w:marTop w:val="0"/>
      <w:marBottom w:val="0"/>
      <w:divBdr>
        <w:top w:val="none" w:sz="0" w:space="0" w:color="auto"/>
        <w:left w:val="none" w:sz="0" w:space="0" w:color="auto"/>
        <w:bottom w:val="none" w:sz="0" w:space="0" w:color="auto"/>
        <w:right w:val="none" w:sz="0" w:space="0" w:color="auto"/>
      </w:divBdr>
    </w:div>
    <w:div w:id="68502543">
      <w:bodyDiv w:val="1"/>
      <w:marLeft w:val="0"/>
      <w:marRight w:val="0"/>
      <w:marTop w:val="0"/>
      <w:marBottom w:val="0"/>
      <w:divBdr>
        <w:top w:val="none" w:sz="0" w:space="0" w:color="auto"/>
        <w:left w:val="none" w:sz="0" w:space="0" w:color="auto"/>
        <w:bottom w:val="none" w:sz="0" w:space="0" w:color="auto"/>
        <w:right w:val="none" w:sz="0" w:space="0" w:color="auto"/>
      </w:divBdr>
    </w:div>
    <w:div w:id="426002392">
      <w:bodyDiv w:val="1"/>
      <w:marLeft w:val="0"/>
      <w:marRight w:val="0"/>
      <w:marTop w:val="0"/>
      <w:marBottom w:val="0"/>
      <w:divBdr>
        <w:top w:val="none" w:sz="0" w:space="0" w:color="auto"/>
        <w:left w:val="none" w:sz="0" w:space="0" w:color="auto"/>
        <w:bottom w:val="none" w:sz="0" w:space="0" w:color="auto"/>
        <w:right w:val="none" w:sz="0" w:space="0" w:color="auto"/>
      </w:divBdr>
    </w:div>
    <w:div w:id="543100405">
      <w:bodyDiv w:val="1"/>
      <w:marLeft w:val="0"/>
      <w:marRight w:val="0"/>
      <w:marTop w:val="0"/>
      <w:marBottom w:val="0"/>
      <w:divBdr>
        <w:top w:val="none" w:sz="0" w:space="0" w:color="auto"/>
        <w:left w:val="none" w:sz="0" w:space="0" w:color="auto"/>
        <w:bottom w:val="none" w:sz="0" w:space="0" w:color="auto"/>
        <w:right w:val="none" w:sz="0" w:space="0" w:color="auto"/>
      </w:divBdr>
    </w:div>
    <w:div w:id="1394232911">
      <w:bodyDiv w:val="1"/>
      <w:marLeft w:val="0"/>
      <w:marRight w:val="0"/>
      <w:marTop w:val="0"/>
      <w:marBottom w:val="0"/>
      <w:divBdr>
        <w:top w:val="none" w:sz="0" w:space="0" w:color="auto"/>
        <w:left w:val="none" w:sz="0" w:space="0" w:color="auto"/>
        <w:bottom w:val="none" w:sz="0" w:space="0" w:color="auto"/>
        <w:right w:val="none" w:sz="0" w:space="0" w:color="auto"/>
      </w:divBdr>
    </w:div>
    <w:div w:id="1463770794">
      <w:bodyDiv w:val="1"/>
      <w:marLeft w:val="0"/>
      <w:marRight w:val="0"/>
      <w:marTop w:val="0"/>
      <w:marBottom w:val="0"/>
      <w:divBdr>
        <w:top w:val="none" w:sz="0" w:space="0" w:color="auto"/>
        <w:left w:val="none" w:sz="0" w:space="0" w:color="auto"/>
        <w:bottom w:val="none" w:sz="0" w:space="0" w:color="auto"/>
        <w:right w:val="none" w:sz="0" w:space="0" w:color="auto"/>
      </w:divBdr>
    </w:div>
    <w:div w:id="1628461846">
      <w:bodyDiv w:val="1"/>
      <w:marLeft w:val="0"/>
      <w:marRight w:val="0"/>
      <w:marTop w:val="0"/>
      <w:marBottom w:val="0"/>
      <w:divBdr>
        <w:top w:val="none" w:sz="0" w:space="0" w:color="auto"/>
        <w:left w:val="none" w:sz="0" w:space="0" w:color="auto"/>
        <w:bottom w:val="none" w:sz="0" w:space="0" w:color="auto"/>
        <w:right w:val="none" w:sz="0" w:space="0" w:color="auto"/>
      </w:divBdr>
    </w:div>
    <w:div w:id="1724787296">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63E38-7750-44D5-8F96-1C2D6C629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955</Words>
  <Characters>6414</Characters>
  <Application>Microsoft Office Word</Application>
  <DocSecurity>0</DocSecurity>
  <Lines>168</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2024-02-14T12:28:00Z</dcterms:created>
  <dcterms:modified xsi:type="dcterms:W3CDTF">2024-02-14T12:28:00Z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9.14.1 Build [20230315]</vt:lpwstr>
  </property>
  <property fmtid="{D5CDD505-2E9C-101B-9397-08002B2CF9AE}" pid="4" name="LastEdited with">
    <vt:lpwstr>9.17.1 Build [20240111]</vt:lpwstr>
  </property>
  <property fmtid="{D5CDD505-2E9C-101B-9397-08002B2CF9AE}" pid="5" name="&lt;FdR&gt;">
    <vt:lpwstr>1296107</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\\eiciBRUpr1\pdocep$\DocEP\TRANSFIL\EN\PA_NonLeg.EN(15/06/2023 11:55:00)</vt:lpwstr>
  </property>
  <property fmtid="{D5CDD505-2E9C-101B-9397-08002B2CF9AE}" pid="9" name="&lt;Model&gt;">
    <vt:lpwstr>PA_NonLeg</vt:lpwstr>
  </property>
  <property fmtid="{D5CDD505-2E9C-101B-9397-08002B2CF9AE}" pid="10" name="FooterPath">
    <vt:lpwstr>AD\1296107PL.docx</vt:lpwstr>
  </property>
  <property fmtid="{D5CDD505-2E9C-101B-9397-08002B2CF9AE}" pid="11" name="PE number">
    <vt:lpwstr>752.905</vt:lpwstr>
  </property>
  <property fmtid="{D5CDD505-2E9C-101B-9397-08002B2CF9AE}" pid="12" name="SendToEpades">
    <vt:lpwstr>OK - 2024/02/05 19:24</vt:lpwstr>
  </property>
  <property fmtid="{D5CDD505-2E9C-101B-9397-08002B2CF9AE}" pid="13" name="SDLStudio">
    <vt:lpwstr/>
  </property>
  <property fmtid="{D5CDD505-2E9C-101B-9397-08002B2CF9AE}" pid="14" name="Bookout">
    <vt:lpwstr>OK - 2024/02/14 13:28</vt:lpwstr>
  </property>
</Properties>
</file>