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30CD4" w:rsidRPr="000B03FF" w:rsidTr="007B04F0">
        <w:trPr>
          <w:trHeight w:hRule="exact" w:val="1418"/>
        </w:trPr>
        <w:tc>
          <w:tcPr>
            <w:tcW w:w="6804" w:type="dxa"/>
            <w:shd w:val="clear" w:color="auto" w:fill="auto"/>
            <w:vAlign w:val="center"/>
          </w:tcPr>
          <w:p w:rsidR="00854CAC" w:rsidRPr="000B03FF" w:rsidRDefault="00A64EC2" w:rsidP="007B04F0">
            <w:pPr>
              <w:pStyle w:val="EPName"/>
            </w:pPr>
            <w:r w:rsidRPr="000B03FF">
              <w:t>Europa-Parlamentet</w:t>
            </w:r>
          </w:p>
          <w:p w:rsidR="00854CAC" w:rsidRPr="000B03FF" w:rsidRDefault="00A64EC2" w:rsidP="004C2269">
            <w:pPr>
              <w:pStyle w:val="EPTerm"/>
            </w:pPr>
            <w:r w:rsidRPr="000B03FF">
              <w:t>2024-2029</w:t>
            </w:r>
          </w:p>
        </w:tc>
        <w:tc>
          <w:tcPr>
            <w:tcW w:w="2268" w:type="dxa"/>
            <w:shd w:val="clear" w:color="auto" w:fill="auto"/>
          </w:tcPr>
          <w:p w:rsidR="00854CAC" w:rsidRPr="000B03FF" w:rsidRDefault="00A64EC2" w:rsidP="007B04F0">
            <w:pPr>
              <w:pStyle w:val="EPLogo"/>
            </w:pPr>
            <w:r w:rsidRPr="000B03FF">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0B03FF" w:rsidRDefault="001746D0" w:rsidP="001746D0">
      <w:pPr>
        <w:pStyle w:val="LineTop"/>
      </w:pPr>
    </w:p>
    <w:p w:rsidR="001746D0" w:rsidRPr="000B03FF" w:rsidRDefault="00A64EC2" w:rsidP="001746D0">
      <w:pPr>
        <w:pStyle w:val="EPBody"/>
      </w:pPr>
      <w:r w:rsidRPr="000B03FF">
        <w:rPr>
          <w:rStyle w:val="HideTWBExt"/>
        </w:rPr>
        <w:t>&lt;</w:t>
      </w:r>
      <w:r w:rsidRPr="000B03FF">
        <w:rPr>
          <w:rStyle w:val="HideTWBExt"/>
          <w:i w:val="0"/>
        </w:rPr>
        <w:t>Commission</w:t>
      </w:r>
      <w:r w:rsidRPr="000B03FF">
        <w:rPr>
          <w:rStyle w:val="HideTWBExt"/>
        </w:rPr>
        <w:t>&gt;</w:t>
      </w:r>
      <w:r w:rsidRPr="000B03FF">
        <w:rPr>
          <w:rStyle w:val="HideTWBInt"/>
          <w:color w:val="auto"/>
        </w:rPr>
        <w:t>{EMPL}</w:t>
      </w:r>
      <w:r w:rsidRPr="000B03FF">
        <w:t>Udvalget om Beskæftigelse og Sociale Anliggender</w:t>
      </w:r>
      <w:r w:rsidRPr="000B03FF">
        <w:rPr>
          <w:rStyle w:val="HideTWBExt"/>
        </w:rPr>
        <w:t>&lt;/</w:t>
      </w:r>
      <w:r w:rsidRPr="000B03FF">
        <w:rPr>
          <w:rStyle w:val="HideTWBExt"/>
          <w:i w:val="0"/>
        </w:rPr>
        <w:t>Commission</w:t>
      </w:r>
      <w:r w:rsidRPr="000B03FF">
        <w:rPr>
          <w:rStyle w:val="HideTWBExt"/>
        </w:rPr>
        <w:t>&gt;</w:t>
      </w:r>
    </w:p>
    <w:p w:rsidR="001746D0" w:rsidRPr="000B03FF" w:rsidRDefault="001746D0" w:rsidP="001746D0">
      <w:pPr>
        <w:pStyle w:val="LineBottom"/>
      </w:pPr>
    </w:p>
    <w:p w:rsidR="002E2F2E" w:rsidRPr="000B03FF" w:rsidRDefault="00A64EC2">
      <w:pPr>
        <w:pStyle w:val="CoverReference"/>
      </w:pPr>
      <w:r w:rsidRPr="000B03FF">
        <w:rPr>
          <w:rStyle w:val="HideTWBExt"/>
          <w:b w:val="0"/>
        </w:rPr>
        <w:t>&lt;RefProc&gt;</w:t>
      </w:r>
      <w:r w:rsidRPr="000B03FF">
        <w:t>2024/2085</w:t>
      </w:r>
      <w:r w:rsidRPr="000B03FF">
        <w:rPr>
          <w:rStyle w:val="HideTWBExt"/>
          <w:b w:val="0"/>
        </w:rPr>
        <w:t>&lt;/RefProc&gt;&lt;RefTypeProc&gt;</w:t>
      </w:r>
      <w:r w:rsidRPr="000B03FF">
        <w:t>(INI)</w:t>
      </w:r>
      <w:r w:rsidRPr="000B03FF">
        <w:rPr>
          <w:rStyle w:val="HideTWBExt"/>
          <w:b w:val="0"/>
        </w:rPr>
        <w:t>&lt;/RefTypeProc&gt;</w:t>
      </w:r>
    </w:p>
    <w:p w:rsidR="002E2F2E" w:rsidRPr="000B03FF" w:rsidRDefault="00A64EC2">
      <w:pPr>
        <w:pStyle w:val="CoverDate"/>
      </w:pPr>
      <w:r w:rsidRPr="000B03FF">
        <w:rPr>
          <w:rStyle w:val="HideTWBExt"/>
        </w:rPr>
        <w:t>&lt;Date&gt;</w:t>
      </w:r>
      <w:r w:rsidRPr="000B03FF">
        <w:rPr>
          <w:rStyle w:val="HideTWBInt"/>
          <w:color w:val="auto"/>
        </w:rPr>
        <w:t>{01/04/2025}</w:t>
      </w:r>
      <w:r w:rsidRPr="000B03FF">
        <w:t>1.4.2025</w:t>
      </w:r>
      <w:r w:rsidRPr="000B03FF">
        <w:rPr>
          <w:rStyle w:val="HideTWBExt"/>
        </w:rPr>
        <w:t>&lt;/Date&gt;</w:t>
      </w:r>
    </w:p>
    <w:p w:rsidR="002E2F2E" w:rsidRPr="000B03FF" w:rsidRDefault="00A64EC2">
      <w:pPr>
        <w:pStyle w:val="CoverDocType24a"/>
      </w:pPr>
      <w:r w:rsidRPr="000B03FF">
        <w:rPr>
          <w:rStyle w:val="HideTWBExt"/>
          <w:b w:val="0"/>
        </w:rPr>
        <w:t>&lt;TitreType&gt;</w:t>
      </w:r>
      <w:r w:rsidRPr="000B03FF">
        <w:t>UDTALELSE</w:t>
      </w:r>
      <w:r w:rsidRPr="000B03FF">
        <w:rPr>
          <w:rStyle w:val="HideTWBExt"/>
          <w:b w:val="0"/>
        </w:rPr>
        <w:t>&lt;/TitreType&gt;</w:t>
      </w:r>
    </w:p>
    <w:p w:rsidR="002E2F2E" w:rsidRPr="000B03FF" w:rsidRDefault="00A64EC2">
      <w:pPr>
        <w:pStyle w:val="CoverNormal24a"/>
      </w:pPr>
      <w:r w:rsidRPr="000B03FF">
        <w:rPr>
          <w:rStyle w:val="HideTWBExt"/>
        </w:rPr>
        <w:t>&lt;CommissionResp&gt;</w:t>
      </w:r>
      <w:r w:rsidRPr="000B03FF">
        <w:t>fra Udvalget om Beskæftigelse og Sociale Anliggender</w:t>
      </w:r>
      <w:r w:rsidRPr="000B03FF">
        <w:rPr>
          <w:rStyle w:val="HideTWBExt"/>
        </w:rPr>
        <w:t>&lt;/CommissionResp&gt;</w:t>
      </w:r>
    </w:p>
    <w:p w:rsidR="002E2F2E" w:rsidRPr="000B03FF" w:rsidRDefault="00A64EC2">
      <w:pPr>
        <w:pStyle w:val="CoverNormal24a"/>
      </w:pPr>
      <w:r w:rsidRPr="000B03FF">
        <w:rPr>
          <w:rStyle w:val="HideTWBExt"/>
        </w:rPr>
        <w:t>&lt;CommissionInt&gt;</w:t>
      </w:r>
      <w:r w:rsidRPr="000B03FF">
        <w:t>til Budgetudvalget og Økonomi- og Valutaudvalget</w:t>
      </w:r>
      <w:r w:rsidRPr="000B03FF">
        <w:rPr>
          <w:rStyle w:val="HideTWBExt"/>
        </w:rPr>
        <w:t>&lt;/CommissionInt&gt;</w:t>
      </w:r>
    </w:p>
    <w:p w:rsidR="002E2F2E" w:rsidRPr="000B03FF" w:rsidRDefault="00A64EC2">
      <w:pPr>
        <w:pStyle w:val="CoverNormal"/>
      </w:pPr>
      <w:r w:rsidRPr="000B03FF">
        <w:rPr>
          <w:rStyle w:val="HideTWBExt"/>
        </w:rPr>
        <w:t>&lt;Titre&gt;</w:t>
      </w:r>
      <w:r w:rsidRPr="000B03FF">
        <w:t>om gennemførelsesrapporten om genopretnings- og resiliensfaciliteten</w:t>
      </w:r>
      <w:r w:rsidRPr="000B03FF">
        <w:rPr>
          <w:rStyle w:val="HideTWBExt"/>
        </w:rPr>
        <w:t>&lt;/Titre&gt;</w:t>
      </w:r>
    </w:p>
    <w:p w:rsidR="002E2F2E" w:rsidRPr="000B03FF" w:rsidRDefault="00A64EC2">
      <w:pPr>
        <w:pStyle w:val="CoverNormal24a"/>
      </w:pPr>
      <w:r w:rsidRPr="000B03FF">
        <w:rPr>
          <w:rStyle w:val="HideTWBExt"/>
        </w:rPr>
        <w:t>&lt;DocRe</w:t>
      </w:r>
      <w:r w:rsidRPr="000B03FF">
        <w:rPr>
          <w:rStyle w:val="HideTWBExt"/>
        </w:rPr>
        <w:t>f&gt;</w:t>
      </w:r>
      <w:r w:rsidRPr="000B03FF">
        <w:t>(2024/2085(INI))</w:t>
      </w:r>
      <w:r w:rsidRPr="000B03FF">
        <w:rPr>
          <w:rStyle w:val="HideTWBExt"/>
        </w:rPr>
        <w:t>&lt;/DocRef&gt;</w:t>
      </w:r>
    </w:p>
    <w:p w:rsidR="002E2F2E" w:rsidRPr="000B03FF" w:rsidRDefault="00A64EC2">
      <w:pPr>
        <w:pStyle w:val="CoverNormal24a"/>
      </w:pPr>
      <w:r w:rsidRPr="000B03FF">
        <w:t xml:space="preserve">Ordfører for udtalelse: </w:t>
      </w:r>
      <w:r w:rsidRPr="000B03FF">
        <w:rPr>
          <w:rStyle w:val="HideTWBExt"/>
        </w:rPr>
        <w:t>&lt;Depute&gt;</w:t>
      </w:r>
      <w:r w:rsidRPr="000B03FF">
        <w:t>Marie</w:t>
      </w:r>
      <w:r w:rsidRPr="000B03FF">
        <w:noBreakHyphen/>
        <w:t>Pierre Vedrenne</w:t>
      </w:r>
      <w:r w:rsidRPr="000B03FF">
        <w:rPr>
          <w:rStyle w:val="HideTWBExt"/>
        </w:rPr>
        <w:t>&lt;/Depute&gt;</w:t>
      </w:r>
    </w:p>
    <w:p w:rsidR="00A72C35" w:rsidRPr="000B03FF" w:rsidRDefault="00A72C35" w:rsidP="00A72C35">
      <w:pPr>
        <w:pStyle w:val="CoverNormal"/>
      </w:pPr>
    </w:p>
    <w:p w:rsidR="002E2F2E" w:rsidRPr="000B03FF" w:rsidRDefault="00A64EC2" w:rsidP="00E856D2">
      <w:pPr>
        <w:widowControl/>
        <w:tabs>
          <w:tab w:val="center" w:pos="4677"/>
        </w:tabs>
      </w:pPr>
      <w:r w:rsidRPr="000B03FF">
        <w:br w:type="page"/>
      </w:r>
      <w:r w:rsidRPr="000B03FF">
        <w:lastRenderedPageBreak/>
        <w:t>PA_NonLeg</w:t>
      </w:r>
    </w:p>
    <w:p w:rsidR="002E2F2E" w:rsidRPr="000B03FF" w:rsidRDefault="00A64EC2" w:rsidP="00D318E7">
      <w:pPr>
        <w:pStyle w:val="PageHeadingNotTOC"/>
      </w:pPr>
      <w:r w:rsidRPr="000B03FF">
        <w:br w:type="page"/>
        <w:t>ÆNDRINGSFORSLAG</w:t>
      </w:r>
    </w:p>
    <w:p w:rsidR="002E2F2E" w:rsidRPr="000B03FF" w:rsidRDefault="00A64EC2" w:rsidP="008313E7">
      <w:pPr>
        <w:pStyle w:val="Normal12a"/>
      </w:pPr>
      <w:r w:rsidRPr="000B03FF">
        <w:t xml:space="preserve">Udvalget om Beskæftigelse og Sociale Anliggender forelægger Budgetudvalget og Økonomi- og Valutaudvalget, som er korresponderende </w:t>
      </w:r>
      <w:r w:rsidRPr="000B03FF">
        <w:t>udvalg, følgende:</w:t>
      </w:r>
    </w:p>
    <w:p w:rsidR="00EA4087" w:rsidRPr="000B03FF" w:rsidRDefault="00A64EC2" w:rsidP="00314BB3">
      <w:pPr>
        <w:pStyle w:val="AMNumberTabs0"/>
        <w:keepNext/>
        <w:rPr>
          <w:szCs w:val="24"/>
        </w:rPr>
      </w:pPr>
      <w:r w:rsidRPr="000B03FF">
        <w:rPr>
          <w:rStyle w:val="HideTWBExt"/>
          <w:b w:val="0"/>
        </w:rPr>
        <w:t>&lt;RepeatBlock-Amend&gt;</w:t>
      </w:r>
    </w:p>
    <w:p w:rsidR="00314BB3" w:rsidRPr="000B03FF" w:rsidRDefault="00A64EC2" w:rsidP="00314BB3">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w:t>
      </w:r>
      <w:r w:rsidRPr="000B03FF">
        <w:rPr>
          <w:rStyle w:val="HideTWBExt"/>
          <w:b w:val="0"/>
        </w:rPr>
        <w:t>&lt;/NumAm&gt;</w:t>
      </w:r>
    </w:p>
    <w:p w:rsidR="00314BB3" w:rsidRPr="000B03FF" w:rsidRDefault="00314BB3" w:rsidP="00314BB3"/>
    <w:p w:rsidR="00314BB3" w:rsidRPr="000B03FF" w:rsidRDefault="00A64EC2" w:rsidP="00314BB3">
      <w:pPr>
        <w:pStyle w:val="NormalBold"/>
        <w:keepNext/>
      </w:pPr>
      <w:r w:rsidRPr="000B03FF">
        <w:rPr>
          <w:rStyle w:val="HideTWBExt"/>
          <w:b w:val="0"/>
        </w:rPr>
        <w:t>&lt;DocAmend&gt;</w:t>
      </w:r>
      <w:r w:rsidRPr="000B03FF">
        <w:t>Forslag til beslutning</w:t>
      </w:r>
      <w:r w:rsidRPr="000B03FF">
        <w:rPr>
          <w:rStyle w:val="HideTWBExt"/>
          <w:b w:val="0"/>
        </w:rPr>
        <w:t>&lt;/DocAmend&gt;</w:t>
      </w:r>
    </w:p>
    <w:p w:rsidR="00314BB3" w:rsidRPr="000B03FF" w:rsidRDefault="00A64EC2" w:rsidP="00314BB3">
      <w:pPr>
        <w:pStyle w:val="NormalBold"/>
      </w:pPr>
      <w:r w:rsidRPr="000B03FF">
        <w:rPr>
          <w:rStyle w:val="HideTWBExt"/>
          <w:b w:val="0"/>
        </w:rPr>
        <w:t>&lt;Article&gt;</w:t>
      </w:r>
      <w:r w:rsidRPr="000B03FF">
        <w:t>Henvisning 8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314BB3">
        <w:trPr>
          <w:jc w:val="center"/>
        </w:trPr>
        <w:tc>
          <w:tcPr>
            <w:tcW w:w="9752" w:type="dxa"/>
            <w:gridSpan w:val="2"/>
          </w:tcPr>
          <w:p w:rsidR="00314BB3" w:rsidRPr="000B03FF" w:rsidRDefault="00314BB3">
            <w:pPr>
              <w:keepNext/>
            </w:pPr>
          </w:p>
        </w:tc>
      </w:tr>
      <w:tr w:rsidR="00B30CD4" w:rsidRPr="000B03FF" w:rsidTr="00314BB3">
        <w:trPr>
          <w:jc w:val="center"/>
        </w:trPr>
        <w:tc>
          <w:tcPr>
            <w:tcW w:w="4876" w:type="dxa"/>
            <w:hideMark/>
          </w:tcPr>
          <w:p w:rsidR="00314BB3" w:rsidRPr="000B03FF" w:rsidRDefault="00A64EC2">
            <w:pPr>
              <w:pStyle w:val="ColumnHeading"/>
              <w:keepNext/>
            </w:pPr>
            <w:r w:rsidRPr="000B03FF">
              <w:t>Forslag til beslutning</w:t>
            </w:r>
          </w:p>
        </w:tc>
        <w:tc>
          <w:tcPr>
            <w:tcW w:w="4876" w:type="dxa"/>
            <w:hideMark/>
          </w:tcPr>
          <w:p w:rsidR="00314BB3" w:rsidRPr="000B03FF" w:rsidRDefault="00A64EC2">
            <w:pPr>
              <w:pStyle w:val="ColumnHeading"/>
              <w:keepNext/>
            </w:pPr>
            <w:r w:rsidRPr="000B03FF">
              <w:t>Ændringsforslag</w:t>
            </w:r>
          </w:p>
        </w:tc>
      </w:tr>
      <w:tr w:rsidR="00B30CD4" w:rsidRPr="000B03FF" w:rsidTr="00314BB3">
        <w:trPr>
          <w:jc w:val="center"/>
        </w:trPr>
        <w:tc>
          <w:tcPr>
            <w:tcW w:w="4876" w:type="dxa"/>
          </w:tcPr>
          <w:p w:rsidR="00314BB3" w:rsidRPr="000B03FF" w:rsidRDefault="00314BB3">
            <w:pPr>
              <w:pStyle w:val="Normal6"/>
            </w:pPr>
          </w:p>
        </w:tc>
        <w:tc>
          <w:tcPr>
            <w:tcW w:w="4876" w:type="dxa"/>
            <w:hideMark/>
          </w:tcPr>
          <w:p w:rsidR="00314BB3" w:rsidRPr="000B03FF" w:rsidRDefault="00A64EC2" w:rsidP="00D37E93">
            <w:pPr>
              <w:pStyle w:val="Normal6"/>
              <w:rPr>
                <w:szCs w:val="24"/>
              </w:rPr>
            </w:pPr>
            <w:r w:rsidRPr="000B03FF">
              <w:rPr>
                <w:b/>
                <w:i/>
              </w:rPr>
              <w:t>–</w:t>
            </w:r>
            <w:r w:rsidRPr="000B03FF">
              <w:rPr>
                <w:b/>
                <w:i/>
              </w:rPr>
              <w:tab/>
              <w:t xml:space="preserve">der henviser til den europæiske søjle for </w:t>
            </w:r>
            <w:r w:rsidRPr="000B03FF">
              <w:rPr>
                <w:b/>
                <w:i/>
              </w:rPr>
              <w:t>sociale rettigheder, der blev proklameret og undertegnet af Parlamentet, Rådet og Kommissionen den 17. november 2017, og dens 20 principper,</w:t>
            </w:r>
          </w:p>
        </w:tc>
      </w:tr>
    </w:tbl>
    <w:p w:rsidR="00314BB3" w:rsidRPr="000B03FF" w:rsidRDefault="00A64EC2" w:rsidP="00314BB3">
      <w:r w:rsidRPr="000B03FF">
        <w:rPr>
          <w:rStyle w:val="HideTWBExt"/>
        </w:rPr>
        <w:t>&lt;/Amend&gt;</w:t>
      </w:r>
    </w:p>
    <w:p w:rsidR="00314BB3" w:rsidRPr="000B03FF" w:rsidRDefault="00A64EC2" w:rsidP="00314BB3">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w:t>
      </w:r>
      <w:r w:rsidRPr="000B03FF">
        <w:rPr>
          <w:rStyle w:val="HideTWBExt"/>
          <w:b w:val="0"/>
        </w:rPr>
        <w:t>&lt;/NumAm&gt;</w:t>
      </w:r>
    </w:p>
    <w:p w:rsidR="00314BB3" w:rsidRPr="000B03FF" w:rsidRDefault="00314BB3" w:rsidP="00314BB3"/>
    <w:p w:rsidR="00314BB3" w:rsidRPr="000B03FF" w:rsidRDefault="00A64EC2" w:rsidP="00314BB3">
      <w:pPr>
        <w:pStyle w:val="NormalBold"/>
        <w:keepNext/>
      </w:pPr>
      <w:r w:rsidRPr="000B03FF">
        <w:rPr>
          <w:rStyle w:val="HideTWBExt"/>
          <w:b w:val="0"/>
        </w:rPr>
        <w:t>&lt;DocAmend&gt;</w:t>
      </w:r>
      <w:r w:rsidRPr="000B03FF">
        <w:t>Forslag til beslutning</w:t>
      </w:r>
      <w:r w:rsidRPr="000B03FF">
        <w:rPr>
          <w:rStyle w:val="HideTWBExt"/>
          <w:b w:val="0"/>
        </w:rPr>
        <w:t>&lt;/DocAmend&gt;</w:t>
      </w:r>
    </w:p>
    <w:p w:rsidR="00314BB3" w:rsidRPr="000B03FF" w:rsidRDefault="00A64EC2" w:rsidP="00314BB3">
      <w:pPr>
        <w:pStyle w:val="NormalBold"/>
      </w:pPr>
      <w:r w:rsidRPr="000B03FF">
        <w:rPr>
          <w:rStyle w:val="HideTWBExt"/>
          <w:b w:val="0"/>
        </w:rPr>
        <w:t>&lt;Article&gt;</w:t>
      </w:r>
      <w:r w:rsidRPr="000B03FF">
        <w:t>Henvisning</w:t>
      </w:r>
      <w:r w:rsidRPr="000B03FF">
        <w:t xml:space="preserve"> 8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314BB3">
        <w:trPr>
          <w:jc w:val="center"/>
        </w:trPr>
        <w:tc>
          <w:tcPr>
            <w:tcW w:w="9752" w:type="dxa"/>
            <w:gridSpan w:val="2"/>
          </w:tcPr>
          <w:p w:rsidR="00314BB3" w:rsidRPr="000B03FF" w:rsidRDefault="00314BB3">
            <w:pPr>
              <w:keepNext/>
            </w:pPr>
          </w:p>
        </w:tc>
      </w:tr>
      <w:tr w:rsidR="00B30CD4" w:rsidRPr="000B03FF" w:rsidTr="00314BB3">
        <w:trPr>
          <w:jc w:val="center"/>
        </w:trPr>
        <w:tc>
          <w:tcPr>
            <w:tcW w:w="4876" w:type="dxa"/>
            <w:hideMark/>
          </w:tcPr>
          <w:p w:rsidR="00314BB3" w:rsidRPr="000B03FF" w:rsidRDefault="00A64EC2">
            <w:pPr>
              <w:pStyle w:val="ColumnHeading"/>
              <w:keepNext/>
            </w:pPr>
            <w:r w:rsidRPr="000B03FF">
              <w:t>Forslag til beslutning</w:t>
            </w:r>
          </w:p>
        </w:tc>
        <w:tc>
          <w:tcPr>
            <w:tcW w:w="4876" w:type="dxa"/>
            <w:hideMark/>
          </w:tcPr>
          <w:p w:rsidR="00314BB3" w:rsidRPr="000B03FF" w:rsidRDefault="00A64EC2">
            <w:pPr>
              <w:pStyle w:val="ColumnHeading"/>
              <w:keepNext/>
            </w:pPr>
            <w:r w:rsidRPr="000B03FF">
              <w:t>Ændringsforslag</w:t>
            </w:r>
          </w:p>
        </w:tc>
      </w:tr>
      <w:tr w:rsidR="00B30CD4" w:rsidRPr="000B03FF" w:rsidTr="00314BB3">
        <w:trPr>
          <w:jc w:val="center"/>
        </w:trPr>
        <w:tc>
          <w:tcPr>
            <w:tcW w:w="4876" w:type="dxa"/>
          </w:tcPr>
          <w:p w:rsidR="00314BB3" w:rsidRPr="000B03FF" w:rsidRDefault="00314BB3">
            <w:pPr>
              <w:pStyle w:val="Normal6"/>
            </w:pPr>
          </w:p>
        </w:tc>
        <w:tc>
          <w:tcPr>
            <w:tcW w:w="4876" w:type="dxa"/>
            <w:hideMark/>
          </w:tcPr>
          <w:p w:rsidR="00314BB3" w:rsidRPr="000B03FF" w:rsidRDefault="00A64EC2">
            <w:pPr>
              <w:pStyle w:val="Normal6"/>
              <w:rPr>
                <w:szCs w:val="24"/>
              </w:rPr>
            </w:pPr>
            <w:r w:rsidRPr="000B03FF">
              <w:rPr>
                <w:b/>
                <w:i/>
              </w:rPr>
              <w:t>–</w:t>
            </w:r>
            <w:r w:rsidRPr="000B03FF">
              <w:rPr>
                <w:b/>
                <w:i/>
              </w:rPr>
              <w:tab/>
              <w:t xml:space="preserve">der henviser til Kommissionens meddelelse af 4. marts 2021 med titlen "Handlingsplanen for den europæiske søjle for sociale rettigheder" (COM(2021)0102) og dens overordnede mål for 2030, som </w:t>
            </w:r>
            <w:r w:rsidRPr="000B03FF">
              <w:rPr>
                <w:b/>
                <w:i/>
              </w:rPr>
              <w:t>omhandler beskæftigelse, færdigheder og uddannelse samt fattigdomsbekæmpelse,</w:t>
            </w:r>
          </w:p>
        </w:tc>
      </w:tr>
    </w:tbl>
    <w:p w:rsidR="00314BB3" w:rsidRPr="000B03FF" w:rsidRDefault="00A64EC2" w:rsidP="00314BB3">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Henvisning 8 c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rPr>
              <w:t>–</w:t>
            </w:r>
            <w:r w:rsidRPr="000B03FF">
              <w:rPr>
                <w:b/>
                <w:i/>
              </w:rPr>
              <w:tab/>
              <w:t>der henviser til FN's verdensmål for bæredygtig udvikling, navnlig mål nr. 1, 4, 5, 8 og 10,</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Henvisning 8 d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rPr>
              <w:t>–</w:t>
            </w:r>
            <w:r w:rsidRPr="000B03FF">
              <w:rPr>
                <w:b/>
                <w:i/>
              </w:rPr>
              <w:tab/>
              <w:t>der henviser til Rådets henstilling (EU) 2021/1004 af 14. juni 2021 om oprettelse af en europæisk børnegaranti</w:t>
            </w:r>
            <w:r w:rsidRPr="000B03FF">
              <w:rPr>
                <w:b/>
                <w:i/>
                <w:vertAlign w:val="superscript"/>
              </w:rPr>
              <w:t>1a</w:t>
            </w:r>
            <w:r w:rsidRPr="000B03FF">
              <w:rPr>
                <w:b/>
                <w:i/>
              </w:rPr>
              <w:t>,</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rPr>
              <w:t>__________________</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b/>
                <w:i/>
                <w:szCs w:val="24"/>
              </w:rPr>
            </w:pPr>
            <w:r w:rsidRPr="000B03FF">
              <w:rPr>
                <w:b/>
                <w:i/>
                <w:vertAlign w:val="superscript"/>
              </w:rPr>
              <w:t>1a</w:t>
            </w:r>
            <w:r w:rsidRPr="000B03FF">
              <w:rPr>
                <w:b/>
                <w:i/>
              </w:rPr>
              <w:t xml:space="preserve"> EUT L 223 af 22.6.2021, s. 14, </w:t>
            </w:r>
            <w:r w:rsidRPr="000B03FF">
              <w:rPr>
                <w:b/>
                <w:i/>
                <w:shd w:val="clear" w:color="auto" w:fill="FFFFFF"/>
              </w:rPr>
              <w:t>ELI: </w:t>
            </w:r>
            <w:hyperlink r:id="rId8" w:tooltip="Giver adgang til dokumentet via dets ELI URI." w:history="1">
              <w:r w:rsidRPr="000B03FF">
                <w:rPr>
                  <w:rStyle w:val="Hyperlink"/>
                  <w:b/>
                  <w:i/>
                  <w:color w:val="auto"/>
                  <w:shd w:val="clear" w:color="auto" w:fill="FFFFFF"/>
                </w:rPr>
                <w:t>http://data.europa.eu/eli/reco/2021/1004/oj</w:t>
              </w:r>
            </w:hyperlink>
            <w:r w:rsidRPr="000B03FF">
              <w:rPr>
                <w:b/>
                <w:i/>
              </w:rPr>
              <w:t>.</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5</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Henvisning 8 e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rPr>
              <w:t>–</w:t>
            </w:r>
            <w:r w:rsidRPr="000B03FF">
              <w:rPr>
                <w:b/>
                <w:i/>
              </w:rPr>
              <w:tab/>
              <w:t xml:space="preserve">der henviser til Rådets henstilling af 30. oktober 2020 om en bro til job – styrkelse af ungdomsgarantien og erstatning af Rådets henstilling af 22. april 2013 om </w:t>
            </w:r>
            <w:r w:rsidRPr="000B03FF">
              <w:rPr>
                <w:b/>
                <w:i/>
              </w:rPr>
              <w:t>oprettelsen af en ungdomsgaranti</w:t>
            </w:r>
            <w:r w:rsidRPr="000B03FF">
              <w:rPr>
                <w:b/>
                <w:i/>
                <w:vertAlign w:val="superscript"/>
              </w:rPr>
              <w:t>1a</w:t>
            </w:r>
            <w:r w:rsidRPr="000B03FF">
              <w:rPr>
                <w:b/>
                <w:i/>
              </w:rPr>
              <w:t>,</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rPr>
              <w:t>__________________</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pPr>
              <w:pStyle w:val="Normal6"/>
              <w:rPr>
                <w:szCs w:val="24"/>
              </w:rPr>
            </w:pPr>
            <w:r w:rsidRPr="000B03FF">
              <w:rPr>
                <w:b/>
                <w:i/>
                <w:vertAlign w:val="superscript"/>
              </w:rPr>
              <w:t>1a</w:t>
            </w:r>
            <w:r w:rsidRPr="000B03FF">
              <w:t xml:space="preserve"> </w:t>
            </w:r>
            <w:r w:rsidRPr="000B03FF">
              <w:rPr>
                <w:b/>
                <w:i/>
              </w:rPr>
              <w:t>EUT C 372 af 4.11.2020, s. 1.</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6</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Henvisning 12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rsidP="00AC23F4">
            <w:pPr>
              <w:pStyle w:val="Normal6"/>
              <w:rPr>
                <w:szCs w:val="24"/>
              </w:rPr>
            </w:pPr>
            <w:r w:rsidRPr="000B03FF">
              <w:rPr>
                <w:b/>
                <w:i/>
              </w:rPr>
              <w:t>–</w:t>
            </w:r>
            <w:r w:rsidRPr="000B03FF">
              <w:rPr>
                <w:b/>
                <w:i/>
              </w:rPr>
              <w:tab/>
              <w:t>der henviser til Kommissionens meddelelse af 17. december 2024 med titlen "2025 Europæiske Semester – Efterårspakke" (COM(2024)0700),</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7</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Henvisning 12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rsidP="00AC0348">
            <w:pPr>
              <w:pStyle w:val="Normal6"/>
              <w:rPr>
                <w:szCs w:val="24"/>
              </w:rPr>
            </w:pPr>
            <w:r w:rsidRPr="000B03FF">
              <w:rPr>
                <w:b/>
                <w:i/>
              </w:rPr>
              <w:t>–</w:t>
            </w:r>
            <w:r w:rsidRPr="000B03FF">
              <w:rPr>
                <w:b/>
                <w:i/>
              </w:rPr>
              <w:tab/>
              <w:t>der henviser til Kommissionens forslag af 17. december 2024 til Kommissionens og Rådets fælles beskæftigelsesrapport (COM(2024)0701),</w:t>
            </w:r>
          </w:p>
        </w:tc>
      </w:tr>
    </w:tbl>
    <w:p w:rsidR="00EA4087" w:rsidRPr="000B03FF" w:rsidRDefault="00A64EC2" w:rsidP="00EA4087">
      <w:pPr>
        <w:rPr>
          <w:szCs w:val="24"/>
        </w:rPr>
      </w:pPr>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8</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Henvisning 19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w:t>
            </w:r>
            <w:r w:rsidRPr="000B03FF">
              <w:rPr>
                <w:b/>
                <w:i/>
              </w:rPr>
              <w:tab/>
              <w:t>der henviser til resultattavlen for genopretnings- og resiliensfaciliteten,</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9</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Henvisning 19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F56F50">
            <w:pPr>
              <w:pStyle w:val="Normal6"/>
              <w:rPr>
                <w:szCs w:val="24"/>
              </w:rPr>
            </w:pPr>
            <w:r w:rsidRPr="000B03FF">
              <w:rPr>
                <w:b/>
                <w:i/>
              </w:rPr>
              <w:t>–</w:t>
            </w:r>
            <w:r w:rsidRPr="000B03FF">
              <w:rPr>
                <w:b/>
                <w:i/>
              </w:rPr>
              <w:tab/>
              <w:t xml:space="preserve">der henviser til Eurofounds rapport af 26. februar 2024 med titlen "Social governance of the Recovery and </w:t>
            </w:r>
            <w:r w:rsidRPr="000B03FF">
              <w:rPr>
                <w:b/>
                <w:i/>
              </w:rPr>
              <w:t>Resilience Facility: Involvement of the national social partners" (Social styring af genopretnings- og resiliensfaciliteten: inddragelse af de nationale arbejdsmarkedsparter),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10</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 xml:space="preserve">Forslag til </w:t>
      </w:r>
      <w:r w:rsidRPr="000B03FF">
        <w:t>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Henvisning 19 c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b/>
                <w:i/>
              </w:rPr>
            </w:pPr>
            <w:r w:rsidRPr="000B03FF">
              <w:rPr>
                <w:b/>
                <w:i/>
              </w:rPr>
              <w:t>–</w:t>
            </w:r>
            <w:r w:rsidRPr="000B03FF">
              <w:rPr>
                <w:b/>
                <w:i/>
              </w:rPr>
              <w:tab/>
              <w:t>der henviser til Europa-Parlamentets og Rådets direktiv (EU) 2022/2041 af 19. oktober 2022 om passende mindstelønninger i Den Europæiske Union</w:t>
            </w:r>
            <w:r w:rsidRPr="000B03FF">
              <w:rPr>
                <w:b/>
                <w:i/>
                <w:vertAlign w:val="superscript"/>
              </w:rPr>
              <w:t>1a</w:t>
            </w:r>
            <w:r w:rsidRPr="000B03FF">
              <w:rPr>
                <w:b/>
                <w:i/>
              </w:rPr>
              <w:t>,</w:t>
            </w:r>
          </w:p>
          <w:p w:rsidR="001534C2" w:rsidRPr="000B03FF" w:rsidRDefault="00A64EC2">
            <w:pPr>
              <w:pStyle w:val="Normal6"/>
              <w:rPr>
                <w:b/>
                <w:i/>
              </w:rPr>
            </w:pPr>
            <w:r w:rsidRPr="000B03FF">
              <w:rPr>
                <w:b/>
                <w:i/>
              </w:rPr>
              <w:t>_______________</w:t>
            </w:r>
          </w:p>
          <w:p w:rsidR="001534C2" w:rsidRPr="000B03FF" w:rsidRDefault="00A64EC2">
            <w:pPr>
              <w:pStyle w:val="Normal6"/>
              <w:rPr>
                <w:b/>
                <w:i/>
                <w:szCs w:val="24"/>
              </w:rPr>
            </w:pPr>
            <w:r w:rsidRPr="000B03FF">
              <w:rPr>
                <w:b/>
                <w:i/>
                <w:vertAlign w:val="superscript"/>
              </w:rPr>
              <w:t>1a</w:t>
            </w:r>
            <w:r w:rsidRPr="000B03FF">
              <w:rPr>
                <w:b/>
                <w:i/>
              </w:rPr>
              <w:t xml:space="preserve"> EUT L 275 af 25.10.2022, s. 33, ELI: </w:t>
            </w:r>
            <w:hyperlink r:id="rId9" w:history="1">
              <w:r w:rsidRPr="000B03FF">
                <w:rPr>
                  <w:rStyle w:val="Hyperlink"/>
                  <w:b/>
                  <w:i/>
                  <w:color w:val="auto"/>
                </w:rPr>
                <w:t>http://data.europa.eu/eli/dir/2022/2041/oj</w:t>
              </w:r>
            </w:hyperlink>
            <w:r w:rsidRPr="000B03FF">
              <w:rPr>
                <w:b/>
                <w:i/>
              </w:rPr>
              <w:t xml:space="preserve">. </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11</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1534C2">
            <w:pPr>
              <w:pStyle w:val="Normal6"/>
              <w:rPr>
                <w:szCs w:val="24"/>
              </w:rPr>
            </w:pPr>
            <w:r w:rsidRPr="000B03FF">
              <w:rPr>
                <w:b/>
                <w:i/>
              </w:rPr>
              <w:t>-A.</w:t>
            </w:r>
            <w:r w:rsidRPr="000B03FF">
              <w:rPr>
                <w:b/>
                <w:i/>
              </w:rPr>
              <w:tab/>
              <w:t xml:space="preserve">der henviser til, at den sociale dimension af EU's genopretning er et horisontalt aspekt af genopretnings- og resiliensfaciliteten; der henviser til, at det overordnede </w:t>
            </w:r>
            <w:r w:rsidRPr="000B03FF">
              <w:rPr>
                <w:b/>
                <w:i/>
              </w:rPr>
              <w:t>mål for genopretnings- og resiliensfaciliteten er at fremme Unionens økonomiske, sociale og territoriale samhørighed ved at øge medlemsstaternes modstandsdygtighed, kriseberedskab, tilpasningsevne og vækstpotentiale, afbøde covid-19-krisens sociale og økon</w:t>
            </w:r>
            <w:r w:rsidRPr="000B03FF">
              <w:rPr>
                <w:b/>
                <w:i/>
              </w:rPr>
              <w:t>omiske konsekvenser, bidrage til gennemførelsen af den europæiske søjle for sociale rettigheder og støtte den grønne og den digitale omstilling og derved bidrage til opadgående økonomisk og social konvergens, genoprette og fremme bæredygtig vækst og fremme</w:t>
            </w:r>
            <w:r w:rsidRPr="000B03FF">
              <w:rPr>
                <w:b/>
                <w:i/>
              </w:rPr>
              <w:t xml:space="preserve"> skabelse af beskæftigelse af høj kvalitet;</w:t>
            </w:r>
          </w:p>
        </w:tc>
      </w:tr>
    </w:tbl>
    <w:p w:rsidR="00521F00" w:rsidRPr="000B03FF" w:rsidRDefault="00A64EC2" w:rsidP="00521F00">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12</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Betragtning A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7B04F0">
        <w:trPr>
          <w:jc w:val="center"/>
        </w:trPr>
        <w:tc>
          <w:tcPr>
            <w:tcW w:w="9752" w:type="dxa"/>
            <w:gridSpan w:val="2"/>
          </w:tcPr>
          <w:p w:rsidR="00EA4087" w:rsidRPr="000B03FF" w:rsidRDefault="00EA4087" w:rsidP="007B04F0">
            <w:pPr>
              <w:keepNext/>
            </w:pPr>
          </w:p>
        </w:tc>
      </w:tr>
      <w:tr w:rsidR="00B30CD4" w:rsidRPr="000B03FF" w:rsidTr="007B04F0">
        <w:trPr>
          <w:jc w:val="center"/>
        </w:trPr>
        <w:tc>
          <w:tcPr>
            <w:tcW w:w="4876" w:type="dxa"/>
            <w:hideMark/>
          </w:tcPr>
          <w:p w:rsidR="00EA4087" w:rsidRPr="000B03FF" w:rsidRDefault="00A64EC2" w:rsidP="007B04F0">
            <w:pPr>
              <w:pStyle w:val="ColumnHeading"/>
              <w:keepNext/>
            </w:pPr>
            <w:r w:rsidRPr="000B03FF">
              <w:t>Forslag til beslutning</w:t>
            </w:r>
          </w:p>
        </w:tc>
        <w:tc>
          <w:tcPr>
            <w:tcW w:w="4876" w:type="dxa"/>
            <w:hideMark/>
          </w:tcPr>
          <w:p w:rsidR="00EA4087" w:rsidRPr="000B03FF" w:rsidRDefault="00A64EC2" w:rsidP="007B04F0">
            <w:pPr>
              <w:pStyle w:val="ColumnHeading"/>
              <w:keepNext/>
            </w:pPr>
            <w:r w:rsidRPr="000B03FF">
              <w:t>Ændringsforslag</w:t>
            </w:r>
          </w:p>
        </w:tc>
      </w:tr>
      <w:tr w:rsidR="00B30CD4" w:rsidRPr="000B03FF" w:rsidTr="007B04F0">
        <w:trPr>
          <w:jc w:val="center"/>
        </w:trPr>
        <w:tc>
          <w:tcPr>
            <w:tcW w:w="4876" w:type="dxa"/>
          </w:tcPr>
          <w:p w:rsidR="00EA4087" w:rsidRPr="000B03FF" w:rsidRDefault="00EA4087" w:rsidP="007B04F0">
            <w:pPr>
              <w:pStyle w:val="Normal6"/>
            </w:pPr>
          </w:p>
        </w:tc>
        <w:tc>
          <w:tcPr>
            <w:tcW w:w="4876" w:type="dxa"/>
            <w:hideMark/>
          </w:tcPr>
          <w:p w:rsidR="00EA4087" w:rsidRPr="000B03FF" w:rsidRDefault="00A64EC2" w:rsidP="00521F00">
            <w:pPr>
              <w:pStyle w:val="Normal6"/>
              <w:rPr>
                <w:szCs w:val="24"/>
              </w:rPr>
            </w:pPr>
            <w:r w:rsidRPr="000B03FF">
              <w:rPr>
                <w:b/>
                <w:i/>
              </w:rPr>
              <w:t>–Aa.</w:t>
            </w:r>
            <w:r w:rsidRPr="000B03FF">
              <w:rPr>
                <w:b/>
                <w:i/>
              </w:rPr>
              <w:tab/>
              <w:t xml:space="preserve">der henviser til, at </w:t>
            </w:r>
            <w:r w:rsidRPr="000B03FF">
              <w:rPr>
                <w:b/>
                <w:i/>
              </w:rPr>
              <w:t>anvendelsesområdet for genopretnings- og resiliensfaciliteten omfatter seks politiske søjler:</w:t>
            </w:r>
          </w:p>
        </w:tc>
      </w:tr>
      <w:tr w:rsidR="00B30CD4" w:rsidRPr="000B03FF" w:rsidTr="007B04F0">
        <w:trPr>
          <w:jc w:val="center"/>
        </w:trPr>
        <w:tc>
          <w:tcPr>
            <w:tcW w:w="4876" w:type="dxa"/>
          </w:tcPr>
          <w:p w:rsidR="00EA4087" w:rsidRPr="000B03FF" w:rsidRDefault="00EA4087" w:rsidP="007B04F0">
            <w:pPr>
              <w:pStyle w:val="Normal6"/>
            </w:pPr>
          </w:p>
        </w:tc>
        <w:tc>
          <w:tcPr>
            <w:tcW w:w="4876" w:type="dxa"/>
          </w:tcPr>
          <w:p w:rsidR="00EA4087" w:rsidRPr="000B03FF" w:rsidRDefault="00A64EC2" w:rsidP="007B04F0">
            <w:pPr>
              <w:pStyle w:val="Normal6"/>
              <w:rPr>
                <w:b/>
                <w:i/>
              </w:rPr>
            </w:pPr>
            <w:r w:rsidRPr="000B03FF">
              <w:rPr>
                <w:b/>
                <w:i/>
              </w:rPr>
              <w:t>a) grøn omstilling</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7B04F0">
            <w:pPr>
              <w:pStyle w:val="Normal6"/>
              <w:rPr>
                <w:b/>
                <w:i/>
              </w:rPr>
            </w:pPr>
            <w:r w:rsidRPr="000B03FF">
              <w:rPr>
                <w:b/>
                <w:i/>
              </w:rPr>
              <w:t>b) digital omstilling</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4C6072">
            <w:pPr>
              <w:pStyle w:val="Normal6"/>
              <w:rPr>
                <w:b/>
                <w:i/>
              </w:rPr>
            </w:pPr>
            <w:r w:rsidRPr="000B03FF">
              <w:rPr>
                <w:b/>
                <w:i/>
              </w:rPr>
              <w:t>c) intelligent, bæredygtig og inklusiv vækst</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2763BF">
            <w:pPr>
              <w:pStyle w:val="Normal6"/>
              <w:rPr>
                <w:b/>
                <w:i/>
              </w:rPr>
            </w:pPr>
            <w:r w:rsidRPr="000B03FF">
              <w:rPr>
                <w:b/>
                <w:i/>
              </w:rPr>
              <w:t xml:space="preserve">d) social og territorial samhørighed </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2763BF">
            <w:pPr>
              <w:pStyle w:val="Normal6"/>
              <w:rPr>
                <w:b/>
                <w:i/>
              </w:rPr>
            </w:pPr>
            <w:r w:rsidRPr="000B03FF">
              <w:rPr>
                <w:b/>
                <w:i/>
              </w:rPr>
              <w:t xml:space="preserve">e) sundhed og økonomisk, </w:t>
            </w:r>
            <w:r w:rsidRPr="000B03FF">
              <w:rPr>
                <w:b/>
                <w:i/>
              </w:rPr>
              <w:t>social og institutionel modstandsdygtighed og</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11438D">
            <w:pPr>
              <w:pStyle w:val="Normal6"/>
              <w:rPr>
                <w:b/>
                <w:i/>
              </w:rPr>
            </w:pPr>
            <w:r w:rsidRPr="000B03FF">
              <w:rPr>
                <w:b/>
                <w:i/>
              </w:rPr>
              <w:t>f) politikker for den kommende generation, børn og unge</w:t>
            </w:r>
          </w:p>
        </w:tc>
      </w:tr>
      <w:tr w:rsidR="00B30CD4" w:rsidRPr="000B03FF" w:rsidTr="007B04F0">
        <w:trPr>
          <w:jc w:val="center"/>
        </w:trPr>
        <w:tc>
          <w:tcPr>
            <w:tcW w:w="4876" w:type="dxa"/>
          </w:tcPr>
          <w:p w:rsidR="002763BF" w:rsidRPr="000B03FF" w:rsidRDefault="002763BF" w:rsidP="007B04F0">
            <w:pPr>
              <w:pStyle w:val="Normal6"/>
            </w:pPr>
          </w:p>
        </w:tc>
        <w:tc>
          <w:tcPr>
            <w:tcW w:w="4876" w:type="dxa"/>
          </w:tcPr>
          <w:p w:rsidR="002763BF" w:rsidRPr="000B03FF" w:rsidRDefault="00A64EC2" w:rsidP="007B04F0">
            <w:pPr>
              <w:pStyle w:val="Normal6"/>
              <w:rPr>
                <w:b/>
                <w:i/>
              </w:rPr>
            </w:pPr>
            <w:r w:rsidRPr="000B03FF">
              <w:rPr>
                <w:b/>
                <w:i/>
              </w:rPr>
              <w:t>der henviser til, at der er behov for at sikre sammenhæng og synergier mellem tiltagene under alle søjlerne i betragtning af deres indbyrdes forbundne</w:t>
            </w:r>
            <w:r w:rsidRPr="000B03FF">
              <w:rPr>
                <w:b/>
                <w:i/>
              </w:rPr>
              <w:t xml:space="preserve"> karakter;</w:t>
            </w:r>
          </w:p>
        </w:tc>
      </w:tr>
    </w:tbl>
    <w:p w:rsidR="00EA4087" w:rsidRPr="000B03FF" w:rsidRDefault="00A64EC2" w:rsidP="00EA4087">
      <w:pPr>
        <w:rPr>
          <w:szCs w:val="24"/>
        </w:rPr>
      </w:pPr>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13</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A</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hideMark/>
          </w:tcPr>
          <w:p w:rsidR="00521F00" w:rsidRPr="000B03FF" w:rsidRDefault="00A64EC2">
            <w:pPr>
              <w:pStyle w:val="Normal6"/>
            </w:pPr>
            <w:r w:rsidRPr="000B03FF">
              <w:t>A.</w:t>
            </w:r>
            <w:r w:rsidRPr="000B03FF">
              <w:tab/>
              <w:t xml:space="preserve">der henviser til, at reformer og investeringer gennem genopretnings- </w:t>
            </w:r>
            <w:r w:rsidRPr="000B03FF">
              <w:t xml:space="preserve">og resiliensfaciliteten medvirker til at gøre EU mere resilient og mindre afhængigt ved at diversificere de vigtigste forsyningskæder og derved styrke EU's strategiske autonomi; der henviser til, at reformer og investeringer gennem faciliteten også </w:t>
            </w:r>
            <w:r w:rsidRPr="000B03FF">
              <w:rPr>
                <w:b/>
                <w:bCs/>
                <w:i/>
                <w:iCs/>
              </w:rPr>
              <w:t>skaber</w:t>
            </w:r>
            <w:r w:rsidRPr="000B03FF">
              <w:t xml:space="preserve"> </w:t>
            </w:r>
            <w:r w:rsidRPr="000B03FF">
              <w:t>europæisk merværdi;</w:t>
            </w:r>
          </w:p>
        </w:tc>
        <w:tc>
          <w:tcPr>
            <w:tcW w:w="4876" w:type="dxa"/>
            <w:hideMark/>
          </w:tcPr>
          <w:p w:rsidR="00521F00" w:rsidRPr="000B03FF" w:rsidRDefault="00A64EC2" w:rsidP="00D37E93">
            <w:pPr>
              <w:pStyle w:val="Normal6"/>
              <w:rPr>
                <w:szCs w:val="24"/>
              </w:rPr>
            </w:pPr>
            <w:r w:rsidRPr="000B03FF">
              <w:t>A.</w:t>
            </w:r>
            <w:r w:rsidRPr="000B03FF">
              <w:tab/>
              <w:t>der henviser til, at reformer og investeringer gennem genopretnings- og resiliensfaciliteten medvirker til at gøre EU mere resilient og mindre afhængigt ved at diversificere de vigtigste forsyningskæder og derved styrke EU's strategi</w:t>
            </w:r>
            <w:r w:rsidRPr="000B03FF">
              <w:t xml:space="preserve">ske autonomi; der henviser til, at reformer og investeringer gennem genopretnings- og resiliensfaciliteten </w:t>
            </w:r>
            <w:r w:rsidRPr="000B03FF">
              <w:rPr>
                <w:b/>
                <w:i/>
              </w:rPr>
              <w:t>bør bidrage til gennemførelsen af den europæiske søjle for sociale rettigheder, bæredygtig og inklusiv vækst og opadgående social konvergens, bør stø</w:t>
            </w:r>
            <w:r w:rsidRPr="000B03FF">
              <w:rPr>
                <w:b/>
                <w:i/>
              </w:rPr>
              <w:t>tte en retfærdig omstilling til en grønnere og mere digital økonomi og således styrke den europæiske konkurrenceevne og samtidig mindske sociale og territoriale uligheder og beskytte sårbare personer og bør</w:t>
            </w:r>
            <w:r w:rsidRPr="000B03FF">
              <w:t xml:space="preserve"> også </w:t>
            </w:r>
            <w:r w:rsidRPr="000B03FF">
              <w:rPr>
                <w:b/>
                <w:bCs/>
                <w:i/>
                <w:iCs/>
              </w:rPr>
              <w:t>skabe</w:t>
            </w:r>
            <w:r w:rsidRPr="000B03FF">
              <w:t xml:space="preserve"> europæisk merværdi; </w:t>
            </w:r>
            <w:r w:rsidRPr="000B03FF">
              <w:rPr>
                <w:b/>
                <w:i/>
              </w:rPr>
              <w:t xml:space="preserve">der henviser til, </w:t>
            </w:r>
            <w:r w:rsidRPr="000B03FF">
              <w:rPr>
                <w:b/>
                <w:i/>
              </w:rPr>
              <w:t>at reformer og investeringer under genopretnings- og resiliensfaciliteten også bør sikre social inklusion og styrke offentlige og sociale tjenester og infrastrukturer;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14</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w:t>
      </w:r>
      <w:r w:rsidRPr="000B03FF">
        <w:rPr>
          <w:rStyle w:val="HideTWBExt"/>
          <w:b w:val="0"/>
        </w:rPr>
        <w:t>ocAmend&gt;</w:t>
      </w:r>
    </w:p>
    <w:p w:rsidR="00521F00" w:rsidRPr="000B03FF" w:rsidRDefault="00A64EC2" w:rsidP="00521F00">
      <w:pPr>
        <w:pStyle w:val="NormalBold"/>
      </w:pPr>
      <w:r w:rsidRPr="000B03FF">
        <w:rPr>
          <w:rStyle w:val="HideTWBExt"/>
          <w:b w:val="0"/>
        </w:rPr>
        <w:t>&lt;Article&gt;</w:t>
      </w:r>
      <w:r w:rsidRPr="000B03FF">
        <w:t>Betragtning A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Aa.</w:t>
            </w:r>
            <w:r w:rsidRPr="000B03FF">
              <w:rPr>
                <w:b/>
                <w:i/>
              </w:rPr>
              <w:tab/>
              <w:t xml:space="preserve">der henviser til, at genopretnings- og resiliensfaciliteten giver en enestående mulighed for at sikre en rimelig og retfærdig omstilling til klimaneutralitet, </w:t>
            </w:r>
            <w:r w:rsidRPr="000B03FF">
              <w:rPr>
                <w:b/>
                <w:i/>
              </w:rPr>
              <w:t>digitalisering og demografiske ændringer; der henviser til, at faciliteten bør tage højde for kønsspecifikke socioøkonomiske virkninger i genopretningsprocessen; der henviser til, at foranstaltningerne bør tage højde for social beskyttelse, beskæftigelse a</w:t>
            </w:r>
            <w:r w:rsidRPr="000B03FF">
              <w:rPr>
                <w:b/>
                <w:i/>
              </w:rPr>
              <w:t>f høj kvalitet, økonomisk overkommelige boliger og støtte til grupper i sårbare situationer for at forbedre levestandarden i overensstemmelse med den europæiske søjle for sociale rettigheder;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15</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A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D37E93">
            <w:pPr>
              <w:pStyle w:val="Normal6"/>
              <w:rPr>
                <w:szCs w:val="24"/>
              </w:rPr>
            </w:pPr>
            <w:r w:rsidRPr="000B03FF">
              <w:rPr>
                <w:b/>
                <w:i/>
              </w:rPr>
              <w:t>Ab.</w:t>
            </w:r>
            <w:r w:rsidRPr="000B03FF">
              <w:rPr>
                <w:b/>
                <w:i/>
              </w:rPr>
              <w:tab/>
              <w:t>der henviser til, at EU i de seneste år har udvist stærk modstandsdygtighed over for store økonomiske og sociale forstyrrelser, navnlig</w:t>
            </w:r>
            <w:r w:rsidRPr="000B03FF">
              <w:rPr>
                <w:b/>
                <w:i/>
              </w:rPr>
              <w:t xml:space="preserve"> takket være koordinerede reaktioner og nye instrumenter såsom genopretnings- og resiliensfaciliteten og det europæiske instrument for midlertidig støtte til mindskelse af risiciene for arbejdsløshed i en nødsituation (SURE); der henviser til, at disse vær</w:t>
            </w:r>
            <w:r w:rsidRPr="000B03FF">
              <w:rPr>
                <w:b/>
                <w:i/>
              </w:rPr>
              <w:t>ktøjer har været afgørende for at forhindre en asymmetrisk genopretning blandt medlemsstaterne og holde overgangen til en bæredygtig og inklusiv økonomi på rette spor;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16</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A c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Ac.</w:t>
            </w:r>
            <w:r w:rsidRPr="000B03FF">
              <w:rPr>
                <w:b/>
                <w:i/>
              </w:rPr>
              <w:tab/>
              <w:t>der henviser til, at de sociale konsekvenser af kriserne har haft en ulige indvirkning, som navnlig har berørt personer med lav indkomst og grupper i sårbare</w:t>
            </w:r>
            <w:r w:rsidRPr="000B03FF">
              <w:rPr>
                <w:b/>
                <w:i/>
              </w:rPr>
              <w:t xml:space="preserve"> situationer;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17</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B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b/>
                <w:i/>
              </w:rPr>
            </w:pPr>
            <w:r w:rsidRPr="000B03FF">
              <w:rPr>
                <w:b/>
                <w:i/>
              </w:rPr>
              <w:t>Ba.</w:t>
            </w:r>
            <w:r w:rsidRPr="000B03FF">
              <w:rPr>
                <w:b/>
                <w:i/>
              </w:rPr>
              <w:tab/>
              <w:t xml:space="preserve">der henviser til, at medlemsstaterne har opnået </w:t>
            </w:r>
            <w:r w:rsidRPr="000B03FF">
              <w:rPr>
                <w:b/>
                <w:i/>
              </w:rPr>
              <w:t>forskellige niveauer af fremskridt med hensyn til gennemførelsen af deres genopretnings- og resiliensplaner; der henviser til, at Den Europæiske Revisionsrets særberetning nr. 13/2024</w:t>
            </w:r>
            <w:r w:rsidRPr="000B03FF">
              <w:rPr>
                <w:b/>
                <w:i/>
                <w:vertAlign w:val="superscript"/>
              </w:rPr>
              <w:t>1a</w:t>
            </w:r>
            <w:r w:rsidRPr="000B03FF">
              <w:rPr>
                <w:b/>
                <w:i/>
              </w:rPr>
              <w:t xml:space="preserve"> viste, at medlemsstaterne ville have svært ved at absorbere alle de ti</w:t>
            </w:r>
            <w:r w:rsidRPr="000B03FF">
              <w:rPr>
                <w:b/>
                <w:i/>
              </w:rPr>
              <w:t xml:space="preserve">ldelte midler inden den 31. august 2026, og at der fortsat var risici med hensyn til afslutning af foranstaltninger i anden halvdel af genopretnings- og resiliensfacilitetens gennemførelsesperiode; der henviser til, at forsinkelser i gennemførelsen blandt </w:t>
            </w:r>
            <w:r w:rsidRPr="000B03FF">
              <w:rPr>
                <w:b/>
                <w:i/>
              </w:rPr>
              <w:t xml:space="preserve">andet skyldtes øget inflation, udfordringer i forbindelse med offentlige udbud, forsyningsknaphed og udsving i markedspriserne; der henviser til, at det ved evaluering af gennemførelsen af genopretnings- og resiliensfaciliteten er afgørende at drage nytte </w:t>
            </w:r>
            <w:r w:rsidRPr="000B03FF">
              <w:rPr>
                <w:b/>
                <w:i/>
              </w:rPr>
              <w:t>af de erfaringer, man har gjort sig, og ajourføre eksisterende strukturer;</w:t>
            </w:r>
          </w:p>
          <w:p w:rsidR="00D44A69" w:rsidRPr="000B03FF" w:rsidRDefault="00A64EC2">
            <w:pPr>
              <w:pStyle w:val="Normal6"/>
              <w:rPr>
                <w:b/>
                <w:i/>
              </w:rPr>
            </w:pPr>
            <w:r w:rsidRPr="000B03FF">
              <w:rPr>
                <w:b/>
                <w:i/>
              </w:rPr>
              <w:t>________________</w:t>
            </w:r>
          </w:p>
          <w:p w:rsidR="00D44A69" w:rsidRPr="000B03FF" w:rsidRDefault="00A64EC2" w:rsidP="002F7792">
            <w:pPr>
              <w:pStyle w:val="Normal6"/>
              <w:rPr>
                <w:b/>
                <w:i/>
                <w:szCs w:val="24"/>
              </w:rPr>
            </w:pPr>
            <w:r w:rsidRPr="000B03FF">
              <w:rPr>
                <w:b/>
                <w:i/>
                <w:vertAlign w:val="superscript"/>
              </w:rPr>
              <w:t>1a</w:t>
            </w:r>
            <w:r w:rsidRPr="000B03FF">
              <w:rPr>
                <w:b/>
                <w:i/>
              </w:rPr>
              <w:t xml:space="preserve"> Revisionsrettens særberetning 13/2024 af 10. september 2024: "Absorption af midler fra genopretnings- og resiliensfaciliteten – Fremskridt med visse forsinkelser</w:t>
            </w:r>
            <w:r w:rsidRPr="000B03FF">
              <w:rPr>
                <w:b/>
                <w:i/>
              </w:rPr>
              <w:t xml:space="preserve"> og risici med hensyn til afslutningen af foranstaltningerne og dermed opfyldelsen af facilitetens mål". </w:t>
            </w:r>
          </w:p>
        </w:tc>
      </w:tr>
    </w:tbl>
    <w:p w:rsidR="00521F00" w:rsidRPr="000B03FF" w:rsidRDefault="00A64EC2" w:rsidP="00521F00">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18</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Betragtning F</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 xml:space="preserve">Forslag til </w:t>
            </w:r>
            <w:r w:rsidRPr="000B03FF">
              <w:t>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F.</w:t>
            </w:r>
            <w:r w:rsidRPr="000B03FF">
              <w:tab/>
              <w:t>der henviser til, at en effektiv demokratisk kontrol og parlamentarisk kontrol med gennemførelsen af genopretnings- og resiliensfaciliteten kræver fuld inddragelse af Parlamentet og hensyntagen til alle dets henstillinger i a</w:t>
            </w:r>
            <w:r w:rsidRPr="000B03FF">
              <w:t>lle faser;</w:t>
            </w:r>
          </w:p>
        </w:tc>
        <w:tc>
          <w:tcPr>
            <w:tcW w:w="4876" w:type="dxa"/>
            <w:hideMark/>
          </w:tcPr>
          <w:p w:rsidR="00EA4087" w:rsidRPr="000B03FF" w:rsidRDefault="00A64EC2">
            <w:pPr>
              <w:pStyle w:val="Normal6"/>
              <w:rPr>
                <w:szCs w:val="24"/>
              </w:rPr>
            </w:pPr>
            <w:r w:rsidRPr="000B03FF">
              <w:t>F.</w:t>
            </w:r>
            <w:r w:rsidRPr="000B03FF">
              <w:tab/>
              <w:t>der henviser til, at en effektiv demokratisk kontrol og parlamentarisk kontrol med gennemførelsen af genopretnings- og resiliensfaciliteten kræver fuld inddragelse af Parlamentet og hensyntagen til alle dets henstillinger i alle faser;</w:t>
            </w:r>
            <w:r w:rsidRPr="000B03FF">
              <w:rPr>
                <w:b/>
                <w:i/>
              </w:rPr>
              <w:t xml:space="preserve"> der he</w:t>
            </w:r>
            <w:r w:rsidRPr="000B03FF">
              <w:rPr>
                <w:b/>
                <w:i/>
              </w:rPr>
              <w:t>nviser til, at høring af relevante interessenter, navnlig arbejdsmarkedets parter, civilsamfundsorganisationer, ungdomsorganisationer og lokale og regionale myndigheder, også er afgørende for udarbejdelsen og gennemførelsen af foranstaltningerne i de natio</w:t>
            </w:r>
            <w:r w:rsidRPr="000B03FF">
              <w:rPr>
                <w:b/>
                <w:i/>
              </w:rPr>
              <w:t>nale genopretnings- og resiliensplaner og er et krav i henhold til forordningen om genopretnings- og resiliensfaciliteten;</w:t>
            </w:r>
          </w:p>
        </w:tc>
      </w:tr>
    </w:tbl>
    <w:p w:rsidR="00EA4087" w:rsidRPr="000B03FF" w:rsidRDefault="00A64EC2" w:rsidP="00EA4087">
      <w:pPr>
        <w:rPr>
          <w:szCs w:val="24"/>
        </w:rPr>
      </w:pPr>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19</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F a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271B69">
            <w:pPr>
              <w:rPr>
                <w:b/>
                <w:i/>
              </w:rPr>
            </w:pPr>
            <w:r w:rsidRPr="000B03FF">
              <w:rPr>
                <w:b/>
                <w:i/>
              </w:rPr>
              <w:t>Fa.</w:t>
            </w:r>
            <w:r w:rsidRPr="000B03FF">
              <w:rPr>
                <w:b/>
                <w:i/>
              </w:rPr>
              <w:tab/>
              <w:t>der henviser til, at den fælles beskæftigelsesrapport viste, at de nationale arbejdsmarkedsparters vurdering af deres inddragelse i gennemførelsen af genopretnings- og resiliensfaciliteten i 2023 va</w:t>
            </w:r>
            <w:r w:rsidRPr="000B03FF">
              <w:rPr>
                <w:b/>
                <w:i/>
              </w:rPr>
              <w:t xml:space="preserve">r ujævn; der henviser til, at de institutionelle rammer for inddragelse af arbejdsmarkedets parter er forskellige, eftersom nogle medlemsstater har fastlagt specifikke rammer og procedurer, mens andre har anvendt eksisterende kanaler for social dialog, og </w:t>
            </w:r>
            <w:r w:rsidRPr="000B03FF">
              <w:rPr>
                <w:b/>
                <w:i/>
              </w:rPr>
              <w:t>arbejdsmarkedets parter i nogle få lande er blevet inddraget gennem nye organer eller specifikke arbejdsgrupper, der er oprettet inden for rammerne af det europæiske semester, eller for at overvåge gennemførelsen af genopretnings- og resiliensplanerne; der</w:t>
            </w:r>
            <w:r w:rsidRPr="000B03FF">
              <w:rPr>
                <w:b/>
                <w:i/>
              </w:rPr>
              <w:t xml:space="preserve"> henviser til, at medlemsstaterne bør fremme kollektive overenskomstforhandlinger og social dialog i overensstemmelse med Rådets henstilling om styrkelse af den sociale dialog i Den Europæiske Union</w:t>
            </w:r>
            <w:r w:rsidRPr="000B03FF">
              <w:rPr>
                <w:b/>
                <w:i/>
                <w:vertAlign w:val="superscript"/>
              </w:rPr>
              <w:t>1a</w:t>
            </w:r>
            <w:r w:rsidRPr="000B03FF">
              <w:rPr>
                <w:b/>
                <w:i/>
              </w:rPr>
              <w:t xml:space="preserve"> sammen med en rettidig og meningsfuld inddragelse af ar</w:t>
            </w:r>
            <w:r w:rsidRPr="000B03FF">
              <w:rPr>
                <w:b/>
                <w:i/>
              </w:rPr>
              <w:t>bejdsmarkedets parter i relevant politikudformning på EU-plan og nationalt plan, herunder i forbindelse med gennemførelsen af medlemsstaternes genopretnings- og resiliensplaner;</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__________________</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461A62">
            <w:pPr>
              <w:pStyle w:val="Normal6"/>
              <w:rPr>
                <w:szCs w:val="24"/>
              </w:rPr>
            </w:pPr>
            <w:r w:rsidRPr="000B03FF">
              <w:rPr>
                <w:b/>
                <w:i/>
                <w:vertAlign w:val="superscript"/>
              </w:rPr>
              <w:t>1a</w:t>
            </w:r>
            <w:r w:rsidRPr="000B03FF">
              <w:t xml:space="preserve"> </w:t>
            </w:r>
            <w:r w:rsidRPr="000B03FF">
              <w:rPr>
                <w:b/>
                <w:i/>
              </w:rPr>
              <w:t xml:space="preserve">Rådets henstilling af 12. juni 2023 om styrkelse af </w:t>
            </w:r>
            <w:r w:rsidRPr="000B03FF">
              <w:rPr>
                <w:b/>
                <w:i/>
              </w:rPr>
              <w:t xml:space="preserve">den sociale dialog i Den Europæiske Union (EUT C, C/2023/1389, 6.12.2023, ELI: </w:t>
            </w:r>
            <w:hyperlink r:id="rId10" w:history="1">
              <w:r w:rsidRPr="000B03FF">
                <w:rPr>
                  <w:rStyle w:val="Hyperlink"/>
                  <w:b/>
                  <w:i/>
                  <w:color w:val="auto"/>
                </w:rPr>
                <w:t>http://data.europa.eu/eli/C/2023/1389/oj</w:t>
              </w:r>
            </w:hyperlink>
            <w:r w:rsidRPr="000B03FF">
              <w:rPr>
                <w:b/>
                <w:i/>
              </w:rPr>
              <w:t>).</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20</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w:t>
      </w:r>
      <w:r w:rsidRPr="000B03FF">
        <w:t>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F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Fb.</w:t>
            </w:r>
            <w:r w:rsidRPr="000B03FF">
              <w:rPr>
                <w:b/>
                <w:i/>
              </w:rPr>
              <w:tab/>
              <w:t xml:space="preserve">der henviser til, at 2 201 af de 7 129 milepæle og mål i de 27 genopretnings- og resiliensplaner ifølge den fælles beskæftigelsesrapport 2025 </w:t>
            </w:r>
            <w:r w:rsidRPr="000B03FF">
              <w:rPr>
                <w:b/>
                <w:i/>
              </w:rPr>
              <w:t>forventes at bidrage til socialpolitikker (ca. 31 %), mens 505 ud af de 1 742 milepæle og mål, der var opfyldt pr. 14. november 2024, fremmer socialpolitikker (ca. 30 %);</w:t>
            </w:r>
          </w:p>
        </w:tc>
      </w:tr>
    </w:tbl>
    <w:p w:rsidR="00521F00" w:rsidRPr="000B03FF" w:rsidRDefault="00A64EC2" w:rsidP="00521F00">
      <w:r w:rsidRPr="000B03FF">
        <w:rPr>
          <w:rStyle w:val="HideTWBExt"/>
        </w:rPr>
        <w:t>&lt;/Amend&gt;</w:t>
      </w:r>
    </w:p>
    <w:p w:rsidR="00675C68" w:rsidRPr="000B03FF" w:rsidRDefault="00A64EC2" w:rsidP="00675C68">
      <w:pPr>
        <w:pStyle w:val="AmNumberTabs"/>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21</w:t>
      </w:r>
      <w:r w:rsidRPr="000B03FF">
        <w:rPr>
          <w:rStyle w:val="HideTWBExt"/>
          <w:b w:val="0"/>
        </w:rPr>
        <w:t>&lt;/NumAm&gt;</w:t>
      </w:r>
    </w:p>
    <w:p w:rsidR="00675C68" w:rsidRPr="000B03FF" w:rsidRDefault="00A64EC2" w:rsidP="00675C68">
      <w:pPr>
        <w:pStyle w:val="NormalBold12b"/>
      </w:pPr>
      <w:r w:rsidRPr="000B03FF">
        <w:rPr>
          <w:rStyle w:val="HideTWBExt"/>
          <w:b w:val="0"/>
        </w:rPr>
        <w:t>&lt;DocAmend&gt;</w:t>
      </w:r>
      <w:r w:rsidRPr="000B03FF">
        <w:t>Forslag til beslutning</w:t>
      </w:r>
      <w:r w:rsidRPr="000B03FF">
        <w:rPr>
          <w:rStyle w:val="HideTWBExt"/>
          <w:b w:val="0"/>
        </w:rPr>
        <w:t>&lt;</w:t>
      </w:r>
      <w:r w:rsidRPr="000B03FF">
        <w:rPr>
          <w:rStyle w:val="HideTWBExt"/>
          <w:b w:val="0"/>
        </w:rPr>
        <w:t>/DocAmend&gt;</w:t>
      </w:r>
    </w:p>
    <w:p w:rsidR="00675C68" w:rsidRPr="000B03FF" w:rsidRDefault="00A64EC2" w:rsidP="00675C68">
      <w:pPr>
        <w:pStyle w:val="NormalBold"/>
      </w:pPr>
      <w:r w:rsidRPr="000B03FF">
        <w:rPr>
          <w:rStyle w:val="HideTWBExt"/>
          <w:b w:val="0"/>
        </w:rPr>
        <w:t>&lt;Article&gt;</w:t>
      </w:r>
      <w:r w:rsidRPr="000B03FF">
        <w:t>Betragtning F c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675C68">
        <w:trPr>
          <w:jc w:val="center"/>
        </w:trPr>
        <w:tc>
          <w:tcPr>
            <w:tcW w:w="9752" w:type="dxa"/>
            <w:gridSpan w:val="2"/>
          </w:tcPr>
          <w:p w:rsidR="00675C68" w:rsidRPr="000B03FF" w:rsidRDefault="00675C68">
            <w:pPr>
              <w:keepNext/>
            </w:pPr>
          </w:p>
        </w:tc>
      </w:tr>
      <w:tr w:rsidR="00B30CD4" w:rsidRPr="000B03FF" w:rsidTr="00675C68">
        <w:trPr>
          <w:jc w:val="center"/>
        </w:trPr>
        <w:tc>
          <w:tcPr>
            <w:tcW w:w="4876" w:type="dxa"/>
            <w:hideMark/>
          </w:tcPr>
          <w:p w:rsidR="00675C68" w:rsidRPr="000B03FF" w:rsidRDefault="00A64EC2">
            <w:pPr>
              <w:pStyle w:val="ColumnHeading"/>
              <w:keepNext/>
            </w:pPr>
            <w:r w:rsidRPr="000B03FF">
              <w:t>Forslag til beslutning</w:t>
            </w:r>
          </w:p>
        </w:tc>
        <w:tc>
          <w:tcPr>
            <w:tcW w:w="4876" w:type="dxa"/>
            <w:hideMark/>
          </w:tcPr>
          <w:p w:rsidR="00675C68" w:rsidRPr="000B03FF" w:rsidRDefault="00A64EC2">
            <w:pPr>
              <w:pStyle w:val="ColumnHeading"/>
              <w:keepNext/>
            </w:pPr>
            <w:r w:rsidRPr="000B03FF">
              <w:t>Ændringsforslag</w:t>
            </w:r>
          </w:p>
        </w:tc>
      </w:tr>
      <w:tr w:rsidR="00B30CD4" w:rsidRPr="000B03FF" w:rsidTr="00675C68">
        <w:trPr>
          <w:jc w:val="center"/>
        </w:trPr>
        <w:tc>
          <w:tcPr>
            <w:tcW w:w="4876" w:type="dxa"/>
          </w:tcPr>
          <w:p w:rsidR="00675C68" w:rsidRPr="000B03FF" w:rsidRDefault="00675C68">
            <w:pPr>
              <w:pStyle w:val="Normal6"/>
            </w:pPr>
          </w:p>
        </w:tc>
        <w:tc>
          <w:tcPr>
            <w:tcW w:w="4876" w:type="dxa"/>
            <w:hideMark/>
          </w:tcPr>
          <w:p w:rsidR="00675C68" w:rsidRPr="000B03FF" w:rsidRDefault="00A64EC2" w:rsidP="00EC1E8B">
            <w:pPr>
              <w:pStyle w:val="Normal6"/>
              <w:rPr>
                <w:szCs w:val="24"/>
              </w:rPr>
            </w:pPr>
            <w:r w:rsidRPr="000B03FF">
              <w:rPr>
                <w:b/>
                <w:i/>
              </w:rPr>
              <w:t>Fc.</w:t>
            </w:r>
            <w:r w:rsidRPr="000B03FF">
              <w:rPr>
                <w:b/>
                <w:i/>
              </w:rPr>
              <w:tab/>
              <w:t>der henviser til, at EU er udfordret af et aldrende samfund, hvor pensionskompensationsgraden forventes at falde i løbet af de næste fire årtier, mens behovet</w:t>
            </w:r>
            <w:r w:rsidRPr="000B03FF">
              <w:rPr>
                <w:b/>
                <w:i/>
              </w:rPr>
              <w:t xml:space="preserve"> for langtidspleje allerede er stort og stigende; der henviser til, at risikoen for fattigdom eller social udstødelse blandt ældre er forblevet stabil, men at pensionskompensationsgraden for en 40-årig karriere forventes at falde i de fleste EU-lande, i no</w:t>
            </w:r>
            <w:r w:rsidRPr="000B03FF">
              <w:rPr>
                <w:b/>
                <w:i/>
              </w:rPr>
              <w:t>gle tilfælde med over 20 procentpoint;</w:t>
            </w:r>
          </w:p>
        </w:tc>
      </w:tr>
    </w:tbl>
    <w:p w:rsidR="00675C68" w:rsidRPr="000B03FF" w:rsidRDefault="00A64EC2" w:rsidP="00675C68">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22</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Betragtning G</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hideMark/>
          </w:tcPr>
          <w:p w:rsidR="00521F00" w:rsidRPr="000B03FF" w:rsidRDefault="00A64EC2">
            <w:pPr>
              <w:pStyle w:val="Normal6"/>
            </w:pPr>
            <w:r w:rsidRPr="000B03FF">
              <w:t>G.</w:t>
            </w:r>
            <w:r w:rsidRPr="000B03FF">
              <w:tab/>
              <w:t xml:space="preserve">der henviser til, at Kommissionen skal </w:t>
            </w:r>
            <w:r w:rsidRPr="000B03FF">
              <w:t>forelægge en uafhængig efterfølgende evalueringsrapport om gennemførelsen af genopretnings- og resiliensfaciliteten senest den 31. december 2028, som skal omfatte en overordnet vurdering af genopretnings- og resiliensfaciliteten samt oplysninger om dens in</w:t>
            </w:r>
            <w:r w:rsidRPr="000B03FF">
              <w:t>dvirkning på lang sigt;</w:t>
            </w:r>
          </w:p>
        </w:tc>
        <w:tc>
          <w:tcPr>
            <w:tcW w:w="4876" w:type="dxa"/>
            <w:hideMark/>
          </w:tcPr>
          <w:p w:rsidR="00521F00" w:rsidRPr="000B03FF" w:rsidRDefault="00A64EC2">
            <w:pPr>
              <w:pStyle w:val="Normal6"/>
              <w:rPr>
                <w:szCs w:val="24"/>
              </w:rPr>
            </w:pPr>
            <w:r w:rsidRPr="000B03FF">
              <w:t>G.</w:t>
            </w:r>
            <w:r w:rsidRPr="000B03FF">
              <w:tab/>
              <w:t xml:space="preserve">der henviser til, at Kommissionen skal forelægge en uafhængig efterfølgende evalueringsrapport om gennemførelsen af genopretnings- og resiliensfaciliteten senest den 31. december 2028, som skal omfatte en overordnet vurdering af </w:t>
            </w:r>
            <w:r w:rsidRPr="000B03FF">
              <w:t>genopretnings- og resiliensfaciliteten samt oplysninger om dens indvirkning på lang sigt</w:t>
            </w:r>
            <w:r w:rsidRPr="000B03FF">
              <w:rPr>
                <w:b/>
                <w:i/>
              </w:rPr>
              <w:t>, herunder oplysninger om sociale resultater</w:t>
            </w:r>
            <w:r w:rsidRPr="000B03FF">
              <w:t>;</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23</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 xml:space="preserve">Betragtning G a </w:t>
      </w:r>
      <w:r w:rsidRPr="000B03FF">
        <w:t>(ny)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D37E93">
            <w:pPr>
              <w:pStyle w:val="Normal6"/>
              <w:rPr>
                <w:szCs w:val="24"/>
              </w:rPr>
            </w:pPr>
            <w:r w:rsidRPr="000B03FF">
              <w:rPr>
                <w:b/>
                <w:i/>
              </w:rPr>
              <w:t>Ga.</w:t>
            </w:r>
            <w:r w:rsidRPr="000B03FF">
              <w:rPr>
                <w:b/>
                <w:i/>
              </w:rPr>
              <w:tab/>
              <w:t xml:space="preserve">der henviser til, at hver medlemsstat skal afsætte mindst 20 % af den samlede tildeling under sin genopretnings- og resiliensplan til foranstaltninger, der bidrager til den digitale omstilling </w:t>
            </w:r>
            <w:r w:rsidRPr="000B03FF">
              <w:rPr>
                <w:b/>
                <w:i/>
              </w:rPr>
              <w:t>eller til at håndtere de deraf følgende udfordringer; der henviser til, at det at forbedre de digitale færdigheder i den brede befolkning og arbejdsstyrken, fremme digitaliseringen af virksomheder, forøge viften af digitale offentlige tjenester og fremskyn</w:t>
            </w:r>
            <w:r w:rsidRPr="000B03FF">
              <w:rPr>
                <w:b/>
                <w:i/>
              </w:rPr>
              <w:t>de gennemførelsen af flagskibsprojekter inden for digital forvaltning alt sammen er afgørende skridt på vejen mod at opnå den digitale omstilling;</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24</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Bet</w:t>
      </w:r>
      <w:r w:rsidRPr="000B03FF">
        <w:t>ragtning G b (ny)</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8F32B7">
            <w:pPr>
              <w:pStyle w:val="Normal6"/>
              <w:rPr>
                <w:szCs w:val="24"/>
              </w:rPr>
            </w:pPr>
            <w:r w:rsidRPr="000B03FF">
              <w:rPr>
                <w:b/>
                <w:i/>
              </w:rPr>
              <w:t>Gb.</w:t>
            </w:r>
            <w:r w:rsidRPr="000B03FF">
              <w:rPr>
                <w:b/>
                <w:i/>
              </w:rPr>
              <w:tab/>
              <w:t>der henviser til, at det kun er 55,56 % af alle voksne, der som minimum har grundlæggende digitale færdigheder</w:t>
            </w:r>
            <w:r w:rsidRPr="000B03FF">
              <w:rPr>
                <w:b/>
                <w:i/>
                <w:vertAlign w:val="superscript"/>
              </w:rPr>
              <w:t>1a</w:t>
            </w:r>
            <w:r w:rsidRPr="000B03FF">
              <w:rPr>
                <w:b/>
                <w:i/>
              </w:rPr>
              <w:t xml:space="preserve">; der henviser til, at et af EU's digitale mål er, at 80 % af alle </w:t>
            </w:r>
            <w:r w:rsidRPr="000B03FF">
              <w:rPr>
                <w:b/>
                <w:i/>
              </w:rPr>
              <w:t>voksne som minimum skal have grundlæggende digitale færdigheder senest i 2030; der henviser til, at EU er nødt til at få bugt med alle former for mangel på kvalificeret arbejdskraft og kløfter mellem udbud og efterspørgsel for at optimere EU's menneskelige</w:t>
            </w:r>
            <w:r w:rsidRPr="000B03FF">
              <w:rPr>
                <w:b/>
                <w:i/>
              </w:rPr>
              <w:t xml:space="preserve"> kapital; der henviser til, at alle bør have adgang til ordentlig digital infrastruktur og uddannelse i digitale færdigheder for at sikre lige muligheder i uddannelsessystemet og på arbejdsmarkedet; der henviser til, at der er blevet gennemført betydelige </w:t>
            </w:r>
            <w:r w:rsidRPr="000B03FF">
              <w:rPr>
                <w:b/>
                <w:i/>
              </w:rPr>
              <w:t xml:space="preserve">reformer og investeringer inden for grundlæggende færdigheder, herunder ændringer i studieplaner, men at de ikke har tacklet de eksisterende udfordringer i tilstrækkelig grad, hvilket gør det nødvendigt med en yderligere indsats i hele EU for at vende den </w:t>
            </w:r>
            <w:r w:rsidRPr="000B03FF">
              <w:rPr>
                <w:b/>
                <w:i/>
              </w:rPr>
              <w:t>negative tendens;</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__________________</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02109D">
            <w:pPr>
              <w:pStyle w:val="Normal6"/>
              <w:rPr>
                <w:szCs w:val="24"/>
              </w:rPr>
            </w:pPr>
            <w:r w:rsidRPr="000B03FF">
              <w:rPr>
                <w:b/>
                <w:i/>
                <w:vertAlign w:val="superscript"/>
              </w:rPr>
              <w:t>1a</w:t>
            </w:r>
            <w:r w:rsidRPr="000B03FF">
              <w:t xml:space="preserve"> </w:t>
            </w:r>
            <w:r w:rsidRPr="000B03FF">
              <w:rPr>
                <w:b/>
                <w:i/>
              </w:rPr>
              <w:t xml:space="preserve">Eurostat, "Database", </w:t>
            </w:r>
            <w:hyperlink r:id="rId11" w:history="1">
              <w:r w:rsidRPr="000B03FF">
                <w:rPr>
                  <w:rStyle w:val="Hyperlink"/>
                  <w:b/>
                  <w:i/>
                  <w:color w:val="auto"/>
                </w:rPr>
                <w:t>https://ec.europa.eu/eurostat/databrowser/view/sdg_04_70/default/table</w:t>
              </w:r>
            </w:hyperlink>
            <w:r w:rsidRPr="000B03FF">
              <w:rPr>
                <w:b/>
                <w:i/>
              </w:rPr>
              <w:t xml:space="preserve"> og </w:t>
            </w:r>
            <w:r w:rsidRPr="000B03FF">
              <w:rPr>
                <w:b/>
                <w:i/>
              </w:rPr>
              <w:t xml:space="preserve">Eurostat, "56% of EU people have basic digital skills", 15. december 2023, </w:t>
            </w:r>
            <w:hyperlink r:id="rId12" w:history="1">
              <w:r w:rsidRPr="000B03FF">
                <w:rPr>
                  <w:rStyle w:val="Hyperlink"/>
                  <w:b/>
                  <w:i/>
                  <w:color w:val="auto"/>
                </w:rPr>
                <w:t>https://ec.europa.eu/eurostat/web/products-eurostat-news/-/ddn-20231215-3</w:t>
              </w:r>
            </w:hyperlink>
            <w:r w:rsidRPr="000B03FF">
              <w:rPr>
                <w:b/>
                <w:i/>
              </w:rPr>
              <w:t xml:space="preserve">. </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25</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Punkt 1</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hideMark/>
          </w:tcPr>
          <w:p w:rsidR="00521F00" w:rsidRPr="000B03FF" w:rsidRDefault="00A64EC2">
            <w:pPr>
              <w:pStyle w:val="Normal6"/>
            </w:pPr>
            <w:r w:rsidRPr="000B03FF">
              <w:t>1.</w:t>
            </w:r>
            <w:r w:rsidRPr="000B03FF">
              <w:tab/>
            </w:r>
            <w:r w:rsidRPr="000B03FF">
              <w:rPr>
                <w:b/>
                <w:i/>
              </w:rPr>
              <w:t>fremhæver</w:t>
            </w:r>
            <w:r w:rsidRPr="000B03FF">
              <w:t>, at genopretnings- og resiliensfaciliteten er et enestående solidaritetsinstrument over</w:t>
            </w:r>
            <w:r w:rsidRPr="000B03FF">
              <w:t xml:space="preserve"> for to kriser uden fortilfælde og udgør en hjørnesten i NGEU-instrumentet, som udløber i 2026; fremhæver den stabiliserende virkning, som genopretnings- og resiliensfaciliteten har for medlemsstaterne i en tid med stor økonomisk usikkerhed, da den afbøder</w:t>
            </w:r>
            <w:r w:rsidRPr="000B03FF">
              <w:t xml:space="preserve"> negative økonomiske og sociale konsekvenser</w:t>
            </w:r>
            <w:r w:rsidRPr="000B03FF">
              <w:rPr>
                <w:b/>
                <w:i/>
              </w:rPr>
              <w:t xml:space="preserve"> og støtter regeringerne ved</w:t>
            </w:r>
            <w:r w:rsidRPr="000B03FF">
              <w:t xml:space="preserve"> at bidrage til gennemførelsen af den europæiske søjle for sociale rettigheder;</w:t>
            </w:r>
          </w:p>
        </w:tc>
        <w:tc>
          <w:tcPr>
            <w:tcW w:w="4876" w:type="dxa"/>
            <w:hideMark/>
          </w:tcPr>
          <w:p w:rsidR="00521F00" w:rsidRPr="000B03FF" w:rsidRDefault="00A64EC2" w:rsidP="00204278">
            <w:pPr>
              <w:pStyle w:val="Normal6"/>
              <w:rPr>
                <w:szCs w:val="24"/>
              </w:rPr>
            </w:pPr>
            <w:r w:rsidRPr="000B03FF">
              <w:t>1.</w:t>
            </w:r>
            <w:r w:rsidRPr="000B03FF">
              <w:tab/>
            </w:r>
            <w:r w:rsidRPr="000B03FF">
              <w:rPr>
                <w:b/>
                <w:i/>
              </w:rPr>
              <w:t>anerkender</w:t>
            </w:r>
            <w:r w:rsidRPr="000B03FF">
              <w:t>, at genopretnings- og resiliensfaciliteten er et enestående solidaritetsinstrument over fo</w:t>
            </w:r>
            <w:r w:rsidRPr="000B03FF">
              <w:t xml:space="preserve">r to kriser uden fortilfælde og udgør en hjørnesten i NGEU-instrumentet, som udløber i 2026; fremhæver den stabiliserende virkning, som genopretnings- og resiliensfaciliteten har for medlemsstaterne i en tid med stor økonomisk usikkerhed, da den afbøder </w:t>
            </w:r>
            <w:r w:rsidRPr="000B03FF">
              <w:rPr>
                <w:b/>
                <w:i/>
              </w:rPr>
              <w:t>de</w:t>
            </w:r>
            <w:r w:rsidRPr="000B03FF">
              <w:t xml:space="preserve"> negative økonomiske og sociale konsekvenser </w:t>
            </w:r>
            <w:r w:rsidRPr="000B03FF">
              <w:rPr>
                <w:b/>
                <w:i/>
              </w:rPr>
              <w:t>af kriserne</w:t>
            </w:r>
            <w:r w:rsidRPr="000B03FF">
              <w:t>;</w:t>
            </w:r>
            <w:r w:rsidRPr="000B03FF">
              <w:rPr>
                <w:b/>
                <w:i/>
              </w:rPr>
              <w:t xml:space="preserve"> minder om, at et overordnet mål med genopretnings- og resiliensfaciliteten er</w:t>
            </w:r>
            <w:r w:rsidRPr="000B03FF">
              <w:t xml:space="preserve"> at bidrage til gennemførelsen af den europæiske søjle for sociale rettigheder </w:t>
            </w:r>
            <w:r w:rsidRPr="000B03FF">
              <w:rPr>
                <w:b/>
                <w:i/>
              </w:rPr>
              <w:t>med henblik på at opbygge et stærkere soci</w:t>
            </w:r>
            <w:r w:rsidRPr="000B03FF">
              <w:rPr>
                <w:b/>
                <w:i/>
              </w:rPr>
              <w:t>alt Europa og styrke den sociale samhørighed og dermed styrke den langsigtede modstandsdygtighed i hele EU</w:t>
            </w:r>
            <w:r w:rsidRPr="000B03FF">
              <w:t xml:space="preserve">; </w:t>
            </w:r>
            <w:r w:rsidRPr="000B03FF">
              <w:rPr>
                <w:b/>
                <w:i/>
              </w:rPr>
              <w:t>understreger, at dette mål bør styrkes yderligere ved at sikre langsigtede offentlige investeringer i offentlige sociale tjenesteydelser af høj kval</w:t>
            </w:r>
            <w:r w:rsidRPr="000B03FF">
              <w:rPr>
                <w:b/>
                <w:i/>
              </w:rPr>
              <w:t>itet og ved at fremme foranstaltninger, der mindsker uligheder for alle;</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26</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Punkt 1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F56F50">
            <w:pPr>
              <w:pStyle w:val="Normal6"/>
              <w:rPr>
                <w:szCs w:val="24"/>
              </w:rPr>
            </w:pPr>
            <w:r w:rsidRPr="000B03FF">
              <w:rPr>
                <w:b/>
                <w:i/>
              </w:rPr>
              <w:t>1a.</w:t>
            </w:r>
            <w:r w:rsidRPr="000B03FF">
              <w:rPr>
                <w:b/>
                <w:i/>
              </w:rPr>
              <w:tab/>
            </w:r>
            <w:r w:rsidRPr="000B03FF">
              <w:rPr>
                <w:b/>
                <w:i/>
              </w:rPr>
              <w:t>minder om, at genopretnings- og resiliensfaciliteten spiller en afgørende rolle for at fremme social og territorial samhørighed ved at bekæmpe fattigdom, nedbringe arbejdsløsheden og fremme en inklusiv økonomisk genopretning; bemærker, at et af de overordn</w:t>
            </w:r>
            <w:r w:rsidRPr="000B03FF">
              <w:rPr>
                <w:b/>
                <w:i/>
              </w:rPr>
              <w:t>ede mål i handlingsplanen for den europæiske søjle for sociale rettigheder er at opnå en beskæftigelsesfrekvens på 78 % i EU senest i 2030; understreger, at dette mål er inden for rækkevidde, men at der ikke desto mindre er behov for yderligere skridt på a</w:t>
            </w:r>
            <w:r w:rsidRPr="000B03FF">
              <w:rPr>
                <w:b/>
                <w:i/>
              </w:rPr>
              <w:t>lle niveauer for at aktivere underrepræsenterede gruppers deltagelse på arbejdsmarkedet og tiltrække flere personer til arbejdsmarkedet; understreger, at der er behov for ambitiøse reformer og investeringer, der er i overensstemmelse med principperne i den</w:t>
            </w:r>
            <w:r w:rsidRPr="000B03FF">
              <w:rPr>
                <w:b/>
                <w:i/>
              </w:rPr>
              <w:t xml:space="preserve"> europæiske søjle for sociale rettigheder, prioriterer beskæftigelse af høj kvalitet og inklusion af sårbare grupper, tager højde for færdigheds- og kompetencemismatch og nye teknologier og styrker den sociale dialog, infrastrukturen og de sociale beskytte</w:t>
            </w:r>
            <w:r w:rsidRPr="000B03FF">
              <w:rPr>
                <w:b/>
                <w:i/>
              </w:rPr>
              <w:t>lsessystemer for at afhjælpe umiddelbare udfordringer og fremme langsigtet modstandsdygtighed på arbejdsmarkedet; påpeger, at flere end 16,3 millioner mennesker ifølge de seneste tilgængelige tal har deltaget i uddannelse eller erhvervsuddannelse med støtt</w:t>
            </w:r>
            <w:r w:rsidRPr="000B03FF">
              <w:rPr>
                <w:b/>
                <w:i/>
              </w:rPr>
              <w:t>e fra genopretnings- og resiliensfaciliteten, og at over 2,1 millioner mennesker enten har fundet beskæftigelse eller har deltaget i jobsøgningsaktiviteter;</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27</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Punkt 1 b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F56F50">
            <w:pPr>
              <w:pStyle w:val="Normal6"/>
              <w:rPr>
                <w:szCs w:val="24"/>
              </w:rPr>
            </w:pPr>
            <w:r w:rsidRPr="000B03FF">
              <w:rPr>
                <w:b/>
                <w:i/>
              </w:rPr>
              <w:t>1b.</w:t>
            </w:r>
            <w:r w:rsidRPr="000B03FF">
              <w:rPr>
                <w:b/>
                <w:i/>
              </w:rPr>
              <w:tab/>
              <w:t>fremhæver, at investeringer og reformer under genopretnings- og resiliensfaciliteten, som er rettet mod den kommende generation, navnlig inden for uddannelse og adgang til of</w:t>
            </w:r>
            <w:r w:rsidRPr="000B03FF">
              <w:rPr>
                <w:b/>
                <w:i/>
              </w:rPr>
              <w:t>fentlige tjenester af høj kvalitet, er afgørende for langsigtet social konvergens; anerkender, at investeringer i børns trivsel og uddannelse af høj kvalitet er afgørende for social samhørighed og økonomisk stabilitet; understreger, at foranstaltninger ret</w:t>
            </w:r>
            <w:r w:rsidRPr="000B03FF">
              <w:rPr>
                <w:b/>
                <w:i/>
              </w:rPr>
              <w:t>tet mod den kommende generation, børn og unge i de nationale genopretnings- og resiliensplaner har fokus på førskoleundervisning og børnepasning, uddannelse, forbedret skoleinfrastruktur, støtte til dårligt stillede børn og ungdomsbeskæftigelse; bemærker i</w:t>
            </w:r>
            <w:r w:rsidRPr="000B03FF">
              <w:rPr>
                <w:b/>
                <w:i/>
              </w:rPr>
              <w:t xml:space="preserve"> den forbindelse, at der i de nationale genopretnings- og resiliensplaner er afsat ca. 56,4 mia. EUR til denne søjle, og at den årlige rapport fra Kommissionen viser, at medlemsstaterne har gjort konkrete fremskridt, idet 259 ud af 665 milepæle og mål var </w:t>
            </w:r>
            <w:r w:rsidRPr="000B03FF">
              <w:rPr>
                <w:b/>
                <w:i/>
              </w:rPr>
              <w:t>rapporteret som gennemført af medlemsstaterne eller vurderet som opfyldt af Kommissionen pr. 31. august 2024; noterer sig en fremskridtsgrad på 39 %, herunder 21 % vurderede betalingsanmodninger, og de tilgængelige tal, som viser, at over 9,4 millioner ung</w:t>
            </w:r>
            <w:r w:rsidRPr="000B03FF">
              <w:rPr>
                <w:b/>
                <w:i/>
              </w:rPr>
              <w:t>e i alderen 15-29 år modtog støtte via genopretnings- og resiliensfaciliteten; opfordrer medlemsstaterne til yderligere at styrke deres indsats under denne søjle i overensstemmelse med målene for den europæiske børnegaranti, den europæiske plejestrategi, R</w:t>
            </w:r>
            <w:r w:rsidRPr="000B03FF">
              <w:rPr>
                <w:b/>
                <w:i/>
              </w:rPr>
              <w:t>ådets henstillinger om førskoleundervisning og børnepasning og adgang til økonomisk overkommelig langtidspleje af høj kvalitet;</w:t>
            </w:r>
          </w:p>
        </w:tc>
      </w:tr>
    </w:tbl>
    <w:p w:rsidR="00521F00" w:rsidRPr="000B03FF" w:rsidRDefault="00A64EC2" w:rsidP="00521F00">
      <w:r w:rsidRPr="000B03FF">
        <w:rPr>
          <w:rStyle w:val="HideTWBExt"/>
        </w:rPr>
        <w:t>&lt;/Amend&gt;</w:t>
      </w:r>
    </w:p>
    <w:p w:rsidR="00521F00" w:rsidRPr="000B03FF" w:rsidRDefault="00A64EC2" w:rsidP="00521F00">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28</w:t>
      </w:r>
      <w:r w:rsidRPr="000B03FF">
        <w:rPr>
          <w:rStyle w:val="HideTWBExt"/>
          <w:b w:val="0"/>
        </w:rPr>
        <w:t>&lt;/NumAm&gt;</w:t>
      </w:r>
    </w:p>
    <w:p w:rsidR="00521F00" w:rsidRPr="000B03FF" w:rsidRDefault="00521F00" w:rsidP="00521F00"/>
    <w:p w:rsidR="00521F00" w:rsidRPr="000B03FF" w:rsidRDefault="00A64EC2" w:rsidP="00521F00">
      <w:pPr>
        <w:pStyle w:val="NormalBold"/>
        <w:keepNext/>
      </w:pPr>
      <w:r w:rsidRPr="000B03FF">
        <w:rPr>
          <w:rStyle w:val="HideTWBExt"/>
          <w:b w:val="0"/>
        </w:rPr>
        <w:t>&lt;DocAmend&gt;</w:t>
      </w:r>
      <w:r w:rsidRPr="000B03FF">
        <w:t>Forslag til beslutning</w:t>
      </w:r>
      <w:r w:rsidRPr="000B03FF">
        <w:rPr>
          <w:rStyle w:val="HideTWBExt"/>
          <w:b w:val="0"/>
        </w:rPr>
        <w:t>&lt;/DocAmend&gt;</w:t>
      </w:r>
    </w:p>
    <w:p w:rsidR="00521F00" w:rsidRPr="000B03FF" w:rsidRDefault="00A64EC2" w:rsidP="00521F00">
      <w:pPr>
        <w:pStyle w:val="NormalBold"/>
      </w:pPr>
      <w:r w:rsidRPr="000B03FF">
        <w:rPr>
          <w:rStyle w:val="HideTWBExt"/>
          <w:b w:val="0"/>
        </w:rPr>
        <w:t>&lt;Article&gt;</w:t>
      </w:r>
      <w:r w:rsidRPr="000B03FF">
        <w:t>Punkt 1 c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521F00">
        <w:trPr>
          <w:jc w:val="center"/>
        </w:trPr>
        <w:tc>
          <w:tcPr>
            <w:tcW w:w="9752" w:type="dxa"/>
            <w:gridSpan w:val="2"/>
          </w:tcPr>
          <w:p w:rsidR="00521F00" w:rsidRPr="000B03FF" w:rsidRDefault="00521F00">
            <w:pPr>
              <w:keepNext/>
            </w:pPr>
          </w:p>
        </w:tc>
      </w:tr>
      <w:tr w:rsidR="00B30CD4" w:rsidRPr="000B03FF" w:rsidTr="00521F00">
        <w:trPr>
          <w:jc w:val="center"/>
        </w:trPr>
        <w:tc>
          <w:tcPr>
            <w:tcW w:w="4876" w:type="dxa"/>
            <w:hideMark/>
          </w:tcPr>
          <w:p w:rsidR="00521F00" w:rsidRPr="000B03FF" w:rsidRDefault="00A64EC2">
            <w:pPr>
              <w:pStyle w:val="ColumnHeading"/>
              <w:keepNext/>
            </w:pPr>
            <w:r w:rsidRPr="000B03FF">
              <w:t>Forslag til beslutning</w:t>
            </w:r>
          </w:p>
        </w:tc>
        <w:tc>
          <w:tcPr>
            <w:tcW w:w="4876" w:type="dxa"/>
            <w:hideMark/>
          </w:tcPr>
          <w:p w:rsidR="00521F00" w:rsidRPr="000B03FF" w:rsidRDefault="00A64EC2">
            <w:pPr>
              <w:pStyle w:val="ColumnHeading"/>
              <w:keepNext/>
            </w:pPr>
            <w:r w:rsidRPr="000B03FF">
              <w:t>Ændringsforslag</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8F0ED2">
            <w:pPr>
              <w:pStyle w:val="Normal6"/>
              <w:rPr>
                <w:szCs w:val="24"/>
              </w:rPr>
            </w:pPr>
            <w:r w:rsidRPr="000B03FF">
              <w:rPr>
                <w:b/>
                <w:i/>
              </w:rPr>
              <w:t>1c.</w:t>
            </w:r>
            <w:r w:rsidRPr="000B03FF">
              <w:rPr>
                <w:b/>
                <w:i/>
              </w:rPr>
              <w:tab/>
              <w:t xml:space="preserve">fremhæver, at gennemførelsen af reformerne og investeringerne i medlemsstaternes genopretnings- og resiliensplaner kombineret med samhørighedsfondene bidrager til en retfærdig, inkluderende og </w:t>
            </w:r>
            <w:r w:rsidRPr="000B03FF">
              <w:rPr>
                <w:b/>
                <w:i/>
              </w:rPr>
              <w:t>bæredygtig vækst og således øger jobskabelsen og fremmer finansiel stabilitet og investeringer; understreger, at sideløbende med den støtte, der ydes af Den Europæiske Socialfond Plus, Den Europæiske Fond for Regionaludvikling, Fonden for Retfærdig Omstill</w:t>
            </w:r>
            <w:r w:rsidRPr="000B03FF">
              <w:rPr>
                <w:b/>
                <w:i/>
              </w:rPr>
              <w:t>ing og instrumentet for teknisk støtte, fremmer genopretnings- og resiliensfaciliteten Unionens økonomiske, sociale og territoriale samhørighed ved at styrke medlemsstaternes konkurrenceevne, modstandsdygtighed, kriseberedskab, tilpasningsevne og vækstpote</w:t>
            </w:r>
            <w:r w:rsidRPr="000B03FF">
              <w:rPr>
                <w:b/>
                <w:i/>
              </w:rPr>
              <w:t>ntiale og ved at fremme skabelsen af job af høj kvalitet gennem relevante reformer og investeringer; bemærker, at medlemsstaterne har medtaget en lang række foranstaltninger i deres nationale genopretnings- og resiliensplaner til støtte for social og terri</w:t>
            </w:r>
            <w:r w:rsidRPr="000B03FF">
              <w:rPr>
                <w:b/>
                <w:i/>
              </w:rPr>
              <w:t>torial samhørighed, eksempelvis dem, der vedrører adgang til arbejdsmarkedet, social beskyttelse og inklusion samt territorial infrastruktur og territoriale tjenester; bemærker, at der i de 27 nationale genopretnings- og resiliensplaner er afsat ca. 261,2 </w:t>
            </w:r>
            <w:r w:rsidRPr="000B03FF">
              <w:rPr>
                <w:b/>
                <w:i/>
              </w:rPr>
              <w:t>mia. EUR til denne søjle, idet 1 064 af de 2 888 milepæle og mål var rapporteret som gennemført af medlemsstaterne eller vurderet som opfyldt af Kommissionen pr. 31. august 2024</w:t>
            </w:r>
            <w:r w:rsidRPr="000B03FF">
              <w:rPr>
                <w:b/>
                <w:i/>
                <w:vertAlign w:val="superscript"/>
              </w:rPr>
              <w:t>1a</w:t>
            </w:r>
            <w:r w:rsidRPr="000B03FF">
              <w:rPr>
                <w:b/>
                <w:i/>
              </w:rPr>
              <w:t>; understreger, at dette svarer til en fremskridtsgrad på 37 %, herunder 20 %</w:t>
            </w:r>
            <w:r w:rsidRPr="000B03FF">
              <w:rPr>
                <w:b/>
                <w:i/>
              </w:rPr>
              <w:t xml:space="preserve"> vurderede betalingsanmodninger;</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pPr>
              <w:pStyle w:val="Normal6"/>
              <w:rPr>
                <w:szCs w:val="24"/>
              </w:rPr>
            </w:pPr>
            <w:r w:rsidRPr="000B03FF">
              <w:rPr>
                <w:b/>
                <w:i/>
              </w:rPr>
              <w:t>__________________</w:t>
            </w:r>
          </w:p>
        </w:tc>
      </w:tr>
      <w:tr w:rsidR="00B30CD4" w:rsidRPr="000B03FF" w:rsidTr="00521F00">
        <w:trPr>
          <w:jc w:val="center"/>
        </w:trPr>
        <w:tc>
          <w:tcPr>
            <w:tcW w:w="4876" w:type="dxa"/>
          </w:tcPr>
          <w:p w:rsidR="00521F00" w:rsidRPr="000B03FF" w:rsidRDefault="00521F00">
            <w:pPr>
              <w:pStyle w:val="Normal6"/>
            </w:pPr>
          </w:p>
        </w:tc>
        <w:tc>
          <w:tcPr>
            <w:tcW w:w="4876" w:type="dxa"/>
            <w:hideMark/>
          </w:tcPr>
          <w:p w:rsidR="00521F00" w:rsidRPr="000B03FF" w:rsidRDefault="00A64EC2" w:rsidP="00F56F50">
            <w:pPr>
              <w:pStyle w:val="Normal6"/>
              <w:rPr>
                <w:b/>
                <w:i/>
              </w:rPr>
            </w:pPr>
            <w:r w:rsidRPr="000B03FF">
              <w:rPr>
                <w:b/>
                <w:i/>
                <w:vertAlign w:val="superscript"/>
              </w:rPr>
              <w:t>1a</w:t>
            </w:r>
            <w:r w:rsidRPr="000B03FF">
              <w:t xml:space="preserve"> </w:t>
            </w:r>
            <w:r w:rsidRPr="000B03FF">
              <w:rPr>
                <w:b/>
                <w:i/>
              </w:rPr>
              <w:t xml:space="preserve">Europa-Parlamentets Forskningstjeneste, "Recovery and Resilience Facility: State of play and way forward", februar 2025, </w:t>
            </w:r>
            <w:hyperlink r:id="rId13" w:history="1">
              <w:r w:rsidRPr="000B03FF">
                <w:rPr>
                  <w:rStyle w:val="Hyperlink"/>
                  <w:b/>
                  <w:i/>
                  <w:color w:val="auto"/>
                </w:rPr>
                <w:t>https://www.europarl.europa.eu/RegData/etudes/IDAN/2025/765765/EPRS_IDA(2025)765765_EN.pdf</w:t>
              </w:r>
            </w:hyperlink>
            <w:r w:rsidRPr="000B03FF">
              <w:rPr>
                <w:b/>
                <w:i/>
              </w:rPr>
              <w:t xml:space="preserve">. </w:t>
            </w:r>
          </w:p>
        </w:tc>
      </w:tr>
    </w:tbl>
    <w:p w:rsidR="00521F00" w:rsidRPr="000B03FF" w:rsidRDefault="00A64EC2" w:rsidP="00521F00">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29</w:t>
      </w:r>
      <w:r w:rsidRPr="000B03FF">
        <w:rPr>
          <w:rStyle w:val="HideTWBExt"/>
          <w:b w:val="0"/>
        </w:rPr>
        <w:t>&lt;/NumAm&gt;</w:t>
      </w:r>
    </w:p>
    <w:p w:rsidR="00EA4087" w:rsidRPr="000B03FF" w:rsidRDefault="00A64EC2" w:rsidP="00EA4087">
      <w:pPr>
        <w:pStyle w:val="NormalBold12b"/>
        <w:keepNext/>
      </w:pPr>
      <w:r w:rsidRPr="000B03FF">
        <w:rPr>
          <w:rStyle w:val="HideTWBExt"/>
          <w:b w:val="0"/>
        </w:rPr>
        <w:t>&lt;DocAm</w:t>
      </w:r>
      <w:r w:rsidRPr="000B03FF">
        <w:rPr>
          <w:rStyle w:val="HideTWBExt"/>
          <w:b w:val="0"/>
        </w:rPr>
        <w:t>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2</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2.</w:t>
            </w:r>
            <w:r w:rsidRPr="000B03FF">
              <w:tab/>
            </w:r>
            <w:r w:rsidRPr="000B03FF">
              <w:t xml:space="preserve">glæder sig over, at genopretnings- og resiliensfaciliteten har givet et midlertidigt supplerende finanspolitisk råderum siden pandemien og bidraget til at forhindre forskelle mellem medlemsstater </w:t>
            </w:r>
            <w:r w:rsidRPr="000B03FF">
              <w:rPr>
                <w:b/>
                <w:i/>
              </w:rPr>
              <w:t>med forskelligt finanspolitisk råderum</w:t>
            </w:r>
            <w:r w:rsidRPr="000B03FF">
              <w:t>; bemærker, at Kommiss</w:t>
            </w:r>
            <w:r w:rsidRPr="000B03FF">
              <w:t>ionen har konstateret, at genopretnings- og resiliensfaciliteten har ført til en vedvarende stigning i investeringer i hele EU, og at Kommissionen forventer, at genopretnings- og resiliensfaciliteten vil have en varig indvirkning i hele EU efter 2026 i kra</w:t>
            </w:r>
            <w:r w:rsidRPr="000B03FF">
              <w:t>ft af dens synergier med andre EU-fonde;</w:t>
            </w:r>
          </w:p>
        </w:tc>
        <w:tc>
          <w:tcPr>
            <w:tcW w:w="4876" w:type="dxa"/>
            <w:hideMark/>
          </w:tcPr>
          <w:p w:rsidR="00EA4087" w:rsidRPr="000B03FF" w:rsidRDefault="00A64EC2">
            <w:pPr>
              <w:pStyle w:val="Normal6"/>
              <w:rPr>
                <w:szCs w:val="24"/>
              </w:rPr>
            </w:pPr>
            <w:r w:rsidRPr="000B03FF">
              <w:t>2.</w:t>
            </w:r>
            <w:r w:rsidRPr="000B03FF">
              <w:tab/>
              <w:t>glæder sig over, at genopretnings- og resiliensfaciliteten har givet et midlertidigt</w:t>
            </w:r>
            <w:r w:rsidRPr="000B03FF">
              <w:rPr>
                <w:b/>
                <w:i/>
              </w:rPr>
              <w:t>,</w:t>
            </w:r>
            <w:r w:rsidRPr="000B03FF">
              <w:t xml:space="preserve"> supplerende </w:t>
            </w:r>
            <w:r w:rsidRPr="000B03FF">
              <w:rPr>
                <w:b/>
                <w:i/>
              </w:rPr>
              <w:t>og stabiliserende</w:t>
            </w:r>
            <w:r w:rsidRPr="000B03FF">
              <w:t xml:space="preserve"> finanspolitisk råderum siden pandemien og bidraget til at forhindre forskelle mellem medlemsstat</w:t>
            </w:r>
            <w:r w:rsidRPr="000B03FF">
              <w:t xml:space="preserve">er </w:t>
            </w:r>
            <w:r w:rsidRPr="000B03FF">
              <w:rPr>
                <w:b/>
                <w:i/>
              </w:rPr>
              <w:t>ved at yde dem hurtig og direkte støtte</w:t>
            </w:r>
            <w:r w:rsidRPr="000B03FF">
              <w:t>; bemærker, at Kommissionen har konstateret, at genopretnings- og resiliensfaciliteten har ført til en vedvarende stigning i investeringer i hele EU, og at Kommissionen forventer, at genopretnings- og resiliensfaci</w:t>
            </w:r>
            <w:r w:rsidRPr="000B03FF">
              <w:t xml:space="preserve">liteten vil have en varig indvirkning i hele EU efter 2026 i kraft af dens synergier med andre EU-fonde; </w:t>
            </w:r>
            <w:r w:rsidRPr="000B03FF">
              <w:rPr>
                <w:b/>
                <w:i/>
              </w:rPr>
              <w:t>understreger imidlertid, at sociale investeringer bør prioriteres yderligere for at sikre en varig indvirkning, navnlig med hensyn til boliger, energif</w:t>
            </w:r>
            <w:r w:rsidRPr="000B03FF">
              <w:rPr>
                <w:b/>
                <w:i/>
              </w:rPr>
              <w:t>attigdom, digital inklusion, velfungerende arbejdsmarkeder og lige adgang til offentlige tjenester af høj kvalitet for alle;</w:t>
            </w:r>
          </w:p>
        </w:tc>
      </w:tr>
    </w:tbl>
    <w:p w:rsidR="00EA4087" w:rsidRPr="000B03FF" w:rsidRDefault="00A64EC2" w:rsidP="00EA4087">
      <w:pPr>
        <w:rPr>
          <w:szCs w:val="24"/>
        </w:rPr>
      </w:pPr>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30</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2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BD5A4A">
            <w:pPr>
              <w:pStyle w:val="Normal6"/>
              <w:rPr>
                <w:szCs w:val="24"/>
              </w:rPr>
            </w:pPr>
            <w:r w:rsidRPr="000B03FF">
              <w:rPr>
                <w:b/>
                <w:i/>
              </w:rPr>
              <w:t>2a.</w:t>
            </w:r>
            <w:r w:rsidRPr="000B03FF">
              <w:rPr>
                <w:b/>
                <w:i/>
              </w:rPr>
              <w:tab/>
              <w:t xml:space="preserve">bemærker, at forordningen om genopretnings- og resiliensfaciliteten sammen med det europæiske semester som rammen for fastlæggelse af nationale reformprioriteter indeholder en stærk forbindelse til </w:t>
            </w:r>
            <w:r w:rsidRPr="000B03FF">
              <w:rPr>
                <w:b/>
                <w:i/>
              </w:rPr>
              <w:t>principperne i den europæiske søjle for sociale rettigheder; understreger, at de foranstaltninger i genopretnings- og resiliensplanerne, der forventes at fremme socialpolitikker, ikke tager højde for alle principperne i den europæiske søjle for sociale ret</w:t>
            </w:r>
            <w:r w:rsidRPr="000B03FF">
              <w:rPr>
                <w:b/>
                <w:i/>
              </w:rPr>
              <w:t>tigheder i lige grad, idet nogle principper kun er dækket marginalt eller ikke er i fuld overensstemmelse med deres indhold; opfordrer Kommissionen til at vurdere genopretnings- og resiliensplanernes indvirkning på fremskridtene hen imod målene i den europ</w:t>
            </w:r>
            <w:r w:rsidRPr="000B03FF">
              <w:rPr>
                <w:b/>
                <w:i/>
              </w:rPr>
              <w:t>æiske søjle for sociale rettigheder og til at foretage en opdelt analyse af, hvordan foranstaltningerne i genopretnings- og resiliensplanerne tager højde for hvert af principperne;</w:t>
            </w:r>
          </w:p>
        </w:tc>
      </w:tr>
    </w:tbl>
    <w:p w:rsidR="00D1163C" w:rsidRPr="000B03FF" w:rsidRDefault="00A64EC2" w:rsidP="00D1163C">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31</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 xml:space="preserve">Forslag til </w:t>
      </w:r>
      <w:r w:rsidRPr="000B03FF">
        <w:t>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2 b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rsidP="00D1163C">
            <w:pPr>
              <w:pStyle w:val="Normal6"/>
              <w:rPr>
                <w:szCs w:val="24"/>
              </w:rPr>
            </w:pPr>
            <w:r w:rsidRPr="000B03FF">
              <w:rPr>
                <w:b/>
                <w:i/>
              </w:rPr>
              <w:t>2b.</w:t>
            </w:r>
            <w:r w:rsidRPr="000B03FF">
              <w:rPr>
                <w:b/>
                <w:i/>
              </w:rPr>
              <w:tab/>
              <w:t xml:space="preserve">minder om, at medlemsstaternes gennemførelse af genopretnings- og resiliensfaciliteten samt andre EU-midler, eksempelvis fra SURE-instrumentet, har </w:t>
            </w:r>
            <w:r w:rsidRPr="000B03FF">
              <w:rPr>
                <w:b/>
                <w:i/>
              </w:rPr>
              <w:t>bidraget til at beskytte arbejdsmarkederne mod risikoen for langsigtede skader forårsaget af det dobbelte økonomiske chok fra pandemien og energikrisen; bemærker, at beskæftigelsesfrekvensen i maj 2023 nåede et rekordhøjt niveau, mens arbejdsløsheden faldt</w:t>
            </w:r>
            <w:r w:rsidRPr="000B03FF">
              <w:rPr>
                <w:b/>
                <w:i/>
              </w:rPr>
              <w:t xml:space="preserve"> til et rekordlavt niveau på ca. 6 % og har været lav lige siden; minder imidlertid om, at ungdomsarbejdsløsheden fortsat er på et vedvarende højt niveau og i gennemsnit ligger på 15 % i hele EU og over 20 % i en række medlemsstater; fremhæver i denne forb</w:t>
            </w:r>
            <w:r w:rsidRPr="000B03FF">
              <w:rPr>
                <w:b/>
                <w:i/>
              </w:rPr>
              <w:t>indelse forpligtelserne under den styrkede ungdomsgaranti, som fortsat fremmer strukturreformer og støtter unges beskæftigelsesegnethed; opfordrer i den forbindelse medlemsstaterne til at prioritere den styrkede ungdomsgaranti i deres genopretnings- og res</w:t>
            </w:r>
            <w:r w:rsidRPr="000B03FF">
              <w:rPr>
                <w:b/>
                <w:i/>
              </w:rPr>
              <w:t>iliensplaner og øge deres investeringer i uddannelse, erhvervsuddannelse og beskæftigelsesstøtte til unge under søjlen for den kommende generation;</w:t>
            </w:r>
          </w:p>
        </w:tc>
      </w:tr>
    </w:tbl>
    <w:p w:rsidR="00EA4087" w:rsidRPr="000B03FF" w:rsidRDefault="00A64EC2" w:rsidP="00EA4087">
      <w:pPr>
        <w:rPr>
          <w:szCs w:val="24"/>
        </w:rPr>
      </w:pPr>
      <w:r w:rsidRPr="000B03FF">
        <w:rPr>
          <w:rStyle w:val="HideTWBExt"/>
        </w:rPr>
        <w:t>&lt;/Amend&gt;</w:t>
      </w:r>
    </w:p>
    <w:p w:rsidR="0031616B" w:rsidRPr="000B03FF" w:rsidRDefault="00A64EC2" w:rsidP="0031616B">
      <w:pPr>
        <w:pStyle w:val="AmNumberTabs"/>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32</w:t>
      </w:r>
      <w:r w:rsidRPr="000B03FF">
        <w:rPr>
          <w:rStyle w:val="HideTWBExt"/>
          <w:b w:val="0"/>
        </w:rPr>
        <w:t>&lt;/NumAm&gt;</w:t>
      </w:r>
    </w:p>
    <w:p w:rsidR="0031616B" w:rsidRPr="000B03FF" w:rsidRDefault="00A64EC2" w:rsidP="0031616B">
      <w:pPr>
        <w:pStyle w:val="NormalBold12b"/>
      </w:pPr>
      <w:r w:rsidRPr="000B03FF">
        <w:rPr>
          <w:rStyle w:val="HideTWBExt"/>
          <w:b w:val="0"/>
        </w:rPr>
        <w:t>&lt;DocAmend&gt;</w:t>
      </w:r>
      <w:r w:rsidRPr="000B03FF">
        <w:t>Forslag til beslutning</w:t>
      </w:r>
      <w:r w:rsidRPr="000B03FF">
        <w:rPr>
          <w:rStyle w:val="HideTWBExt"/>
          <w:b w:val="0"/>
        </w:rPr>
        <w:t>&lt;/DocAmend&gt;</w:t>
      </w:r>
    </w:p>
    <w:p w:rsidR="0031616B" w:rsidRPr="000B03FF" w:rsidRDefault="00A64EC2" w:rsidP="0031616B">
      <w:pPr>
        <w:pStyle w:val="NormalBold"/>
      </w:pPr>
      <w:r w:rsidRPr="000B03FF">
        <w:rPr>
          <w:rStyle w:val="HideTWBExt"/>
          <w:b w:val="0"/>
        </w:rPr>
        <w:t>&lt;Article&gt;</w:t>
      </w:r>
      <w:r w:rsidRPr="000B03FF">
        <w:t>Pun</w:t>
      </w:r>
      <w:r w:rsidRPr="000B03FF">
        <w:t>kt 2 c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31616B">
        <w:trPr>
          <w:jc w:val="center"/>
        </w:trPr>
        <w:tc>
          <w:tcPr>
            <w:tcW w:w="9752" w:type="dxa"/>
            <w:gridSpan w:val="2"/>
          </w:tcPr>
          <w:p w:rsidR="0031616B" w:rsidRPr="000B03FF" w:rsidRDefault="0031616B">
            <w:pPr>
              <w:keepNext/>
            </w:pPr>
          </w:p>
        </w:tc>
      </w:tr>
      <w:tr w:rsidR="00B30CD4" w:rsidRPr="000B03FF" w:rsidTr="0031616B">
        <w:trPr>
          <w:jc w:val="center"/>
        </w:trPr>
        <w:tc>
          <w:tcPr>
            <w:tcW w:w="4876" w:type="dxa"/>
            <w:hideMark/>
          </w:tcPr>
          <w:p w:rsidR="0031616B" w:rsidRPr="000B03FF" w:rsidRDefault="00A64EC2">
            <w:pPr>
              <w:pStyle w:val="ColumnHeading"/>
              <w:keepNext/>
            </w:pPr>
            <w:r w:rsidRPr="000B03FF">
              <w:t>Forslag til beslutning</w:t>
            </w:r>
          </w:p>
        </w:tc>
        <w:tc>
          <w:tcPr>
            <w:tcW w:w="4876" w:type="dxa"/>
            <w:hideMark/>
          </w:tcPr>
          <w:p w:rsidR="0031616B" w:rsidRPr="000B03FF" w:rsidRDefault="00A64EC2">
            <w:pPr>
              <w:pStyle w:val="ColumnHeading"/>
              <w:keepNext/>
            </w:pPr>
            <w:r w:rsidRPr="000B03FF">
              <w:t>Ændringsforslag</w:t>
            </w:r>
          </w:p>
        </w:tc>
      </w:tr>
      <w:tr w:rsidR="00B30CD4" w:rsidRPr="000B03FF" w:rsidTr="0031616B">
        <w:trPr>
          <w:jc w:val="center"/>
        </w:trPr>
        <w:tc>
          <w:tcPr>
            <w:tcW w:w="4876" w:type="dxa"/>
          </w:tcPr>
          <w:p w:rsidR="0031616B" w:rsidRPr="000B03FF" w:rsidRDefault="0031616B">
            <w:pPr>
              <w:pStyle w:val="Normal6"/>
            </w:pPr>
          </w:p>
        </w:tc>
        <w:tc>
          <w:tcPr>
            <w:tcW w:w="4876" w:type="dxa"/>
            <w:hideMark/>
          </w:tcPr>
          <w:p w:rsidR="0031616B" w:rsidRPr="000B03FF" w:rsidRDefault="00A64EC2" w:rsidP="008F0ED2">
            <w:pPr>
              <w:pStyle w:val="Normal6"/>
              <w:rPr>
                <w:szCs w:val="24"/>
              </w:rPr>
            </w:pPr>
            <w:r w:rsidRPr="000B03FF">
              <w:rPr>
                <w:b/>
                <w:i/>
              </w:rPr>
              <w:t>2c.</w:t>
            </w:r>
            <w:r w:rsidRPr="000B03FF">
              <w:rPr>
                <w:b/>
                <w:i/>
              </w:rPr>
              <w:tab/>
              <w:t xml:space="preserve">fremhæver medlemsstaternes forskellige bestræbelser på at indføre lovgivningsmæssige og ikkelovgivningsmæssige reformer og investeringsprogrammer for at øge den sociale boligmasse og </w:t>
            </w:r>
            <w:r w:rsidRPr="000B03FF">
              <w:rPr>
                <w:b/>
                <w:i/>
              </w:rPr>
              <w:t>støtte adgang til økonomisk overkommelige boliger, f.eks. nye økonomisk overkommelige boliger og subsidierede låneprogrammer, programmer for renovering af sociale boliger for de mest sårbare grupper og statslig støtte til kommuner til nye boligprojekter og</w:t>
            </w:r>
            <w:r w:rsidRPr="000B03FF">
              <w:rPr>
                <w:b/>
                <w:i/>
              </w:rPr>
              <w:t xml:space="preserve"> renoveringer; opfordrer medlemsstaterne til at prioritere at sikre adgang til anstændige og økonomisk overkommelige sociale boliger eller boligstøtte af høj kvalitet for dem, der har behov for det, i overensstemmelse med princip 19 i den europæiske søjle </w:t>
            </w:r>
            <w:r w:rsidRPr="000B03FF">
              <w:rPr>
                <w:b/>
                <w:i/>
              </w:rPr>
              <w:t>for sociale rettigheder; understreger vigtigheden af at sikre sårbare menneskers ret til passende bistand og beskyttelse mod tvangsudsættelse samt passende husly og tjenester til hjemløse for at fremme deres sociale inklusion;</w:t>
            </w:r>
          </w:p>
        </w:tc>
      </w:tr>
    </w:tbl>
    <w:p w:rsidR="0031616B" w:rsidRPr="000B03FF" w:rsidRDefault="00A64EC2" w:rsidP="0031616B">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33</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3</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hideMark/>
          </w:tcPr>
          <w:p w:rsidR="00D1163C" w:rsidRPr="000B03FF" w:rsidRDefault="00A64EC2">
            <w:pPr>
              <w:pStyle w:val="Normal6"/>
            </w:pPr>
            <w:r w:rsidRPr="000B03FF">
              <w:t>3.</w:t>
            </w:r>
            <w:r w:rsidRPr="000B03FF">
              <w:tab/>
              <w:t xml:space="preserve">noterer sig Kommissionens prognose i 2024 vedrørende potentialet for NGEU's indvirkning på EU's reale </w:t>
            </w:r>
            <w:r w:rsidRPr="000B03FF">
              <w:t xml:space="preserve">bruttonationalprodukt (BNP) frem til udgangen af 2026, som er betydeligt lavere end dens simulering i 2020 (1,4 % sammenlignet med 2,3 %), og noterer sig vurderingen af, at NGEU kan føre til en betragtelig og kortvarig stigning i beskæftigelsen i EU på op </w:t>
            </w:r>
            <w:r w:rsidRPr="000B03FF">
              <w:t>til 0,8 %; bemærker med tilfredshed, at de langsigtede fordele ved genopretnings- og resiliensfaciliteten for BNP kan være tre til seks gange større end det udbetalte NGEU-budget afhængigt af produktivitetseffekterne af investeringer under genopretnings- o</w:t>
            </w:r>
            <w:r w:rsidRPr="000B03FF">
              <w:t xml:space="preserve">g resiliensfaciliteten; </w:t>
            </w:r>
            <w:r w:rsidRPr="000B03FF">
              <w:rPr>
                <w:b/>
                <w:i/>
              </w:rPr>
              <w:t>fremhæver</w:t>
            </w:r>
            <w:r w:rsidRPr="000B03FF">
              <w:t xml:space="preserve"> imidlertid, hvor vanskeligt det er at sætte tal på den præcise sociale og økonomiske indvirkning af genopretnings- og resiliensfaciliteten, </w:t>
            </w:r>
            <w:r w:rsidRPr="000B03FF">
              <w:rPr>
                <w:b/>
                <w:i/>
              </w:rPr>
              <w:t>da virkningen af reformer først bliver tydelig efter et stykke tid</w:t>
            </w:r>
            <w:r w:rsidRPr="000B03FF">
              <w:t>; noterer sig Ko</w:t>
            </w:r>
            <w:r w:rsidRPr="000B03FF">
              <w:t>mmissionens vurdering, at ca. halvdelen af den forventede stigning i de offentlige investeringer mellem 2019 og 2025 vedrører investeringer, der finansieres over EU-budgettet, navnlig gennem genopretnings- og resiliensfaciliteten;</w:t>
            </w:r>
          </w:p>
        </w:tc>
        <w:tc>
          <w:tcPr>
            <w:tcW w:w="4876" w:type="dxa"/>
            <w:hideMark/>
          </w:tcPr>
          <w:p w:rsidR="00D1163C" w:rsidRPr="000B03FF" w:rsidRDefault="00A64EC2" w:rsidP="000D3C3D">
            <w:pPr>
              <w:pStyle w:val="Normal6"/>
              <w:rPr>
                <w:szCs w:val="24"/>
              </w:rPr>
            </w:pPr>
            <w:r w:rsidRPr="000B03FF">
              <w:t>3.</w:t>
            </w:r>
            <w:r w:rsidRPr="000B03FF">
              <w:tab/>
              <w:t>noterer sig Kommission</w:t>
            </w:r>
            <w:r w:rsidRPr="000B03FF">
              <w:t>ens prognose i 2024 vedrørende potentialet for NGEU's indvirkning på EU's reale bruttonationalprodukt (BNP) frem til udgangen af 2026, som er betydeligt lavere end dens simulering i 2020 (1,4 % sammenlignet med 2,3 %), og noterer sig vurderingen af, at NGE</w:t>
            </w:r>
            <w:r w:rsidRPr="000B03FF">
              <w:t>U kan føre til en betragtelig og kortvarig stigning i beskæftigelsen i EU på op til 0,8 %; bemærker med tilfredshed, at de langsigtede fordele ved genopretnings- og resiliensfaciliteten for BNP kan være tre til seks gange større end det udbetalte NGEU-budg</w:t>
            </w:r>
            <w:r w:rsidRPr="000B03FF">
              <w:t xml:space="preserve">et afhængigt af produktivitetseffekterne af investeringer under genopretnings- og resiliensfaciliteten; </w:t>
            </w:r>
            <w:r w:rsidRPr="000B03FF">
              <w:rPr>
                <w:b/>
                <w:i/>
              </w:rPr>
              <w:t>understreger</w:t>
            </w:r>
            <w:r w:rsidRPr="000B03FF">
              <w:t xml:space="preserve"> imidlertid, hvor vanskeligt det er at sætte tal på den præcise sociale og økonomiske indvirkning af genopretnings- og resiliensfaciliteten,</w:t>
            </w:r>
            <w:r w:rsidRPr="000B03FF">
              <w:t xml:space="preserve"> </w:t>
            </w:r>
            <w:r w:rsidRPr="000B03FF">
              <w:rPr>
                <w:b/>
                <w:i/>
              </w:rPr>
              <w:t>eftersom det tager tid, før virkningerne af reformer viser sig, og understreger, at investeringer ikke kun bør evalueres på grundlag af økonomisk vækst, men også på grundlag af deres bidrag til at gennemføre den europæiske søjle for sociale rettigheder, m</w:t>
            </w:r>
            <w:r w:rsidRPr="000B03FF">
              <w:rPr>
                <w:b/>
                <w:i/>
              </w:rPr>
              <w:t>indske uligheder, forbedre arbejdsmarkedsforholdene og jobskabelse af høj kvalitet og sikre en retfærdig omstilling</w:t>
            </w:r>
            <w:r w:rsidRPr="000B03FF">
              <w:t>; noterer sig Kommissionens vurdering, at ca. halvdelen af den forventede stigning i de offentlige investeringer mellem 2019 og 2025 vedrører</w:t>
            </w:r>
            <w:r w:rsidRPr="000B03FF">
              <w:t xml:space="preserve"> investeringer, der finansieres over EU-budgettet, navnlig gennem genopretnings- og resiliensfaciliteten;</w:t>
            </w:r>
          </w:p>
        </w:tc>
      </w:tr>
    </w:tbl>
    <w:p w:rsidR="00D1163C" w:rsidRPr="000B03FF" w:rsidRDefault="00A64EC2" w:rsidP="00D1163C">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34</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3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 xml:space="preserve">Forslag til </w:t>
            </w:r>
            <w:r w:rsidRPr="000B03FF">
              <w:t>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E6527C">
            <w:pPr>
              <w:pStyle w:val="Normal6"/>
              <w:rPr>
                <w:szCs w:val="24"/>
              </w:rPr>
            </w:pPr>
            <w:r w:rsidRPr="000B03FF">
              <w:rPr>
                <w:b/>
                <w:i/>
              </w:rPr>
              <w:t>3a.</w:t>
            </w:r>
            <w:r w:rsidRPr="000B03FF">
              <w:rPr>
                <w:b/>
                <w:i/>
              </w:rPr>
              <w:tab/>
              <w:t>fremhæver, at mangel på arbejdskraft og færdigheder er alvorlige flaskehalse for EU's vækst, konkurrenceevne og grønne og digitale omstilling og påvirker de forskellige sektorer og medlemsstaterne i forskellig grad med kons</w:t>
            </w:r>
            <w:r w:rsidRPr="000B03FF">
              <w:rPr>
                <w:b/>
                <w:i/>
              </w:rPr>
              <w:t>ekvenser for EU's overordnede modstandsdygtighed, og at deltagelsen i voksenuddannelse – på trods af at den er vigtig – fortsat er begrænset i medlemsstaterne; understreger, at foranstaltninger under genopretnings- og resiliensfaciliteten kan fremme invest</w:t>
            </w:r>
            <w:r w:rsidRPr="000B03FF">
              <w:rPr>
                <w:b/>
                <w:i/>
              </w:rPr>
              <w:t>eringer i arbejdstagernes færdigheder og uddannelse gennem hele deres livscyklus med henblik på at opnå uddannelsessystemer, der reagerer bedre på skiftende efterspørgsel efter færdigheder og giver bedre resultater på arbejdsmarkedet med hensyn til både an</w:t>
            </w:r>
            <w:r w:rsidRPr="000B03FF">
              <w:rPr>
                <w:b/>
                <w:i/>
              </w:rPr>
              <w:t>tallet og kvaliteten af job; opfordrer medlemsstaterne til yderligere at støtte foranstaltninger til at øge deltagelsen i voksenuddannelse med særligt fokus på lavtuddannede, da mange lande er i færd med at udvikle individuelle læringskonti og mikroeksamen</w:t>
            </w:r>
            <w:r w:rsidRPr="000B03FF">
              <w:rPr>
                <w:b/>
                <w:i/>
              </w:rPr>
              <w:t>sbeviser, og mener, at yderligere analyse af foranstaltningerne under genopretnings- og resiliensfaciliteten på dette område kunne være nyttig med henblik på i væsentlig grad at evaluere deres indvirkning; minder om, at arbejdskraftens frie bevægelighed er</w:t>
            </w:r>
            <w:r w:rsidRPr="000B03FF">
              <w:rPr>
                <w:b/>
                <w:i/>
              </w:rPr>
              <w:t xml:space="preserve"> en grundlæggende frihedsrettighed, og at arbejdskraftens bevægelighed inden for EU kan spille en væsentlig rolle med hensyn til at afhjælpe manglen på arbejdskraft og færdigheder; opfordrer medlemsstaterne til at anvende Cedefops prognose for færdigheder </w:t>
            </w:r>
            <w:r w:rsidRPr="000B03FF">
              <w:rPr>
                <w:b/>
                <w:i/>
              </w:rPr>
              <w:t xml:space="preserve">og dets fremskrivninger af fremtidige beskæftigelsestendenser inden for sektorer, erhverv og kvalifikationer i forbindelse med udformningen og gennemførelsen af foranstaltningerne i de nationale genopretnings- og resiliensplaner til afhjælpning af manglen </w:t>
            </w:r>
            <w:r w:rsidRPr="000B03FF">
              <w:rPr>
                <w:b/>
                <w:i/>
              </w:rPr>
              <w:t>på arbejdskraft og færdigheder;</w:t>
            </w:r>
          </w:p>
        </w:tc>
      </w:tr>
    </w:tbl>
    <w:p w:rsidR="00D1163C" w:rsidRPr="000B03FF" w:rsidRDefault="00A64EC2" w:rsidP="00D1163C">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35</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3 b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E6527C">
            <w:pPr>
              <w:pStyle w:val="Normal6"/>
              <w:rPr>
                <w:szCs w:val="24"/>
              </w:rPr>
            </w:pPr>
            <w:r w:rsidRPr="000B03FF">
              <w:rPr>
                <w:b/>
                <w:i/>
              </w:rPr>
              <w:t>3b.</w:t>
            </w:r>
            <w:r w:rsidRPr="000B03FF">
              <w:rPr>
                <w:b/>
                <w:i/>
              </w:rPr>
              <w:tab/>
              <w:t xml:space="preserve">bemærker, at genopretnings- og </w:t>
            </w:r>
            <w:r w:rsidRPr="000B03FF">
              <w:rPr>
                <w:b/>
                <w:i/>
              </w:rPr>
              <w:t>resiliensfaciliteten blandt andet bidrager til job, voksenuddannelse og færdigheder, modernisering af arbejdsmarkedsinstitutioner og almen, erhvervsrettet og videregående uddannelse; understreger, at disse foranstaltninger har til formål at tackle nogle af</w:t>
            </w:r>
            <w:r w:rsidRPr="000B03FF">
              <w:rPr>
                <w:b/>
                <w:i/>
              </w:rPr>
              <w:t xml:space="preserve"> udfordringerne med hensyn til kvaliteten, ligheden og arbejdsmarkedsrelevansen af uddannelsessystemerne i hele EU, herunder med henblik på at afhjælpe mangel på kvalificeret arbejdskraft; opfordrer medlemsstaterne til at fortsætte med at støtte moderniser</w:t>
            </w:r>
            <w:r w:rsidRPr="000B03FF">
              <w:rPr>
                <w:b/>
                <w:i/>
              </w:rPr>
              <w:t>ingen af videregående uddannelser af høj kvalitet gennem forvaltningsreformer og foranstaltninger til at fremme internationalisering og skabe et dynamisk, resultatorienteret og effektivt forsknings- og innovationsmiljø;</w:t>
            </w:r>
          </w:p>
        </w:tc>
      </w:tr>
    </w:tbl>
    <w:p w:rsidR="00D1163C" w:rsidRPr="000B03FF" w:rsidRDefault="00A64EC2" w:rsidP="00D1163C">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w:t>
      </w:r>
      <w:r w:rsidRPr="000B03FF">
        <w:rPr>
          <w:rStyle w:val="HideTWBExt"/>
          <w:b w:val="0"/>
        </w:rPr>
        <w:t>umAm&gt;</w:t>
      </w:r>
      <w:r w:rsidRPr="000B03FF">
        <w:t>36</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4</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4.</w:t>
            </w:r>
            <w:r w:rsidRPr="000B03FF">
              <w:tab/>
            </w:r>
            <w:r w:rsidRPr="000B03FF">
              <w:t xml:space="preserve">bemærker, at genopretnings- og resiliensfaciliteten har skabt incitamenter til at gennemføre visse reformer, som indgår i de landespecifikke henstillinger, der er blevet fremsat i forbindelse med det europæiske semester, </w:t>
            </w:r>
            <w:r w:rsidRPr="000B03FF">
              <w:rPr>
                <w:b/>
                <w:i/>
              </w:rPr>
              <w:t>og</w:t>
            </w:r>
            <w:r w:rsidRPr="000B03FF">
              <w:t xml:space="preserve"> at resultattavlen for genopretni</w:t>
            </w:r>
            <w:r w:rsidRPr="000B03FF">
              <w:t>ng og resiliens bruges til at overvåge fremskridt hen imod milepæl og mål samt overholdelsen af horisontale principper, navnlig de seks søjler, dvs. den grønne omstilling, den digitale omstilling, intelligent, bæredygtig og inklusiv vækst</w:t>
            </w:r>
            <w:r w:rsidRPr="000B03FF">
              <w:rPr>
                <w:b/>
                <w:i/>
              </w:rPr>
              <w:t>,</w:t>
            </w:r>
            <w:r w:rsidRPr="000B03FF">
              <w:t xml:space="preserve"> social og territ</w:t>
            </w:r>
            <w:r w:rsidRPr="000B03FF">
              <w:t>orial samhørighed, sundhed, økonomisk, social og institutionel modstandsdygtighed samt politikker for den næste generation, børn og unge, herunder uddannelse;</w:t>
            </w:r>
          </w:p>
        </w:tc>
        <w:tc>
          <w:tcPr>
            <w:tcW w:w="4876" w:type="dxa"/>
            <w:hideMark/>
          </w:tcPr>
          <w:p w:rsidR="00EA4087" w:rsidRPr="000B03FF" w:rsidRDefault="00A64EC2" w:rsidP="00D1163C">
            <w:pPr>
              <w:pStyle w:val="Normal6"/>
              <w:rPr>
                <w:szCs w:val="24"/>
              </w:rPr>
            </w:pPr>
            <w:r w:rsidRPr="000B03FF">
              <w:t>4.</w:t>
            </w:r>
            <w:r w:rsidRPr="000B03FF">
              <w:tab/>
              <w:t xml:space="preserve">bemærker, at genopretnings- og resiliensfaciliteten </w:t>
            </w:r>
            <w:r w:rsidRPr="000B03FF">
              <w:rPr>
                <w:b/>
                <w:i/>
              </w:rPr>
              <w:t>kræver, at der i de nationale genopretning</w:t>
            </w:r>
            <w:r w:rsidRPr="000B03FF">
              <w:rPr>
                <w:b/>
                <w:i/>
              </w:rPr>
              <w:t>s- og resiliensplaner tages fat på alle eller en betydelig del af de udfordringer, der er udpeget i de relevante landespecifikke henstillinger, som en forudsætning for en positiv vurdering; anerkender, at genopretnings- og resiliensfaciliteten</w:t>
            </w:r>
            <w:r w:rsidRPr="000B03FF">
              <w:t xml:space="preserve"> har skabt in</w:t>
            </w:r>
            <w:r w:rsidRPr="000B03FF">
              <w:t xml:space="preserve">citamenter til at gennemføre visse reformer, som indgår i de landespecifikke henstillinger, der er blevet fremsat i forbindelse med det europæiske semester, </w:t>
            </w:r>
            <w:r w:rsidRPr="000B03FF">
              <w:rPr>
                <w:b/>
                <w:i/>
              </w:rPr>
              <w:t>men at der ifølge Revisionsretten fortsat er mangler, idet der ikke er medtaget visse elementer fra</w:t>
            </w:r>
            <w:r w:rsidRPr="000B03FF">
              <w:rPr>
                <w:b/>
                <w:i/>
              </w:rPr>
              <w:t xml:space="preserve"> de landespecifikke henstillinger; minder om,</w:t>
            </w:r>
            <w:r w:rsidRPr="000B03FF">
              <w:t xml:space="preserve"> at resultattavlen for genopretning og resiliens bruges til at overvåge fremskridt hen imod milepæl og mål samt overholdelsen af horisontale principper, navnlig de seks søjler, dvs. den grønne omstilling, den di</w:t>
            </w:r>
            <w:r w:rsidRPr="000B03FF">
              <w:t xml:space="preserve">gitale omstilling, intelligent, bæredygtig og inklusiv vækst </w:t>
            </w:r>
            <w:r w:rsidRPr="000B03FF">
              <w:rPr>
                <w:b/>
                <w:i/>
              </w:rPr>
              <w:t>– herunder økonomisk samhørighed, beskæftigelse, produktivitet, konkurrenceevne, forskning, udvikling og innovation samt et velfungerende indre marked med stærke små og mellemstore virksomheder (</w:t>
            </w:r>
            <w:r w:rsidRPr="000B03FF">
              <w:rPr>
                <w:b/>
                <w:i/>
              </w:rPr>
              <w:t>SMV'er) –</w:t>
            </w:r>
            <w:r w:rsidRPr="000B03FF">
              <w:t xml:space="preserve"> social og territorial samhørighed, sundhed, økonomisk, social og institutionel modstandsdygtighed samt politikker for den næste generation, børn og unge, herunder uddannelse</w:t>
            </w:r>
            <w:r w:rsidRPr="000B03FF">
              <w:rPr>
                <w:b/>
                <w:i/>
              </w:rPr>
              <w:t xml:space="preserve"> og færdigheder</w:t>
            </w:r>
            <w:r w:rsidRPr="000B03FF">
              <w:t xml:space="preserve">; </w:t>
            </w:r>
            <w:r w:rsidRPr="000B03FF">
              <w:rPr>
                <w:b/>
                <w:i/>
              </w:rPr>
              <w:t xml:space="preserve">opfordrer Kommissionen til at fortsætte med at overvåge </w:t>
            </w:r>
            <w:r w:rsidRPr="000B03FF">
              <w:rPr>
                <w:b/>
                <w:i/>
              </w:rPr>
              <w:t xml:space="preserve">mangel på arbejdskraft og færdigheder og dermed forbundne udfordringer i EU inden for rammerne af det europæiske semester, herunder ved at gennemføre tematiske drøftelser, med henblik på at fremme udveksling af viden og god praksis mellem medlemsstaterne; </w:t>
            </w:r>
            <w:r w:rsidRPr="000B03FF">
              <w:rPr>
                <w:b/>
                <w:i/>
              </w:rPr>
              <w:t>understreger vigtigheden af investeringer, der har til formål at give personer med handicap større autonomi;</w:t>
            </w:r>
          </w:p>
        </w:tc>
      </w:tr>
    </w:tbl>
    <w:p w:rsidR="00EA4087" w:rsidRPr="000B03FF" w:rsidRDefault="00A64EC2" w:rsidP="00EA4087">
      <w:pPr>
        <w:rPr>
          <w:szCs w:val="24"/>
        </w:rPr>
      </w:pPr>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37</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4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 xml:space="preserve">Forslag til </w:t>
            </w:r>
            <w:r w:rsidRPr="000B03FF">
              <w:t>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CA36E3">
            <w:pPr>
              <w:pStyle w:val="Normal6"/>
              <w:rPr>
                <w:szCs w:val="24"/>
              </w:rPr>
            </w:pPr>
            <w:r w:rsidRPr="000B03FF">
              <w:rPr>
                <w:b/>
                <w:i/>
              </w:rPr>
              <w:t>4a.</w:t>
            </w:r>
            <w:r w:rsidRPr="000B03FF">
              <w:rPr>
                <w:b/>
                <w:i/>
              </w:rPr>
              <w:tab/>
              <w:t>minder om, at genopretnings- og resiliensfaciliteten bør støtte EU's demografiske omstilling i overensstemmelse med den europæiske søjle for sociale rettigheder ved at fremme beskæftigelse og lige muligheder, herunder job a</w:t>
            </w:r>
            <w:r w:rsidRPr="000B03FF">
              <w:rPr>
                <w:b/>
                <w:i/>
              </w:rPr>
              <w:t>f høj kvalitet for ældre arbejdstagere, investere i livslang læring, sikre en passende levestandard i alderdommen gennem bæredygtige og tilstrækkelige pensioner og sikre tilstrækkelig investering i langtidspleje for at understøtte en sund og bæredygtig ald</w:t>
            </w:r>
            <w:r w:rsidRPr="000B03FF">
              <w:rPr>
                <w:b/>
                <w:i/>
              </w:rPr>
              <w:t>ring; er bekymret over, at pensionskompensationsgraden ifølge den fælles beskæftigelsesrapport for 2025 forventes at falde, mens behovet for langtidspleje forventes at stige, hvilket vil forværre de nuværende strukturelle udfordringer med hensyn til tilgæn</w:t>
            </w:r>
            <w:r w:rsidRPr="000B03FF">
              <w:rPr>
                <w:b/>
                <w:i/>
              </w:rPr>
              <w:t>geligheden, prisoverkommeligheden og kvaliteten af langtidspleje; understreger, at sikring af tilstrækkeligheden og den finanspolitiske holdbarhed af pensioner i et aldrende samfund kræver en bred politiksammensætning; mener, at medlemsstaterne er nødt til</w:t>
            </w:r>
            <w:r w:rsidRPr="000B03FF">
              <w:rPr>
                <w:b/>
                <w:i/>
              </w:rPr>
              <w:t xml:space="preserve"> at gøre en større indsats med hensyn til pensionernes tilstrækkelighed og kvaliteten af langtidsplejetjenesterne, heriblandt gennem de investeringer og reformer, der indgår i deres genopretnings- og resiliensplaner i overensstemmelse med princip 15 og 18 </w:t>
            </w:r>
            <w:r w:rsidRPr="000B03FF">
              <w:rPr>
                <w:b/>
                <w:i/>
              </w:rPr>
              <w:t>i den europæiske søjle for sociale rettigheder; opfordrer medlemsstaterne til at gennemføre fremadrettede pensionsreformer, der ikke blot sikrer finanspolitisk holdbarhed, men også styrker pensionernes tilstrækkelighed og sikrer en anstændig levestandard f</w:t>
            </w:r>
            <w:r w:rsidRPr="000B03FF">
              <w:rPr>
                <w:b/>
                <w:i/>
              </w:rPr>
              <w:t>or alle;</w:t>
            </w:r>
          </w:p>
        </w:tc>
      </w:tr>
    </w:tbl>
    <w:p w:rsidR="00D1163C" w:rsidRPr="000B03FF" w:rsidRDefault="00A64EC2" w:rsidP="00D1163C">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38</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4 b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425462">
            <w:pPr>
              <w:pStyle w:val="Normal6"/>
              <w:rPr>
                <w:szCs w:val="24"/>
              </w:rPr>
            </w:pPr>
            <w:r w:rsidRPr="000B03FF">
              <w:rPr>
                <w:b/>
                <w:i/>
              </w:rPr>
              <w:t>4b.</w:t>
            </w:r>
            <w:r w:rsidRPr="000B03FF">
              <w:rPr>
                <w:b/>
                <w:i/>
              </w:rPr>
              <w:tab/>
              <w:t xml:space="preserve">bemærker, at reallønnen i EU og de fleste medlemsstater på trods af </w:t>
            </w:r>
            <w:r w:rsidRPr="000B03FF">
              <w:rPr>
                <w:b/>
                <w:i/>
              </w:rPr>
              <w:t>øgede investeringer i EU fortsat ligger under niveauet før pandemien, mens usikre ansættelsesforhold fortsat er et problem; fremhæver, at den mindre tilbagegang i sociale overførslers indvirkning (eksklusive pensioner) på fattigdomsbekæmpelse i 2023 unders</w:t>
            </w:r>
            <w:r w:rsidRPr="000B03FF">
              <w:rPr>
                <w:b/>
                <w:i/>
              </w:rPr>
              <w:t xml:space="preserve">treger, hvor vigtigt det er at gøre en endnu større indsats for at sikre tilstrækkelig indkomststøtte og </w:t>
            </w:r>
            <w:r w:rsidRPr="000B03FF">
              <w:rPr>
                <w:b/>
                <w:i/>
              </w:rPr>
              <w:noBreakHyphen/>
              <w:t>dækning i overensstemmelse med princip 14 i den europæiske søjle for sociale rettigheder; bemærker, at flere medlemsstater har ændret eller planlægger</w:t>
            </w:r>
            <w:r w:rsidRPr="000B03FF">
              <w:rPr>
                <w:b/>
                <w:i/>
              </w:rPr>
              <w:t xml:space="preserve"> at ændre deres rammer for mindsteløn som led i deres genopretnings- og resiliensplaner; understreger vigtigheden af reformer til at øge mindstelønsniveauet i samråd med arbejdsmarkedets parter og i overensstemmelse med direktivet om passende mindstelønnin</w:t>
            </w:r>
            <w:r w:rsidRPr="000B03FF">
              <w:rPr>
                <w:b/>
                <w:i/>
              </w:rPr>
              <w:t>ger og opfordrer indtrængende de medlemsstater, der endnu ikke har gjort det, til at træffe foranstaltninger på dette område; understreger behovet for ambitiøse investeringer og reformer for at skabe job af høj kvalitet, fremme arbejdsvilkår af høj kvalite</w:t>
            </w:r>
            <w:r w:rsidRPr="000B03FF">
              <w:rPr>
                <w:b/>
                <w:i/>
              </w:rPr>
              <w:t>t, bekæmpe fattigdom og segmentering af arbejdsmarkedet og styrke den sociale dialog og de kollektive overenskomstforhandlinger i overensstemmelse med den europæiske søjle for sociale rettigheder;</w:t>
            </w:r>
          </w:p>
        </w:tc>
      </w:tr>
    </w:tbl>
    <w:p w:rsidR="00D1163C" w:rsidRPr="000B03FF" w:rsidRDefault="00A64EC2" w:rsidP="00D1163C">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39</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w:t>
      </w:r>
      <w:r w:rsidRPr="000B03FF">
        <w:rPr>
          <w:rStyle w:val="HideTWBExt"/>
          <w:b w:val="0"/>
        </w:rPr>
        <w:t>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4 c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tcPr>
          <w:p w:rsidR="00D1163C" w:rsidRPr="000B03FF" w:rsidRDefault="00D1163C">
            <w:pPr>
              <w:pStyle w:val="Normal6"/>
            </w:pPr>
          </w:p>
        </w:tc>
        <w:tc>
          <w:tcPr>
            <w:tcW w:w="4876" w:type="dxa"/>
            <w:hideMark/>
          </w:tcPr>
          <w:p w:rsidR="00D1163C" w:rsidRPr="000B03FF" w:rsidRDefault="00A64EC2" w:rsidP="0026112C">
            <w:pPr>
              <w:pStyle w:val="Normal6"/>
              <w:rPr>
                <w:szCs w:val="24"/>
              </w:rPr>
            </w:pPr>
            <w:r w:rsidRPr="000B03FF">
              <w:rPr>
                <w:b/>
                <w:i/>
              </w:rPr>
              <w:t>4c.</w:t>
            </w:r>
            <w:r w:rsidRPr="000B03FF">
              <w:rPr>
                <w:b/>
                <w:i/>
              </w:rPr>
              <w:tab/>
              <w:t xml:space="preserve">noterer sig de fortsatte bestræbelser fra medlemsstaternes side på at forbedre adgangen til og kvaliteten af sociale tjenester, f.eks. </w:t>
            </w:r>
            <w:r w:rsidRPr="000B03FF">
              <w:rPr>
                <w:b/>
                <w:i/>
              </w:rPr>
              <w:t>udarbejdelsen af et nationalt kort over sociale tjenester for at afdække huller i udbuddet og fastlægge investeringsbehov, såvel som investeringer i nye sundhedsfaciliteter og telemedicin for at bringe tjenesterne tættere på patienterne, nationale sundheds</w:t>
            </w:r>
            <w:r w:rsidRPr="000B03FF">
              <w:rPr>
                <w:b/>
                <w:i/>
              </w:rPr>
              <w:t xml:space="preserve">strategier til at forbedre adgangen til sundhedsydelser i alle landene samt foranstaltninger til at afhjælpe mangel på sundhedspersonale og forbedre fastholdelsen af arbejdstagere gennem uddannelse og incitamenter; opfordrer medlemsstaterne til at gøre en </w:t>
            </w:r>
            <w:r w:rsidRPr="000B03FF">
              <w:rPr>
                <w:b/>
                <w:i/>
              </w:rPr>
              <w:t>indsats for at sikre universel adgang til grundlæggende tjenester af høj kvalitet såsom vandforsyning, sanitære forhold, transport, finansielle tjenester og digital kommunikation; fremhæver, at mental sundhed er et kerneelement i EU's socioøkonomiske genop</w:t>
            </w:r>
            <w:r w:rsidRPr="000B03FF">
              <w:rPr>
                <w:b/>
                <w:i/>
              </w:rPr>
              <w:t>retning og en arbejdssundhedsprioritet; er bekymret over, at nogle medlemsstater ikke har medtaget tilstrækkelige foranstaltninger i deres nationale genopretnings- og resiliensplaner til at sikre tilgængelig og økonomisk overkommelig mental sundhedspleje a</w:t>
            </w:r>
            <w:r w:rsidRPr="000B03FF">
              <w:rPr>
                <w:b/>
                <w:i/>
              </w:rPr>
              <w:t>f høj kvalitet, og opfordrer medlemsstaterne til at integrere særlige strategier for mental sundhed i fremtidige revisioner af de nationale genopretnings- og resiliensplaner;</w:t>
            </w:r>
          </w:p>
        </w:tc>
      </w:tr>
    </w:tbl>
    <w:p w:rsidR="00D1163C" w:rsidRPr="000B03FF" w:rsidRDefault="00A64EC2" w:rsidP="00D1163C">
      <w:r w:rsidRPr="000B03FF">
        <w:rPr>
          <w:rStyle w:val="HideTWBExt"/>
        </w:rPr>
        <w:t>&lt;/Amend&gt;</w:t>
      </w:r>
    </w:p>
    <w:p w:rsidR="0031616B" w:rsidRPr="000B03FF" w:rsidRDefault="00A64EC2" w:rsidP="0031616B">
      <w:pPr>
        <w:pStyle w:val="AmNumberTabs"/>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40</w:t>
      </w:r>
      <w:r w:rsidRPr="000B03FF">
        <w:rPr>
          <w:rStyle w:val="HideTWBExt"/>
          <w:b w:val="0"/>
        </w:rPr>
        <w:t>&lt;/NumAm&gt;</w:t>
      </w:r>
    </w:p>
    <w:p w:rsidR="0031616B" w:rsidRPr="000B03FF" w:rsidRDefault="00A64EC2" w:rsidP="0031616B">
      <w:pPr>
        <w:pStyle w:val="NormalBold12b"/>
      </w:pPr>
      <w:r w:rsidRPr="000B03FF">
        <w:rPr>
          <w:rStyle w:val="HideTWBExt"/>
          <w:b w:val="0"/>
        </w:rPr>
        <w:t>&lt;DocAmend&gt;</w:t>
      </w:r>
      <w:r w:rsidRPr="000B03FF">
        <w:t>Forslag til beslutn</w:t>
      </w:r>
      <w:r w:rsidRPr="000B03FF">
        <w:t>ing</w:t>
      </w:r>
      <w:r w:rsidRPr="000B03FF">
        <w:rPr>
          <w:rStyle w:val="HideTWBExt"/>
          <w:b w:val="0"/>
        </w:rPr>
        <w:t>&lt;/DocAmend&gt;</w:t>
      </w:r>
    </w:p>
    <w:p w:rsidR="0031616B" w:rsidRPr="000B03FF" w:rsidRDefault="00A64EC2" w:rsidP="0031616B">
      <w:pPr>
        <w:pStyle w:val="NormalBold"/>
      </w:pPr>
      <w:r w:rsidRPr="000B03FF">
        <w:rPr>
          <w:rStyle w:val="HideTWBExt"/>
          <w:b w:val="0"/>
        </w:rPr>
        <w:t>&lt;Article&gt;</w:t>
      </w:r>
      <w:r w:rsidRPr="000B03FF">
        <w:t>Punkt 4 d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31616B">
        <w:trPr>
          <w:jc w:val="center"/>
        </w:trPr>
        <w:tc>
          <w:tcPr>
            <w:tcW w:w="9752" w:type="dxa"/>
            <w:gridSpan w:val="2"/>
          </w:tcPr>
          <w:p w:rsidR="0031616B" w:rsidRPr="000B03FF" w:rsidRDefault="0031616B">
            <w:pPr>
              <w:keepNext/>
            </w:pPr>
          </w:p>
        </w:tc>
      </w:tr>
      <w:tr w:rsidR="00B30CD4" w:rsidRPr="000B03FF" w:rsidTr="0031616B">
        <w:trPr>
          <w:jc w:val="center"/>
        </w:trPr>
        <w:tc>
          <w:tcPr>
            <w:tcW w:w="4876" w:type="dxa"/>
            <w:hideMark/>
          </w:tcPr>
          <w:p w:rsidR="0031616B" w:rsidRPr="000B03FF" w:rsidRDefault="00A64EC2">
            <w:pPr>
              <w:pStyle w:val="ColumnHeading"/>
              <w:keepNext/>
            </w:pPr>
            <w:r w:rsidRPr="000B03FF">
              <w:t>Forslag til beslutning</w:t>
            </w:r>
          </w:p>
        </w:tc>
        <w:tc>
          <w:tcPr>
            <w:tcW w:w="4876" w:type="dxa"/>
            <w:hideMark/>
          </w:tcPr>
          <w:p w:rsidR="0031616B" w:rsidRPr="000B03FF" w:rsidRDefault="00A64EC2">
            <w:pPr>
              <w:pStyle w:val="ColumnHeading"/>
              <w:keepNext/>
            </w:pPr>
            <w:r w:rsidRPr="000B03FF">
              <w:t>Ændringsforslag</w:t>
            </w:r>
          </w:p>
        </w:tc>
      </w:tr>
      <w:tr w:rsidR="00B30CD4" w:rsidRPr="000B03FF" w:rsidTr="0031616B">
        <w:trPr>
          <w:jc w:val="center"/>
        </w:trPr>
        <w:tc>
          <w:tcPr>
            <w:tcW w:w="4876" w:type="dxa"/>
          </w:tcPr>
          <w:p w:rsidR="0031616B" w:rsidRPr="000B03FF" w:rsidRDefault="0031616B">
            <w:pPr>
              <w:pStyle w:val="Normal6"/>
            </w:pPr>
          </w:p>
        </w:tc>
        <w:tc>
          <w:tcPr>
            <w:tcW w:w="4876" w:type="dxa"/>
            <w:hideMark/>
          </w:tcPr>
          <w:p w:rsidR="0031616B" w:rsidRPr="000B03FF" w:rsidRDefault="00A64EC2" w:rsidP="00E6527C">
            <w:pPr>
              <w:pStyle w:val="Normal6"/>
              <w:rPr>
                <w:szCs w:val="24"/>
              </w:rPr>
            </w:pPr>
            <w:r w:rsidRPr="000B03FF">
              <w:rPr>
                <w:b/>
                <w:i/>
              </w:rPr>
              <w:t>4d.</w:t>
            </w:r>
            <w:r w:rsidRPr="000B03FF">
              <w:rPr>
                <w:b/>
                <w:i/>
              </w:rPr>
              <w:tab/>
              <w:t xml:space="preserve">glæder sig over, at genopretnings- og resiliensfaciliteten giver mulighed for at styrke offentlige arbejdsformidlinger og politikker for </w:t>
            </w:r>
            <w:r w:rsidRPr="000B03FF">
              <w:rPr>
                <w:b/>
                <w:i/>
              </w:rPr>
              <w:t>beskæftigelsesaktivering; opfordrer til yderligere drøftelser om, hvordan omkostningerne til nye tjenester samt relaterede omkostninger vil blive dækket, efter udløbet af genopretnings- og resiliensfaciliteten;</w:t>
            </w:r>
          </w:p>
        </w:tc>
      </w:tr>
    </w:tbl>
    <w:p w:rsidR="0031616B" w:rsidRPr="000B03FF" w:rsidRDefault="00A64EC2" w:rsidP="0031616B">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41</w:t>
      </w:r>
      <w:r w:rsidRPr="000B03FF">
        <w:rPr>
          <w:rStyle w:val="HideTWBExt"/>
          <w:b w:val="0"/>
        </w:rPr>
        <w:t>&lt;/</w:t>
      </w:r>
      <w:r w:rsidRPr="000B03FF">
        <w:rPr>
          <w:rStyle w:val="HideTWBExt"/>
          <w:b w:val="0"/>
        </w:rPr>
        <w: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6</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hideMark/>
          </w:tcPr>
          <w:p w:rsidR="00D1163C" w:rsidRPr="000B03FF" w:rsidRDefault="00A64EC2">
            <w:pPr>
              <w:pStyle w:val="Normal6"/>
            </w:pPr>
            <w:r w:rsidRPr="000B03FF">
              <w:t>6.</w:t>
            </w:r>
            <w:r w:rsidRPr="000B03FF">
              <w:tab/>
              <w:t xml:space="preserve">glæder sig over, at genopretnings- og resiliensfaciliteten yder støtte til både reformer og investeringer i medlemsstaterne, men </w:t>
            </w:r>
            <w:r w:rsidRPr="000B03FF">
              <w:t>bemærker, at der stadig er meget, der skal gøres; er bekymret over, at den korte periode til den resterende gennemførelse af genopretnings- og resiliensfaciliteten ikke vil gøre det muligt at gennemføre adskillige planlagte vigtige reformer og store invest</w:t>
            </w:r>
            <w:r w:rsidRPr="000B03FF">
              <w:t>eringer;</w:t>
            </w:r>
          </w:p>
        </w:tc>
        <w:tc>
          <w:tcPr>
            <w:tcW w:w="4876" w:type="dxa"/>
            <w:hideMark/>
          </w:tcPr>
          <w:p w:rsidR="00D1163C" w:rsidRPr="000B03FF" w:rsidRDefault="00A64EC2">
            <w:pPr>
              <w:pStyle w:val="Normal6"/>
              <w:rPr>
                <w:szCs w:val="24"/>
              </w:rPr>
            </w:pPr>
            <w:r w:rsidRPr="000B03FF">
              <w:t>6.</w:t>
            </w:r>
            <w:r w:rsidRPr="000B03FF">
              <w:tab/>
              <w:t>glæder sig over, at genopretnings- og resiliensfaciliteten yder støtte til både reformer og investeringer i medlemsstaterne, men bemærker, at der stadig er meget, der skal gøres</w:t>
            </w:r>
            <w:r w:rsidRPr="000B03FF">
              <w:rPr>
                <w:b/>
                <w:i/>
              </w:rPr>
              <w:t>; understreger, at forsinkelser og problemer med absorptionskapacit</w:t>
            </w:r>
            <w:r w:rsidRPr="000B03FF">
              <w:rPr>
                <w:b/>
                <w:i/>
              </w:rPr>
              <w:t>eten fortsat udgør betydelige hindringer for, at genopretnings- og resiliensfacilitetens potentielle fordele kan udnyttes til fulde</w:t>
            </w:r>
            <w:r w:rsidRPr="000B03FF">
              <w:t xml:space="preserve">; er bekymret over, at den korte periode til den resterende gennemførelse af genopretnings- og resiliensfaciliteten ikke vil </w:t>
            </w:r>
            <w:r w:rsidRPr="000B03FF">
              <w:t>gøre det muligt at gennemføre adskillige planlagte vigtige reformer og store investeringer</w:t>
            </w:r>
            <w:r w:rsidRPr="000B03FF">
              <w:rPr>
                <w:b/>
                <w:i/>
              </w:rPr>
              <w:t>, hvilket understreger behovet for en mere fokuseret og fremskyndet indsats for at sikre, at genopretnings- og resiliensfacilitetens fulde potentiale bliver udnyttet,</w:t>
            </w:r>
            <w:r w:rsidRPr="000B03FF">
              <w:rPr>
                <w:b/>
                <w:i/>
              </w:rPr>
              <w:t xml:space="preserve"> navnlig på områder, som er afgørende for langsigtet stabilitet, vækst og social samhørighed</w:t>
            </w:r>
            <w:r w:rsidRPr="000B03FF">
              <w:t xml:space="preserve">; </w:t>
            </w:r>
            <w:r w:rsidRPr="000B03FF">
              <w:rPr>
                <w:b/>
                <w:i/>
              </w:rPr>
              <w:t>opfordrer medlemsstaterne til at sætte skub i gennemførelsen og i højere grad gøre brug af teknisk vejledning via Kommissionen og inden for rammen af instrumentet</w:t>
            </w:r>
            <w:r w:rsidRPr="000B03FF">
              <w:rPr>
                <w:b/>
                <w:i/>
              </w:rPr>
              <w:t xml:space="preserve"> for teknisk støtte;</w:t>
            </w:r>
          </w:p>
        </w:tc>
      </w:tr>
    </w:tbl>
    <w:p w:rsidR="00D1163C" w:rsidRPr="000B03FF" w:rsidRDefault="00A64EC2" w:rsidP="00D1163C">
      <w:r w:rsidRPr="000B03FF">
        <w:rPr>
          <w:rStyle w:val="HideTWBExt"/>
        </w:rPr>
        <w:t>&lt;/Amend&gt;</w:t>
      </w:r>
    </w:p>
    <w:p w:rsidR="00D1163C" w:rsidRPr="000B03FF" w:rsidRDefault="00A64EC2" w:rsidP="00D1163C">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42</w:t>
      </w:r>
      <w:r w:rsidRPr="000B03FF">
        <w:rPr>
          <w:rStyle w:val="HideTWBExt"/>
          <w:b w:val="0"/>
        </w:rPr>
        <w:t>&lt;/NumAm&gt;</w:t>
      </w:r>
    </w:p>
    <w:p w:rsidR="00D1163C" w:rsidRPr="000B03FF" w:rsidRDefault="00D1163C" w:rsidP="00D1163C"/>
    <w:p w:rsidR="00D1163C" w:rsidRPr="000B03FF" w:rsidRDefault="00A64EC2" w:rsidP="00D1163C">
      <w:pPr>
        <w:pStyle w:val="NormalBold"/>
        <w:keepNext/>
      </w:pPr>
      <w:r w:rsidRPr="000B03FF">
        <w:rPr>
          <w:rStyle w:val="HideTWBExt"/>
          <w:b w:val="0"/>
        </w:rPr>
        <w:t>&lt;DocAmend&gt;</w:t>
      </w:r>
      <w:r w:rsidRPr="000B03FF">
        <w:t>Forslag til beslutning</w:t>
      </w:r>
      <w:r w:rsidRPr="000B03FF">
        <w:rPr>
          <w:rStyle w:val="HideTWBExt"/>
          <w:b w:val="0"/>
        </w:rPr>
        <w:t>&lt;/DocAmend&gt;</w:t>
      </w:r>
    </w:p>
    <w:p w:rsidR="00D1163C" w:rsidRPr="000B03FF" w:rsidRDefault="00A64EC2" w:rsidP="00D1163C">
      <w:pPr>
        <w:pStyle w:val="NormalBold"/>
      </w:pPr>
      <w:r w:rsidRPr="000B03FF">
        <w:rPr>
          <w:rStyle w:val="HideTWBExt"/>
          <w:b w:val="0"/>
        </w:rPr>
        <w:t>&lt;Article&gt;</w:t>
      </w:r>
      <w:r w:rsidRPr="000B03FF">
        <w:t>Punkt 7</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D1163C">
        <w:trPr>
          <w:jc w:val="center"/>
        </w:trPr>
        <w:tc>
          <w:tcPr>
            <w:tcW w:w="9752" w:type="dxa"/>
            <w:gridSpan w:val="2"/>
          </w:tcPr>
          <w:p w:rsidR="00D1163C" w:rsidRPr="000B03FF" w:rsidRDefault="00D1163C">
            <w:pPr>
              <w:keepNext/>
            </w:pPr>
          </w:p>
        </w:tc>
      </w:tr>
      <w:tr w:rsidR="00B30CD4" w:rsidRPr="000B03FF" w:rsidTr="00D1163C">
        <w:trPr>
          <w:jc w:val="center"/>
        </w:trPr>
        <w:tc>
          <w:tcPr>
            <w:tcW w:w="4876" w:type="dxa"/>
            <w:hideMark/>
          </w:tcPr>
          <w:p w:rsidR="00D1163C" w:rsidRPr="000B03FF" w:rsidRDefault="00A64EC2">
            <w:pPr>
              <w:pStyle w:val="ColumnHeading"/>
              <w:keepNext/>
            </w:pPr>
            <w:r w:rsidRPr="000B03FF">
              <w:t>Forslag til beslutning</w:t>
            </w:r>
          </w:p>
        </w:tc>
        <w:tc>
          <w:tcPr>
            <w:tcW w:w="4876" w:type="dxa"/>
            <w:hideMark/>
          </w:tcPr>
          <w:p w:rsidR="00D1163C" w:rsidRPr="000B03FF" w:rsidRDefault="00A64EC2">
            <w:pPr>
              <w:pStyle w:val="ColumnHeading"/>
              <w:keepNext/>
            </w:pPr>
            <w:r w:rsidRPr="000B03FF">
              <w:t>Ændringsforslag</w:t>
            </w:r>
          </w:p>
        </w:tc>
      </w:tr>
      <w:tr w:rsidR="00B30CD4" w:rsidRPr="000B03FF" w:rsidTr="00D1163C">
        <w:trPr>
          <w:jc w:val="center"/>
        </w:trPr>
        <w:tc>
          <w:tcPr>
            <w:tcW w:w="4876" w:type="dxa"/>
            <w:hideMark/>
          </w:tcPr>
          <w:p w:rsidR="00D1163C" w:rsidRPr="000B03FF" w:rsidRDefault="00A64EC2">
            <w:pPr>
              <w:pStyle w:val="Normal6"/>
            </w:pPr>
            <w:r w:rsidRPr="000B03FF">
              <w:t>7.</w:t>
            </w:r>
            <w:r w:rsidRPr="000B03FF">
              <w:tab/>
              <w:t xml:space="preserve">fremhæver, at prioriteringen af gennemførelsen af genopretnings- </w:t>
            </w:r>
            <w:r w:rsidRPr="000B03FF">
              <w:t xml:space="preserve">og resiliensfaciliteten, manglen på administrativ kapacitet i mange medlemsstater samt udfordringer forbundet med de globale forsyningskæder har medvirket til en forsinkelse i gennemførelsen af samhørighedspolitikken; minder om </w:t>
            </w:r>
            <w:r w:rsidRPr="000B03FF">
              <w:rPr>
                <w:b/>
                <w:i/>
              </w:rPr>
              <w:t>behovet for at respektere</w:t>
            </w:r>
            <w:r w:rsidRPr="000B03FF">
              <w:t xml:space="preserve"> ad</w:t>
            </w:r>
            <w:r w:rsidRPr="000B03FF">
              <w:t xml:space="preserve">ditionalitetsprincippet </w:t>
            </w:r>
            <w:r w:rsidRPr="000B03FF">
              <w:rPr>
                <w:b/>
                <w:i/>
              </w:rPr>
              <w:t>og opfordrer kraftigt til ikke at fortrænge eller erstatte</w:t>
            </w:r>
            <w:r w:rsidRPr="000B03FF">
              <w:t xml:space="preserve"> samhørighedspolitikken med genopretnings- og resiliensfaciliteten eller andre midlertidige instrumenter;</w:t>
            </w:r>
          </w:p>
        </w:tc>
        <w:tc>
          <w:tcPr>
            <w:tcW w:w="4876" w:type="dxa"/>
            <w:hideMark/>
          </w:tcPr>
          <w:p w:rsidR="00D1163C" w:rsidRPr="000B03FF" w:rsidRDefault="00A64EC2" w:rsidP="00E6527C">
            <w:pPr>
              <w:pStyle w:val="Normal6"/>
              <w:rPr>
                <w:szCs w:val="24"/>
              </w:rPr>
            </w:pPr>
            <w:r w:rsidRPr="000B03FF">
              <w:t>7.</w:t>
            </w:r>
            <w:r w:rsidRPr="000B03FF">
              <w:tab/>
              <w:t xml:space="preserve">fremhæver, at prioriteringen af gennemførelsen af genopretnings- </w:t>
            </w:r>
            <w:r w:rsidRPr="000B03FF">
              <w:t>og resiliensfaciliteten</w:t>
            </w:r>
            <w:r w:rsidRPr="000B03FF">
              <w:rPr>
                <w:b/>
                <w:i/>
              </w:rPr>
              <w:t>, de betydelige yderligere REACT-EU-midler, der stilles til rådighed for samme periode</w:t>
            </w:r>
            <w:r w:rsidRPr="000B03FF">
              <w:t xml:space="preserve">, manglen på administrativ kapacitet i mange medlemsstater samt udfordringer forbundet med de globale forsyningskæder </w:t>
            </w:r>
            <w:r w:rsidRPr="000B03FF">
              <w:rPr>
                <w:b/>
                <w:i/>
              </w:rPr>
              <w:t>såvel som slutdatoen den 31. </w:t>
            </w:r>
            <w:r w:rsidRPr="000B03FF">
              <w:rPr>
                <w:b/>
                <w:i/>
              </w:rPr>
              <w:t>december 2023 for samhørighedsmidlernes støtteberettigelsesperiode 2014-2020</w:t>
            </w:r>
            <w:r w:rsidRPr="000B03FF">
              <w:t xml:space="preserve"> har medvirket til en forsinkelse i gennemførelsen af samhørighedspolitikken; minder om</w:t>
            </w:r>
            <w:r w:rsidRPr="000B03FF">
              <w:rPr>
                <w:b/>
                <w:i/>
              </w:rPr>
              <w:t>, at det i overensstemmelse med</w:t>
            </w:r>
            <w:r w:rsidRPr="000B03FF">
              <w:t xml:space="preserve"> additionalitetsprincippet </w:t>
            </w:r>
            <w:r w:rsidRPr="000B03FF">
              <w:rPr>
                <w:b/>
                <w:i/>
              </w:rPr>
              <w:t>bør undgås, at</w:t>
            </w:r>
            <w:r w:rsidRPr="000B03FF">
              <w:t xml:space="preserve"> samhørighedspolitikk</w:t>
            </w:r>
            <w:r w:rsidRPr="000B03FF">
              <w:t xml:space="preserve">en </w:t>
            </w:r>
            <w:r w:rsidRPr="000B03FF">
              <w:rPr>
                <w:b/>
                <w:i/>
              </w:rPr>
              <w:t>fortrænges af eller erstattes</w:t>
            </w:r>
            <w:r w:rsidRPr="000B03FF">
              <w:t xml:space="preserve"> med genopretnings- og resiliensfaciliteten eller andre midlertidige instrumenter; </w:t>
            </w:r>
            <w:r w:rsidRPr="000B03FF">
              <w:rPr>
                <w:b/>
                <w:i/>
              </w:rPr>
              <w:t>understreger i denne forbindelse betydningen af, at Kommissionen fremlægger en analyse af, hvor mange reelle nye sociale investeringer der er</w:t>
            </w:r>
            <w:r w:rsidRPr="000B03FF">
              <w:rPr>
                <w:b/>
                <w:i/>
              </w:rPr>
              <w:t xml:space="preserve"> blevet skabt under de nationale genopretnings- og resiliensplaner;</w:t>
            </w:r>
          </w:p>
        </w:tc>
      </w:tr>
    </w:tbl>
    <w:p w:rsidR="00D1163C" w:rsidRPr="000B03FF" w:rsidRDefault="00A64EC2" w:rsidP="00D1163C">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43</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7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tcPr>
          <w:p w:rsidR="00EA4087" w:rsidRPr="000B03FF" w:rsidRDefault="00EA4087">
            <w:pPr>
              <w:pStyle w:val="Normal6"/>
            </w:pPr>
          </w:p>
        </w:tc>
        <w:tc>
          <w:tcPr>
            <w:tcW w:w="4876" w:type="dxa"/>
            <w:hideMark/>
          </w:tcPr>
          <w:p w:rsidR="00EA4087" w:rsidRPr="000B03FF" w:rsidRDefault="00A64EC2" w:rsidP="00D923EE">
            <w:pPr>
              <w:pStyle w:val="Normal6"/>
              <w:rPr>
                <w:szCs w:val="24"/>
              </w:rPr>
            </w:pPr>
            <w:r w:rsidRPr="000B03FF">
              <w:rPr>
                <w:b/>
                <w:i/>
              </w:rPr>
              <w:t>7a.</w:t>
            </w:r>
            <w:r w:rsidRPr="000B03FF">
              <w:rPr>
                <w:b/>
                <w:i/>
              </w:rPr>
              <w:tab/>
              <w:t xml:space="preserve">minder i </w:t>
            </w:r>
            <w:r w:rsidRPr="000B03FF">
              <w:rPr>
                <w:b/>
                <w:i/>
              </w:rPr>
              <w:t>denne forbindelse om vigtigheden af Den Europæiske Socialfond Plus, som har til formål at opnå høj beskæftigelse, retfærdig social beskyttelse, en kvalificeret og modstandsdygtig arbejdsstyrke og inklusive/sammenhængende samfund som afgørende elementer for</w:t>
            </w:r>
            <w:r w:rsidRPr="000B03FF">
              <w:rPr>
                <w:b/>
                <w:i/>
              </w:rPr>
              <w:t xml:space="preserve"> at udrydde fattigdom, og understreger behovet for synergier med udgifterne under genopretnings- og resiliensfaciliteten under de relevante søjler; understreger endvidere, at Kommissionen bør fastlægge metoder til at hjælpe medlemsstaterne med at sætte sku</w:t>
            </w:r>
            <w:r w:rsidRPr="000B03FF">
              <w:rPr>
                <w:b/>
                <w:i/>
              </w:rPr>
              <w:t>b i anvendelsen af EU-midler og forbedre absorptionen, samtidig med at den forsvarlige økonomiske forvaltning respekteres;</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44</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10</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w:t>
            </w:r>
            <w:r w:rsidRPr="000B03FF">
              <w:t xml:space="preserve">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10.</w:t>
            </w:r>
            <w:r w:rsidRPr="000B03FF">
              <w:tab/>
              <w:t xml:space="preserve">glæder sig over muligheden for at bruge midler fra genopretnings- og resiliensfaciliteten til at bidrage til målene for platformen for strategiske teknologier for Europa (STEP) ved at støtte investeringer i kritisk </w:t>
            </w:r>
            <w:r w:rsidRPr="000B03FF">
              <w:t>teknologi i EU for at styrke dets industrielle konkurrenceevne;</w:t>
            </w:r>
          </w:p>
        </w:tc>
        <w:tc>
          <w:tcPr>
            <w:tcW w:w="4876" w:type="dxa"/>
            <w:hideMark/>
          </w:tcPr>
          <w:p w:rsidR="00EA4087" w:rsidRPr="000B03FF" w:rsidRDefault="00A64EC2" w:rsidP="004C7CEA">
            <w:pPr>
              <w:pStyle w:val="Normal6"/>
              <w:rPr>
                <w:szCs w:val="24"/>
              </w:rPr>
            </w:pPr>
            <w:r w:rsidRPr="000B03FF">
              <w:t>10.</w:t>
            </w:r>
            <w:r w:rsidRPr="000B03FF">
              <w:tab/>
            </w:r>
            <w:r w:rsidRPr="000B03FF">
              <w:t xml:space="preserve">glæder sig over muligheden for at bruge midler fra genopretnings- og resiliensfaciliteten til at bidrage til målene for platformen for strategiske teknologier for Europa (STEP) ved at støtte investeringer i kritisk teknologi i EU </w:t>
            </w:r>
            <w:r w:rsidRPr="000B03FF">
              <w:rPr>
                <w:b/>
                <w:i/>
              </w:rPr>
              <w:t>og afhjælpe mangel på arbe</w:t>
            </w:r>
            <w:r w:rsidRPr="000B03FF">
              <w:rPr>
                <w:b/>
                <w:i/>
              </w:rPr>
              <w:t>jdskraft og færdigheder, der er afgørende for kvalitetsjob inden for disse områder, i tæt samarbejde med arbejdsmarkedets parter</w:t>
            </w:r>
            <w:r w:rsidRPr="000B03FF">
              <w:t xml:space="preserve"> for at styrke dets industrielle konkurrenceevne </w:t>
            </w:r>
            <w:r w:rsidRPr="000B03FF">
              <w:rPr>
                <w:b/>
                <w:i/>
              </w:rPr>
              <w:t>og samtidig beskytte arbejdstagernes rettigheder og reducere kønsskævheder i te</w:t>
            </w:r>
            <w:r w:rsidRPr="000B03FF">
              <w:rPr>
                <w:b/>
                <w:i/>
              </w:rPr>
              <w:t>knologisektoren</w:t>
            </w:r>
            <w:r w:rsidRPr="000B03FF">
              <w:t>;</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45</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13</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rsidP="00DF76F5">
            <w:pPr>
              <w:pStyle w:val="Normal6"/>
            </w:pPr>
            <w:r w:rsidRPr="000B03FF">
              <w:t>13.</w:t>
            </w:r>
            <w:r w:rsidRPr="000B03FF">
              <w:tab/>
            </w:r>
            <w:r w:rsidRPr="000B03FF">
              <w:rPr>
                <w:b/>
                <w:i/>
              </w:rPr>
              <w:t>bemærker</w:t>
            </w:r>
            <w:r w:rsidRPr="000B03FF">
              <w:t xml:space="preserve">, at kun 13 medlemsstater har anmodet om lån, og at </w:t>
            </w:r>
            <w:r w:rsidRPr="000B03FF">
              <w:t>92 mia. EUR af de 385,8 mia. EUR, der er til rådighed, vil forblive uudnyttede, eftersom der ikke var indgået forpligtelser for dette beløb ved fristen den 31. december 2023; noterer sig, at lån var attraktive for medlemsstater, der oplevede højere låneomk</w:t>
            </w:r>
            <w:r w:rsidRPr="000B03FF">
              <w:t>ostninger på de finansielle markeder, eller som søgte at kompensere for en reduktion i tilskud fra genopretnings- og resiliensfaciliteten; minder om, at Parlamentet havde slået til lyd for en højere andel af tilskud end lån, og mener, at der er behov for e</w:t>
            </w:r>
            <w:r w:rsidRPr="000B03FF">
              <w:t>n politisk drøftelse om anvendelsen af ubrugte midler i lyset af stramme offentlige budgetter;</w:t>
            </w:r>
          </w:p>
        </w:tc>
        <w:tc>
          <w:tcPr>
            <w:tcW w:w="4876" w:type="dxa"/>
            <w:hideMark/>
          </w:tcPr>
          <w:p w:rsidR="00EA4087" w:rsidRPr="000B03FF" w:rsidRDefault="00A64EC2" w:rsidP="009366BF">
            <w:pPr>
              <w:pStyle w:val="Normal6"/>
              <w:rPr>
                <w:szCs w:val="24"/>
              </w:rPr>
            </w:pPr>
            <w:r w:rsidRPr="000B03FF">
              <w:t>13.</w:t>
            </w:r>
            <w:r w:rsidRPr="000B03FF">
              <w:tab/>
            </w:r>
            <w:r w:rsidRPr="000B03FF">
              <w:rPr>
                <w:b/>
                <w:i/>
              </w:rPr>
              <w:t>beklager</w:t>
            </w:r>
            <w:r w:rsidRPr="000B03FF">
              <w:t>, at kun 13 medlemsstater har anmodet om lån, og at 92 mia. EUR af de 385,8 mia. EUR, der er til rådighed, vil forblive uudnyttede, eftersom der ikke</w:t>
            </w:r>
            <w:r w:rsidRPr="000B03FF">
              <w:t xml:space="preserve"> var indgået forpligtelser for dette beløb ved fristen den 31. december 2023; noterer sig, at lån var attraktive for medlemsstater, der oplevede højere låneomkostninger på de finansielle markeder, eller som søgte at kompensere for en reduktion i tilskud fr</w:t>
            </w:r>
            <w:r w:rsidRPr="000B03FF">
              <w:t xml:space="preserve">a genopretnings- og resiliensfaciliteten; minder om, at Parlamentet havde slået til lyd for en højere andel af tilskud end lån, og mener, at der er behov for en politisk drøftelse om anvendelsen af ubrugte midler i lyset af stramme offentlige budgetter </w:t>
            </w:r>
            <w:r w:rsidRPr="000B03FF">
              <w:rPr>
                <w:b/>
                <w:i/>
              </w:rPr>
              <w:t>sam</w:t>
            </w:r>
            <w:r w:rsidRPr="000B03FF">
              <w:rPr>
                <w:b/>
                <w:i/>
              </w:rPr>
              <w:t>t et betydeligt behov for økonomisk støtte på en række områder, navnlig fattigdomsudryddelse, social inklusion, boligudbud, offentlige og sociale tjenester, styrkelse af den sociale dialog, skabelse af kvalitetsjob og politikker for udvikling af færdighede</w:t>
            </w:r>
            <w:r w:rsidRPr="000B03FF">
              <w:rPr>
                <w:b/>
                <w:i/>
              </w:rPr>
              <w:t>r, herunder grønne og digitale færdigheder</w:t>
            </w:r>
            <w:r w:rsidRPr="000B03FF">
              <w:t>;</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46</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16 a (nyt)</w:t>
      </w:r>
      <w:r w:rsidRPr="000B03FF">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271B69">
        <w:trPr>
          <w:jc w:val="center"/>
        </w:trPr>
        <w:tc>
          <w:tcPr>
            <w:tcW w:w="9752" w:type="dxa"/>
            <w:gridSpan w:val="2"/>
          </w:tcPr>
          <w:p w:rsidR="00EA4087" w:rsidRPr="000B03FF" w:rsidRDefault="00EA4087">
            <w:pPr>
              <w:keepNext/>
            </w:pPr>
          </w:p>
        </w:tc>
      </w:tr>
      <w:tr w:rsidR="00B30CD4" w:rsidRPr="000B03FF" w:rsidTr="00271B69">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271B69">
        <w:trPr>
          <w:jc w:val="center"/>
        </w:trPr>
        <w:tc>
          <w:tcPr>
            <w:tcW w:w="4876" w:type="dxa"/>
          </w:tcPr>
          <w:p w:rsidR="00EA4087" w:rsidRPr="000B03FF" w:rsidRDefault="00EA4087">
            <w:pPr>
              <w:pStyle w:val="Normal6"/>
            </w:pPr>
          </w:p>
        </w:tc>
        <w:tc>
          <w:tcPr>
            <w:tcW w:w="4876" w:type="dxa"/>
            <w:hideMark/>
          </w:tcPr>
          <w:p w:rsidR="00EA4087" w:rsidRPr="000B03FF" w:rsidRDefault="00A64EC2" w:rsidP="00D923EE">
            <w:pPr>
              <w:pStyle w:val="Normal6"/>
              <w:rPr>
                <w:szCs w:val="24"/>
              </w:rPr>
            </w:pPr>
            <w:r w:rsidRPr="000B03FF">
              <w:rPr>
                <w:b/>
                <w:i/>
              </w:rPr>
              <w:t>16a.</w:t>
            </w:r>
            <w:r w:rsidRPr="000B03FF">
              <w:rPr>
                <w:b/>
                <w:i/>
              </w:rPr>
              <w:tab/>
              <w:t xml:space="preserve">minder om, at genopretnings- og </w:t>
            </w:r>
            <w:r w:rsidRPr="000B03FF">
              <w:rPr>
                <w:b/>
                <w:i/>
              </w:rPr>
              <w:t>resiliensfaciliteten i overensstemmelse med artikel 19, stk. 3, litra c), i forordningen om genopretnings- og resiliensfaciliteten og punkt 2.3 i bilag V til denne forordning kræver, at Kommissionen vurderer relevansen, effektiviteten, virkningsfuldheden o</w:t>
            </w:r>
            <w:r w:rsidRPr="000B03FF">
              <w:rPr>
                <w:b/>
                <w:i/>
              </w:rPr>
              <w:t>g sammenhængen af medlemsstaternes nationale genopretnings- og resiliensplaner under hensyntagen til kriterier såsom deres bidrag til at styrke medlemsstatens vækstpotentiale, jobskabelse og økonomiske, sociale og institutionelle modstandsdygtighed og genn</w:t>
            </w:r>
            <w:r w:rsidRPr="000B03FF">
              <w:rPr>
                <w:b/>
                <w:i/>
              </w:rPr>
              <w:t xml:space="preserve">emføre den europæiske søjle for sociale rettigheder, herunder ved at fremme politikker for børn og unge, og til at afbøde den økonomiske og sociale indvirkning af covid-19-krisen, hvorved den økonomiske, sociale og territoriale samhørighed og konvergens i </w:t>
            </w:r>
            <w:r w:rsidRPr="000B03FF">
              <w:rPr>
                <w:b/>
                <w:i/>
              </w:rPr>
              <w:t>Unionen styrkes; bemærker, at det er et krav, at dette kriterium har den højeste score i vurderingen;</w:t>
            </w:r>
          </w:p>
        </w:tc>
      </w:tr>
    </w:tbl>
    <w:p w:rsidR="00EA4087" w:rsidRPr="000B03FF" w:rsidRDefault="00A64EC2" w:rsidP="00EA4087">
      <w:pPr>
        <w:rPr>
          <w:szCs w:val="24"/>
        </w:rPr>
      </w:pPr>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47</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18</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18.</w:t>
            </w:r>
            <w:r w:rsidRPr="000B03FF">
              <w:tab/>
              <w:t>glæder sig over, at alle medlemsstater har overgået målene for den grønne (37 %) og den digitale omstilling (20 %), idet de gennemsnitlige udgifter til klimamål og digitale mål under genopretnings- og resiliensfaciliteten som helhed va</w:t>
            </w:r>
            <w:r w:rsidRPr="000B03FF">
              <w:t>r på henholdsvis 42 % og 26 %; bemærker, at Revisionsretten har rejst tvivl om, hvordan gennemførelsen af foranstaltningerne under genopretnings- og resiliensfaciliteten har bidraget til den grønne omstilling, og har anbefalet forbedringer af de metoder, d</w:t>
            </w:r>
            <w:r w:rsidRPr="000B03FF">
              <w:t>er anvendes til at anslå klimapåvirkningen; fremhæver, at de samme metodologiske mangler gør sig gældende på tværs af alle søjler i genopretnings- og resiliensfaciliteten;</w:t>
            </w:r>
          </w:p>
        </w:tc>
        <w:tc>
          <w:tcPr>
            <w:tcW w:w="4876" w:type="dxa"/>
            <w:hideMark/>
          </w:tcPr>
          <w:p w:rsidR="00EA4087" w:rsidRPr="000B03FF" w:rsidRDefault="00A64EC2" w:rsidP="00E6527C">
            <w:pPr>
              <w:pStyle w:val="Normal6"/>
              <w:rPr>
                <w:szCs w:val="24"/>
              </w:rPr>
            </w:pPr>
            <w:r w:rsidRPr="000B03FF">
              <w:t>18.</w:t>
            </w:r>
            <w:r w:rsidRPr="000B03FF">
              <w:tab/>
              <w:t>glæder sig over, at alle medlemsstater har overgået målene for den grønne (37 %)</w:t>
            </w:r>
            <w:r w:rsidRPr="000B03FF">
              <w:t xml:space="preserve"> og den digitale omstilling (20 %), idet de gennemsnitlige udgifter til klimamål og digitale mål under genopretnings- og resiliensfaciliteten som helhed var på henholdsvis 42 % og 26 %; bemærker, at Revisionsretten har rejst tvivl om, hvordan gennemførelse</w:t>
            </w:r>
            <w:r w:rsidRPr="000B03FF">
              <w:t>n af foranstaltningerne under genopretnings- og resiliensfaciliteten har bidraget til den grønne omstilling, og har anbefalet forbedringer af de metoder, der anvendes til at anslå klimapåvirkningen; fremhæver, at de samme metodologiske mangler gør sig gæld</w:t>
            </w:r>
            <w:r w:rsidRPr="000B03FF">
              <w:t>ende på tværs af alle søjler i genopretnings- og resiliensfaciliteten</w:t>
            </w:r>
            <w:r w:rsidRPr="000B03FF">
              <w:rPr>
                <w:b/>
                <w:i/>
              </w:rPr>
              <w:t>, og opfordrer Kommissionen til at anvende Revisionsrettens anbefalinger horisontalt</w:t>
            </w:r>
            <w:r w:rsidRPr="000B03FF">
              <w:t xml:space="preserve">; </w:t>
            </w:r>
            <w:r w:rsidRPr="000B03FF">
              <w:rPr>
                <w:b/>
                <w:i/>
              </w:rPr>
              <w:t>understreger vigtigheden af indikatorerne for gennemførelsen af principperne i og handlingsplanen for</w:t>
            </w:r>
            <w:r w:rsidRPr="000B03FF">
              <w:rPr>
                <w:b/>
                <w:i/>
              </w:rPr>
              <w:t xml:space="preserve"> den europæiske søjle for sociale rettigheder; opfordrer Kommissionen til at samarbejde med Parlamentet inden for rammerne af dialogen om genopretning og resiliens med henblik på at revidere sociale indikatorer i overensstemmelse med Portoerklæringen og op</w:t>
            </w:r>
            <w:r w:rsidRPr="000B03FF">
              <w:rPr>
                <w:b/>
                <w:i/>
              </w:rPr>
              <w:t>fordrer Kommissionen til at høre arbejdsmarkedets parter og civilsamfundet;</w:t>
            </w:r>
          </w:p>
        </w:tc>
      </w:tr>
    </w:tbl>
    <w:p w:rsidR="00EA4087" w:rsidRPr="000B03FF" w:rsidRDefault="00A64EC2" w:rsidP="00EA4087">
      <w:pPr>
        <w:rPr>
          <w:szCs w:val="24"/>
        </w:rPr>
      </w:pPr>
      <w:r w:rsidRPr="000B03FF">
        <w:rPr>
          <w:rStyle w:val="HideTWBExt"/>
        </w:rPr>
        <w:t>&lt;/Amend&gt;</w:t>
      </w:r>
    </w:p>
    <w:p w:rsidR="00BB4507" w:rsidRPr="000B03FF" w:rsidRDefault="00A64EC2" w:rsidP="00BB450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48</w:t>
      </w:r>
      <w:r w:rsidRPr="000B03FF">
        <w:rPr>
          <w:rStyle w:val="HideTWBExt"/>
          <w:b w:val="0"/>
        </w:rPr>
        <w:t>&lt;/NumAm&gt;</w:t>
      </w:r>
    </w:p>
    <w:p w:rsidR="00BB4507" w:rsidRPr="000B03FF" w:rsidRDefault="00BB4507" w:rsidP="00BB4507"/>
    <w:p w:rsidR="00BB4507" w:rsidRPr="000B03FF" w:rsidRDefault="00A64EC2" w:rsidP="00BB4507">
      <w:pPr>
        <w:pStyle w:val="NormalBold"/>
        <w:keepNext/>
      </w:pPr>
      <w:r w:rsidRPr="000B03FF">
        <w:rPr>
          <w:rStyle w:val="HideTWBExt"/>
          <w:b w:val="0"/>
        </w:rPr>
        <w:t>&lt;DocAmend&gt;</w:t>
      </w:r>
      <w:r w:rsidRPr="000B03FF">
        <w:t>Forslag til beslutning</w:t>
      </w:r>
      <w:r w:rsidRPr="000B03FF">
        <w:rPr>
          <w:rStyle w:val="HideTWBExt"/>
          <w:b w:val="0"/>
        </w:rPr>
        <w:t>&lt;/DocAmend&gt;</w:t>
      </w:r>
    </w:p>
    <w:p w:rsidR="00BB4507" w:rsidRPr="000B03FF" w:rsidRDefault="00A64EC2" w:rsidP="00BB4507">
      <w:pPr>
        <w:pStyle w:val="NormalBold"/>
      </w:pPr>
      <w:r w:rsidRPr="000B03FF">
        <w:rPr>
          <w:rStyle w:val="HideTWBExt"/>
          <w:b w:val="0"/>
        </w:rPr>
        <w:t>&lt;Article&gt;</w:t>
      </w:r>
      <w:r w:rsidRPr="000B03FF">
        <w:t>Punkt 19</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BB4507">
        <w:trPr>
          <w:jc w:val="center"/>
        </w:trPr>
        <w:tc>
          <w:tcPr>
            <w:tcW w:w="9752" w:type="dxa"/>
            <w:gridSpan w:val="2"/>
          </w:tcPr>
          <w:p w:rsidR="00BB4507" w:rsidRPr="000B03FF" w:rsidRDefault="00BB4507">
            <w:pPr>
              <w:keepNext/>
            </w:pPr>
          </w:p>
        </w:tc>
      </w:tr>
      <w:tr w:rsidR="00B30CD4" w:rsidRPr="000B03FF" w:rsidTr="00BB4507">
        <w:trPr>
          <w:jc w:val="center"/>
        </w:trPr>
        <w:tc>
          <w:tcPr>
            <w:tcW w:w="4876" w:type="dxa"/>
            <w:hideMark/>
          </w:tcPr>
          <w:p w:rsidR="00BB4507" w:rsidRPr="000B03FF" w:rsidRDefault="00A64EC2">
            <w:pPr>
              <w:pStyle w:val="ColumnHeading"/>
              <w:keepNext/>
            </w:pPr>
            <w:r w:rsidRPr="000B03FF">
              <w:t>Forslag til beslutning</w:t>
            </w:r>
          </w:p>
        </w:tc>
        <w:tc>
          <w:tcPr>
            <w:tcW w:w="4876" w:type="dxa"/>
            <w:hideMark/>
          </w:tcPr>
          <w:p w:rsidR="00BB4507" w:rsidRPr="000B03FF" w:rsidRDefault="00A64EC2">
            <w:pPr>
              <w:pStyle w:val="ColumnHeading"/>
              <w:keepNext/>
            </w:pPr>
            <w:r w:rsidRPr="000B03FF">
              <w:t>Ændringsforslag</w:t>
            </w:r>
          </w:p>
        </w:tc>
      </w:tr>
      <w:tr w:rsidR="00B30CD4" w:rsidRPr="000B03FF" w:rsidTr="00BB4507">
        <w:trPr>
          <w:jc w:val="center"/>
        </w:trPr>
        <w:tc>
          <w:tcPr>
            <w:tcW w:w="4876" w:type="dxa"/>
            <w:hideMark/>
          </w:tcPr>
          <w:p w:rsidR="00BB4507" w:rsidRPr="000B03FF" w:rsidRDefault="00A64EC2">
            <w:pPr>
              <w:pStyle w:val="Normal6"/>
            </w:pPr>
            <w:r w:rsidRPr="000B03FF">
              <w:t>19.</w:t>
            </w:r>
            <w:r w:rsidRPr="000B03FF">
              <w:tab/>
              <w:t xml:space="preserve">bemærker </w:t>
            </w:r>
            <w:r w:rsidRPr="000B03FF">
              <w:t>den håndgribelige indvirkning, som genopretnings- og resiliensfaciliteten kan have på sociale mål, idet medlemsstaterne planlægger at bruge ca. 163 mia. EUR</w:t>
            </w:r>
            <w:r w:rsidRPr="000B03FF">
              <w:rPr>
                <w:b/>
                <w:i/>
              </w:rPr>
              <w:t>; understreger behovet for at fremskynde investeringer i udvikling af landdistrikter og fjerntliggen</w:t>
            </w:r>
            <w:r w:rsidRPr="000B03FF">
              <w:rPr>
                <w:b/>
                <w:i/>
              </w:rPr>
              <w:t>de områder, social beskyttelse og integration af sårbare grupper samt ungdomsbeskæftigelse, hvor udgifterne halter bagefter; opfordrer Kommissionen til inden for rammerne af resultattavlen for genopretning og resiliens at foretage en tilbundsgående evaluer</w:t>
            </w:r>
            <w:r w:rsidRPr="000B03FF">
              <w:rPr>
                <w:b/>
                <w:i/>
              </w:rPr>
              <w:t>ing af medlemsstaternes projekter</w:t>
            </w:r>
            <w:r w:rsidRPr="000B03FF">
              <w:t xml:space="preserve"> og reformer </w:t>
            </w:r>
            <w:r w:rsidRPr="000B03FF">
              <w:rPr>
                <w:b/>
                <w:i/>
              </w:rPr>
              <w:t xml:space="preserve">vedrørende </w:t>
            </w:r>
            <w:r w:rsidRPr="000B03FF">
              <w:t xml:space="preserve">uddannelse og </w:t>
            </w:r>
            <w:r w:rsidRPr="000B03FF">
              <w:rPr>
                <w:b/>
                <w:i/>
              </w:rPr>
              <w:t>unge under genopretnings- og resiliensfaciliteten</w:t>
            </w:r>
            <w:r w:rsidRPr="000B03FF">
              <w:t>;</w:t>
            </w:r>
          </w:p>
        </w:tc>
        <w:tc>
          <w:tcPr>
            <w:tcW w:w="4876" w:type="dxa"/>
            <w:hideMark/>
          </w:tcPr>
          <w:p w:rsidR="00BB4507" w:rsidRPr="000B03FF" w:rsidRDefault="00A64EC2" w:rsidP="00E6527C">
            <w:pPr>
              <w:pStyle w:val="Normal6"/>
              <w:rPr>
                <w:szCs w:val="24"/>
              </w:rPr>
            </w:pPr>
            <w:r w:rsidRPr="000B03FF">
              <w:t>19.</w:t>
            </w:r>
            <w:r w:rsidRPr="000B03FF">
              <w:tab/>
              <w:t>bemærker den håndgribelige indvirkning, som genopretnings- og resiliensfaciliteten kan have på sociale mål, idet medlemsstaterne p</w:t>
            </w:r>
            <w:r w:rsidRPr="000B03FF">
              <w:t>lanlægger at bruge ca. 163 mia. EUR</w:t>
            </w:r>
            <w:r w:rsidRPr="000B03FF">
              <w:rPr>
                <w:b/>
                <w:i/>
              </w:rPr>
              <w:t>, hvilket svarer til ca. 25 % af de anslåede samlede udgifter,</w:t>
            </w:r>
            <w:r w:rsidRPr="000B03FF">
              <w:t xml:space="preserve"> </w:t>
            </w:r>
            <w:r w:rsidRPr="000B03FF">
              <w:rPr>
                <w:b/>
                <w:i/>
              </w:rPr>
              <w:t>og bemærker, at Kommissionen hidtil har udbetalt ca. 269 mia. EUR under genopretnings-</w:t>
            </w:r>
            <w:r w:rsidRPr="000B03FF">
              <w:t xml:space="preserve"> </w:t>
            </w:r>
            <w:r w:rsidRPr="000B03FF">
              <w:rPr>
                <w:b/>
                <w:i/>
              </w:rPr>
              <w:t>og resiliensfaciliteten i tilskud, lån og forfinansiering; bemærker, at</w:t>
            </w:r>
            <w:r w:rsidRPr="000B03FF">
              <w:rPr>
                <w:b/>
                <w:i/>
              </w:rPr>
              <w:t xml:space="preserve"> næsten 30 % af de anslåede sociale udgifter efter revisionerne af de nationale genopretnings- og resiliensplaner er afsat til investeringer</w:t>
            </w:r>
            <w:r w:rsidRPr="000B03FF">
              <w:t xml:space="preserve"> og reformer </w:t>
            </w:r>
            <w:r w:rsidRPr="000B03FF">
              <w:rPr>
                <w:b/>
                <w:i/>
              </w:rPr>
              <w:t>inden for henholdsvis</w:t>
            </w:r>
            <w:r w:rsidRPr="000B03FF">
              <w:t xml:space="preserve"> uddannelse og </w:t>
            </w:r>
            <w:r w:rsidRPr="000B03FF">
              <w:rPr>
                <w:b/>
                <w:i/>
              </w:rPr>
              <w:t xml:space="preserve">børnepasning samt sundhed og langtidspleje, mens 25 % er afsat til </w:t>
            </w:r>
            <w:r w:rsidRPr="000B03FF">
              <w:rPr>
                <w:b/>
                <w:i/>
              </w:rPr>
              <w:t>beskæftigelse og færdigheder, og resten til socialpolitikker</w:t>
            </w:r>
            <w:r w:rsidRPr="000B03FF">
              <w:rPr>
                <w:b/>
                <w:i/>
                <w:vertAlign w:val="superscript"/>
              </w:rPr>
              <w:t>1a</w:t>
            </w:r>
            <w:r w:rsidRPr="000B03FF">
              <w:t>;</w:t>
            </w:r>
            <w:r w:rsidRPr="000B03FF">
              <w:rPr>
                <w:b/>
                <w:i/>
              </w:rPr>
              <w:t xml:space="preserve"> opfordrer medlemsstaterne til at målrette mindst 30 % af udgifterne fra genopretnings- og resiliensfaciliteten under de relevante søjler mod sociale investeringer inden for betalingsfristen</w:t>
            </w:r>
            <w:r w:rsidRPr="000B03FF">
              <w:t>;</w:t>
            </w:r>
          </w:p>
        </w:tc>
      </w:tr>
      <w:tr w:rsidR="00B30CD4" w:rsidRPr="000B03FF" w:rsidTr="00BB4507">
        <w:trPr>
          <w:jc w:val="center"/>
        </w:trPr>
        <w:tc>
          <w:tcPr>
            <w:tcW w:w="4876" w:type="dxa"/>
          </w:tcPr>
          <w:p w:rsidR="00BB4507" w:rsidRPr="000B03FF" w:rsidRDefault="00BB4507">
            <w:pPr>
              <w:pStyle w:val="Normal6"/>
            </w:pPr>
          </w:p>
        </w:tc>
        <w:tc>
          <w:tcPr>
            <w:tcW w:w="4876" w:type="dxa"/>
            <w:hideMark/>
          </w:tcPr>
          <w:p w:rsidR="00BB4507" w:rsidRPr="000B03FF" w:rsidRDefault="00A64EC2">
            <w:pPr>
              <w:pStyle w:val="Normal6"/>
              <w:rPr>
                <w:szCs w:val="24"/>
              </w:rPr>
            </w:pPr>
            <w:r w:rsidRPr="000B03FF">
              <w:t>__________________</w:t>
            </w:r>
          </w:p>
        </w:tc>
      </w:tr>
      <w:tr w:rsidR="00B30CD4" w:rsidRPr="000B03FF" w:rsidTr="00271B69">
        <w:trPr>
          <w:jc w:val="center"/>
        </w:trPr>
        <w:tc>
          <w:tcPr>
            <w:tcW w:w="4876" w:type="dxa"/>
          </w:tcPr>
          <w:p w:rsidR="00BB4507" w:rsidRPr="000B03FF" w:rsidRDefault="00BB4507">
            <w:pPr>
              <w:pStyle w:val="Normal6"/>
            </w:pPr>
          </w:p>
        </w:tc>
        <w:tc>
          <w:tcPr>
            <w:tcW w:w="4876" w:type="dxa"/>
          </w:tcPr>
          <w:p w:rsidR="00BB4507" w:rsidRPr="000B03FF" w:rsidRDefault="00A64EC2">
            <w:pPr>
              <w:pStyle w:val="Normal6"/>
              <w:rPr>
                <w:szCs w:val="24"/>
              </w:rPr>
            </w:pPr>
            <w:r w:rsidRPr="000B03FF">
              <w:rPr>
                <w:b/>
                <w:i/>
                <w:vertAlign w:val="superscript"/>
              </w:rPr>
              <w:t>1a</w:t>
            </w:r>
            <w:r w:rsidRPr="000B03FF">
              <w:t xml:space="preserve"> </w:t>
            </w:r>
            <w:r w:rsidRPr="000B03FF">
              <w:rPr>
                <w:b/>
                <w:i/>
              </w:rPr>
              <w:t>COM(2024)0474, s. 19.</w:t>
            </w:r>
          </w:p>
        </w:tc>
      </w:tr>
      <w:tr w:rsidR="00B30CD4" w:rsidRPr="000B03FF" w:rsidTr="00BB4507">
        <w:trPr>
          <w:jc w:val="center"/>
        </w:trPr>
        <w:tc>
          <w:tcPr>
            <w:tcW w:w="4876" w:type="dxa"/>
          </w:tcPr>
          <w:p w:rsidR="00BB4507" w:rsidRPr="000B03FF" w:rsidRDefault="00BB4507">
            <w:pPr>
              <w:pStyle w:val="Normal6"/>
            </w:pPr>
          </w:p>
        </w:tc>
        <w:tc>
          <w:tcPr>
            <w:tcW w:w="4876" w:type="dxa"/>
            <w:hideMark/>
          </w:tcPr>
          <w:p w:rsidR="00BB4507" w:rsidRPr="000B03FF" w:rsidRDefault="00BB4507">
            <w:pPr>
              <w:pStyle w:val="Normal6"/>
              <w:rPr>
                <w:szCs w:val="24"/>
              </w:rPr>
            </w:pPr>
          </w:p>
        </w:tc>
      </w:tr>
    </w:tbl>
    <w:p w:rsidR="00BB4507" w:rsidRPr="000B03FF" w:rsidRDefault="00A64EC2" w:rsidP="00BB4507">
      <w:r w:rsidRPr="000B03FF">
        <w:rPr>
          <w:rStyle w:val="HideTWBExt"/>
        </w:rPr>
        <w:t>&lt;/Amend&gt;</w:t>
      </w:r>
    </w:p>
    <w:p w:rsidR="00BB4507" w:rsidRPr="000B03FF" w:rsidRDefault="00A64EC2" w:rsidP="00BB450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49</w:t>
      </w:r>
      <w:r w:rsidRPr="000B03FF">
        <w:rPr>
          <w:rStyle w:val="HideTWBExt"/>
          <w:b w:val="0"/>
        </w:rPr>
        <w:t>&lt;/NumAm&gt;</w:t>
      </w:r>
    </w:p>
    <w:p w:rsidR="00BB4507" w:rsidRPr="000B03FF" w:rsidRDefault="00BB4507" w:rsidP="00BB4507"/>
    <w:p w:rsidR="00BB4507" w:rsidRPr="000B03FF" w:rsidRDefault="00A64EC2" w:rsidP="00BB4507">
      <w:pPr>
        <w:pStyle w:val="NormalBold"/>
        <w:keepNext/>
      </w:pPr>
      <w:r w:rsidRPr="000B03FF">
        <w:rPr>
          <w:rStyle w:val="HideTWBExt"/>
          <w:b w:val="0"/>
        </w:rPr>
        <w:t>&lt;DocAmend&gt;</w:t>
      </w:r>
      <w:r w:rsidRPr="000B03FF">
        <w:t>Forslag til beslutning</w:t>
      </w:r>
      <w:r w:rsidRPr="000B03FF">
        <w:rPr>
          <w:rStyle w:val="HideTWBExt"/>
          <w:b w:val="0"/>
        </w:rPr>
        <w:t>&lt;/DocAmend&gt;</w:t>
      </w:r>
    </w:p>
    <w:p w:rsidR="00BB4507" w:rsidRPr="000B03FF" w:rsidRDefault="00A64EC2" w:rsidP="00BB4507">
      <w:pPr>
        <w:pStyle w:val="NormalBold"/>
      </w:pPr>
      <w:r w:rsidRPr="000B03FF">
        <w:rPr>
          <w:rStyle w:val="HideTWBExt"/>
          <w:b w:val="0"/>
        </w:rPr>
        <w:t>&lt;Article&gt;</w:t>
      </w:r>
      <w:r w:rsidRPr="000B03FF">
        <w:t>Punkt 19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BB4507">
        <w:trPr>
          <w:jc w:val="center"/>
        </w:trPr>
        <w:tc>
          <w:tcPr>
            <w:tcW w:w="9752" w:type="dxa"/>
            <w:gridSpan w:val="2"/>
          </w:tcPr>
          <w:p w:rsidR="00BB4507" w:rsidRPr="000B03FF" w:rsidRDefault="00BB4507">
            <w:pPr>
              <w:keepNext/>
            </w:pPr>
          </w:p>
        </w:tc>
      </w:tr>
      <w:tr w:rsidR="00B30CD4" w:rsidRPr="000B03FF" w:rsidTr="00BB4507">
        <w:trPr>
          <w:jc w:val="center"/>
        </w:trPr>
        <w:tc>
          <w:tcPr>
            <w:tcW w:w="4876" w:type="dxa"/>
            <w:hideMark/>
          </w:tcPr>
          <w:p w:rsidR="00BB4507" w:rsidRPr="000B03FF" w:rsidRDefault="00A64EC2">
            <w:pPr>
              <w:pStyle w:val="ColumnHeading"/>
              <w:keepNext/>
            </w:pPr>
            <w:r w:rsidRPr="000B03FF">
              <w:t>Forslag til beslutning</w:t>
            </w:r>
          </w:p>
        </w:tc>
        <w:tc>
          <w:tcPr>
            <w:tcW w:w="4876" w:type="dxa"/>
            <w:hideMark/>
          </w:tcPr>
          <w:p w:rsidR="00BB4507" w:rsidRPr="000B03FF" w:rsidRDefault="00A64EC2">
            <w:pPr>
              <w:pStyle w:val="ColumnHeading"/>
              <w:keepNext/>
            </w:pPr>
            <w:r w:rsidRPr="000B03FF">
              <w:t>Ændringsforslag</w:t>
            </w:r>
          </w:p>
        </w:tc>
      </w:tr>
      <w:tr w:rsidR="00B30CD4" w:rsidRPr="000B03FF" w:rsidTr="00BB4507">
        <w:trPr>
          <w:jc w:val="center"/>
        </w:trPr>
        <w:tc>
          <w:tcPr>
            <w:tcW w:w="4876" w:type="dxa"/>
          </w:tcPr>
          <w:p w:rsidR="00BB4507" w:rsidRPr="000B03FF" w:rsidRDefault="00BB4507">
            <w:pPr>
              <w:pStyle w:val="Normal6"/>
            </w:pPr>
          </w:p>
        </w:tc>
        <w:tc>
          <w:tcPr>
            <w:tcW w:w="4876" w:type="dxa"/>
            <w:hideMark/>
          </w:tcPr>
          <w:p w:rsidR="00BB4507" w:rsidRPr="000B03FF" w:rsidRDefault="00A64EC2" w:rsidP="009837A3">
            <w:pPr>
              <w:pStyle w:val="Normal6"/>
              <w:rPr>
                <w:szCs w:val="24"/>
              </w:rPr>
            </w:pPr>
            <w:r w:rsidRPr="000B03FF">
              <w:rPr>
                <w:b/>
                <w:i/>
              </w:rPr>
              <w:t>19a.</w:t>
            </w:r>
            <w:r w:rsidRPr="000B03FF">
              <w:rPr>
                <w:b/>
                <w:i/>
              </w:rPr>
              <w:tab/>
              <w:t xml:space="preserve">understreger, at der er </w:t>
            </w:r>
            <w:r w:rsidRPr="000B03FF">
              <w:rPr>
                <w:b/>
                <w:i/>
              </w:rPr>
              <w:t>behov for at fremskynde investeringer i styrkelse af social beskyttelse og offentlige sociale tjenester, tilstrækkelige pensioner, lagtidspleje, adgang til boliger til overkommelige priser, navnlig sociale boliger, bekæmpelse af fattigdom og social udstøde</w:t>
            </w:r>
            <w:r w:rsidRPr="000B03FF">
              <w:rPr>
                <w:b/>
                <w:i/>
              </w:rPr>
              <w:t>lse – navnlig børnefattigdom – førskoleundervisning og børnepasning, erhvervsuddannelse og udvikling af færdigheder for voksne, inklusion af grupper i sårbare situationer, såsom kvinder, børn, eneforsørgerfamilier, handicappede, migranter, romaer, LGBTIQ-p</w:t>
            </w:r>
            <w:r w:rsidRPr="000B03FF">
              <w:rPr>
                <w:b/>
                <w:i/>
              </w:rPr>
              <w:t>ersoner, unge og ældre, støtte til ungdomsbeskæftigelse, modernisering af arbejdsmarkedsinstitutioner, herunder prognoser for færdigheder og social dialog, og udvikling af landdistrikter og fjerntliggende områder, hvor udgifterne halter bagefter; opfordrer</w:t>
            </w:r>
            <w:r w:rsidRPr="000B03FF">
              <w:rPr>
                <w:b/>
                <w:i/>
              </w:rPr>
              <w:t xml:space="preserve"> Kommissionen til inden for rammerne af resultattavlen for genopretning og resiliens at foretage en evaluering for at overvåge effektiviteten af sociale investeringer;</w:t>
            </w:r>
          </w:p>
        </w:tc>
      </w:tr>
    </w:tbl>
    <w:p w:rsidR="00BB4507" w:rsidRPr="000B03FF" w:rsidRDefault="00A64EC2" w:rsidP="00BB4507">
      <w:r w:rsidRPr="000B03FF">
        <w:rPr>
          <w:rStyle w:val="HideTWBExt"/>
        </w:rPr>
        <w:t>&lt;/Amend&gt;</w:t>
      </w:r>
    </w:p>
    <w:p w:rsidR="00BB4507" w:rsidRPr="000B03FF" w:rsidRDefault="00A64EC2" w:rsidP="00BB450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50</w:t>
      </w:r>
      <w:r w:rsidRPr="000B03FF">
        <w:rPr>
          <w:rStyle w:val="HideTWBExt"/>
          <w:b w:val="0"/>
        </w:rPr>
        <w:t>&lt;/NumAm&gt;</w:t>
      </w:r>
    </w:p>
    <w:p w:rsidR="00BB4507" w:rsidRPr="000B03FF" w:rsidRDefault="00BB4507" w:rsidP="00BB4507"/>
    <w:p w:rsidR="00BB4507" w:rsidRPr="000B03FF" w:rsidRDefault="00A64EC2" w:rsidP="00BB4507">
      <w:pPr>
        <w:pStyle w:val="NormalBold"/>
        <w:keepNext/>
      </w:pPr>
      <w:r w:rsidRPr="000B03FF">
        <w:rPr>
          <w:rStyle w:val="HideTWBExt"/>
          <w:b w:val="0"/>
        </w:rPr>
        <w:t>&lt;DocAmend&gt;</w:t>
      </w:r>
      <w:r w:rsidRPr="000B03FF">
        <w:t>Forslag til beslutning</w:t>
      </w:r>
      <w:r w:rsidRPr="000B03FF">
        <w:rPr>
          <w:rStyle w:val="HideTWBExt"/>
          <w:b w:val="0"/>
        </w:rPr>
        <w:t>&lt;/DocAmend&gt;</w:t>
      </w:r>
    </w:p>
    <w:p w:rsidR="00BB4507" w:rsidRPr="000B03FF" w:rsidRDefault="00A64EC2" w:rsidP="00BB4507">
      <w:pPr>
        <w:pStyle w:val="NormalBold"/>
      </w:pPr>
      <w:r w:rsidRPr="000B03FF">
        <w:rPr>
          <w:rStyle w:val="HideTWBExt"/>
          <w:b w:val="0"/>
        </w:rPr>
        <w:t>&lt;Article&gt;</w:t>
      </w:r>
      <w:r w:rsidRPr="000B03FF">
        <w:t>Punkt 20</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BB4507">
        <w:trPr>
          <w:jc w:val="center"/>
        </w:trPr>
        <w:tc>
          <w:tcPr>
            <w:tcW w:w="9752" w:type="dxa"/>
            <w:gridSpan w:val="2"/>
          </w:tcPr>
          <w:p w:rsidR="00BB4507" w:rsidRPr="000B03FF" w:rsidRDefault="00BB4507">
            <w:pPr>
              <w:keepNext/>
            </w:pPr>
          </w:p>
        </w:tc>
      </w:tr>
      <w:tr w:rsidR="00B30CD4" w:rsidRPr="000B03FF" w:rsidTr="00BB4507">
        <w:trPr>
          <w:jc w:val="center"/>
        </w:trPr>
        <w:tc>
          <w:tcPr>
            <w:tcW w:w="4876" w:type="dxa"/>
            <w:hideMark/>
          </w:tcPr>
          <w:p w:rsidR="00BB4507" w:rsidRPr="000B03FF" w:rsidRDefault="00A64EC2">
            <w:pPr>
              <w:pStyle w:val="ColumnHeading"/>
              <w:keepNext/>
            </w:pPr>
            <w:r w:rsidRPr="000B03FF">
              <w:t>Forslag til beslutning</w:t>
            </w:r>
          </w:p>
        </w:tc>
        <w:tc>
          <w:tcPr>
            <w:tcW w:w="4876" w:type="dxa"/>
            <w:hideMark/>
          </w:tcPr>
          <w:p w:rsidR="00BB4507" w:rsidRPr="000B03FF" w:rsidRDefault="00A64EC2">
            <w:pPr>
              <w:pStyle w:val="ColumnHeading"/>
              <w:keepNext/>
            </w:pPr>
            <w:r w:rsidRPr="000B03FF">
              <w:t>Ændringsforslag</w:t>
            </w:r>
          </w:p>
        </w:tc>
      </w:tr>
      <w:tr w:rsidR="00B30CD4" w:rsidRPr="000B03FF" w:rsidTr="00BB4507">
        <w:trPr>
          <w:jc w:val="center"/>
        </w:trPr>
        <w:tc>
          <w:tcPr>
            <w:tcW w:w="4876" w:type="dxa"/>
            <w:hideMark/>
          </w:tcPr>
          <w:p w:rsidR="00BB4507" w:rsidRPr="000B03FF" w:rsidRDefault="00A64EC2">
            <w:pPr>
              <w:pStyle w:val="Normal6"/>
            </w:pPr>
            <w:r w:rsidRPr="000B03FF">
              <w:t>20.</w:t>
            </w:r>
            <w:r w:rsidRPr="000B03FF">
              <w:tab/>
              <w:t xml:space="preserve">glæder sig over de bidrag, der er ydet under søjlen for intelligent, bæredygtig og inklusiv vækst, navnlig med hensyn til konkurrenceevne og støtte til SMV'er; bemærker, </w:t>
            </w:r>
            <w:r w:rsidRPr="000B03FF">
              <w:t>at der er behov for at fremskynde investeringer i tværnationalt samarbejde, støtte til virksomheder og lovgivningsmæssige ændringer til fordel for intelligent, bæredygtig og inklusiv vækst, som halter bagefter;</w:t>
            </w:r>
          </w:p>
        </w:tc>
        <w:tc>
          <w:tcPr>
            <w:tcW w:w="4876" w:type="dxa"/>
            <w:hideMark/>
          </w:tcPr>
          <w:p w:rsidR="00BB4507" w:rsidRPr="000B03FF" w:rsidRDefault="00A64EC2">
            <w:pPr>
              <w:pStyle w:val="Normal6"/>
              <w:rPr>
                <w:szCs w:val="24"/>
              </w:rPr>
            </w:pPr>
            <w:r w:rsidRPr="000B03FF">
              <w:t>20.</w:t>
            </w:r>
            <w:r w:rsidRPr="000B03FF">
              <w:tab/>
              <w:t xml:space="preserve">glæder sig over de bidrag, der er ydet </w:t>
            </w:r>
            <w:r w:rsidRPr="000B03FF">
              <w:t xml:space="preserve">under søjlen for intelligent, bæredygtig og inklusiv vækst, navnlig med hensyn til konkurrenceevne og støtte til SMV'er; bemærker, at der er behov for at fremskynde investeringer i tværnationalt samarbejde, støtte til virksomheder </w:t>
            </w:r>
            <w:r w:rsidRPr="000B03FF">
              <w:rPr>
                <w:b/>
                <w:i/>
              </w:rPr>
              <w:t>og arbejdstagere</w:t>
            </w:r>
            <w:r w:rsidRPr="000B03FF">
              <w:t xml:space="preserve"> og lovgi</w:t>
            </w:r>
            <w:r w:rsidRPr="000B03FF">
              <w:t xml:space="preserve">vningsmæssige ændringer til fordel for intelligent, bæredygtig og inklusiv vækst, som halter bagefter; </w:t>
            </w:r>
            <w:r w:rsidRPr="000B03FF">
              <w:rPr>
                <w:b/>
                <w:i/>
              </w:rPr>
              <w:t>understreger, at en inklusiv genopretning også bør prioritere den sociale økonomi som en central drivkraft for bæredygtig og retfærdig vækst;</w:t>
            </w:r>
          </w:p>
        </w:tc>
      </w:tr>
    </w:tbl>
    <w:p w:rsidR="00BB4507" w:rsidRPr="000B03FF" w:rsidRDefault="00A64EC2" w:rsidP="00BB4507">
      <w:r w:rsidRPr="000B03FF">
        <w:rPr>
          <w:rStyle w:val="HideTWBExt"/>
        </w:rPr>
        <w:t>&lt;/Amend&gt;</w:t>
      </w:r>
    </w:p>
    <w:p w:rsidR="00BB4507" w:rsidRPr="000B03FF" w:rsidRDefault="00A64EC2" w:rsidP="00BB4507">
      <w:pPr>
        <w:pStyle w:val="AMNumberTabs0"/>
        <w:keepNext/>
      </w:pPr>
      <w:r w:rsidRPr="000B03FF">
        <w:rPr>
          <w:rStyle w:val="HideTWBExt"/>
          <w:b w:val="0"/>
        </w:rPr>
        <w:t>&lt;</w:t>
      </w:r>
      <w:r w:rsidRPr="000B03FF">
        <w:rPr>
          <w:rStyle w:val="HideTWBExt"/>
          <w:b w:val="0"/>
        </w:rPr>
        <w:t>Amend&gt;</w:t>
      </w:r>
      <w:r w:rsidRPr="000B03FF">
        <w:t>Ændringsforslag</w:t>
      </w:r>
      <w:r w:rsidRPr="000B03FF">
        <w:tab/>
      </w:r>
      <w:r w:rsidRPr="000B03FF">
        <w:tab/>
      </w:r>
      <w:r w:rsidRPr="000B03FF">
        <w:rPr>
          <w:rStyle w:val="HideTWBExt"/>
          <w:b w:val="0"/>
        </w:rPr>
        <w:t>&lt;NumAm&gt;</w:t>
      </w:r>
      <w:r w:rsidRPr="000B03FF">
        <w:t>51</w:t>
      </w:r>
      <w:r w:rsidRPr="000B03FF">
        <w:rPr>
          <w:rStyle w:val="HideTWBExt"/>
          <w:b w:val="0"/>
        </w:rPr>
        <w:t>&lt;/NumAm&gt;</w:t>
      </w:r>
    </w:p>
    <w:p w:rsidR="00BB4507" w:rsidRPr="000B03FF" w:rsidRDefault="00BB4507" w:rsidP="00BB4507"/>
    <w:p w:rsidR="00BB4507" w:rsidRPr="000B03FF" w:rsidRDefault="00A64EC2" w:rsidP="00BB4507">
      <w:pPr>
        <w:pStyle w:val="NormalBold"/>
        <w:keepNext/>
      </w:pPr>
      <w:r w:rsidRPr="000B03FF">
        <w:rPr>
          <w:rStyle w:val="HideTWBExt"/>
          <w:b w:val="0"/>
        </w:rPr>
        <w:t>&lt;DocAmend&gt;</w:t>
      </w:r>
      <w:r w:rsidRPr="000B03FF">
        <w:t>Forslag til beslutning</w:t>
      </w:r>
      <w:r w:rsidRPr="000B03FF">
        <w:rPr>
          <w:rStyle w:val="HideTWBExt"/>
          <w:b w:val="0"/>
        </w:rPr>
        <w:t>&lt;/DocAmend&gt;</w:t>
      </w:r>
    </w:p>
    <w:p w:rsidR="00BB4507" w:rsidRPr="000B03FF" w:rsidRDefault="00A64EC2" w:rsidP="00BB4507">
      <w:pPr>
        <w:pStyle w:val="NormalBold"/>
      </w:pPr>
      <w:r w:rsidRPr="000B03FF">
        <w:rPr>
          <w:rStyle w:val="HideTWBExt"/>
          <w:b w:val="0"/>
        </w:rPr>
        <w:t>&lt;Article&gt;</w:t>
      </w:r>
      <w:r w:rsidRPr="000B03FF">
        <w:t>Punkt 20 a (nyt)</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BB4507">
        <w:trPr>
          <w:jc w:val="center"/>
        </w:trPr>
        <w:tc>
          <w:tcPr>
            <w:tcW w:w="9752" w:type="dxa"/>
            <w:gridSpan w:val="2"/>
          </w:tcPr>
          <w:p w:rsidR="00BB4507" w:rsidRPr="000B03FF" w:rsidRDefault="00BB4507">
            <w:pPr>
              <w:keepNext/>
            </w:pPr>
          </w:p>
        </w:tc>
      </w:tr>
      <w:tr w:rsidR="00B30CD4" w:rsidRPr="000B03FF" w:rsidTr="00BB4507">
        <w:trPr>
          <w:jc w:val="center"/>
        </w:trPr>
        <w:tc>
          <w:tcPr>
            <w:tcW w:w="4876" w:type="dxa"/>
            <w:hideMark/>
          </w:tcPr>
          <w:p w:rsidR="00BB4507" w:rsidRPr="000B03FF" w:rsidRDefault="00A64EC2">
            <w:pPr>
              <w:pStyle w:val="ColumnHeading"/>
              <w:keepNext/>
            </w:pPr>
            <w:r w:rsidRPr="000B03FF">
              <w:t>Forslag til beslutning</w:t>
            </w:r>
          </w:p>
        </w:tc>
        <w:tc>
          <w:tcPr>
            <w:tcW w:w="4876" w:type="dxa"/>
            <w:hideMark/>
          </w:tcPr>
          <w:p w:rsidR="00BB4507" w:rsidRPr="000B03FF" w:rsidRDefault="00A64EC2">
            <w:pPr>
              <w:pStyle w:val="ColumnHeading"/>
              <w:keepNext/>
            </w:pPr>
            <w:r w:rsidRPr="000B03FF">
              <w:t>Ændringsforslag</w:t>
            </w:r>
          </w:p>
        </w:tc>
      </w:tr>
      <w:tr w:rsidR="00B30CD4" w:rsidRPr="000B03FF" w:rsidTr="00BB4507">
        <w:trPr>
          <w:jc w:val="center"/>
        </w:trPr>
        <w:tc>
          <w:tcPr>
            <w:tcW w:w="4876" w:type="dxa"/>
          </w:tcPr>
          <w:p w:rsidR="00BB4507" w:rsidRPr="000B03FF" w:rsidRDefault="00BB4507">
            <w:pPr>
              <w:pStyle w:val="Normal6"/>
            </w:pPr>
          </w:p>
        </w:tc>
        <w:tc>
          <w:tcPr>
            <w:tcW w:w="4876" w:type="dxa"/>
            <w:hideMark/>
          </w:tcPr>
          <w:p w:rsidR="00BB4507" w:rsidRPr="000B03FF" w:rsidRDefault="00A64EC2" w:rsidP="00E6527C">
            <w:pPr>
              <w:pStyle w:val="Normal6"/>
              <w:rPr>
                <w:szCs w:val="24"/>
              </w:rPr>
            </w:pPr>
            <w:r w:rsidRPr="000B03FF">
              <w:rPr>
                <w:b/>
                <w:i/>
              </w:rPr>
              <w:t>20a.</w:t>
            </w:r>
            <w:r w:rsidRPr="000B03FF">
              <w:rPr>
                <w:b/>
                <w:i/>
              </w:rPr>
              <w:tab/>
              <w:t>minder om, at ligestilling mellem kvinder og mænd er en af EU's grundlæggende værdier,</w:t>
            </w:r>
            <w:r w:rsidRPr="000B03FF">
              <w:rPr>
                <w:b/>
                <w:i/>
              </w:rPr>
              <w:t xml:space="preserve"> der er nedfældet i traktaterne; beklager derfor, at ligestilling mellem kønnene ikke er en af søjlerne i forordningen om genopretnings- og resiliensfaciliteten; minder om, at de nationale genopretnings- og resiliensplaner bør omfatte foranstaltninger, der</w:t>
            </w:r>
            <w:r w:rsidRPr="000B03FF">
              <w:rPr>
                <w:b/>
                <w:i/>
              </w:rPr>
              <w:t xml:space="preserve"> bidrager til ligestilling mellem kønnene og lige muligheder for alle i overensstemmelse med den europæiske søjle for sociale rettigheder, med henblik på at fremme kvinders arbejdsmarkedsdeltagelse og mindske den kønsbaserede segmentering på arbejdsmarkede</w:t>
            </w:r>
            <w:r w:rsidRPr="000B03FF">
              <w:rPr>
                <w:b/>
                <w:i/>
              </w:rPr>
              <w:t>t; glæder sig over, at de reviderede nationale genopretnings- og resiliensplaner indeholder 136 (del)foranstaltninger med fokus på ligestilling mellem kønnene, og bemærker den positive virkning af andre reformer og investeringer, hvis gennemførelse kan bid</w:t>
            </w:r>
            <w:r w:rsidRPr="000B03FF">
              <w:rPr>
                <w:b/>
                <w:i/>
              </w:rPr>
              <w:t>rage væsentligt til ligestilling mellem kønnene, f.eks. foranstaltninger til at fremme balancen mellem arbejdsliv og privatliv, herunder adgang til børnepasning og pleje af omsorgsafhængige personer og udvikling af digitale færdigheder; beklager, at to med</w:t>
            </w:r>
            <w:r w:rsidRPr="000B03FF">
              <w:rPr>
                <w:b/>
                <w:i/>
              </w:rPr>
              <w:t>lemsstater ikke medtog nogen foranstaltninger i deres nationale genopretnings- og resiliensplaner, som udtrykkeligt havde til formål at bidrage til ligestilling mellem kønnene, og at en række andre medlemsstater medtog relativt få sådanne foranstaltninger;</w:t>
            </w:r>
          </w:p>
        </w:tc>
      </w:tr>
    </w:tbl>
    <w:p w:rsidR="00BB4507" w:rsidRPr="000B03FF" w:rsidRDefault="00A64EC2" w:rsidP="00BB4507">
      <w:r w:rsidRPr="000B03FF">
        <w:rPr>
          <w:rStyle w:val="HideTWBExt"/>
        </w:rPr>
        <w:t>&lt;/Amend&gt;</w:t>
      </w:r>
    </w:p>
    <w:p w:rsidR="00EA4087" w:rsidRPr="000B03FF" w:rsidRDefault="00A64EC2" w:rsidP="00EA408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52</w:t>
      </w:r>
      <w:r w:rsidRPr="000B03FF">
        <w:rPr>
          <w:rStyle w:val="HideTWBExt"/>
          <w:b w:val="0"/>
        </w:rPr>
        <w:t>&lt;/NumAm&gt;</w:t>
      </w:r>
    </w:p>
    <w:p w:rsidR="00EA4087" w:rsidRPr="000B03FF" w:rsidRDefault="00A64EC2" w:rsidP="00EA4087">
      <w:pPr>
        <w:pStyle w:val="NormalBold12b"/>
        <w:keepNext/>
      </w:pPr>
      <w:r w:rsidRPr="000B03FF">
        <w:rPr>
          <w:rStyle w:val="HideTWBExt"/>
          <w:b w:val="0"/>
        </w:rPr>
        <w:t>&lt;DocAmend&gt;</w:t>
      </w:r>
      <w:r w:rsidRPr="000B03FF">
        <w:t>Forslag til beslutning</w:t>
      </w:r>
      <w:r w:rsidRPr="000B03FF">
        <w:rPr>
          <w:rStyle w:val="HideTWBExt"/>
          <w:b w:val="0"/>
        </w:rPr>
        <w:t>&lt;/DocAmend&gt;</w:t>
      </w:r>
    </w:p>
    <w:p w:rsidR="00EA4087" w:rsidRPr="000B03FF" w:rsidRDefault="00A64EC2" w:rsidP="00EA4087">
      <w:pPr>
        <w:pStyle w:val="NormalBold"/>
      </w:pPr>
      <w:r w:rsidRPr="000B03FF">
        <w:rPr>
          <w:rStyle w:val="HideTWBExt"/>
          <w:b w:val="0"/>
        </w:rPr>
        <w:t>&lt;Article&gt;</w:t>
      </w:r>
      <w:r w:rsidRPr="000B03FF">
        <w:t>Punkt 28</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EA4087">
        <w:trPr>
          <w:jc w:val="center"/>
        </w:trPr>
        <w:tc>
          <w:tcPr>
            <w:tcW w:w="9752" w:type="dxa"/>
            <w:gridSpan w:val="2"/>
          </w:tcPr>
          <w:p w:rsidR="00EA4087" w:rsidRPr="000B03FF" w:rsidRDefault="00EA4087">
            <w:pPr>
              <w:keepNext/>
            </w:pPr>
          </w:p>
        </w:tc>
      </w:tr>
      <w:tr w:rsidR="00B30CD4" w:rsidRPr="000B03FF" w:rsidTr="00EA4087">
        <w:trPr>
          <w:jc w:val="center"/>
        </w:trPr>
        <w:tc>
          <w:tcPr>
            <w:tcW w:w="4876" w:type="dxa"/>
            <w:hideMark/>
          </w:tcPr>
          <w:p w:rsidR="00EA4087" w:rsidRPr="000B03FF" w:rsidRDefault="00A64EC2">
            <w:pPr>
              <w:pStyle w:val="ColumnHeading"/>
              <w:keepNext/>
            </w:pPr>
            <w:r w:rsidRPr="000B03FF">
              <w:t>Forslag til beslutning</w:t>
            </w:r>
          </w:p>
        </w:tc>
        <w:tc>
          <w:tcPr>
            <w:tcW w:w="4876" w:type="dxa"/>
            <w:hideMark/>
          </w:tcPr>
          <w:p w:rsidR="00EA4087" w:rsidRPr="000B03FF" w:rsidRDefault="00A64EC2">
            <w:pPr>
              <w:pStyle w:val="ColumnHeading"/>
              <w:keepNext/>
            </w:pPr>
            <w:r w:rsidRPr="000B03FF">
              <w:t>Ændringsforslag</w:t>
            </w:r>
          </w:p>
        </w:tc>
      </w:tr>
      <w:tr w:rsidR="00B30CD4" w:rsidRPr="000B03FF" w:rsidTr="00EA4087">
        <w:trPr>
          <w:jc w:val="center"/>
        </w:trPr>
        <w:tc>
          <w:tcPr>
            <w:tcW w:w="4876" w:type="dxa"/>
            <w:hideMark/>
          </w:tcPr>
          <w:p w:rsidR="00EA4087" w:rsidRPr="000B03FF" w:rsidRDefault="00A64EC2">
            <w:pPr>
              <w:pStyle w:val="Normal6"/>
            </w:pPr>
            <w:r w:rsidRPr="000B03FF">
              <w:t>28.</w:t>
            </w:r>
            <w:r w:rsidRPr="000B03FF">
              <w:tab/>
              <w:t xml:space="preserve">opfordrer indtrængende medlemsstaterne til at øge deres indsats for at afhjælpe </w:t>
            </w:r>
            <w:r w:rsidRPr="000B03FF">
              <w:t>administrative flaskehalse og tilvejebringe tilstrækkelig administrativ kapacitet til at fremskynde gennemførelsen af genopretnings- og resiliensfaciliteten i lyset af fristen i 2026 og undgå at koncentrere projekter under genopretnings- og resiliensfacili</w:t>
            </w:r>
            <w:r w:rsidRPr="000B03FF">
              <w:t>teten i mere udviklede regioner og hovedstæder ved at gøre det muligt at kanalisere midler fra genopretnings- og resiliensfaciliteten til projekter i de mest sårbare regioner og dermed opfylde genopretnings- og resiliensfacilitetens mål om at styrke EU's s</w:t>
            </w:r>
            <w:r w:rsidRPr="000B03FF">
              <w:t xml:space="preserve">ociale, territoriale og økonomiske samhørighed; opfordrer til en automatisk </w:t>
            </w:r>
            <w:r w:rsidRPr="000B03FF">
              <w:rPr>
                <w:b/>
                <w:i/>
              </w:rPr>
              <w:t>12-måneders</w:t>
            </w:r>
            <w:r w:rsidRPr="000B03FF">
              <w:t xml:space="preserve"> forlængelse af projekter, der har en gennemførelsesgrad på mindst 20 % inden fristen i 2026; glæder sig over muligheden for at etablere et prioriterings- og overførsels</w:t>
            </w:r>
            <w:r w:rsidRPr="000B03FF">
              <w:t>system efter fristen i 2026, som skal gøre det muligt at færdiggøre igangværende projekter gennem andre finansieringsordninger, herunder Den Europæiske Investeringsfond og en eventuel ny europæisk fond for konkurrenceevne;</w:t>
            </w:r>
          </w:p>
        </w:tc>
        <w:tc>
          <w:tcPr>
            <w:tcW w:w="4876" w:type="dxa"/>
            <w:hideMark/>
          </w:tcPr>
          <w:p w:rsidR="00EA4087" w:rsidRPr="000B03FF" w:rsidRDefault="00A64EC2" w:rsidP="004C6072">
            <w:pPr>
              <w:pStyle w:val="Normal6"/>
              <w:rPr>
                <w:szCs w:val="24"/>
              </w:rPr>
            </w:pPr>
            <w:r w:rsidRPr="000B03FF">
              <w:t>28.</w:t>
            </w:r>
            <w:r w:rsidRPr="000B03FF">
              <w:tab/>
              <w:t>opfordrer indtrængende medlem</w:t>
            </w:r>
            <w:r w:rsidRPr="000B03FF">
              <w:t>sstaterne til at øge deres indsats for at afhjælpe administrative flaskehalse og tilvejebringe tilstrækkelig administrativ kapacitet til at fremskynde gennemførelsen af genopretnings- og resiliensfaciliteten i lyset af fristen i 2026 og undgå at koncentrer</w:t>
            </w:r>
            <w:r w:rsidRPr="000B03FF">
              <w:t>e projekter under genopretnings- og resiliensfaciliteten i mere udviklede regioner og hovedstæder ved at gøre det muligt at kanalisere midler fra genopretnings- og resiliensfaciliteten til projekter i de mest sårbare regioner og dermed opfylde genopretning</w:t>
            </w:r>
            <w:r w:rsidRPr="000B03FF">
              <w:t xml:space="preserve">s- og resiliensfacilitetens mål om at styrke EU's sociale, territoriale og økonomiske samhørighed; opfordrer til en automatisk </w:t>
            </w:r>
            <w:r w:rsidRPr="000B03FF">
              <w:rPr>
                <w:b/>
                <w:i/>
              </w:rPr>
              <w:t>18-måneders</w:t>
            </w:r>
            <w:r w:rsidRPr="000B03FF">
              <w:t xml:space="preserve"> forlængelse af projekter, der har en gennemførelsesgrad på mindst 20 % inden fristen i 2026; glæder sig over mulighed</w:t>
            </w:r>
            <w:r w:rsidRPr="000B03FF">
              <w:t>en for at etablere et prioriterings- og overførselssystem efter fristen i 2026, som skal gøre det muligt at færdiggøre igangværende projekter gennem andre finansieringsordninger, herunder Den Europæiske Investeringsfond og en eventuel ny europæisk fond for</w:t>
            </w:r>
            <w:r w:rsidRPr="000B03FF">
              <w:t xml:space="preserve"> konkurrenceevne;</w:t>
            </w:r>
          </w:p>
        </w:tc>
      </w:tr>
    </w:tbl>
    <w:p w:rsidR="00EA4087" w:rsidRPr="000B03FF" w:rsidRDefault="00A64EC2" w:rsidP="00EA4087">
      <w:pPr>
        <w:rPr>
          <w:szCs w:val="24"/>
        </w:rPr>
      </w:pPr>
      <w:r w:rsidRPr="000B03FF">
        <w:rPr>
          <w:rStyle w:val="HideTWBExt"/>
        </w:rPr>
        <w:t>&lt;/Amend&gt;</w:t>
      </w:r>
    </w:p>
    <w:p w:rsidR="00BB4507" w:rsidRPr="000B03FF" w:rsidRDefault="00A64EC2" w:rsidP="00BB4507">
      <w:pPr>
        <w:pStyle w:val="AMNumberTabs0"/>
        <w:keepNext/>
      </w:pPr>
      <w:r w:rsidRPr="000B03FF">
        <w:rPr>
          <w:rStyle w:val="HideTWBExt"/>
          <w:b w:val="0"/>
        </w:rPr>
        <w:t>&lt;Amend&gt;</w:t>
      </w:r>
      <w:r w:rsidRPr="000B03FF">
        <w:t>Ændringsforslag</w:t>
      </w:r>
      <w:r w:rsidRPr="000B03FF">
        <w:tab/>
      </w:r>
      <w:r w:rsidRPr="000B03FF">
        <w:tab/>
      </w:r>
      <w:r w:rsidRPr="000B03FF">
        <w:rPr>
          <w:rStyle w:val="HideTWBExt"/>
          <w:b w:val="0"/>
        </w:rPr>
        <w:t>&lt;NumAm&gt;</w:t>
      </w:r>
      <w:r w:rsidRPr="000B03FF">
        <w:t>53</w:t>
      </w:r>
      <w:r w:rsidRPr="000B03FF">
        <w:rPr>
          <w:rStyle w:val="HideTWBExt"/>
          <w:b w:val="0"/>
        </w:rPr>
        <w:t>&lt;/NumAm&gt;</w:t>
      </w:r>
    </w:p>
    <w:p w:rsidR="00BB4507" w:rsidRPr="000B03FF" w:rsidRDefault="00BB4507" w:rsidP="00BB4507"/>
    <w:p w:rsidR="00BB4507" w:rsidRPr="000B03FF" w:rsidRDefault="00A64EC2" w:rsidP="00BB4507">
      <w:pPr>
        <w:pStyle w:val="NormalBold"/>
        <w:keepNext/>
      </w:pPr>
      <w:r w:rsidRPr="000B03FF">
        <w:rPr>
          <w:rStyle w:val="HideTWBExt"/>
          <w:b w:val="0"/>
        </w:rPr>
        <w:t>&lt;DocAmend&gt;</w:t>
      </w:r>
      <w:r w:rsidRPr="000B03FF">
        <w:t>Forslag til beslutning</w:t>
      </w:r>
      <w:r w:rsidRPr="000B03FF">
        <w:rPr>
          <w:rStyle w:val="HideTWBExt"/>
          <w:b w:val="0"/>
        </w:rPr>
        <w:t>&lt;/DocAmend&gt;</w:t>
      </w:r>
    </w:p>
    <w:p w:rsidR="00BB4507" w:rsidRPr="000B03FF" w:rsidRDefault="00A64EC2" w:rsidP="00BB4507">
      <w:pPr>
        <w:pStyle w:val="NormalBold"/>
      </w:pPr>
      <w:r w:rsidRPr="000B03FF">
        <w:rPr>
          <w:rStyle w:val="HideTWBExt"/>
          <w:b w:val="0"/>
        </w:rPr>
        <w:t>&lt;Article&gt;</w:t>
      </w:r>
      <w:r w:rsidRPr="000B03FF">
        <w:t>Punkt 39</w:t>
      </w:r>
      <w:r w:rsidRPr="000B03F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0CD4" w:rsidRPr="000B03FF" w:rsidTr="00BB4507">
        <w:trPr>
          <w:jc w:val="center"/>
        </w:trPr>
        <w:tc>
          <w:tcPr>
            <w:tcW w:w="9752" w:type="dxa"/>
            <w:gridSpan w:val="2"/>
          </w:tcPr>
          <w:p w:rsidR="00BB4507" w:rsidRPr="000B03FF" w:rsidRDefault="00BB4507">
            <w:pPr>
              <w:keepNext/>
            </w:pPr>
          </w:p>
        </w:tc>
      </w:tr>
      <w:tr w:rsidR="00B30CD4" w:rsidRPr="000B03FF" w:rsidTr="00BB4507">
        <w:trPr>
          <w:jc w:val="center"/>
        </w:trPr>
        <w:tc>
          <w:tcPr>
            <w:tcW w:w="4876" w:type="dxa"/>
            <w:hideMark/>
          </w:tcPr>
          <w:p w:rsidR="00BB4507" w:rsidRPr="000B03FF" w:rsidRDefault="00A64EC2">
            <w:pPr>
              <w:pStyle w:val="ColumnHeading"/>
              <w:keepNext/>
            </w:pPr>
            <w:r w:rsidRPr="000B03FF">
              <w:t>Forslag til beslutning</w:t>
            </w:r>
          </w:p>
        </w:tc>
        <w:tc>
          <w:tcPr>
            <w:tcW w:w="4876" w:type="dxa"/>
            <w:hideMark/>
          </w:tcPr>
          <w:p w:rsidR="00BB4507" w:rsidRPr="000B03FF" w:rsidRDefault="00A64EC2">
            <w:pPr>
              <w:pStyle w:val="ColumnHeading"/>
              <w:keepNext/>
            </w:pPr>
            <w:r w:rsidRPr="000B03FF">
              <w:t>Ændringsforslag</w:t>
            </w:r>
          </w:p>
        </w:tc>
      </w:tr>
      <w:tr w:rsidR="00B30CD4" w:rsidRPr="000B03FF" w:rsidTr="00BB4507">
        <w:trPr>
          <w:jc w:val="center"/>
        </w:trPr>
        <w:tc>
          <w:tcPr>
            <w:tcW w:w="4876" w:type="dxa"/>
            <w:hideMark/>
          </w:tcPr>
          <w:p w:rsidR="00BB4507" w:rsidRPr="000B03FF" w:rsidRDefault="00A64EC2">
            <w:pPr>
              <w:pStyle w:val="Normal6"/>
            </w:pPr>
            <w:r w:rsidRPr="000B03FF">
              <w:t>39.</w:t>
            </w:r>
            <w:r w:rsidRPr="000B03FF">
              <w:tab/>
              <w:t xml:space="preserve">beklager den utilstrækkelige inddragelse af lokale og regionale </w:t>
            </w:r>
            <w:r w:rsidRPr="000B03FF">
              <w:t>myndigheder, civilsamfundsorganisationer, arbejdsmarkedets parter, nationale parlamenter og andre relevante interessenter i udformningen, revisionen og gennemførelsen af de nationale genopretnings- og resiliensplaner; minder om, at deltagelsen af de lokale</w:t>
            </w:r>
            <w:r w:rsidRPr="000B03FF">
              <w:t xml:space="preserve">, regionale og nationale myndigheder og de myndigheder, der er ansvarlige for at udvikle disse politikker, er afgørende for genopretnings- og resiliensfacilitetens succes, jf. artikel 28 i forordningen om genopretnings- og resiliensfaciliteten; minder om, </w:t>
            </w:r>
            <w:r w:rsidRPr="000B03FF">
              <w:t>at Parlamentet er gået ind for en bindende bestemmelse i genopretnings- og resiliensfaciliteten om at etablere en dialog på flere niveauer for at inddrage relevante interessenter og drøfte udarbejdelsen og gennemførelsen af de nationale genopretnings- og r</w:t>
            </w:r>
            <w:r w:rsidRPr="000B03FF">
              <w:t>esiliensplaner med dem med en klar høringsperiode; opfordrer derfor til størst mulig inddragelse af interessenter i gennemførelsen af de nationale genopretnings- og resiliensplaner i overensstemmelse med de nationale retlige rammer og baseret på klare og g</w:t>
            </w:r>
            <w:r w:rsidRPr="000B03FF">
              <w:t>ennemsigtige principper;</w:t>
            </w:r>
          </w:p>
        </w:tc>
        <w:tc>
          <w:tcPr>
            <w:tcW w:w="4876" w:type="dxa"/>
            <w:hideMark/>
          </w:tcPr>
          <w:p w:rsidR="00BB4507" w:rsidRPr="000B03FF" w:rsidRDefault="00A64EC2" w:rsidP="00144327">
            <w:pPr>
              <w:pStyle w:val="Normal6"/>
              <w:rPr>
                <w:szCs w:val="24"/>
              </w:rPr>
            </w:pPr>
            <w:r w:rsidRPr="000B03FF">
              <w:t>39.</w:t>
            </w:r>
            <w:r w:rsidRPr="000B03FF">
              <w:tab/>
              <w:t xml:space="preserve">beklager den utilstrækkelige inddragelse </w:t>
            </w:r>
            <w:r w:rsidRPr="000B03FF">
              <w:rPr>
                <w:b/>
                <w:i/>
              </w:rPr>
              <w:t>i nogle medlemsstater</w:t>
            </w:r>
            <w:r w:rsidRPr="000B03FF">
              <w:t xml:space="preserve"> af lokale og regionale myndigheder, civilsamfundsorganisationer, arbejdsmarkedets parter, nationale parlamenter og andre relevante interessenter i udformningen, rev</w:t>
            </w:r>
            <w:r w:rsidRPr="000B03FF">
              <w:t>isionen og gennemførelsen af de nationale genopretnings- og resiliensplaner</w:t>
            </w:r>
            <w:r w:rsidRPr="000B03FF">
              <w:rPr>
                <w:b/>
                <w:i/>
              </w:rPr>
              <w:t>, som er et krav i henhold til artikel 18, stk. 4, litra q), i forordningen om genopretnings- og resiliensfaciliteten, og understreger vigtigheden af at inddrage arbejdsmarkedets pa</w:t>
            </w:r>
            <w:r w:rsidRPr="000B03FF">
              <w:rPr>
                <w:b/>
                <w:i/>
              </w:rPr>
              <w:t>rter i foranstaltninger vedrørende beskæftigelse og socialpolitik</w:t>
            </w:r>
            <w:r w:rsidRPr="000B03FF">
              <w:t>; minder om, at deltagelsen af de lokale, regionale og nationale myndigheder og de myndigheder, der er ansvarlige for at udvikle disse politikker, er afgørende for genopretnings- og resiliens</w:t>
            </w:r>
            <w:r w:rsidRPr="000B03FF">
              <w:t>facilitetens succes, jf. artikel 28 i forordningen om genopretnings- og resiliensfaciliteten; minder om, at Parlamentet er gået ind for en bindende bestemmelse i genopretnings- og resiliensfaciliteten om at etablere en dialog på flere niveauer for at inddr</w:t>
            </w:r>
            <w:r w:rsidRPr="000B03FF">
              <w:t>age relevante interessenter og drøfte udarbejdelsen og gennemførelsen af de nationale genopretnings- og resiliensplaner med dem med en klar høringsperiode; opfordrer derfor til størst mulig inddragelse af interessenter i gennemførelsen af de nationale geno</w:t>
            </w:r>
            <w:r w:rsidRPr="000B03FF">
              <w:t>pretnings- og resiliensplaner</w:t>
            </w:r>
            <w:r w:rsidRPr="000B03FF">
              <w:rPr>
                <w:b/>
                <w:i/>
              </w:rPr>
              <w:t>, samtidig med at der sikres en omfattende og gennemsigtig inddragelsesproces,</w:t>
            </w:r>
            <w:r w:rsidRPr="000B03FF">
              <w:t xml:space="preserve"> i overensstemmelse med de nationale retlige rammer og baseret på klare og gennemsigtige principper; </w:t>
            </w:r>
            <w:r w:rsidRPr="000B03FF">
              <w:rPr>
                <w:b/>
                <w:i/>
              </w:rPr>
              <w:t>mener, at inddragelsen af interessenter skal vær</w:t>
            </w:r>
            <w:r w:rsidRPr="000B03FF">
              <w:rPr>
                <w:b/>
                <w:i/>
              </w:rPr>
              <w:t>e både kvalitativ og kvantitativ og omfatte aktiv deltagelse i overvågnings- og evalueringsprocesser, og minder om, at relevante interessenter også bør høres, inden reviderede planer godkendes;</w:t>
            </w:r>
          </w:p>
        </w:tc>
      </w:tr>
    </w:tbl>
    <w:p w:rsidR="00BB4507" w:rsidRPr="000B03FF" w:rsidRDefault="00A64EC2" w:rsidP="00BB4507">
      <w:pPr>
        <w:pStyle w:val="AmNumberTabs"/>
        <w:keepNext/>
      </w:pPr>
      <w:r w:rsidRPr="000B03FF">
        <w:rPr>
          <w:rStyle w:val="HideTWBExt"/>
        </w:rPr>
        <w:t>&lt;/Amend&gt;</w:t>
      </w:r>
    </w:p>
    <w:p w:rsidR="004667D1" w:rsidRPr="000B03FF" w:rsidRDefault="00A64EC2" w:rsidP="004667D1">
      <w:r w:rsidRPr="000B03FF">
        <w:rPr>
          <w:rStyle w:val="HideTWBExt"/>
        </w:rPr>
        <w:t>&lt;/RepeatBlock-Amend&gt;</w:t>
      </w:r>
    </w:p>
    <w:p w:rsidR="002763BF" w:rsidRPr="000B03FF" w:rsidRDefault="002763BF">
      <w:pPr>
        <w:widowControl/>
        <w:sectPr w:rsidR="002763BF" w:rsidRPr="000B03FF" w:rsidSect="000B03FF">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2763BF" w:rsidRPr="000B03FF" w:rsidRDefault="002763BF">
      <w:pPr>
        <w:widowControl/>
      </w:pPr>
    </w:p>
    <w:p w:rsidR="002763BF" w:rsidRPr="000B03FF" w:rsidRDefault="00A64EC2" w:rsidP="007B04F0">
      <w:pPr>
        <w:pStyle w:val="PageHeadingNotTOC"/>
      </w:pPr>
      <w:bookmarkStart w:id="0" w:name="FootprintPageAD"/>
      <w:r w:rsidRPr="000B03FF">
        <w:t>BILAG: ENHEDER ELLER PERS</w:t>
      </w:r>
      <w:r w:rsidRPr="000B03FF">
        <w:t>ONER, SOM ORDFØREREN HAR MODTAGET INPUT FRA</w:t>
      </w:r>
    </w:p>
    <w:p w:rsidR="002763BF" w:rsidRPr="000B03FF" w:rsidRDefault="00A64EC2" w:rsidP="007B04F0">
      <w:pPr>
        <w:pStyle w:val="Normal24a"/>
      </w:pPr>
      <w:r w:rsidRPr="000B03FF">
        <w:rPr>
          <w:rStyle w:val="HideTWBExt"/>
        </w:rPr>
        <w:t>&lt;FootprintIntro&gt;</w:t>
      </w:r>
      <w:r w:rsidRPr="000B03FF">
        <w:t>Ordføreren for udtalelsen erklærer på eget ansvar ikke at have modtaget input fra nogen enhed eller person, der skal nævnes i dette bilag i henhold til artikel 8 i bilag I til forretningsordenen.</w:t>
      </w:r>
      <w:r w:rsidRPr="000B03FF">
        <w:rPr>
          <w:rStyle w:val="HideTWBExt"/>
        </w:rPr>
        <w:t>&lt;</w:t>
      </w:r>
      <w:r w:rsidRPr="000B03FF">
        <w:rPr>
          <w:rStyle w:val="HideTWBExt"/>
        </w:rPr>
        <w:t>/FootprintIntro&gt;</w:t>
      </w:r>
    </w:p>
    <w:p w:rsidR="002763BF" w:rsidRPr="000B03FF" w:rsidRDefault="002763BF" w:rsidP="002763BF"/>
    <w:bookmarkEnd w:id="0"/>
    <w:p w:rsidR="0031616B" w:rsidRPr="000B03FF" w:rsidRDefault="00A64EC2" w:rsidP="0031616B">
      <w:r w:rsidRPr="000B03FF">
        <w:br w:type="page"/>
      </w:r>
    </w:p>
    <w:p w:rsidR="0031616B" w:rsidRPr="000B03FF" w:rsidRDefault="00A64EC2" w:rsidP="0031616B">
      <w:pPr>
        <w:pStyle w:val="PageHeadingNotTOC"/>
      </w:pPr>
      <w:bookmarkStart w:id="1" w:name="ProcPageAD"/>
      <w:r w:rsidRPr="000B03FF">
        <w:t>OPLYSNINGER OM VEDTAGELSE</w:t>
      </w:r>
      <w:r w:rsidRPr="000B03FF">
        <w:br/>
        <w:t>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30CD4" w:rsidRPr="000B03F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b/>
                <w:bCs/>
                <w:color w:val="000000"/>
                <w:sz w:val="20"/>
              </w:rPr>
            </w:pPr>
            <w:r w:rsidRPr="000B03FF">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31.3.2025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616B" w:rsidRPr="000B03FF" w:rsidRDefault="0031616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616B" w:rsidRPr="000B03FF" w:rsidRDefault="0031616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616B" w:rsidRPr="000B03FF" w:rsidRDefault="0031616B">
            <w:pPr>
              <w:autoSpaceDE w:val="0"/>
              <w:autoSpaceDN w:val="0"/>
              <w:adjustRightInd w:val="0"/>
              <w:rPr>
                <w:rFonts w:ascii="sans-serif" w:hAnsi="sans-serif" w:cs="sans-serif"/>
                <w:color w:val="000000"/>
                <w:szCs w:val="24"/>
              </w:rPr>
            </w:pPr>
          </w:p>
        </w:tc>
      </w:tr>
      <w:tr w:rsidR="00B30CD4" w:rsidRPr="000B03F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b/>
                <w:bCs/>
                <w:color w:val="000000"/>
                <w:sz w:val="20"/>
              </w:rPr>
            </w:pPr>
            <w:r w:rsidRPr="000B03FF">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w:t>
            </w:r>
          </w:p>
          <w:p w:rsidR="0031616B" w:rsidRPr="000B03FF" w:rsidRDefault="00A64EC2">
            <w:pPr>
              <w:autoSpaceDE w:val="0"/>
              <w:autoSpaceDN w:val="0"/>
              <w:adjustRightInd w:val="0"/>
              <w:rPr>
                <w:color w:val="000000"/>
                <w:sz w:val="20"/>
              </w:rPr>
            </w:pPr>
            <w:r w:rsidRPr="000B03FF">
              <w:rPr>
                <w:color w:val="000000"/>
                <w:sz w:val="20"/>
              </w:rPr>
              <w:t>–:</w:t>
            </w:r>
          </w:p>
          <w:p w:rsidR="0031616B" w:rsidRPr="000B03FF" w:rsidRDefault="00A64EC2">
            <w:pPr>
              <w:autoSpaceDE w:val="0"/>
              <w:autoSpaceDN w:val="0"/>
              <w:adjustRightInd w:val="0"/>
              <w:rPr>
                <w:color w:val="000000"/>
                <w:sz w:val="20"/>
              </w:rPr>
            </w:pPr>
            <w:r w:rsidRPr="000B03FF">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40</w:t>
            </w:r>
          </w:p>
          <w:p w:rsidR="0031616B" w:rsidRPr="000B03FF" w:rsidRDefault="00A64EC2">
            <w:pPr>
              <w:autoSpaceDE w:val="0"/>
              <w:autoSpaceDN w:val="0"/>
              <w:adjustRightInd w:val="0"/>
              <w:rPr>
                <w:color w:val="000000"/>
                <w:sz w:val="20"/>
              </w:rPr>
            </w:pPr>
            <w:r w:rsidRPr="000B03FF">
              <w:rPr>
                <w:color w:val="000000"/>
                <w:sz w:val="20"/>
              </w:rPr>
              <w:t>11</w:t>
            </w:r>
          </w:p>
          <w:p w:rsidR="0031616B" w:rsidRPr="000B03FF" w:rsidRDefault="00A64EC2">
            <w:pPr>
              <w:autoSpaceDE w:val="0"/>
              <w:autoSpaceDN w:val="0"/>
              <w:adjustRightInd w:val="0"/>
              <w:rPr>
                <w:color w:val="000000"/>
                <w:sz w:val="20"/>
              </w:rPr>
            </w:pPr>
            <w:r w:rsidRPr="000B03FF">
              <w:rPr>
                <w:color w:val="000000"/>
                <w:sz w:val="20"/>
              </w:rPr>
              <w:t>1</w:t>
            </w:r>
          </w:p>
        </w:tc>
      </w:tr>
      <w:tr w:rsidR="00B30CD4" w:rsidRPr="000B03F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b/>
                <w:bCs/>
                <w:color w:val="000000"/>
                <w:sz w:val="20"/>
              </w:rPr>
            </w:pPr>
            <w:r w:rsidRPr="000B03FF">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 xml:space="preserve">Maravillas Abadía Jover, Grégory Allione, Nikola </w:t>
            </w:r>
            <w:r w:rsidRPr="000B03FF">
              <w:rPr>
                <w:color w:val="000000"/>
                <w:sz w:val="20"/>
              </w:rPr>
              <w:t>Bartůšek, Vilija Blinkevičiūtė, Rachel Blom, Andrzej Buła, Estelle Ceulemans, Leila Chaibi, Henrik Dahl, Johan Danielsson, Marie Dauchy, Mélanie Disdier, Elena Donazzan, Gheorghe Falcă, Chiara Gemma, Niels Geuking, Isilda Gomes, Alicia Homs Ginel, Sérgio H</w:t>
            </w:r>
            <w:r w:rsidRPr="000B03FF">
              <w:rPr>
                <w:color w:val="000000"/>
                <w:sz w:val="20"/>
              </w:rPr>
              <w:t>umberto, Irena Joveva, Martine Kemp, Katrin Langensiepen, Miriam Lexmann, Marit Maij, Idoia Mendia, Maria Ohisalo, João Oliveira, Aodhán Ó Ríordáin, Dennis Radtke, Liesbet Sommen, Villy Søvndal, Pál Szekeres, Georgiana Teodorescu, Romana Tomc, Jana Toom, R</w:t>
            </w:r>
            <w:r w:rsidRPr="000B03FF">
              <w:rPr>
                <w:color w:val="000000"/>
                <w:sz w:val="20"/>
              </w:rPr>
              <w:t>affaele Topo, Brigitte van den Berg, Marie-Pierre Vedrenne, Mariateresa Vivaldini, Petar Volgin, Jan-Peter Warnke, Séverine Werbrouck</w:t>
            </w:r>
          </w:p>
        </w:tc>
      </w:tr>
      <w:tr w:rsidR="00B30CD4" w:rsidRPr="000B03F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b/>
                <w:bCs/>
                <w:color w:val="000000"/>
                <w:sz w:val="20"/>
              </w:rPr>
            </w:pPr>
            <w:r w:rsidRPr="000B03FF">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Borys Budka, Vivien Costanzo, Andi Cristea, Klára Dobrev, Estrella</w:t>
            </w:r>
            <w:r w:rsidRPr="000B03FF">
              <w:rPr>
                <w:color w:val="000000"/>
                <w:sz w:val="20"/>
              </w:rPr>
              <w:t xml:space="preserve"> Galán, Rudi Kennes, Pierfrancesco Maran, Benedetta Scuderi, Andrea Wechsler, Angelika Winzig</w:t>
            </w:r>
          </w:p>
        </w:tc>
      </w:tr>
      <w:tr w:rsidR="00B30CD4" w:rsidRPr="000B03F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b/>
                <w:bCs/>
                <w:color w:val="000000"/>
                <w:sz w:val="20"/>
              </w:rPr>
            </w:pPr>
            <w:r w:rsidRPr="000B03FF">
              <w:rPr>
                <w:b/>
                <w:color w:val="000000"/>
                <w:sz w:val="20"/>
              </w:rPr>
              <w:t>Til stede ved den endelige afstemning – medlemmer som omhandlet i forretningsordenens art. 216,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616B" w:rsidRPr="000B03FF" w:rsidRDefault="00A64EC2">
            <w:pPr>
              <w:autoSpaceDE w:val="0"/>
              <w:autoSpaceDN w:val="0"/>
              <w:adjustRightInd w:val="0"/>
              <w:rPr>
                <w:color w:val="000000"/>
                <w:sz w:val="20"/>
              </w:rPr>
            </w:pPr>
            <w:r w:rsidRPr="000B03FF">
              <w:rPr>
                <w:color w:val="000000"/>
                <w:sz w:val="20"/>
              </w:rPr>
              <w:t>Salvatore De Meo</w:t>
            </w:r>
          </w:p>
        </w:tc>
      </w:tr>
    </w:tbl>
    <w:p w:rsidR="0031616B" w:rsidRPr="000B03FF" w:rsidRDefault="0031616B" w:rsidP="0031616B"/>
    <w:bookmarkEnd w:id="1"/>
    <w:p w:rsidR="0031616B" w:rsidRPr="000B03FF" w:rsidRDefault="0031616B" w:rsidP="0031616B">
      <w:pPr>
        <w:sectPr w:rsidR="0031616B" w:rsidRPr="000B03FF" w:rsidSect="0031616B">
          <w:footnotePr>
            <w:numRestart w:val="eachSect"/>
          </w:footnotePr>
          <w:endnotePr>
            <w:numFmt w:val="decimal"/>
          </w:endnotePr>
          <w:pgSz w:w="11906" w:h="16838" w:code="9"/>
          <w:pgMar w:top="1134" w:right="1418" w:bottom="1418" w:left="1418" w:header="1134" w:footer="567" w:gutter="0"/>
          <w:cols w:space="720"/>
          <w:noEndnote/>
          <w:docGrid w:linePitch="326"/>
        </w:sectPr>
      </w:pPr>
    </w:p>
    <w:p w:rsidR="0031616B" w:rsidRPr="000B03FF" w:rsidRDefault="00A64EC2" w:rsidP="00F60663">
      <w:pPr>
        <w:pStyle w:val="PageHeadingNotTOC"/>
      </w:pPr>
      <w:bookmarkStart w:id="2" w:name="RollCallPageAD"/>
      <w:r w:rsidRPr="000B03FF">
        <w:t xml:space="preserve">ENDELIG </w:t>
      </w:r>
      <w:r w:rsidRPr="000B03FF">
        <w:t>AFSTEMNING VED NAVNEOPRÅB</w:t>
      </w:r>
      <w:r w:rsidRPr="000B03FF">
        <w:br/>
        <w:t>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30CD4" w:rsidRPr="000B03FF" w:rsidTr="0031616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1616B" w:rsidRPr="000B03FF" w:rsidRDefault="00A64EC2">
            <w:pPr>
              <w:pStyle w:val="RollCallVotes"/>
            </w:pPr>
            <w:r w:rsidRPr="000B03FF">
              <w:t>40</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1616B" w:rsidRPr="000B03FF" w:rsidRDefault="00A64EC2">
            <w:pPr>
              <w:pStyle w:val="RollCallSymbols14pt"/>
            </w:pPr>
            <w:r w:rsidRPr="000B03FF">
              <w:t>+</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Jan-Peter Warnke</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 xml:space="preserve">Maravillas Abadía Jover, Borys Budka, Andrzej Buła, Salvatore De Meo, Gheorghe Falcă, Niels Geuking, Sérgio Humberto, Martine Kemp, Miriam Lexmann, Dennis Radtke, Liesbet Sommen, </w:t>
            </w:r>
            <w:r w:rsidRPr="000B03FF">
              <w:t>Romana Tomc, Andrea Wechsler, Angelika Winzig</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Grégory Allione, Irena Joveva, Jana Toom, Brigitte van den Berg, Marie-Pierre Vedrenne</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Vilija Blinkevičiūtė, Estelle Ceulemans, Andi Cristea, Johan Danielsson, Klára Dobrev, Isilda Gomes, Alicia Hom</w:t>
            </w:r>
            <w:r w:rsidRPr="000B03FF">
              <w:t>s Ginel, Marit Maij, Pierfrancesco Maran, Idoia Mendia, Aodhán Ó Ríordáin, Raffaele Topo</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Leila Chaibi, Estrella Galán, Rudi Kennes, João Oliveira</w:t>
            </w:r>
          </w:p>
        </w:tc>
      </w:tr>
      <w:tr w:rsidR="00B30CD4" w:rsidRPr="000B03FF" w:rsidTr="0031616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1616B" w:rsidRPr="000B03FF" w:rsidRDefault="00A64EC2">
            <w:pPr>
              <w:pStyle w:val="RollCallTable"/>
            </w:pPr>
            <w:r w:rsidRPr="000B03FF">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1616B" w:rsidRPr="000B03FF" w:rsidRDefault="00A64EC2">
            <w:pPr>
              <w:pStyle w:val="RollCallTable"/>
            </w:pPr>
            <w:r w:rsidRPr="000B03FF">
              <w:t>Katrin Langensiepen, Maria Ohisalo, Benedetta Scuderi, Villy Søvndal</w:t>
            </w:r>
          </w:p>
        </w:tc>
      </w:tr>
    </w:tbl>
    <w:p w:rsidR="0031616B" w:rsidRPr="000B03FF" w:rsidRDefault="0031616B" w:rsidP="0031616B">
      <w:pPr>
        <w:rPr>
          <w:rFonts w:eastAsiaTheme="minorEastAsia"/>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30CD4" w:rsidRPr="000B03FF" w:rsidTr="0031616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1616B" w:rsidRPr="000B03FF" w:rsidRDefault="00A64EC2">
            <w:pPr>
              <w:pStyle w:val="RollCallVotes"/>
            </w:pPr>
            <w:r w:rsidRPr="000B03FF">
              <w:t>11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1616B" w:rsidRPr="000B03FF" w:rsidRDefault="00A64EC2">
            <w:pPr>
              <w:pStyle w:val="RollCallSymbols14pt"/>
            </w:pPr>
            <w:r w:rsidRPr="000B03FF">
              <w:t>-</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 xml:space="preserve">Elena </w:t>
            </w:r>
            <w:r w:rsidRPr="000B03FF">
              <w:t>Donazzan, Chiara Gemma, Georgiana Teodorescu, Mariateresa Vivaldini</w:t>
            </w:r>
          </w:p>
        </w:tc>
      </w:tr>
      <w:tr w:rsidR="00B30CD4" w:rsidRPr="000B03FF" w:rsidTr="0031616B">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1616B" w:rsidRPr="000B03FF" w:rsidRDefault="00A64EC2">
            <w:pPr>
              <w:pStyle w:val="RollCallTable"/>
            </w:pPr>
            <w:r w:rsidRPr="000B03FF">
              <w:t>ESN</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1616B" w:rsidRPr="000B03FF" w:rsidRDefault="00A64EC2">
            <w:pPr>
              <w:pStyle w:val="RollCallTable"/>
            </w:pPr>
            <w:r w:rsidRPr="000B03FF">
              <w:t>Petar Volgin</w:t>
            </w:r>
          </w:p>
        </w:tc>
      </w:tr>
      <w:tr w:rsidR="00B30CD4" w:rsidRPr="000B03FF" w:rsidTr="0031616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1616B" w:rsidRPr="000B03FF" w:rsidRDefault="00A64EC2">
            <w:pPr>
              <w:pStyle w:val="RollCallTable"/>
            </w:pPr>
            <w:r w:rsidRPr="000B03FF">
              <w:t>PfE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1616B" w:rsidRPr="000B03FF" w:rsidRDefault="00A64EC2">
            <w:pPr>
              <w:pStyle w:val="RollCallTable"/>
            </w:pPr>
            <w:r w:rsidRPr="000B03FF">
              <w:t>Nikola Bartůšek, Rachel Blom, Marie Dauchy, Mélanie Disdier, Pál Szekeres, Séverine Werbrouck</w:t>
            </w:r>
          </w:p>
        </w:tc>
      </w:tr>
    </w:tbl>
    <w:p w:rsidR="0031616B" w:rsidRPr="000B03FF" w:rsidRDefault="0031616B" w:rsidP="0031616B">
      <w:pPr>
        <w:rPr>
          <w:rFonts w:eastAsiaTheme="minorEastAsia"/>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30CD4" w:rsidRPr="000B03FF" w:rsidTr="0031616B">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1616B" w:rsidRPr="000B03FF" w:rsidRDefault="00A64EC2">
            <w:pPr>
              <w:pStyle w:val="RollCallVotes"/>
            </w:pPr>
            <w:r w:rsidRPr="000B03FF">
              <w:t>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1616B" w:rsidRPr="000B03FF" w:rsidRDefault="00A64EC2">
            <w:pPr>
              <w:pStyle w:val="RollCallSymbols14pt"/>
            </w:pPr>
            <w:r w:rsidRPr="000B03FF">
              <w:t>0</w:t>
            </w:r>
          </w:p>
        </w:tc>
      </w:tr>
      <w:tr w:rsidR="00B30CD4" w:rsidRPr="000B03FF" w:rsidTr="0031616B">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1616B" w:rsidRPr="000B03FF" w:rsidRDefault="00A64EC2">
            <w:pPr>
              <w:pStyle w:val="RollCallTable"/>
            </w:pPr>
            <w:r w:rsidRPr="000B03FF">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1616B" w:rsidRPr="000B03FF" w:rsidRDefault="00A64EC2">
            <w:pPr>
              <w:pStyle w:val="RollCallTable"/>
            </w:pPr>
            <w:r w:rsidRPr="000B03FF">
              <w:t>Henrik Dahl</w:t>
            </w:r>
          </w:p>
        </w:tc>
      </w:tr>
    </w:tbl>
    <w:p w:rsidR="0031616B" w:rsidRPr="000B03FF" w:rsidRDefault="0031616B" w:rsidP="0031616B">
      <w:pPr>
        <w:pStyle w:val="Normal12a"/>
      </w:pPr>
    </w:p>
    <w:p w:rsidR="0031616B" w:rsidRPr="000B03FF" w:rsidRDefault="00A64EC2" w:rsidP="00F60663">
      <w:r w:rsidRPr="000B03FF">
        <w:t>Tegnforklaring:</w:t>
      </w:r>
    </w:p>
    <w:p w:rsidR="0031616B" w:rsidRPr="000B03FF" w:rsidRDefault="00A64EC2" w:rsidP="00F60663">
      <w:pPr>
        <w:pStyle w:val="RollCallTabs"/>
      </w:pPr>
      <w:r w:rsidRPr="000B03FF">
        <w:t>+</w:t>
      </w:r>
      <w:r w:rsidRPr="000B03FF">
        <w:tab/>
        <w:t>:</w:t>
      </w:r>
      <w:r w:rsidRPr="000B03FF">
        <w:tab/>
        <w:t>for</w:t>
      </w:r>
    </w:p>
    <w:p w:rsidR="0031616B" w:rsidRPr="000B03FF" w:rsidRDefault="00A64EC2" w:rsidP="00F60663">
      <w:pPr>
        <w:pStyle w:val="RollCallTabs"/>
      </w:pPr>
      <w:r w:rsidRPr="000B03FF">
        <w:t>-</w:t>
      </w:r>
      <w:r w:rsidRPr="000B03FF">
        <w:tab/>
        <w:t>:</w:t>
      </w:r>
      <w:r w:rsidRPr="000B03FF">
        <w:tab/>
        <w:t>imod</w:t>
      </w:r>
    </w:p>
    <w:p w:rsidR="0031616B" w:rsidRPr="000B03FF" w:rsidRDefault="00A64EC2" w:rsidP="00F60663">
      <w:pPr>
        <w:pStyle w:val="RollCallTabs"/>
      </w:pPr>
      <w:r w:rsidRPr="000B03FF">
        <w:t>0</w:t>
      </w:r>
      <w:r w:rsidRPr="000B03FF">
        <w:tab/>
        <w:t>:</w:t>
      </w:r>
      <w:r w:rsidRPr="000B03FF">
        <w:tab/>
      </w:r>
      <w:r w:rsidRPr="000B03FF">
        <w:t>hverken/eller</w:t>
      </w:r>
    </w:p>
    <w:p w:rsidR="0031616B" w:rsidRPr="000B03FF" w:rsidRDefault="0031616B" w:rsidP="00F60663">
      <w:bookmarkStart w:id="3" w:name="_GoBack"/>
      <w:bookmarkEnd w:id="3"/>
    </w:p>
    <w:bookmarkEnd w:id="2"/>
    <w:p w:rsidR="00BF0AFC" w:rsidRPr="000B03FF" w:rsidRDefault="00BF0AFC" w:rsidP="0031616B"/>
    <w:sectPr w:rsidR="00BF0AFC" w:rsidRPr="000B03FF" w:rsidSect="0031616B">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B03FF" w:rsidRDefault="00A64EC2">
      <w:r w:rsidRPr="000B03FF">
        <w:separator/>
      </w:r>
    </w:p>
  </w:endnote>
  <w:endnote w:type="continuationSeparator" w:id="0">
    <w:p w:rsidR="00000000" w:rsidRPr="000B03FF" w:rsidRDefault="00A64EC2">
      <w:r w:rsidRPr="000B03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3FF" w:rsidRPr="000B03FF" w:rsidRDefault="000B03FF" w:rsidP="000B03FF">
    <w:pPr>
      <w:pStyle w:val="EPFooter"/>
    </w:pPr>
    <w:r w:rsidRPr="000B03FF">
      <w:t>PE</w:t>
    </w:r>
    <w:r w:rsidRPr="000B03FF">
      <w:rPr>
        <w:rStyle w:val="HideTWBExt"/>
      </w:rPr>
      <w:t>&lt;NoPE&gt;</w:t>
    </w:r>
    <w:r w:rsidRPr="000B03FF">
      <w:t>768.112</w:t>
    </w:r>
    <w:r w:rsidRPr="000B03FF">
      <w:rPr>
        <w:rStyle w:val="HideTWBExt"/>
      </w:rPr>
      <w:t>&lt;/NoPE&gt;&lt;Version&gt;</w:t>
    </w:r>
    <w:r w:rsidRPr="000B03FF">
      <w:t>v02-00</w:t>
    </w:r>
    <w:r w:rsidRPr="000B03FF">
      <w:rPr>
        <w:rStyle w:val="HideTWBExt"/>
      </w:rPr>
      <w:t>&lt;/Version&gt;</w:t>
    </w:r>
    <w:r w:rsidRPr="000B03FF">
      <w:tab/>
    </w:r>
    <w:r w:rsidRPr="000B03FF">
      <w:fldChar w:fldCharType="begin"/>
    </w:r>
    <w:r w:rsidRPr="000B03FF">
      <w:instrText xml:space="preserve"> PAGE  \* MERGEFORMAT </w:instrText>
    </w:r>
    <w:r w:rsidRPr="000B03FF">
      <w:fldChar w:fldCharType="separate"/>
    </w:r>
    <w:r w:rsidR="00A64EC2">
      <w:rPr>
        <w:noProof/>
      </w:rPr>
      <w:t>40</w:t>
    </w:r>
    <w:r w:rsidRPr="000B03FF">
      <w:fldChar w:fldCharType="end"/>
    </w:r>
    <w:r w:rsidRPr="000B03FF">
      <w:t>/</w:t>
    </w:r>
    <w:fldSimple w:instr=" NUMPAGES  \* MERGEFORMAT ">
      <w:r w:rsidR="00A64EC2">
        <w:rPr>
          <w:noProof/>
        </w:rPr>
        <w:t>40</w:t>
      </w:r>
    </w:fldSimple>
    <w:r w:rsidRPr="000B03FF">
      <w:tab/>
    </w:r>
    <w:r w:rsidRPr="000B03FF">
      <w:rPr>
        <w:rStyle w:val="HideTWBExt"/>
      </w:rPr>
      <w:t>&lt;PathFdR&gt;</w:t>
    </w:r>
    <w:r w:rsidRPr="000B03FF">
      <w:t>AD\1317257DA.docx</w:t>
    </w:r>
    <w:r w:rsidRPr="000B03FF">
      <w:rPr>
        <w:rStyle w:val="HideTWBExt"/>
      </w:rPr>
      <w:t>&lt;/PathFdR&gt;</w:t>
    </w:r>
  </w:p>
  <w:p w:rsidR="008F0ED2" w:rsidRPr="000B03FF" w:rsidRDefault="000B03FF" w:rsidP="000B03FF">
    <w:pPr>
      <w:pStyle w:val="EPFooter2"/>
    </w:pPr>
    <w:r w:rsidRPr="000B03FF">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3FF" w:rsidRPr="000B03FF" w:rsidRDefault="000B03FF" w:rsidP="000B03FF">
    <w:pPr>
      <w:pStyle w:val="EPFooter"/>
    </w:pPr>
    <w:r w:rsidRPr="000B03FF">
      <w:rPr>
        <w:rStyle w:val="HideTWBExt"/>
      </w:rPr>
      <w:t>&lt;PathFdR&gt;</w:t>
    </w:r>
    <w:r w:rsidRPr="000B03FF">
      <w:t>AD\1317257DA.docx</w:t>
    </w:r>
    <w:r w:rsidRPr="000B03FF">
      <w:rPr>
        <w:rStyle w:val="HideTWBExt"/>
      </w:rPr>
      <w:t>&lt;/PathFdR&gt;</w:t>
    </w:r>
    <w:r w:rsidRPr="000B03FF">
      <w:tab/>
    </w:r>
    <w:r w:rsidRPr="000B03FF">
      <w:fldChar w:fldCharType="begin"/>
    </w:r>
    <w:r w:rsidRPr="000B03FF">
      <w:instrText xml:space="preserve"> PAGE  \* MERGEFORMAT </w:instrText>
    </w:r>
    <w:r w:rsidRPr="000B03FF">
      <w:fldChar w:fldCharType="separate"/>
    </w:r>
    <w:r w:rsidR="00A64EC2">
      <w:rPr>
        <w:noProof/>
      </w:rPr>
      <w:t>39</w:t>
    </w:r>
    <w:r w:rsidRPr="000B03FF">
      <w:fldChar w:fldCharType="end"/>
    </w:r>
    <w:r w:rsidRPr="000B03FF">
      <w:t>/</w:t>
    </w:r>
    <w:fldSimple w:instr=" NUMPAGES  \* MERGEFORMAT ">
      <w:r w:rsidR="00A64EC2">
        <w:rPr>
          <w:noProof/>
        </w:rPr>
        <w:t>40</w:t>
      </w:r>
    </w:fldSimple>
    <w:r w:rsidRPr="000B03FF">
      <w:tab/>
      <w:t>PE</w:t>
    </w:r>
    <w:r w:rsidRPr="000B03FF">
      <w:rPr>
        <w:rStyle w:val="HideTWBExt"/>
      </w:rPr>
      <w:t>&lt;NoPE&gt;</w:t>
    </w:r>
    <w:r w:rsidRPr="000B03FF">
      <w:t>768.112</w:t>
    </w:r>
    <w:r w:rsidRPr="000B03FF">
      <w:rPr>
        <w:rStyle w:val="HideTWBExt"/>
      </w:rPr>
      <w:t>&lt;/NoPE&gt;&lt;Version&gt;</w:t>
    </w:r>
    <w:r w:rsidRPr="000B03FF">
      <w:t>v02-00</w:t>
    </w:r>
    <w:r w:rsidRPr="000B03FF">
      <w:rPr>
        <w:rStyle w:val="HideTWBExt"/>
      </w:rPr>
      <w:t>&lt;/Version&gt;</w:t>
    </w:r>
  </w:p>
  <w:p w:rsidR="008F0ED2" w:rsidRPr="000B03FF" w:rsidRDefault="000B03FF" w:rsidP="000B03FF">
    <w:pPr>
      <w:pStyle w:val="EPFooter2"/>
    </w:pPr>
    <w:r w:rsidRPr="000B03FF">
      <w:tab/>
    </w:r>
    <w:r w:rsidRPr="000B03FF">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3FF" w:rsidRPr="000B03FF" w:rsidRDefault="000B03FF" w:rsidP="000B03FF">
    <w:pPr>
      <w:pStyle w:val="EPFooter"/>
    </w:pPr>
    <w:r w:rsidRPr="000B03FF">
      <w:rPr>
        <w:rStyle w:val="HideTWBExt"/>
      </w:rPr>
      <w:t>&lt;PathFdR&gt;</w:t>
    </w:r>
    <w:r w:rsidRPr="000B03FF">
      <w:t>AD\1317257DA.docx</w:t>
    </w:r>
    <w:r w:rsidRPr="000B03FF">
      <w:rPr>
        <w:rStyle w:val="HideTWBExt"/>
      </w:rPr>
      <w:t>&lt;/PathFdR&gt;</w:t>
    </w:r>
    <w:r w:rsidRPr="000B03FF">
      <w:tab/>
    </w:r>
    <w:r w:rsidRPr="000B03FF">
      <w:tab/>
      <w:t>PE</w:t>
    </w:r>
    <w:r w:rsidRPr="000B03FF">
      <w:rPr>
        <w:rStyle w:val="HideTWBExt"/>
      </w:rPr>
      <w:t>&lt;NoPE&gt;</w:t>
    </w:r>
    <w:r w:rsidRPr="000B03FF">
      <w:t>768.112</w:t>
    </w:r>
    <w:r w:rsidRPr="000B03FF">
      <w:rPr>
        <w:rStyle w:val="HideTWBExt"/>
      </w:rPr>
      <w:t>&lt;/NoPE&gt;&lt;Version&gt;</w:t>
    </w:r>
    <w:r w:rsidRPr="000B03FF">
      <w:t>v02-00</w:t>
    </w:r>
    <w:r w:rsidRPr="000B03FF">
      <w:rPr>
        <w:rStyle w:val="HideTWBExt"/>
      </w:rPr>
      <w:t>&lt;/Version&gt;</w:t>
    </w:r>
  </w:p>
  <w:p w:rsidR="008F0ED2" w:rsidRPr="000B03FF" w:rsidRDefault="000B03FF" w:rsidP="000B03FF">
    <w:pPr>
      <w:pStyle w:val="EPFooter2"/>
    </w:pPr>
    <w:r w:rsidRPr="000B03FF">
      <w:t>DA</w:t>
    </w:r>
    <w:r w:rsidRPr="000B03FF">
      <w:tab/>
    </w:r>
    <w:r w:rsidRPr="000B03FF">
      <w:rPr>
        <w:b w:val="0"/>
        <w:i/>
        <w:color w:val="C0C0C0"/>
        <w:sz w:val="22"/>
      </w:rPr>
      <w:t>Forenet i mangfoldighed</w:t>
    </w:r>
    <w:r w:rsidRPr="000B03FF">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0B03FF" w:rsidRDefault="00A64EC2">
      <w:r w:rsidRPr="000B03FF">
        <w:separator/>
      </w:r>
    </w:p>
  </w:footnote>
  <w:footnote w:type="continuationSeparator" w:id="0">
    <w:p w:rsidR="00000000" w:rsidRPr="000B03FF" w:rsidRDefault="00A64EC2">
      <w:r w:rsidRPr="000B03F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EC2" w:rsidRDefault="00A64E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EC2" w:rsidRDefault="00A64E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EC2" w:rsidRDefault="00A64E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AUTHORMFMNU" w:val=" 2"/>
    <w:docVar w:name="CJMNU" w:val="2"/>
    <w:docVar w:name="CODEMNU" w:val=" 1"/>
    <w:docVar w:name="COM2KEY" w:val="CJ16"/>
    <w:docVar w:name="COMKEY" w:val="EMPL"/>
    <w:docVar w:name="CONTRIBUTIONMNU" w:val=" 2"/>
    <w:docVar w:name="CVar" w:val="2"/>
    <w:docVar w:name="DDATE" w:val="11/02/2025"/>
    <w:docVar w:name="DOCMNU" w:val=" 1"/>
    <w:docVar w:name="DOCREFINIMNU" w:val=" 1"/>
    <w:docVar w:name="FONCTIONMNU" w:val=" 1"/>
    <w:docVar w:name="iNoAmend" w:val="2"/>
    <w:docVar w:name="LastEditedSection" w:val=" 3"/>
    <w:docVar w:name="ORLANGKEY" w:val="EN"/>
    <w:docVar w:name="ORLANG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826753 HideTWBExt;}{\*\cs18 \additive \v\f1\fs20\cf15 _x000d__x000a_\spriority0 \styrsid3826753 HideTWBInt;}{\s19\ql \li0\ri0\nowidctlpar\wrapdefault\aspalpha\aspnum\faauto\adjustright\rin0\lin0\itap0 \rtlch\fcs1 \af0\afs20\alang1025 \ltrch\fcs0 \b\fs24\lang2057\langfe2057\cgrid\langnp2057\langfenp2057 _x000d__x000a_\sbasedon0 \snext19 \spriority0 \styrsid3826753 NormalBold;}{\s20\ql \li0\ri0\sa120\nowidctlpar\wrapdefault\aspalpha\aspnum\faauto\adjustright\rin0\lin0\itap0 \rtlch\fcs1 \af0\afs20\alang1025 \ltrch\fcs0 _x000d__x000a_\fs24\lang2057\langfe2057\cgrid\langnp2057\langfenp2057 \sbasedon0 \snext20 \spriority0 \styrsid3826753 Normal6a;}{\s21\qc \li0\ri0\sa240\nowidctlpar\wrapdefault\aspalpha\aspnum\faauto\adjustright\rin0\lin0\itap0 \rtlch\fcs1 \af0\afs20\alang1025 _x000d__x000a_\ltrch\fcs0 \i\fs24\lang2057\langfe2057\cgrid\langnp2057\langfenp2057 \sbasedon0 \snext21 \spriority0 \styrsid3826753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3826753 AmNumberTabs;}{\s23\ql \li0\ri0\sb240\nowidctlpar\wrapdefault\aspalpha\aspnum\faauto\adjustright\rin0\lin0\itap0 \rtlch\fcs1 _x000d__x000a_\af0\afs20\alang1025 \ltrch\fcs0 \b\fs24\lang2057\langfe2057\cgrid\langnp2057\langfenp2057 \sbasedon0 \snext23 \spriority0 \styrsid3826753 NormalBold12b;}}{\*\rsidtbl \rsid24658\rsid223860\rsid735077\rsid1718133\rsid2892074\rsid3565327\rsid3826753_x000d__x000a_\rsid4666813\rsid52474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NOTARIDOU Aikaterini}{\operator Aikaterini NOTARIDOU}{\creatim\yr2025\mo3\dy18\hr11\min53}{\revtim\yr2025\mo3\dy18\hr11\min53}{\version1}{\edmins0}_x000d__x000a_{\nofpages1}{\nofwords35}{\nofchars198}{\nofcharsws2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82675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5247413 \chftnsep _x000d__x000a_\par }}{\*\ftnsepc \ltrpar \pard\plain \ltrpar\ql \li0\ri0\widctlpar\wrapdefault\aspalpha\aspnum\faauto\adjustright\rin0\lin0\itap0 \rtlch\fcs1 \af0\afs20\alang1025 \ltrch\fcs0 \fs24\lang2057\langfe2057\cgrid\langnp2057\langfenp2057 {\rtlch\fcs1 \af0 _x000d__x000a_\ltrch\fcs0 \insrsid5247413 \chftnsepc _x000d__x000a_\par }}{\*\aftnsep \ltrpar \pard\plain \ltrpar\ql \li0\ri0\widctlpar\wrapdefault\aspalpha\aspnum\faauto\adjustright\rin0\lin0\itap0 \rtlch\fcs1 \af0\afs20\alang1025 \ltrch\fcs0 \fs24\lang2057\langfe2057\cgrid\langnp2057\langfenp2057 {\rtlch\fcs1 \af0 _x000d__x000a_\ltrch\fcs0 \insrsid5247413 \chftnsep _x000d__x000a_\par }}{\*\aftnsepc \ltrpar \pard\plain \ltrpar\ql \li0\ri0\widctlpar\wrapdefault\aspalpha\aspnum\faauto\adjustright\rin0\lin0\itap0 \rtlch\fcs1 \af0\afs20\alang1025 \ltrch\fcs0 \fs24\lang2057\langfe2057\cgrid\langnp2057\langfenp2057 {\rtlch\fcs1 \af0 _x000d__x000a_\ltrch\fcs0 \insrsid524741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3826753 \rtlch\fcs1 _x000d__x000a_\af0\afs20\alang1025 \ltrch\fcs0 \b\fs24\lang2057\langfe2057\cgrid\langnp2057\langfenp2057 {\rtlch\fcs1 \af0 \ltrch\fcs0 \cs17\b0\v\fs20\cf9\lang1024\langfe1024\loch\af1\hich\af1\dbch\af31501\noproof\insrsid3826753\charrsid2903824 {\*\bkmkstart restart}_x000d__x000a_\hich\af1\dbch\af31501\loch\f1 &lt;Amend&gt;}{\rtlch\fcs1 \af0 \ltrch\fcs0 \insrsid3826753\charrsid2903824 Amendment\tab \tab }{\rtlch\fcs1 \af0 \ltrch\fcs0 _x000d__x000a_\cs17\b0\v\fs20\cf9\lang1024\langfe1024\loch\af1\hich\af1\dbch\af31501\noproof\insrsid3826753\charrsid2903824 \hich\af1\dbch\af31501\loch\f1 &lt;NumAm&gt;}{\rtlch\fcs1 \af0 \ltrch\fcs0 \insrsid3826753\charrsid2903824 #}{\rtlch\fcs1 \af1 \ltrch\fcs0 _x000d__x000a_\cs18\v\f1\fs20\cf15\insrsid3826753\charrsid2903824 ENMIENDA@NRAM@}{\rtlch\fcs1 \af0 \ltrch\fcs0 \insrsid3826753\charrsid2903824 #}{\rtlch\fcs1 \af0 \ltrch\fcs0 _x000d__x000a_\cs17\b0\v\fs20\cf9\lang1024\langfe1024\loch\af1\hich\af1\dbch\af31501\noproof\insrsid3826753\charrsid2903824 \hich\af1\dbch\af31501\loch\f1 &lt;/NumAm&gt;}{\rtlch\fcs1 \af0 \ltrch\fcs0 \insrsid3826753\charrsid2903824 _x000d__x000a_\par }\pard\plain \ltrpar\s23\ql \li0\ri0\sb240\keepn\nowidctlpar\wrapdefault\aspalpha\aspnum\faauto\adjustright\rin0\lin0\itap0\pararsid3826753 \rtlch\fcs1 \af0\afs20\alang1025 \ltrch\fcs0 \b\fs24\lang2057\langfe2057\cgrid\langnp2057\langfenp2057 {_x000d__x000a_\rtlch\fcs1 \af0 \ltrch\fcs0 \cs17\b0\v\fs20\cf9\lang1024\langfe1024\loch\af1\hich\af1\dbch\af31501\noproof\insrsid3826753\charrsid2903824 \hich\af1\dbch\af31501\loch\f1 &lt;DocAmend&gt;}{\rtlch\fcs1 \af0 \ltrch\fcs0 \insrsid3826753\charrsid2903824 #}{_x000d__x000a_\rtlch\fcs1 \af1 \ltrch\fcs0 \cs18\v\f1\fs20\cf15\insrsid3826753\charrsid2903824 MNU[DOC1][DOC2][DOC3][DOC4]@CHOICE@DOCMNU}{\rtlch\fcs1 \af0 \ltrch\fcs0 \insrsid3826753\charrsid2903824 #}{\rtlch\fcs1 \af0 \ltrch\fcs0 _x000d__x000a_\cs17\b0\v\fs20\cf9\lang1024\langfe1024\loch\af1\hich\af1\dbch\af31501\noproof\insrsid3826753\charrsid2903824 \hich\af1\dbch\af31501\loch\f1 &lt;/DocAmend&gt;}{\rtlch\fcs1 \af0 \ltrch\fcs0 \insrsid3826753\charrsid2903824 _x000d__x000a_\par }\pard\plain \ltrpar\s19\ql \li0\ri0\nowidctlpar\wrapdefault\aspalpha\aspnum\faauto\adjustright\rin0\lin0\itap0\pararsid3826753 \rtlch\fcs1 \af0\afs20\alang1025 \ltrch\fcs0 \b\fs24\lang2057\langfe2057\cgrid\langnp2057\langfenp2057 {\rtlch\fcs1 \af0 _x000d__x000a_\ltrch\fcs0 \cs17\b0\v\fs20\cf9\lang1024\langfe1024\loch\af1\hich\af1\dbch\af31501\noproof\insrsid3826753\charrsid2903824 \hich\af1\dbch\af31501\loch\f1 &lt;Article&gt;}{\rtlch\fcs1 \af0 \ltrch\fcs0 \cf10\insrsid3826753\charrsid10507657 \u9668\'3f}{\rtlch\fcs1 _x000d__x000a_\af0 \ltrch\fcs0 \insrsid3826753\charrsid2903824 #}{\rtlch\fcs1 \af1 \ltrch\fcs0 \cs18\v\f1\fs20\cf15\insrsid3826753\charrsid2903824 TVTAMACTPART@AMPART@}{\rtlch\fcs1 \af0 \ltrch\fcs0 \insrsid3826753\charrsid2903824 #}{\rtlch\fcs1 \af0 \ltrch\fcs0 _x000d__x000a_\cf10\insrsid3826753\charrsid10507657 \u9658\'3f}{\rtlch\fcs1 \af0 \ltrch\fcs0 \cs17\b0\v\fs20\cf9\lang1024\langfe1024\loch\af1\hich\af1\dbch\af31501\noproof\insrsid3826753\charrsid2903824 \hich\af1\dbch\af31501\loch\f1 &lt;/Article&gt;}{\rtlch\fcs1 \af0 _x000d__x000a_\ltrch\fcs0 \insrsid3826753\charrsid2903824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3826753\charrsid2903824 \cell }\pard \ltrpar\ql \li0\ri0\widctlpar\intbl\wrapdefault\aspalpha\aspnum\faauto\adjustright\rin0\lin0 {\rtlch\fcs1 \af0 _x000d__x000a_\ltrch\fcs0 \insrsid3826753\charrsid2903824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3826753\charrsid2903824 #}{\rtlch\fcs1 \af1 \ltrch\fcs0 \cs18\v\f1\fs20\cf15\insrsid3826753\charrsid2903824 MNU[DOC1][DOC2][DOC3][DOC4]@CHOICE@DOCMNU}{\rtlch\fcs1 \af0 \ltrch\fcs0 \insrsid3826753\charrsid2903824 #\cell Amendment\cell _x000d__x000a_}\pard\plain \ltrpar\ql \li0\ri0\widctlpar\intbl\wrapdefault\aspalpha\aspnum\faauto\adjustright\rin0\lin0 \rtlch\fcs1 \af0\afs20\alang1025 \ltrch\fcs0 \fs24\lang2057\langfe2057\cgrid\langnp2057\langfenp2057 {\rtlch\fcs1 \af0 \ltrch\fcs0 _x000d__x000a_\insrsid3826753\charrsid2903824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3826753\charrsid2903824 ##\cell ##}{\rtlch\fcs1 \af0\afs24 \ltrch\fcs0 \insrsid3826753\charrsid2903824 \cell }\pard\plain \ltrpar\ql \li0\ri0\widctlpar\intbl\wrapdefault\aspalpha\aspnum\faauto\adjustright\rin0\lin0 _x000d__x000a_\rtlch\fcs1 \af0\afs20\alang1025 \ltrch\fcs0 \fs24\lang2057\langfe2057\cgrid\langnp2057\langfenp2057 {\rtlch\fcs1 \af0 \ltrch\fcs0 \insrsid3826753\charrsid290382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3826753 {\rtlch\fcs1 \af0 \ltrch\fcs0 \cs17\v\fs20\cf9\lang1024\langfe1024\loch\af1\hich\af1\dbch\af31501\noproof\insrsid3826753\charrsid2903824 _x000d__x000a_\hich\af1\dbch\af31501\loch\f1 &lt;/Amend&gt;}{\rtlch\fcs1 \af0 \ltrch\fcs0 \insrsid3826753\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d8_x000d__x000a_2febf397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284434 HideTWBExt;}{_x000d__x000a_\s18\ql \li0\ri0\nowidctlpar\wrapdefault\aspalpha\aspnum\faauto\adjustright\rin0\lin0\itap0 \rtlch\fcs1 \af0\afs20\alang1025 \ltrch\fcs0 \b\fs24\lang2057\langfe2057\cgrid\langnp2057\langfenp2057 \sbasedon0 \snext18 \spriority0 \styrsid11284434 _x000d__x000a_NormalBold;}{\s19\ql \li0\ri0\sa120\nowidctlpar\wrapdefault\aspalpha\aspnum\faauto\adjustright\rin0\lin0\itap0 \rtlch\fcs1 \af0\afs20\alang1025 \ltrch\fcs0 \fs24\lang2057\langfe2057\cgrid\langnp2057\langfenp2057 _x000d__x000a_\sbasedon0 \snext19 \spriority0 \styrsid11284434 Normal6a;}{\s20\qc \li0\ri0\sa240\nowidctlpar\wrapdefault\aspalpha\aspnum\faauto\adjustright\rin0\lin0\itap0 \rtlch\fcs1 \af0\afs20\alang1025 \ltrch\fcs0 _x000d__x000a_\i\fs24\lang2057\langfe2057\cgrid\langnp2057\langfenp2057 \sbasedon0 \snext20 \spriority0 \styrsid11284434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1284434 AmNumberTabs;}{\s22\ql \li0\ri0\sb240\nowidctlpar\wrapdefault\aspalpha\aspnum\faauto\adjustright\rin0\lin0\itap0 \rtlch\fcs1 _x000d__x000a_\af0\afs20\alang1025 \ltrch\fcs0 \b\fs24\lang2057\langfe2057\cgrid\langnp2057\langfenp2057 \sbasedon0 \snext22 \spriority0 \styrsid11284434 NormalBold12b;}}{\*\rsidtbl \rsid24658\rsid223860\rsid735077\rsid1718133\rsid2892074\rsid3565327\rsid4666813_x000d__x000a_\rsid6641733\rsid7823322\rsid9636012\rsid10177867\rsid10377208\rsid11215221\rsid11284434\rsid11549030\rsid12154954\rsid14382809\rsid14424199\rsid15204470\rsid15285974\rsid15950462\rsid16324206\rsid16662270}{\mmathPr\mmathFont34\mbrkBin0\mbrkBinSub0_x000d__x000a_\msmallFrac0\mdispDef1\mlMargin0\mrMargin0\mdefJc1\mwrapIndent1440\mintLim0\mnaryLim1}{\info{\author NOTARIDOU Aikaterini}{\operator Aikaterini NOTARIDOU}{\creatim\yr2025\mo3\dy18\hr11\min53}{\revtim\yr2025\mo3\dy18\hr11\min53}{\version1}{\edmins0}_x000d__x000a_{\nofpages1}{\nofwords23}{\nofchars132}{\nofcharsws15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84434\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0177867 \chftnsep _x000d__x000a_\par }}{\*\ftnsepc \ltrpar \pard\plain \ltrpar\ql \li0\ri0\widctlpar\wrapdefault\aspalpha\aspnum\faauto\adjustright\rin0\lin0\itap0 \rtlch\fcs1 \af0\afs20\alang1025 \ltrch\fcs0 \fs24\lang2057\langfe2057\cgrid\langnp2057\langfenp2057 {\rtlch\fcs1 \af0 _x000d__x000a_\ltrch\fcs0 \insrsid10177867 \chftnsepc _x000d__x000a_\par }}{\*\aftnsep \ltrpar \pard\plain \ltrpar\ql \li0\ri0\widctlpar\wrapdefault\aspalpha\aspnum\faauto\adjustright\rin0\lin0\itap0 \rtlch\fcs1 \af0\afs20\alang1025 \ltrch\fcs0 \fs24\lang2057\langfe2057\cgrid\langnp2057\langfenp2057 {\rtlch\fcs1 \af0 _x000d__x000a_\ltrch\fcs0 \insrsid10177867 \chftnsep _x000d__x000a_\par }}{\*\aftnsepc \ltrpar \pard\plain \ltrpar\ql \li0\ri0\widctlpar\wrapdefault\aspalpha\aspnum\faauto\adjustright\rin0\lin0\itap0 \rtlch\fcs1 \af0\afs20\alang1025 \ltrch\fcs0 \fs24\lang2057\langfe2057\cgrid\langnp2057\langfenp2057 {\rtlch\fcs1 \af0 _x000d__x000a_\ltrch\fcs0 \insrsid101778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1284434 \rtlch\fcs1 _x000d__x000a_\af0\afs20\alang1025 \ltrch\fcs0 \b\fs24\lang2057\langfe2057\cgrid\langnp2057\langfenp2057 {\rtlch\fcs1 \af0 \ltrch\fcs0 \cs17\b0\v\fs20\cf9\lang1024\langfe1024\loch\af1\hich\af1\dbch\af31501\noproof\langnp1036\insrsid11284434\charrsid4291528 _x000d__x000a_{\*\bkmkstart restart}\hich\af1\dbch\af31501\loch\f1 &lt;Amend&gt;}{\rtlch\fcs1 \af0 \ltrch\fcs0 \lang1036\langfe2057\langnp1036\insrsid11284434\charrsid4291528 [ZAMENDMENT]\tab \tab }{\rtlch\fcs1 \af0 \ltrch\fcs0 _x000d__x000a_\cs17\b0\v\fs20\cf9\lang1024\langfe1024\loch\af1\hich\af1\dbch\af31501\noproof\langnp1036\insrsid11284434\charrsid4291528 \hich\af1\dbch\af31501\loch\f1 &lt;NumAm&gt;}{\rtlch\fcs1 \af0 \ltrch\fcs0 \lang1036\langfe2057\langnp1036\insrsid11284434\charrsid4291528 _x000d__x000a_[ZNRAM]}{\rtlch\fcs1 \af0 \ltrch\fcs0 \cs17\b0\v\fs20\cf9\lang1024\langfe1024\loch\af1\hich\af1\dbch\af31501\noproof\langnp1036\insrsid11284434\charrsid4291528 \hich\af1\dbch\af31501\loch\f1 &lt;/NumAm&gt;}{\rtlch\fcs1 \af0 \ltrch\fcs0 _x000d__x000a_\lang1036\langfe2057\langnp1036\insrsid11284434\charrsid4291528 _x000d__x000a_\par }\pard\plain \ltrpar\s22\ql \li0\ri0\sb240\keepn\nowidctlpar\wrapdefault\aspalpha\aspnum\faauto\adjustright\rin0\lin0\itap0\pararsid11284434 \rtlch\fcs1 \af0\afs20\alang1025 \ltrch\fcs0 \b\fs24\lang2057\langfe2057\cgrid\langnp2057\langfenp2057 {_x000d__x000a_\rtlch\fcs1 \af0 \ltrch\fcs0 \cs17\b0\v\fs20\cf9\lang1024\langfe1024\loch\af1\hich\af1\dbch\af31501\noproof\langnp1036\insrsid11284434\charrsid4291528 \hich\af1\dbch\af31501\loch\f1 &lt;DocAmend&gt;}{\rtlch\fcs1 \af0 \ltrch\fcs0 _x000d__x000a_\lang1036\langfe2057\langnp1036\insrsid11284434\charrsid4291528 [}{\rtlch\fcs1 \af0 \ltrch\fcs0 \lang1036\langfe2057\langnp1036\insrsid11284434\charrsid3548259 ZPROPOSAL}{\rtlch\fcs1 \af0 \ltrch\fcs0 _x000d__x000a_\lang1036\langfe2057\langnp1036\insrsid11284434\charrsid4291528 ]}{\rtlch\fcs1 \af0 \ltrch\fcs0 \cs17\b0\v\fs20\cf9\lang1024\langfe1024\loch\af1\hich\af1\dbch\af31501\noproof\langnp1036\insrsid11284434\charrsid4291528 \hich\af1\dbch\af31501\loch\f1 _x000d__x000a_&lt;/DocAmend&gt;}{\rtlch\fcs1 \af0 \ltrch\fcs0 \lang1036\langfe2057\langnp1036\insrsid11284434\charrsid4291528 _x000d__x000a_\par }\pard\plain \ltrpar\s18\ql \li0\ri0\nowidctlpar\wrapdefault\aspalpha\aspnum\faauto\adjustright\rin0\lin0\itap0\pararsid11284434 \rtlch\fcs1 \af0\afs20\alang1025 \ltrch\fcs0 \b\fs24\lang2057\langfe2057\cgrid\langnp2057\langfenp2057 {\rtlch\fcs1 \af0 _x000d__x000a_\ltrch\fcs0 \cs17\b0\v\fs20\cf9\lang1024\langfe1024\loch\af1\hich\af1\dbch\af31501\noproof\langnp1036\insrsid11284434\charrsid4291528 \hich\af1\dbch\af31501\loch\f1 &lt;Article&gt;}{\rtlch\fcs1 \af0 \ltrch\fcs0 _x000d__x000a_\lang1036\langfe2057\langnp1036\insrsid11284434\charrsid4291528 [ZAMPART]}{\rtlch\fcs1 \af0 \ltrch\fcs0 \cs17\b0\v\fs20\cf9\lang1024\langfe1024\loch\af1\hich\af1\dbch\af31501\noproof\langnp1036\insrsid11284434\charrsid4291528 _x000d__x000a_\hich\af1\dbch\af31501\loch\f1 &lt;/Article&gt;}{\rtlch\fcs1 \af0 \ltrch\fcs0 \lang1036\langfe2057\langnp1036\insrsid11284434\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11284434\charrsid4291528 \cell }\pard \ltrpar_x000d__x000a_\ql \li0\ri0\widctlpar\intbl\wrapdefault\aspalpha\aspnum\faauto\adjustright\rin0\lin0 {\rtlch\fcs1 \af0 \ltrch\fcs0 \insrsid11284434\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11284434\charrsid6708014 [ZLEFT]\cell [ZRIGHT]\cell }\pard\plain \ltrpar\ql \li0\ri0\widctlpar\intbl\wrapdefault\aspalpha\aspnum\faauto\adjustright\rin0\lin0 \rtlch\fcs1 \af0\afs20\alang1025 \ltrch\fcs0 _x000d__x000a_\fs24\lang2057\langfe2057\cgrid\langnp2057\langfenp2057 {\rtlch\fcs1 \af0 \ltrch\fcs0 \insrsid11284434\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11284434\charrsid6708014 [ZTEXTL]\cell [ZTEXTR]}{\rtlch\fcs1 \af0\afs24 \ltrch\fcs0 \insrsid11284434\charrsid6708014 \cell }\pard\plain \ltrpar\ql \li0\ri0\widctlpar\intbl\wrapdefault\aspalpha\aspnum\faauto\adjustright\rin0\lin0 \rtlch\fcs1 _x000d__x000a_\af0\afs20\alang1025 \ltrch\fcs0 \fs24\lang2057\langfe2057\cgrid\langnp2057\langfenp2057 {\rtlch\fcs1 \af0 \ltrch\fcs0 \insrsid11284434\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1284434 {\rtlch\fcs1 \af0 \ltrch\fcs0 \cs17\v\fs20\cf9\lang1024\langfe1024\loch\af1\hich\af1\dbch\af31501\noproof\insrsid11284434\charrsid6708014 _x000d__x000a_\hich\af1\dbch\af31501\loch\f1 &lt;/Amend&gt;}{\rtlch\fcs1 \af0 \ltrch\fcs0 \insrsid11284434\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8f_x000d__x000a_58eef397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17"/>
    <w:docVar w:name="TITLEMNU" w:val=" 1"/>
    <w:docVar w:name="TVTAMACTPART" w:val="xxx"/>
    <w:docVar w:name="TXTAUTHOR" w:val="Marie_x001e_Pierre Vedrenne"/>
    <w:docVar w:name="TXTLANGUE" w:val="EN"/>
    <w:docVar w:name="TXTLANGUEMIN" w:val="en"/>
    <w:docVar w:name="TXTNRFIRSTAM" w:val="1"/>
    <w:docVar w:name="TXTNRLASTAM" w:val="53"/>
    <w:docVar w:name="TXTNRPE" w:val="768.112"/>
    <w:docVar w:name="TXTNRPROC" w:val="2024/2085"/>
    <w:docVar w:name="TXTPEorAP" w:val="PE"/>
    <w:docVar w:name="TXTROUTE" w:val="AD\1317257EN.docx"/>
    <w:docVar w:name="TXTTITLE" w:val="the implementation report on the Recovery and Resilience Facility"/>
    <w:docVar w:name="TXTVERSION" w:val="02-00"/>
  </w:docVars>
  <w:rsids>
    <w:rsidRoot w:val="002C4F10"/>
    <w:rsid w:val="000173EF"/>
    <w:rsid w:val="0002109D"/>
    <w:rsid w:val="00092CD2"/>
    <w:rsid w:val="0009381D"/>
    <w:rsid w:val="000B03FF"/>
    <w:rsid w:val="000B1900"/>
    <w:rsid w:val="000D3C3D"/>
    <w:rsid w:val="000D7680"/>
    <w:rsid w:val="000E7EBF"/>
    <w:rsid w:val="000F7145"/>
    <w:rsid w:val="00101239"/>
    <w:rsid w:val="0011438D"/>
    <w:rsid w:val="00124F60"/>
    <w:rsid w:val="00135121"/>
    <w:rsid w:val="00140BE6"/>
    <w:rsid w:val="00144327"/>
    <w:rsid w:val="00147F4E"/>
    <w:rsid w:val="001534C2"/>
    <w:rsid w:val="0016306B"/>
    <w:rsid w:val="0016635E"/>
    <w:rsid w:val="001746D0"/>
    <w:rsid w:val="001B7393"/>
    <w:rsid w:val="001D2ED9"/>
    <w:rsid w:val="001F21C1"/>
    <w:rsid w:val="0020293A"/>
    <w:rsid w:val="00204278"/>
    <w:rsid w:val="0022664D"/>
    <w:rsid w:val="0026112C"/>
    <w:rsid w:val="00271B69"/>
    <w:rsid w:val="00275DBD"/>
    <w:rsid w:val="002763BF"/>
    <w:rsid w:val="002C4F10"/>
    <w:rsid w:val="002D28A7"/>
    <w:rsid w:val="002E2F2E"/>
    <w:rsid w:val="002E4AA3"/>
    <w:rsid w:val="002E6F98"/>
    <w:rsid w:val="002F7792"/>
    <w:rsid w:val="00314BB3"/>
    <w:rsid w:val="0031616B"/>
    <w:rsid w:val="00322D8B"/>
    <w:rsid w:val="00322DD9"/>
    <w:rsid w:val="00325BCB"/>
    <w:rsid w:val="00331944"/>
    <w:rsid w:val="00332AD9"/>
    <w:rsid w:val="003402B9"/>
    <w:rsid w:val="00347D2C"/>
    <w:rsid w:val="003545C2"/>
    <w:rsid w:val="00362463"/>
    <w:rsid w:val="0037356F"/>
    <w:rsid w:val="00377C8C"/>
    <w:rsid w:val="00390EB2"/>
    <w:rsid w:val="00396A0E"/>
    <w:rsid w:val="003E1404"/>
    <w:rsid w:val="003E2402"/>
    <w:rsid w:val="00400574"/>
    <w:rsid w:val="00425462"/>
    <w:rsid w:val="00461A62"/>
    <w:rsid w:val="004667D1"/>
    <w:rsid w:val="0047330F"/>
    <w:rsid w:val="00485C5C"/>
    <w:rsid w:val="004C2269"/>
    <w:rsid w:val="004C28FB"/>
    <w:rsid w:val="004C44C0"/>
    <w:rsid w:val="004C604D"/>
    <w:rsid w:val="004C6072"/>
    <w:rsid w:val="004C7CEA"/>
    <w:rsid w:val="00521F00"/>
    <w:rsid w:val="0052544E"/>
    <w:rsid w:val="005268BD"/>
    <w:rsid w:val="00554C28"/>
    <w:rsid w:val="005940C3"/>
    <w:rsid w:val="00594C48"/>
    <w:rsid w:val="005B2F11"/>
    <w:rsid w:val="005C0BDF"/>
    <w:rsid w:val="005C3DB7"/>
    <w:rsid w:val="005D60C6"/>
    <w:rsid w:val="00604FB6"/>
    <w:rsid w:val="006102E7"/>
    <w:rsid w:val="006275D0"/>
    <w:rsid w:val="00640C1B"/>
    <w:rsid w:val="00641D70"/>
    <w:rsid w:val="00651EAF"/>
    <w:rsid w:val="00657AFB"/>
    <w:rsid w:val="006661CE"/>
    <w:rsid w:val="00675C68"/>
    <w:rsid w:val="00682428"/>
    <w:rsid w:val="00691396"/>
    <w:rsid w:val="006C5A93"/>
    <w:rsid w:val="006D5BF7"/>
    <w:rsid w:val="006E4020"/>
    <w:rsid w:val="006F30C1"/>
    <w:rsid w:val="007267D5"/>
    <w:rsid w:val="00736162"/>
    <w:rsid w:val="00742C07"/>
    <w:rsid w:val="00760E52"/>
    <w:rsid w:val="00761711"/>
    <w:rsid w:val="007620C5"/>
    <w:rsid w:val="00781861"/>
    <w:rsid w:val="007B04F0"/>
    <w:rsid w:val="007E70B4"/>
    <w:rsid w:val="00815039"/>
    <w:rsid w:val="00821747"/>
    <w:rsid w:val="008313E7"/>
    <w:rsid w:val="00840B54"/>
    <w:rsid w:val="00841C2A"/>
    <w:rsid w:val="00854CAC"/>
    <w:rsid w:val="00864300"/>
    <w:rsid w:val="00892A4A"/>
    <w:rsid w:val="008A32C5"/>
    <w:rsid w:val="008B0459"/>
    <w:rsid w:val="008C6203"/>
    <w:rsid w:val="008D61E7"/>
    <w:rsid w:val="008E3F5D"/>
    <w:rsid w:val="008F0ED2"/>
    <w:rsid w:val="008F32B7"/>
    <w:rsid w:val="008F7002"/>
    <w:rsid w:val="009366BF"/>
    <w:rsid w:val="009454DD"/>
    <w:rsid w:val="00954F61"/>
    <w:rsid w:val="00977B37"/>
    <w:rsid w:val="009837A3"/>
    <w:rsid w:val="00984E00"/>
    <w:rsid w:val="0099208F"/>
    <w:rsid w:val="0099493F"/>
    <w:rsid w:val="00A05E3C"/>
    <w:rsid w:val="00A16BEA"/>
    <w:rsid w:val="00A312B3"/>
    <w:rsid w:val="00A31FCB"/>
    <w:rsid w:val="00A47463"/>
    <w:rsid w:val="00A47E2F"/>
    <w:rsid w:val="00A64EC2"/>
    <w:rsid w:val="00A72C35"/>
    <w:rsid w:val="00A74944"/>
    <w:rsid w:val="00A87598"/>
    <w:rsid w:val="00A92668"/>
    <w:rsid w:val="00AA6330"/>
    <w:rsid w:val="00AA6BE1"/>
    <w:rsid w:val="00AB70B9"/>
    <w:rsid w:val="00AC0348"/>
    <w:rsid w:val="00AC23F4"/>
    <w:rsid w:val="00AC3CFA"/>
    <w:rsid w:val="00AD58CB"/>
    <w:rsid w:val="00AE180F"/>
    <w:rsid w:val="00AE718F"/>
    <w:rsid w:val="00AF2539"/>
    <w:rsid w:val="00B10C55"/>
    <w:rsid w:val="00B11ECB"/>
    <w:rsid w:val="00B30CD4"/>
    <w:rsid w:val="00B32240"/>
    <w:rsid w:val="00B362F7"/>
    <w:rsid w:val="00B4599C"/>
    <w:rsid w:val="00B5456B"/>
    <w:rsid w:val="00B678A2"/>
    <w:rsid w:val="00B74B53"/>
    <w:rsid w:val="00BA776B"/>
    <w:rsid w:val="00BB4507"/>
    <w:rsid w:val="00BC0FDD"/>
    <w:rsid w:val="00BC26E4"/>
    <w:rsid w:val="00BD1EAA"/>
    <w:rsid w:val="00BD5A4A"/>
    <w:rsid w:val="00BF0AFC"/>
    <w:rsid w:val="00C029AB"/>
    <w:rsid w:val="00C157C7"/>
    <w:rsid w:val="00C52739"/>
    <w:rsid w:val="00C80AB2"/>
    <w:rsid w:val="00C827FF"/>
    <w:rsid w:val="00CA36E3"/>
    <w:rsid w:val="00CC11D8"/>
    <w:rsid w:val="00CD34AC"/>
    <w:rsid w:val="00D1163C"/>
    <w:rsid w:val="00D16082"/>
    <w:rsid w:val="00D318E7"/>
    <w:rsid w:val="00D37E93"/>
    <w:rsid w:val="00D44A69"/>
    <w:rsid w:val="00D51006"/>
    <w:rsid w:val="00D7202C"/>
    <w:rsid w:val="00D81577"/>
    <w:rsid w:val="00D923EE"/>
    <w:rsid w:val="00DE19FF"/>
    <w:rsid w:val="00DF4E10"/>
    <w:rsid w:val="00DF529A"/>
    <w:rsid w:val="00DF76F5"/>
    <w:rsid w:val="00E13F88"/>
    <w:rsid w:val="00E14686"/>
    <w:rsid w:val="00E470F6"/>
    <w:rsid w:val="00E6527C"/>
    <w:rsid w:val="00E667E1"/>
    <w:rsid w:val="00E81BA6"/>
    <w:rsid w:val="00E85413"/>
    <w:rsid w:val="00E856D2"/>
    <w:rsid w:val="00E929A7"/>
    <w:rsid w:val="00EA4087"/>
    <w:rsid w:val="00EB2F4E"/>
    <w:rsid w:val="00EC1E8B"/>
    <w:rsid w:val="00F07ECF"/>
    <w:rsid w:val="00F131F5"/>
    <w:rsid w:val="00F26016"/>
    <w:rsid w:val="00F413BE"/>
    <w:rsid w:val="00F56F50"/>
    <w:rsid w:val="00F60663"/>
    <w:rsid w:val="00F93548"/>
    <w:rsid w:val="00FC2AD3"/>
    <w:rsid w:val="00FC6460"/>
    <w:rsid w:val="00FD0D14"/>
    <w:rsid w:val="00FD4BC4"/>
    <w:rsid w:val="00FE3FA1"/>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A2EF3"/>
  <w15:chartTrackingRefBased/>
  <w15:docId w15:val="{A1E2FF14-694F-473C-8DE5-BF013563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link w:val="NormalHanging12aChar"/>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link w:val="NormalBoldChar"/>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link w:val="NormalBold12bChar"/>
    <w:rsid w:val="003402B9"/>
    <w:pPr>
      <w:spacing w:before="240"/>
    </w:pPr>
    <w:rPr>
      <w:b/>
    </w:rPr>
  </w:style>
  <w:style w:type="character" w:customStyle="1" w:styleId="Normal6Char">
    <w:name w:val="Normal6 Char"/>
    <w:basedOn w:val="DefaultParagraphFont"/>
    <w:link w:val="Normal6"/>
    <w:locked/>
    <w:rsid w:val="00EA4087"/>
    <w:rPr>
      <w:sz w:val="24"/>
      <w:lang w:val="da-DK"/>
    </w:rPr>
  </w:style>
  <w:style w:type="paragraph" w:customStyle="1" w:styleId="Normal6">
    <w:name w:val="Normal6"/>
    <w:basedOn w:val="Normal"/>
    <w:link w:val="Normal6Char"/>
    <w:rsid w:val="00EA4087"/>
    <w:pPr>
      <w:spacing w:after="120"/>
    </w:pPr>
  </w:style>
  <w:style w:type="character" w:customStyle="1" w:styleId="NormalBoldChar">
    <w:name w:val="NormalBold Char"/>
    <w:basedOn w:val="DefaultParagraphFont"/>
    <w:link w:val="NormalBold"/>
    <w:locked/>
    <w:rsid w:val="00EA4087"/>
    <w:rPr>
      <w:b/>
      <w:sz w:val="24"/>
    </w:rPr>
  </w:style>
  <w:style w:type="paragraph" w:customStyle="1" w:styleId="ColumnHeading">
    <w:name w:val="ColumnHeading"/>
    <w:basedOn w:val="Normal"/>
    <w:rsid w:val="00EA4087"/>
    <w:pPr>
      <w:spacing w:after="240"/>
      <w:jc w:val="center"/>
    </w:pPr>
    <w:rPr>
      <w:i/>
    </w:rPr>
  </w:style>
  <w:style w:type="paragraph" w:customStyle="1" w:styleId="AMNumberTabs0">
    <w:name w:val="AMNumberTabs"/>
    <w:basedOn w:val="Normal"/>
    <w:rsid w:val="00EA4087"/>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EA4087"/>
    <w:pPr>
      <w:jc w:val="right"/>
    </w:pPr>
  </w:style>
  <w:style w:type="paragraph" w:customStyle="1" w:styleId="Normal24a">
    <w:name w:val="Normal24a"/>
    <w:basedOn w:val="Normal"/>
    <w:rsid w:val="002763BF"/>
    <w:pPr>
      <w:spacing w:after="480"/>
    </w:pPr>
    <w:rPr>
      <w:szCs w:val="24"/>
    </w:rPr>
  </w:style>
  <w:style w:type="paragraph" w:customStyle="1" w:styleId="NormalBoldCenter">
    <w:name w:val="NormalBoldCenter"/>
    <w:basedOn w:val="Normal"/>
    <w:rsid w:val="002763BF"/>
    <w:pPr>
      <w:jc w:val="center"/>
    </w:pPr>
    <w:rPr>
      <w:b/>
      <w:szCs w:val="24"/>
    </w:rPr>
  </w:style>
  <w:style w:type="paragraph" w:customStyle="1" w:styleId="Footprint12b">
    <w:name w:val="Footprint12b"/>
    <w:basedOn w:val="Normal"/>
    <w:rsid w:val="002763BF"/>
    <w:pPr>
      <w:spacing w:before="240"/>
    </w:pPr>
    <w:rPr>
      <w:szCs w:val="24"/>
    </w:rPr>
  </w:style>
  <w:style w:type="paragraph" w:customStyle="1" w:styleId="NormalSingle">
    <w:name w:val="NormalSingle"/>
    <w:basedOn w:val="Normal"/>
    <w:qFormat/>
    <w:rsid w:val="002763BF"/>
    <w:rPr>
      <w:szCs w:val="24"/>
    </w:rPr>
  </w:style>
  <w:style w:type="paragraph" w:styleId="Footer">
    <w:name w:val="footer"/>
    <w:basedOn w:val="Normal"/>
    <w:link w:val="FooterChar"/>
    <w:semiHidden/>
    <w:rsid w:val="00AA6330"/>
    <w:pPr>
      <w:tabs>
        <w:tab w:val="center" w:pos="4513"/>
        <w:tab w:val="right" w:pos="9026"/>
      </w:tabs>
    </w:pPr>
  </w:style>
  <w:style w:type="character" w:customStyle="1" w:styleId="FooterChar">
    <w:name w:val="Footer Char"/>
    <w:basedOn w:val="DefaultParagraphFont"/>
    <w:link w:val="Footer"/>
    <w:semiHidden/>
    <w:rsid w:val="00AA6330"/>
    <w:rPr>
      <w:sz w:val="24"/>
    </w:rPr>
  </w:style>
  <w:style w:type="paragraph" w:styleId="BalloonText">
    <w:name w:val="Balloon Text"/>
    <w:basedOn w:val="Normal"/>
    <w:link w:val="BalloonTextChar"/>
    <w:semiHidden/>
    <w:unhideWhenUsed/>
    <w:rsid w:val="00892A4A"/>
    <w:rPr>
      <w:rFonts w:ascii="Segoe UI" w:hAnsi="Segoe UI" w:cs="Segoe UI"/>
      <w:sz w:val="18"/>
      <w:szCs w:val="18"/>
    </w:rPr>
  </w:style>
  <w:style w:type="character" w:customStyle="1" w:styleId="BalloonTextChar">
    <w:name w:val="Balloon Text Char"/>
    <w:basedOn w:val="DefaultParagraphFont"/>
    <w:link w:val="BalloonText"/>
    <w:semiHidden/>
    <w:rsid w:val="00892A4A"/>
    <w:rPr>
      <w:rFonts w:ascii="Segoe UI" w:hAnsi="Segoe UI" w:cs="Segoe UI"/>
      <w:sz w:val="18"/>
      <w:szCs w:val="18"/>
    </w:rPr>
  </w:style>
  <w:style w:type="character" w:styleId="Hyperlink">
    <w:name w:val="Hyperlink"/>
    <w:basedOn w:val="DefaultParagraphFont"/>
    <w:uiPriority w:val="99"/>
    <w:unhideWhenUsed/>
    <w:rsid w:val="00892A4A"/>
    <w:rPr>
      <w:color w:val="0000FF"/>
      <w:u w:val="single"/>
    </w:rPr>
  </w:style>
  <w:style w:type="character" w:styleId="CommentReference">
    <w:name w:val="annotation reference"/>
    <w:basedOn w:val="DefaultParagraphFont"/>
    <w:rsid w:val="0011438D"/>
    <w:rPr>
      <w:sz w:val="16"/>
      <w:szCs w:val="16"/>
    </w:rPr>
  </w:style>
  <w:style w:type="paragraph" w:styleId="CommentText">
    <w:name w:val="annotation text"/>
    <w:basedOn w:val="Normal"/>
    <w:link w:val="CommentTextChar"/>
    <w:rsid w:val="0011438D"/>
    <w:rPr>
      <w:sz w:val="20"/>
    </w:rPr>
  </w:style>
  <w:style w:type="character" w:customStyle="1" w:styleId="CommentTextChar">
    <w:name w:val="Comment Text Char"/>
    <w:basedOn w:val="DefaultParagraphFont"/>
    <w:link w:val="CommentText"/>
    <w:rsid w:val="0011438D"/>
  </w:style>
  <w:style w:type="paragraph" w:styleId="CommentSubject">
    <w:name w:val="annotation subject"/>
    <w:basedOn w:val="CommentText"/>
    <w:next w:val="CommentText"/>
    <w:link w:val="CommentSubjectChar"/>
    <w:semiHidden/>
    <w:unhideWhenUsed/>
    <w:rsid w:val="0011438D"/>
    <w:rPr>
      <w:b/>
      <w:bCs/>
    </w:rPr>
  </w:style>
  <w:style w:type="character" w:customStyle="1" w:styleId="CommentSubjectChar">
    <w:name w:val="Comment Subject Char"/>
    <w:basedOn w:val="CommentTextChar"/>
    <w:link w:val="CommentSubject"/>
    <w:semiHidden/>
    <w:rsid w:val="0011438D"/>
    <w:rPr>
      <w:b/>
      <w:bCs/>
    </w:rPr>
  </w:style>
  <w:style w:type="character" w:styleId="FollowedHyperlink">
    <w:name w:val="FollowedHyperlink"/>
    <w:basedOn w:val="DefaultParagraphFont"/>
    <w:rsid w:val="00604FB6"/>
    <w:rPr>
      <w:color w:val="954F72" w:themeColor="followedHyperlink"/>
      <w:u w:val="single"/>
    </w:rPr>
  </w:style>
  <w:style w:type="character" w:customStyle="1" w:styleId="NormalHanging12aChar">
    <w:name w:val="NormalHanging12a Char"/>
    <w:basedOn w:val="DefaultParagraphFont"/>
    <w:link w:val="NormalHanging12a"/>
    <w:locked/>
    <w:rsid w:val="00314BB3"/>
    <w:rPr>
      <w:sz w:val="24"/>
    </w:rPr>
  </w:style>
  <w:style w:type="character" w:customStyle="1" w:styleId="NormalBold12bChar">
    <w:name w:val="NormalBold12b Char"/>
    <w:basedOn w:val="DefaultParagraphFont"/>
    <w:link w:val="NormalBold12b"/>
    <w:locked/>
    <w:rsid w:val="00675C68"/>
    <w:rPr>
      <w:b/>
      <w:sz w:val="24"/>
    </w:rPr>
  </w:style>
  <w:style w:type="paragraph" w:customStyle="1" w:styleId="RollCallSymbols14pt">
    <w:name w:val="RollCallSymbols14pt"/>
    <w:basedOn w:val="Normal"/>
    <w:rsid w:val="0031616B"/>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1616B"/>
    <w:pPr>
      <w:tabs>
        <w:tab w:val="center" w:pos="284"/>
        <w:tab w:val="left" w:pos="426"/>
      </w:tabs>
    </w:pPr>
    <w:rPr>
      <w:snapToGrid w:val="0"/>
      <w:lang w:eastAsia="en-US"/>
    </w:rPr>
  </w:style>
  <w:style w:type="paragraph" w:customStyle="1" w:styleId="RollCallVotes">
    <w:name w:val="RollCallVotes"/>
    <w:basedOn w:val="Normal"/>
    <w:rsid w:val="0031616B"/>
    <w:pPr>
      <w:spacing w:before="120" w:after="120"/>
      <w:jc w:val="center"/>
    </w:pPr>
    <w:rPr>
      <w:b/>
      <w:bCs/>
      <w:snapToGrid w:val="0"/>
      <w:sz w:val="16"/>
      <w:lang w:eastAsia="en-US"/>
    </w:rPr>
  </w:style>
  <w:style w:type="paragraph" w:customStyle="1" w:styleId="RollCallTable">
    <w:name w:val="RollCallTable"/>
    <w:basedOn w:val="Normal"/>
    <w:rsid w:val="0031616B"/>
    <w:pPr>
      <w:spacing w:before="120" w:after="120"/>
    </w:pPr>
    <w:rPr>
      <w:snapToGrid w:val="0"/>
      <w:sz w:val="16"/>
      <w:lang w:eastAsia="en-US"/>
    </w:rPr>
  </w:style>
  <w:style w:type="character" w:styleId="Emphasis">
    <w:name w:val="Emphasis"/>
    <w:basedOn w:val="DefaultParagraphFont"/>
    <w:uiPriority w:val="20"/>
    <w:qFormat/>
    <w:rsid w:val="002F7792"/>
    <w:rPr>
      <w:i/>
      <w:iCs/>
    </w:rPr>
  </w:style>
  <w:style w:type="paragraph" w:customStyle="1" w:styleId="titreobjetcp">
    <w:name w:val="titreobjet_cp"/>
    <w:basedOn w:val="Normal"/>
    <w:rsid w:val="009837A3"/>
    <w:pPr>
      <w:widowControl/>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co/2021/1004/oj" TargetMode="External"/><Relationship Id="rId13" Type="http://schemas.openxmlformats.org/officeDocument/2006/relationships/hyperlink" Target="https://www.europarl.europa.eu/RegData/etudes/IDAN/2025/765765/EPRS_IDA(2025)765765_EN.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c.europa.eu/eurostat/web/products-eurostat-news/-/ddn-20231215-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eurostat/databrowser/view/sdg_04_70/default/tabl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data.europa.eu/eli/C/2023/1389/oj"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data.europa.eu/eli/dir/2022/2041/oj"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8867</Words>
  <Characters>57816</Characters>
  <Application>Microsoft Office Word</Application>
  <DocSecurity>0</DocSecurity>
  <Lines>2223</Lines>
  <Paragraphs>520</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66163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2025-04-03T11:14:00Z</cp:lastPrinted>
  <dcterms:created xsi:type="dcterms:W3CDTF">2025-04-15T13:05:00Z</dcterms:created>
  <dcterms:modified xsi:type="dcterms:W3CDTF">2025-04-15T13:05:00Z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1317257</vt:lpwstr>
  </property>
  <property fmtid="{D5CDD505-2E9C-101B-9397-08002B2CF9AE}" pid="4" name="&lt;Model&gt;">
    <vt:lpwstr>PA_NonLeg</vt:lpwstr>
  </property>
  <property fmtid="{D5CDD505-2E9C-101B-9397-08002B2CF9AE}" pid="5" name="&lt;ModelCod&gt;">
    <vt:lpwstr>\\eiciBRUpr1\pdocep$\DocEP\DOCS\General\PA\PA_NonLeg\PA_NonLeg.dotx(19/06/2024 13:39:02)</vt:lpwstr>
  </property>
  <property fmtid="{D5CDD505-2E9C-101B-9397-08002B2CF9AE}" pid="6" name="&lt;ModelTra&gt;">
    <vt:lpwstr>\\eiciBRUpr1\pdocep$\DocEP\TRANSFIL\EN\PA_NonLeg.EN(25/07/2024 07:40:11)</vt:lpwstr>
  </property>
  <property fmtid="{D5CDD505-2E9C-101B-9397-08002B2CF9AE}" pid="7" name="&lt;Type&gt;">
    <vt:lpwstr>AD</vt:lpwstr>
  </property>
  <property fmtid="{D5CDD505-2E9C-101B-9397-08002B2CF9AE}" pid="8" name="Bookout">
    <vt:lpwstr>OK - 2025/04/15 15:05</vt:lpwstr>
  </property>
  <property fmtid="{D5CDD505-2E9C-101B-9397-08002B2CF9AE}" pid="9" name="Created with">
    <vt:lpwstr>10.0.0 Build [20241202]</vt:lpwstr>
  </property>
  <property fmtid="{D5CDD505-2E9C-101B-9397-08002B2CF9AE}" pid="10" name="FooterPath">
    <vt:lpwstr>AD\1317257DA.docx</vt:lpwstr>
  </property>
  <property fmtid="{D5CDD505-2E9C-101B-9397-08002B2CF9AE}" pid="11" name="LastEdited with">
    <vt:lpwstr>10.0.1 Build [20250114]</vt:lpwstr>
  </property>
  <property fmtid="{D5CDD505-2E9C-101B-9397-08002B2CF9AE}" pid="12" name="PE number">
    <vt:lpwstr>768.112</vt:lpwstr>
  </property>
  <property fmtid="{D5CDD505-2E9C-101B-9397-08002B2CF9AE}" pid="13" name="SDLStudio">
    <vt:lpwstr/>
  </property>
  <property fmtid="{D5CDD505-2E9C-101B-9397-08002B2CF9AE}" pid="14" name="SendToEpades">
    <vt:lpwstr>OK - 2025/04/01 09:57</vt:lpwstr>
  </property>
</Properties>
</file>