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200F7" w:rsidRPr="00F14753" w:rsidTr="00C85D0F">
        <w:trPr>
          <w:trHeight w:hRule="exact" w:val="1418"/>
        </w:trPr>
        <w:tc>
          <w:tcPr>
            <w:tcW w:w="6804" w:type="dxa"/>
            <w:shd w:val="clear" w:color="auto" w:fill="auto"/>
            <w:vAlign w:val="center"/>
          </w:tcPr>
          <w:p w:rsidR="00854CAC" w:rsidRPr="00F14753" w:rsidRDefault="00BF22CA" w:rsidP="00C85D0F">
            <w:pPr>
              <w:pStyle w:val="EPName"/>
            </w:pPr>
            <w:r w:rsidRPr="00F14753">
              <w:t>Parlamento europeo</w:t>
            </w:r>
          </w:p>
          <w:p w:rsidR="00854CAC" w:rsidRPr="00F14753" w:rsidRDefault="00BF22CA" w:rsidP="00EE1379">
            <w:pPr>
              <w:pStyle w:val="EPTerm"/>
            </w:pPr>
            <w:r w:rsidRPr="00F14753">
              <w:t>2024-2029</w:t>
            </w:r>
          </w:p>
        </w:tc>
        <w:tc>
          <w:tcPr>
            <w:tcW w:w="2268" w:type="dxa"/>
            <w:shd w:val="clear" w:color="auto" w:fill="auto"/>
          </w:tcPr>
          <w:p w:rsidR="00854CAC" w:rsidRPr="00F14753" w:rsidRDefault="00BF22CA" w:rsidP="00C85D0F">
            <w:pPr>
              <w:pStyle w:val="EPLogo"/>
            </w:pPr>
            <w:r w:rsidRPr="00F14753">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F14753" w:rsidRDefault="001746D0" w:rsidP="001746D0">
      <w:pPr>
        <w:pStyle w:val="LineTop"/>
      </w:pPr>
    </w:p>
    <w:p w:rsidR="001746D0" w:rsidRPr="00F14753" w:rsidRDefault="00BF22CA" w:rsidP="001746D0">
      <w:pPr>
        <w:pStyle w:val="EPBody"/>
      </w:pPr>
      <w:r w:rsidRPr="00F14753">
        <w:rPr>
          <w:rStyle w:val="HideTWBExt"/>
          <w:i w:val="0"/>
          <w:color w:val="auto"/>
        </w:rPr>
        <w:t>&lt;Commission&gt;</w:t>
      </w:r>
      <w:r w:rsidRPr="00F14753">
        <w:rPr>
          <w:rStyle w:val="HideTWBInt"/>
          <w:i w:val="0"/>
          <w:color w:val="auto"/>
        </w:rPr>
        <w:t>{EMPL}</w:t>
      </w:r>
      <w:r w:rsidRPr="00F14753">
        <w:t>Commissione per l'occupazione e gli affari sociali</w:t>
      </w:r>
      <w:r w:rsidRPr="00F14753">
        <w:rPr>
          <w:rStyle w:val="HideTWBExt"/>
          <w:i w:val="0"/>
          <w:color w:val="auto"/>
        </w:rPr>
        <w:t>&lt;/Commission&gt;</w:t>
      </w:r>
    </w:p>
    <w:p w:rsidR="001746D0" w:rsidRPr="00F14753" w:rsidRDefault="001746D0" w:rsidP="001746D0">
      <w:pPr>
        <w:pStyle w:val="LineBottom"/>
      </w:pPr>
    </w:p>
    <w:p w:rsidR="002E2F2E" w:rsidRPr="00F14753" w:rsidRDefault="00BF22CA">
      <w:pPr>
        <w:pStyle w:val="CoverReference"/>
      </w:pPr>
      <w:r w:rsidRPr="00F14753">
        <w:rPr>
          <w:rStyle w:val="HideTWBExt"/>
          <w:b w:val="0"/>
          <w:color w:val="auto"/>
        </w:rPr>
        <w:t>&lt;RefProc&gt;</w:t>
      </w:r>
      <w:r w:rsidRPr="00F14753">
        <w:t>2024/2085</w:t>
      </w:r>
      <w:r w:rsidRPr="00F14753">
        <w:rPr>
          <w:rStyle w:val="HideTWBExt"/>
          <w:b w:val="0"/>
          <w:color w:val="auto"/>
        </w:rPr>
        <w:t>&lt;/RefProc&gt;&lt;RefTypeProc&gt;</w:t>
      </w:r>
      <w:r w:rsidRPr="00F14753">
        <w:t>(INI)</w:t>
      </w:r>
      <w:r w:rsidRPr="00F14753">
        <w:rPr>
          <w:rStyle w:val="HideTWBExt"/>
          <w:b w:val="0"/>
          <w:color w:val="auto"/>
        </w:rPr>
        <w:t>&lt;/RefTypeProc&gt;</w:t>
      </w:r>
    </w:p>
    <w:p w:rsidR="00796AD4" w:rsidRPr="00F14753" w:rsidRDefault="00BF22CA" w:rsidP="00796AD4">
      <w:pPr>
        <w:pStyle w:val="CoverDate"/>
      </w:pPr>
      <w:r w:rsidRPr="00F14753">
        <w:rPr>
          <w:rStyle w:val="HideTWBExt"/>
          <w:color w:val="auto"/>
        </w:rPr>
        <w:t>&lt;Date&gt;</w:t>
      </w:r>
      <w:r w:rsidRPr="00F14753">
        <w:rPr>
          <w:rStyle w:val="HideTWBInt"/>
          <w:color w:val="auto"/>
        </w:rPr>
        <w:t>{01/04/2025}</w:t>
      </w:r>
      <w:r w:rsidRPr="00F14753">
        <w:t>1.4.2025</w:t>
      </w:r>
      <w:r w:rsidRPr="00F14753">
        <w:rPr>
          <w:rStyle w:val="HideTWBExt"/>
          <w:color w:val="auto"/>
        </w:rPr>
        <w:t>&lt;/Date&gt;</w:t>
      </w:r>
    </w:p>
    <w:p w:rsidR="002E2F2E" w:rsidRPr="00F14753" w:rsidRDefault="00BF22CA" w:rsidP="00796AD4">
      <w:pPr>
        <w:pStyle w:val="CoverDocType24a"/>
      </w:pPr>
      <w:r w:rsidRPr="00F14753">
        <w:rPr>
          <w:rStyle w:val="HideTWBExt"/>
          <w:b w:val="0"/>
          <w:color w:val="auto"/>
        </w:rPr>
        <w:t>&lt;TitreType&gt;</w:t>
      </w:r>
      <w:r w:rsidRPr="00F14753">
        <w:t>PARERE</w:t>
      </w:r>
      <w:r w:rsidRPr="00F14753">
        <w:rPr>
          <w:rStyle w:val="HideTWBExt"/>
          <w:b w:val="0"/>
          <w:color w:val="auto"/>
        </w:rPr>
        <w:t>&lt;/TitreType&gt;</w:t>
      </w:r>
    </w:p>
    <w:p w:rsidR="002E2F2E" w:rsidRPr="00F14753" w:rsidRDefault="00BF22CA">
      <w:pPr>
        <w:pStyle w:val="CoverNormal24a"/>
      </w:pPr>
      <w:r w:rsidRPr="00F14753">
        <w:rPr>
          <w:rStyle w:val="HideTWBExt"/>
          <w:color w:val="auto"/>
        </w:rPr>
        <w:t>&lt;CommissionResp&gt;</w:t>
      </w:r>
      <w:r w:rsidRPr="00F14753">
        <w:t>della commissione per l'occupazione e gli affari sociali</w:t>
      </w:r>
      <w:r w:rsidRPr="00F14753">
        <w:rPr>
          <w:rStyle w:val="HideTWBExt"/>
          <w:color w:val="auto"/>
        </w:rPr>
        <w:t>&lt;/CommissionResp&gt;</w:t>
      </w:r>
    </w:p>
    <w:p w:rsidR="002E2F2E" w:rsidRPr="00F14753" w:rsidRDefault="00BF22CA">
      <w:pPr>
        <w:pStyle w:val="CoverNormal24a"/>
      </w:pPr>
      <w:r w:rsidRPr="00F14753">
        <w:rPr>
          <w:rStyle w:val="HideTWBExt"/>
          <w:color w:val="auto"/>
        </w:rPr>
        <w:t>&lt;CommissionInt&gt;</w:t>
      </w:r>
      <w:r w:rsidRPr="00F14753">
        <w:t>destinato alla commissione per i bilanci e alla commissione per i problemi economici e monetari</w:t>
      </w:r>
      <w:r w:rsidRPr="00F14753">
        <w:rPr>
          <w:rStyle w:val="HideTWBExt"/>
          <w:color w:val="auto"/>
        </w:rPr>
        <w:t>&lt;/CommissionInt&gt;</w:t>
      </w:r>
    </w:p>
    <w:p w:rsidR="00EE1379" w:rsidRPr="00F14753" w:rsidRDefault="00BF22CA" w:rsidP="00EE1379">
      <w:pPr>
        <w:pStyle w:val="CoverNormal"/>
      </w:pPr>
      <w:r w:rsidRPr="00F14753">
        <w:rPr>
          <w:rStyle w:val="HideTWBExt"/>
          <w:color w:val="auto"/>
        </w:rPr>
        <w:t>&lt;Titre&gt;</w:t>
      </w:r>
      <w:r w:rsidRPr="00F14753">
        <w:t xml:space="preserve">sulla relazione sull'attuazione </w:t>
      </w:r>
      <w:r w:rsidRPr="00F14753">
        <w:t>del dispositivo per la ripresa e la resilienza</w:t>
      </w:r>
      <w:r w:rsidRPr="00F14753">
        <w:rPr>
          <w:rStyle w:val="HideTWBExt"/>
          <w:color w:val="auto"/>
        </w:rPr>
        <w:t>&lt;/Titre&gt;</w:t>
      </w:r>
    </w:p>
    <w:p w:rsidR="002E2F2E" w:rsidRPr="00F14753" w:rsidRDefault="00BF22CA" w:rsidP="00EE1379">
      <w:pPr>
        <w:pStyle w:val="CoverNormal24a"/>
      </w:pPr>
      <w:r w:rsidRPr="00F14753">
        <w:rPr>
          <w:rStyle w:val="HideTWBExt"/>
          <w:color w:val="auto"/>
        </w:rPr>
        <w:t>&lt;DocRef&gt;</w:t>
      </w:r>
      <w:r w:rsidRPr="00F14753">
        <w:t>(2024/2085(INI))</w:t>
      </w:r>
      <w:r w:rsidRPr="00F14753">
        <w:rPr>
          <w:rStyle w:val="HideTWBExt"/>
          <w:color w:val="auto"/>
        </w:rPr>
        <w:t>&lt;/DocRef&gt;</w:t>
      </w:r>
    </w:p>
    <w:p w:rsidR="002E2F2E" w:rsidRPr="00F14753" w:rsidRDefault="00BF22CA">
      <w:pPr>
        <w:pStyle w:val="CoverNormal24a"/>
      </w:pPr>
      <w:r w:rsidRPr="00F14753">
        <w:t xml:space="preserve">Relatrice per parere: </w:t>
      </w:r>
      <w:r w:rsidRPr="00F14753">
        <w:rPr>
          <w:rStyle w:val="HideTWBExt"/>
          <w:color w:val="auto"/>
        </w:rPr>
        <w:t>&lt;Depute&gt;</w:t>
      </w:r>
      <w:r w:rsidRPr="00F14753">
        <w:t>Marie</w:t>
      </w:r>
      <w:r w:rsidRPr="00F14753">
        <w:noBreakHyphen/>
        <w:t>Pierre Vedrenne</w:t>
      </w:r>
      <w:r w:rsidRPr="00F14753">
        <w:rPr>
          <w:rStyle w:val="HideTWBExt"/>
          <w:color w:val="auto"/>
        </w:rPr>
        <w:t>&lt;/Depute&gt;</w:t>
      </w:r>
    </w:p>
    <w:p w:rsidR="00A72C35" w:rsidRPr="00F14753" w:rsidRDefault="00A72C35" w:rsidP="00A72C35">
      <w:pPr>
        <w:pStyle w:val="CoverNormal"/>
      </w:pPr>
    </w:p>
    <w:p w:rsidR="002E2F2E" w:rsidRPr="00F14753" w:rsidRDefault="00BF22CA" w:rsidP="00E856D2">
      <w:pPr>
        <w:widowControl/>
        <w:tabs>
          <w:tab w:val="center" w:pos="4677"/>
        </w:tabs>
      </w:pPr>
      <w:r w:rsidRPr="00F14753">
        <w:br w:type="page"/>
      </w:r>
      <w:r w:rsidRPr="00F14753">
        <w:lastRenderedPageBreak/>
        <w:t>PA_NonLeg</w:t>
      </w:r>
    </w:p>
    <w:p w:rsidR="002E2F2E" w:rsidRPr="00F14753" w:rsidRDefault="00BF22CA" w:rsidP="00D318E7">
      <w:pPr>
        <w:pStyle w:val="PageHeadingNotTOC"/>
      </w:pPr>
      <w:r w:rsidRPr="00F14753">
        <w:br w:type="page"/>
      </w:r>
      <w:r w:rsidRPr="00F14753">
        <w:lastRenderedPageBreak/>
        <w:t>EMENDAMENTI</w:t>
      </w:r>
    </w:p>
    <w:p w:rsidR="002E2F2E" w:rsidRPr="00F14753" w:rsidRDefault="00BF22CA" w:rsidP="008313E7">
      <w:pPr>
        <w:pStyle w:val="Normal12a"/>
      </w:pPr>
      <w:r w:rsidRPr="00F14753">
        <w:t>La commissione per l'occupazione e gli affari sociali presenta alla commissione per i bilanci e alla commissione per i problemi economici e monetari, competenti per il merito, quanto segue:</w:t>
      </w:r>
    </w:p>
    <w:p w:rsidR="000F46BF" w:rsidRPr="00F14753" w:rsidRDefault="000F46BF" w:rsidP="000F46BF">
      <w:pPr>
        <w:pStyle w:val="Normal12a"/>
      </w:pPr>
    </w:p>
    <w:p w:rsidR="000F46BF" w:rsidRPr="00F14753" w:rsidRDefault="00BF22CA" w:rsidP="000F46BF">
      <w:pPr>
        <w:pStyle w:val="AMNumberTabs0"/>
        <w:keepNext/>
        <w:rPr>
          <w:szCs w:val="24"/>
        </w:rPr>
      </w:pPr>
      <w:r w:rsidRPr="00F14753">
        <w:rPr>
          <w:rStyle w:val="HideTWBExt"/>
          <w:b w:val="0"/>
          <w:color w:val="auto"/>
        </w:rPr>
        <w:t>&lt;RepeatBlock-Amend&gt;</w:t>
      </w:r>
    </w:p>
    <w:p w:rsidR="000F46BF" w:rsidRPr="00F14753" w:rsidRDefault="00BF22CA" w:rsidP="000F46BF">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1</w:t>
      </w:r>
      <w:r w:rsidRPr="00F14753">
        <w:rPr>
          <w:rStyle w:val="HideTWBExt"/>
          <w:b w:val="0"/>
          <w:color w:val="auto"/>
        </w:rPr>
        <w:t>&lt;/NumAm&gt;</w:t>
      </w:r>
    </w:p>
    <w:p w:rsidR="000F46BF" w:rsidRPr="00F14753" w:rsidRDefault="000F46BF" w:rsidP="000F46BF"/>
    <w:p w:rsidR="000F46BF" w:rsidRPr="00F14753" w:rsidRDefault="00BF22CA" w:rsidP="000F46BF">
      <w:pPr>
        <w:pStyle w:val="NormalBold"/>
        <w:keepNext/>
      </w:pPr>
      <w:r w:rsidRPr="00F14753">
        <w:rPr>
          <w:rStyle w:val="HideTWBExt"/>
          <w:b w:val="0"/>
          <w:color w:val="auto"/>
        </w:rPr>
        <w:t>&lt;DocAmend&gt;</w:t>
      </w:r>
      <w:r w:rsidRPr="00F14753">
        <w:t>Proposta di risoluzione</w:t>
      </w:r>
      <w:r w:rsidRPr="00F14753">
        <w:rPr>
          <w:rStyle w:val="HideTWBExt"/>
          <w:b w:val="0"/>
          <w:color w:val="auto"/>
        </w:rPr>
        <w:t>&lt;/DocAmend&gt;</w:t>
      </w:r>
    </w:p>
    <w:p w:rsidR="000F46BF" w:rsidRPr="00F14753" w:rsidRDefault="00BF22CA" w:rsidP="000F46BF">
      <w:pPr>
        <w:pStyle w:val="NormalBold"/>
      </w:pPr>
      <w:r w:rsidRPr="00F14753">
        <w:rPr>
          <w:rStyle w:val="HideTWBExt"/>
          <w:b w:val="0"/>
          <w:color w:val="auto"/>
        </w:rPr>
        <w:t>&lt;Article&gt;</w:t>
      </w:r>
      <w:r w:rsidRPr="00F14753">
        <w:t>Visto 8 bis (nuovo)</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481440">
        <w:trPr>
          <w:jc w:val="center"/>
        </w:trPr>
        <w:tc>
          <w:tcPr>
            <w:tcW w:w="9752" w:type="dxa"/>
            <w:gridSpan w:val="2"/>
          </w:tcPr>
          <w:p w:rsidR="000F46BF" w:rsidRPr="00F14753" w:rsidRDefault="000F46BF" w:rsidP="00481440">
            <w:pPr>
              <w:keepNext/>
            </w:pPr>
          </w:p>
        </w:tc>
      </w:tr>
      <w:tr w:rsidR="00B3157A" w:rsidRPr="00F14753" w:rsidTr="00481440">
        <w:trPr>
          <w:jc w:val="center"/>
        </w:trPr>
        <w:tc>
          <w:tcPr>
            <w:tcW w:w="4876" w:type="dxa"/>
            <w:hideMark/>
          </w:tcPr>
          <w:p w:rsidR="000F46BF" w:rsidRPr="00F14753" w:rsidRDefault="00BF22CA" w:rsidP="00481440">
            <w:pPr>
              <w:pStyle w:val="ColumnHeading"/>
              <w:keepNext/>
            </w:pPr>
            <w:r w:rsidRPr="00F14753">
              <w:t>Proposta di risoluzione</w:t>
            </w:r>
          </w:p>
        </w:tc>
        <w:tc>
          <w:tcPr>
            <w:tcW w:w="4876" w:type="dxa"/>
            <w:hideMark/>
          </w:tcPr>
          <w:p w:rsidR="000F46BF" w:rsidRPr="00F14753" w:rsidRDefault="00BF22CA" w:rsidP="00481440">
            <w:pPr>
              <w:pStyle w:val="ColumnHeading"/>
              <w:keepNext/>
            </w:pPr>
            <w:r w:rsidRPr="00F14753">
              <w:t>Emendamento</w:t>
            </w:r>
          </w:p>
        </w:tc>
      </w:tr>
      <w:tr w:rsidR="00B3157A" w:rsidRPr="00F14753" w:rsidTr="00481440">
        <w:trPr>
          <w:jc w:val="center"/>
        </w:trPr>
        <w:tc>
          <w:tcPr>
            <w:tcW w:w="4876" w:type="dxa"/>
          </w:tcPr>
          <w:p w:rsidR="000F46BF" w:rsidRPr="00F14753" w:rsidRDefault="000F46BF" w:rsidP="00481440">
            <w:pPr>
              <w:pStyle w:val="Normal6"/>
            </w:pPr>
          </w:p>
        </w:tc>
        <w:tc>
          <w:tcPr>
            <w:tcW w:w="4876" w:type="dxa"/>
            <w:hideMark/>
          </w:tcPr>
          <w:p w:rsidR="000F46BF" w:rsidRPr="00F14753" w:rsidRDefault="00BF22CA" w:rsidP="00481440">
            <w:pPr>
              <w:pStyle w:val="Normal6"/>
              <w:rPr>
                <w:szCs w:val="24"/>
              </w:rPr>
            </w:pPr>
            <w:r w:rsidRPr="00F14753">
              <w:rPr>
                <w:b/>
                <w:i/>
              </w:rPr>
              <w:t>–</w:t>
            </w:r>
            <w:r w:rsidRPr="00F14753">
              <w:rPr>
                <w:b/>
                <w:i/>
              </w:rPr>
              <w:tab/>
            </w:r>
            <w:r w:rsidRPr="00F14753">
              <w:rPr>
                <w:b/>
                <w:i/>
              </w:rPr>
              <w:t>visto il pilastro europeo dei diritti sociali, proclamato e firmato dal Parlamento, dal Consiglio e dalla Commissione il 17 novembre 2017, e i 20 principi in esso contenuti,</w:t>
            </w:r>
          </w:p>
        </w:tc>
      </w:tr>
    </w:tbl>
    <w:p w:rsidR="000F46BF" w:rsidRPr="00F14753" w:rsidRDefault="00BF22CA" w:rsidP="000F46BF">
      <w:r w:rsidRPr="00F14753">
        <w:rPr>
          <w:rStyle w:val="HideTWBExt"/>
          <w:color w:val="auto"/>
        </w:rPr>
        <w:t>&lt;/Amend&gt;</w:t>
      </w:r>
    </w:p>
    <w:p w:rsidR="000F46BF" w:rsidRPr="00F14753" w:rsidRDefault="00BF22CA" w:rsidP="000F46BF">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2</w:t>
      </w:r>
      <w:r w:rsidRPr="00F14753">
        <w:rPr>
          <w:rStyle w:val="HideTWBExt"/>
          <w:b w:val="0"/>
          <w:color w:val="auto"/>
        </w:rPr>
        <w:t>&lt;/NumAm&gt;</w:t>
      </w:r>
    </w:p>
    <w:p w:rsidR="000F46BF" w:rsidRPr="00F14753" w:rsidRDefault="000F46BF" w:rsidP="000F46BF"/>
    <w:p w:rsidR="000F46BF" w:rsidRPr="00F14753" w:rsidRDefault="00BF22CA" w:rsidP="000F46BF">
      <w:pPr>
        <w:pStyle w:val="NormalBold"/>
        <w:keepNext/>
      </w:pPr>
      <w:r w:rsidRPr="00F14753">
        <w:rPr>
          <w:rStyle w:val="HideTWBExt"/>
          <w:b w:val="0"/>
          <w:color w:val="auto"/>
        </w:rPr>
        <w:t>&lt;DocAmend&gt;</w:t>
      </w:r>
      <w:r w:rsidRPr="00F14753">
        <w:t>Proposta di risoluzione</w:t>
      </w:r>
      <w:r w:rsidRPr="00F14753">
        <w:rPr>
          <w:rStyle w:val="HideTWBExt"/>
          <w:b w:val="0"/>
          <w:color w:val="auto"/>
        </w:rPr>
        <w:t>&lt;</w:t>
      </w:r>
      <w:r w:rsidRPr="00F14753">
        <w:rPr>
          <w:rStyle w:val="HideTWBExt"/>
          <w:b w:val="0"/>
          <w:color w:val="auto"/>
        </w:rPr>
        <w:t>/DocAmend&gt;</w:t>
      </w:r>
    </w:p>
    <w:p w:rsidR="000F46BF" w:rsidRPr="00F14753" w:rsidRDefault="00BF22CA" w:rsidP="000F46BF">
      <w:pPr>
        <w:pStyle w:val="NormalBold"/>
      </w:pPr>
      <w:r w:rsidRPr="00F14753">
        <w:rPr>
          <w:rStyle w:val="HideTWBExt"/>
          <w:b w:val="0"/>
          <w:color w:val="auto"/>
        </w:rPr>
        <w:t>&lt;Article&gt;</w:t>
      </w:r>
      <w:r w:rsidRPr="00F14753">
        <w:t>Visto 8 ter (nuovo)</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481440">
        <w:trPr>
          <w:jc w:val="center"/>
        </w:trPr>
        <w:tc>
          <w:tcPr>
            <w:tcW w:w="9752" w:type="dxa"/>
            <w:gridSpan w:val="2"/>
          </w:tcPr>
          <w:p w:rsidR="000F46BF" w:rsidRPr="00F14753" w:rsidRDefault="000F46BF" w:rsidP="00481440">
            <w:pPr>
              <w:keepNext/>
            </w:pPr>
          </w:p>
        </w:tc>
      </w:tr>
      <w:tr w:rsidR="00B3157A" w:rsidRPr="00F14753" w:rsidTr="00481440">
        <w:trPr>
          <w:jc w:val="center"/>
        </w:trPr>
        <w:tc>
          <w:tcPr>
            <w:tcW w:w="4876" w:type="dxa"/>
            <w:hideMark/>
          </w:tcPr>
          <w:p w:rsidR="000F46BF" w:rsidRPr="00F14753" w:rsidRDefault="00BF22CA" w:rsidP="00481440">
            <w:pPr>
              <w:pStyle w:val="ColumnHeading"/>
              <w:keepNext/>
            </w:pPr>
            <w:r w:rsidRPr="00F14753">
              <w:t>Proposta di risoluzione</w:t>
            </w:r>
          </w:p>
        </w:tc>
        <w:tc>
          <w:tcPr>
            <w:tcW w:w="4876" w:type="dxa"/>
            <w:hideMark/>
          </w:tcPr>
          <w:p w:rsidR="000F46BF" w:rsidRPr="00F14753" w:rsidRDefault="00BF22CA" w:rsidP="00481440">
            <w:pPr>
              <w:pStyle w:val="ColumnHeading"/>
              <w:keepNext/>
            </w:pPr>
            <w:r w:rsidRPr="00F14753">
              <w:t>Emendamento</w:t>
            </w:r>
          </w:p>
        </w:tc>
      </w:tr>
      <w:tr w:rsidR="00B3157A" w:rsidRPr="00F14753" w:rsidTr="00481440">
        <w:trPr>
          <w:jc w:val="center"/>
        </w:trPr>
        <w:tc>
          <w:tcPr>
            <w:tcW w:w="4876" w:type="dxa"/>
          </w:tcPr>
          <w:p w:rsidR="000F46BF" w:rsidRPr="00F14753" w:rsidRDefault="000F46BF" w:rsidP="00481440">
            <w:pPr>
              <w:pStyle w:val="Normal6"/>
            </w:pPr>
          </w:p>
        </w:tc>
        <w:tc>
          <w:tcPr>
            <w:tcW w:w="4876" w:type="dxa"/>
            <w:hideMark/>
          </w:tcPr>
          <w:p w:rsidR="000F46BF" w:rsidRPr="00F14753" w:rsidRDefault="00BF22CA" w:rsidP="00481440">
            <w:pPr>
              <w:pStyle w:val="Normal6"/>
              <w:rPr>
                <w:szCs w:val="24"/>
              </w:rPr>
            </w:pPr>
            <w:r w:rsidRPr="00F14753">
              <w:rPr>
                <w:b/>
                <w:i/>
              </w:rPr>
              <w:t>–</w:t>
            </w:r>
            <w:r w:rsidRPr="00F14753">
              <w:rPr>
                <w:b/>
                <w:i/>
              </w:rPr>
              <w:tab/>
            </w:r>
            <w:r w:rsidRPr="00F14753">
              <w:rPr>
                <w:b/>
                <w:i/>
              </w:rPr>
              <w:t>visti la comunicazione della Commissione, del 4 marzo 2021, dal titolo "Piano d'azione sul pilastro europeo dei diritti sociali" (COM(2021)0102) e i suoi obiettivi principali per il 2030 riguardanti l'occupazione, le competenze e la formazione e la riduzio</w:t>
            </w:r>
            <w:r w:rsidRPr="00F14753">
              <w:rPr>
                <w:b/>
                <w:i/>
              </w:rPr>
              <w:t>ne della povertà,</w:t>
            </w:r>
          </w:p>
        </w:tc>
      </w:tr>
    </w:tbl>
    <w:p w:rsidR="000F46BF" w:rsidRPr="00F14753" w:rsidRDefault="00BF22CA" w:rsidP="000F46BF">
      <w:r w:rsidRPr="00F14753">
        <w:rPr>
          <w:rStyle w:val="HideTWBExt"/>
          <w:color w:val="auto"/>
        </w:rPr>
        <w:t>&lt;/Amend&gt;</w:t>
      </w:r>
    </w:p>
    <w:p w:rsidR="000F46BF" w:rsidRPr="00F14753" w:rsidRDefault="00BF22CA" w:rsidP="000F46BF">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3</w:t>
      </w:r>
      <w:r w:rsidRPr="00F14753">
        <w:rPr>
          <w:rStyle w:val="HideTWBExt"/>
          <w:b w:val="0"/>
          <w:color w:val="auto"/>
        </w:rPr>
        <w:t>&lt;/NumAm&gt;</w:t>
      </w:r>
    </w:p>
    <w:p w:rsidR="000F46BF" w:rsidRPr="00F14753" w:rsidRDefault="00BF22CA" w:rsidP="000F46BF">
      <w:pPr>
        <w:pStyle w:val="NormalBold12b"/>
        <w:keepNext/>
      </w:pPr>
      <w:r w:rsidRPr="00F14753">
        <w:rPr>
          <w:rStyle w:val="HideTWBExt"/>
          <w:b w:val="0"/>
          <w:color w:val="auto"/>
        </w:rPr>
        <w:t>&lt;DocAmend&gt;</w:t>
      </w:r>
      <w:r w:rsidRPr="00F14753">
        <w:t>Proposta di risoluzione</w:t>
      </w:r>
      <w:r w:rsidRPr="00F14753">
        <w:rPr>
          <w:rStyle w:val="HideTWBExt"/>
          <w:b w:val="0"/>
          <w:color w:val="auto"/>
        </w:rPr>
        <w:t>&lt;/DocAmend&gt;</w:t>
      </w:r>
    </w:p>
    <w:p w:rsidR="000F46BF" w:rsidRPr="00F14753" w:rsidRDefault="00BF22CA" w:rsidP="000F46BF">
      <w:pPr>
        <w:pStyle w:val="NormalBold"/>
      </w:pPr>
      <w:r w:rsidRPr="00F14753">
        <w:rPr>
          <w:rStyle w:val="HideTWBExt"/>
          <w:b w:val="0"/>
          <w:color w:val="auto"/>
        </w:rPr>
        <w:t>&lt;Article&gt;</w:t>
      </w:r>
      <w:r w:rsidRPr="00F14753">
        <w:t>Visto 8 quater (nuovo)</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481440">
        <w:trPr>
          <w:jc w:val="center"/>
        </w:trPr>
        <w:tc>
          <w:tcPr>
            <w:tcW w:w="9752" w:type="dxa"/>
            <w:gridSpan w:val="2"/>
          </w:tcPr>
          <w:p w:rsidR="000F46BF" w:rsidRPr="00F14753" w:rsidRDefault="000F46BF" w:rsidP="00481440">
            <w:pPr>
              <w:keepNext/>
            </w:pPr>
          </w:p>
        </w:tc>
      </w:tr>
      <w:tr w:rsidR="00B3157A" w:rsidRPr="00F14753" w:rsidTr="00481440">
        <w:trPr>
          <w:jc w:val="center"/>
        </w:trPr>
        <w:tc>
          <w:tcPr>
            <w:tcW w:w="4876" w:type="dxa"/>
            <w:hideMark/>
          </w:tcPr>
          <w:p w:rsidR="000F46BF" w:rsidRPr="00F14753" w:rsidRDefault="00BF22CA" w:rsidP="00481440">
            <w:pPr>
              <w:pStyle w:val="ColumnHeading"/>
              <w:keepNext/>
            </w:pPr>
            <w:r w:rsidRPr="00F14753">
              <w:t>Proposta di risoluzione</w:t>
            </w:r>
          </w:p>
        </w:tc>
        <w:tc>
          <w:tcPr>
            <w:tcW w:w="4876" w:type="dxa"/>
            <w:hideMark/>
          </w:tcPr>
          <w:p w:rsidR="000F46BF" w:rsidRPr="00F14753" w:rsidRDefault="00BF22CA" w:rsidP="00481440">
            <w:pPr>
              <w:pStyle w:val="ColumnHeading"/>
              <w:keepNext/>
            </w:pPr>
            <w:r w:rsidRPr="00F14753">
              <w:t>Emendamento</w:t>
            </w:r>
          </w:p>
        </w:tc>
      </w:tr>
      <w:tr w:rsidR="00B3157A" w:rsidRPr="00F14753" w:rsidTr="00481440">
        <w:trPr>
          <w:jc w:val="center"/>
        </w:trPr>
        <w:tc>
          <w:tcPr>
            <w:tcW w:w="4876" w:type="dxa"/>
          </w:tcPr>
          <w:p w:rsidR="000F46BF" w:rsidRPr="00F14753" w:rsidRDefault="000F46BF" w:rsidP="00481440">
            <w:pPr>
              <w:pStyle w:val="Normal6"/>
            </w:pPr>
          </w:p>
        </w:tc>
        <w:tc>
          <w:tcPr>
            <w:tcW w:w="4876" w:type="dxa"/>
            <w:hideMark/>
          </w:tcPr>
          <w:p w:rsidR="000F46BF" w:rsidRPr="00F14753" w:rsidRDefault="00BF22CA" w:rsidP="00481440">
            <w:pPr>
              <w:pStyle w:val="Normal6"/>
              <w:rPr>
                <w:szCs w:val="24"/>
              </w:rPr>
            </w:pPr>
            <w:r w:rsidRPr="00F14753">
              <w:rPr>
                <w:b/>
                <w:i/>
              </w:rPr>
              <w:t>–</w:t>
            </w:r>
            <w:r w:rsidRPr="00F14753">
              <w:rPr>
                <w:b/>
                <w:i/>
              </w:rPr>
              <w:tab/>
            </w:r>
            <w:r w:rsidRPr="00F14753">
              <w:rPr>
                <w:b/>
                <w:i/>
              </w:rPr>
              <w:t xml:space="preserve">visti gli obiettivi di sviluppo sostenibile delle Nazioni Unite, in </w:t>
            </w:r>
            <w:r w:rsidRPr="00F14753">
              <w:rPr>
                <w:b/>
                <w:i/>
              </w:rPr>
              <w:lastRenderedPageBreak/>
              <w:t>particolare gli obiettivi 1, 4, 5, 8 e 10,</w:t>
            </w:r>
          </w:p>
        </w:tc>
      </w:tr>
    </w:tbl>
    <w:p w:rsidR="000F46BF" w:rsidRPr="00F14753" w:rsidRDefault="00BF22CA" w:rsidP="000F46BF">
      <w:pPr>
        <w:rPr>
          <w:szCs w:val="24"/>
        </w:rPr>
      </w:pPr>
      <w:r w:rsidRPr="00F14753">
        <w:rPr>
          <w:rStyle w:val="HideTWBExt"/>
          <w:color w:val="auto"/>
        </w:rPr>
        <w:lastRenderedPageBreak/>
        <w:t>&lt;/Amend&gt;</w:t>
      </w:r>
    </w:p>
    <w:p w:rsidR="000F46BF" w:rsidRPr="00F14753" w:rsidRDefault="00BF22CA" w:rsidP="000F46BF">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4</w:t>
      </w:r>
      <w:r w:rsidRPr="00F14753">
        <w:rPr>
          <w:rStyle w:val="HideTWBExt"/>
          <w:b w:val="0"/>
          <w:color w:val="auto"/>
        </w:rPr>
        <w:t>&lt;/NumAm&gt;</w:t>
      </w:r>
    </w:p>
    <w:p w:rsidR="000F46BF" w:rsidRPr="00F14753" w:rsidRDefault="00BF22CA" w:rsidP="000F46BF">
      <w:pPr>
        <w:pStyle w:val="NormalBold12b"/>
        <w:keepNext/>
      </w:pPr>
      <w:r w:rsidRPr="00F14753">
        <w:rPr>
          <w:rStyle w:val="HideTWBExt"/>
          <w:b w:val="0"/>
          <w:color w:val="auto"/>
        </w:rPr>
        <w:t>&lt;DocAmend&gt;</w:t>
      </w:r>
      <w:r w:rsidRPr="00F14753">
        <w:t>Proposta di risoluzione</w:t>
      </w:r>
      <w:r w:rsidRPr="00F14753">
        <w:rPr>
          <w:rStyle w:val="HideTWBExt"/>
          <w:b w:val="0"/>
          <w:color w:val="auto"/>
        </w:rPr>
        <w:t>&lt;/DocAmend&gt;</w:t>
      </w:r>
    </w:p>
    <w:p w:rsidR="000F46BF" w:rsidRPr="00F14753" w:rsidRDefault="00BF22CA" w:rsidP="000F46BF">
      <w:pPr>
        <w:pStyle w:val="NormalBold"/>
      </w:pPr>
      <w:r w:rsidRPr="00F14753">
        <w:rPr>
          <w:rStyle w:val="HideTWBExt"/>
          <w:b w:val="0"/>
          <w:color w:val="auto"/>
        </w:rPr>
        <w:t>&lt;Article&gt;</w:t>
      </w:r>
      <w:r w:rsidRPr="00F14753">
        <w:t>Visto 8 quinquies (nuovo)</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481440">
        <w:trPr>
          <w:jc w:val="center"/>
        </w:trPr>
        <w:tc>
          <w:tcPr>
            <w:tcW w:w="9752" w:type="dxa"/>
            <w:gridSpan w:val="2"/>
          </w:tcPr>
          <w:p w:rsidR="000F46BF" w:rsidRPr="00F14753" w:rsidRDefault="000F46BF" w:rsidP="00481440">
            <w:pPr>
              <w:keepNext/>
            </w:pPr>
          </w:p>
        </w:tc>
      </w:tr>
      <w:tr w:rsidR="00B3157A" w:rsidRPr="00F14753" w:rsidTr="00481440">
        <w:trPr>
          <w:jc w:val="center"/>
        </w:trPr>
        <w:tc>
          <w:tcPr>
            <w:tcW w:w="4876" w:type="dxa"/>
            <w:hideMark/>
          </w:tcPr>
          <w:p w:rsidR="000F46BF" w:rsidRPr="00F14753" w:rsidRDefault="00BF22CA" w:rsidP="00481440">
            <w:pPr>
              <w:pStyle w:val="ColumnHeading"/>
              <w:keepNext/>
            </w:pPr>
            <w:r w:rsidRPr="00F14753">
              <w:t>Proposta di risoluzione</w:t>
            </w:r>
          </w:p>
        </w:tc>
        <w:tc>
          <w:tcPr>
            <w:tcW w:w="4876" w:type="dxa"/>
            <w:hideMark/>
          </w:tcPr>
          <w:p w:rsidR="000F46BF" w:rsidRPr="00F14753" w:rsidRDefault="00BF22CA" w:rsidP="00481440">
            <w:pPr>
              <w:pStyle w:val="ColumnHeading"/>
              <w:keepNext/>
            </w:pPr>
            <w:r w:rsidRPr="00F14753">
              <w:t>Emendamento</w:t>
            </w:r>
          </w:p>
        </w:tc>
      </w:tr>
      <w:tr w:rsidR="00B3157A" w:rsidRPr="00F14753" w:rsidTr="00481440">
        <w:trPr>
          <w:jc w:val="center"/>
        </w:trPr>
        <w:tc>
          <w:tcPr>
            <w:tcW w:w="4876" w:type="dxa"/>
          </w:tcPr>
          <w:p w:rsidR="000F46BF" w:rsidRPr="00F14753" w:rsidRDefault="000F46BF" w:rsidP="00481440">
            <w:pPr>
              <w:pStyle w:val="Normal6"/>
            </w:pPr>
          </w:p>
        </w:tc>
        <w:tc>
          <w:tcPr>
            <w:tcW w:w="4876" w:type="dxa"/>
            <w:hideMark/>
          </w:tcPr>
          <w:p w:rsidR="000F46BF" w:rsidRPr="00F14753" w:rsidRDefault="00BF22CA" w:rsidP="00481440">
            <w:pPr>
              <w:pStyle w:val="Normal6"/>
              <w:rPr>
                <w:szCs w:val="24"/>
              </w:rPr>
            </w:pPr>
            <w:r w:rsidRPr="00F14753">
              <w:rPr>
                <w:b/>
                <w:i/>
              </w:rPr>
              <w:t>–</w:t>
            </w:r>
            <w:r w:rsidRPr="00F14753">
              <w:rPr>
                <w:b/>
                <w:i/>
              </w:rPr>
              <w:tab/>
              <w:t>vista la raccomandazione (UE) 2021/1004 del Consiglio del 14 giugno 2021 che istituisce una garanzia europea per l'infanzia</w:t>
            </w:r>
            <w:r w:rsidRPr="00F14753">
              <w:rPr>
                <w:b/>
                <w:i/>
                <w:vertAlign w:val="superscript"/>
              </w:rPr>
              <w:t>1 bis</w:t>
            </w:r>
            <w:r w:rsidRPr="00F14753">
              <w:rPr>
                <w:b/>
                <w:i/>
              </w:rPr>
              <w:t>,</w:t>
            </w:r>
          </w:p>
        </w:tc>
      </w:tr>
      <w:tr w:rsidR="00B3157A" w:rsidRPr="00F14753" w:rsidTr="00481440">
        <w:trPr>
          <w:jc w:val="center"/>
        </w:trPr>
        <w:tc>
          <w:tcPr>
            <w:tcW w:w="4876" w:type="dxa"/>
          </w:tcPr>
          <w:p w:rsidR="000F46BF" w:rsidRPr="00F14753" w:rsidRDefault="000F46BF" w:rsidP="00481440">
            <w:pPr>
              <w:pStyle w:val="Normal6"/>
            </w:pPr>
          </w:p>
        </w:tc>
        <w:tc>
          <w:tcPr>
            <w:tcW w:w="4876" w:type="dxa"/>
            <w:hideMark/>
          </w:tcPr>
          <w:p w:rsidR="000F46BF" w:rsidRPr="00F14753" w:rsidRDefault="00BF22CA" w:rsidP="00481440">
            <w:pPr>
              <w:pStyle w:val="Normal6"/>
              <w:rPr>
                <w:szCs w:val="24"/>
              </w:rPr>
            </w:pPr>
            <w:r w:rsidRPr="00F14753">
              <w:rPr>
                <w:b/>
                <w:i/>
              </w:rPr>
              <w:t>__________________</w:t>
            </w:r>
          </w:p>
        </w:tc>
      </w:tr>
      <w:tr w:rsidR="00B3157A" w:rsidRPr="00F14753" w:rsidTr="00481440">
        <w:trPr>
          <w:jc w:val="center"/>
        </w:trPr>
        <w:tc>
          <w:tcPr>
            <w:tcW w:w="4876" w:type="dxa"/>
          </w:tcPr>
          <w:p w:rsidR="000F46BF" w:rsidRPr="00F14753" w:rsidRDefault="000F46BF" w:rsidP="00481440">
            <w:pPr>
              <w:pStyle w:val="Normal6"/>
            </w:pPr>
          </w:p>
        </w:tc>
        <w:tc>
          <w:tcPr>
            <w:tcW w:w="4876" w:type="dxa"/>
            <w:hideMark/>
          </w:tcPr>
          <w:p w:rsidR="000F46BF" w:rsidRPr="00F14753" w:rsidRDefault="00BF22CA" w:rsidP="00481440">
            <w:pPr>
              <w:pStyle w:val="Normal6"/>
              <w:rPr>
                <w:b/>
                <w:i/>
                <w:szCs w:val="24"/>
              </w:rPr>
            </w:pPr>
            <w:r w:rsidRPr="00F14753">
              <w:rPr>
                <w:b/>
                <w:i/>
                <w:vertAlign w:val="superscript"/>
              </w:rPr>
              <w:t>1 bis</w:t>
            </w:r>
            <w:r w:rsidRPr="00F14753">
              <w:rPr>
                <w:b/>
                <w:i/>
              </w:rPr>
              <w:t xml:space="preserve"> GU L 223 del 22.6.2021, pag. 14, </w:t>
            </w:r>
            <w:r w:rsidRPr="00F14753">
              <w:rPr>
                <w:b/>
                <w:i/>
                <w:shd w:val="clear" w:color="auto" w:fill="FFFFFF"/>
              </w:rPr>
              <w:t>ELI</w:t>
            </w:r>
            <w:r w:rsidRPr="00F14753">
              <w:rPr>
                <w:b/>
                <w:i/>
              </w:rPr>
              <w:t>:</w:t>
            </w:r>
            <w:r w:rsidRPr="00F14753">
              <w:rPr>
                <w:b/>
                <w:i/>
                <w:shd w:val="clear" w:color="auto" w:fill="FFFFFF"/>
              </w:rPr>
              <w:t> </w:t>
            </w:r>
            <w:hyperlink r:id="rId8" w:tooltip="Permette di accedere al documento attraverso il suo URI ELI." w:history="1">
              <w:r w:rsidRPr="00F14753">
                <w:rPr>
                  <w:rStyle w:val="Hyperlink"/>
                  <w:b/>
                  <w:i/>
                  <w:color w:val="auto"/>
                  <w:shd w:val="clear" w:color="auto" w:fill="FFFFFF"/>
                </w:rPr>
                <w:t>http://data.europa.eu/eli/reco/2021/1004/oj</w:t>
              </w:r>
            </w:hyperlink>
            <w:r w:rsidRPr="00F14753">
              <w:rPr>
                <w:b/>
                <w:i/>
              </w:rPr>
              <w:t>.</w:t>
            </w:r>
          </w:p>
        </w:tc>
      </w:tr>
    </w:tbl>
    <w:p w:rsidR="000F46BF" w:rsidRPr="00F14753" w:rsidRDefault="00BF22CA" w:rsidP="000F46BF">
      <w:pPr>
        <w:rPr>
          <w:szCs w:val="24"/>
        </w:rPr>
      </w:pPr>
      <w:r w:rsidRPr="00F14753">
        <w:rPr>
          <w:rStyle w:val="HideTWBExt"/>
          <w:color w:val="auto"/>
        </w:rPr>
        <w:t>&lt;/Amend&gt;</w:t>
      </w:r>
    </w:p>
    <w:p w:rsidR="000F46BF" w:rsidRPr="00F14753" w:rsidRDefault="00BF22CA" w:rsidP="000F46BF">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5</w:t>
      </w:r>
      <w:r w:rsidRPr="00F14753">
        <w:rPr>
          <w:rStyle w:val="HideTWBExt"/>
          <w:b w:val="0"/>
          <w:color w:val="auto"/>
        </w:rPr>
        <w:t>&lt;/NumAm&gt;</w:t>
      </w:r>
    </w:p>
    <w:p w:rsidR="000F46BF" w:rsidRPr="00F14753" w:rsidRDefault="00BF22CA" w:rsidP="000F46BF">
      <w:pPr>
        <w:pStyle w:val="NormalBold12b"/>
        <w:keepNext/>
      </w:pPr>
      <w:r w:rsidRPr="00F14753">
        <w:rPr>
          <w:rStyle w:val="HideTWBExt"/>
          <w:b w:val="0"/>
          <w:color w:val="auto"/>
        </w:rPr>
        <w:t>&lt;DocAmend&gt;</w:t>
      </w:r>
      <w:r w:rsidRPr="00F14753">
        <w:t>Proposta di risoluzione</w:t>
      </w:r>
      <w:r w:rsidRPr="00F14753">
        <w:rPr>
          <w:rStyle w:val="HideTWBExt"/>
          <w:b w:val="0"/>
          <w:color w:val="auto"/>
        </w:rPr>
        <w:t>&lt;/DocAm</w:t>
      </w:r>
      <w:r w:rsidRPr="00F14753">
        <w:rPr>
          <w:rStyle w:val="HideTWBExt"/>
          <w:b w:val="0"/>
          <w:color w:val="auto"/>
        </w:rPr>
        <w:t>end&gt;</w:t>
      </w:r>
    </w:p>
    <w:p w:rsidR="000F46BF" w:rsidRPr="00F14753" w:rsidRDefault="00BF22CA" w:rsidP="000F46BF">
      <w:pPr>
        <w:pStyle w:val="NormalBold"/>
      </w:pPr>
      <w:r w:rsidRPr="00F14753">
        <w:rPr>
          <w:rStyle w:val="HideTWBExt"/>
          <w:b w:val="0"/>
          <w:color w:val="auto"/>
        </w:rPr>
        <w:t>&lt;Article&gt;</w:t>
      </w:r>
      <w:r w:rsidRPr="00F14753">
        <w:t>Visto 8 sexies (nuovo)</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481440">
        <w:trPr>
          <w:jc w:val="center"/>
        </w:trPr>
        <w:tc>
          <w:tcPr>
            <w:tcW w:w="9752" w:type="dxa"/>
            <w:gridSpan w:val="2"/>
          </w:tcPr>
          <w:p w:rsidR="000F46BF" w:rsidRPr="00F14753" w:rsidRDefault="000F46BF" w:rsidP="00481440">
            <w:pPr>
              <w:keepNext/>
            </w:pPr>
          </w:p>
        </w:tc>
      </w:tr>
      <w:tr w:rsidR="00B3157A" w:rsidRPr="00F14753" w:rsidTr="00481440">
        <w:trPr>
          <w:jc w:val="center"/>
        </w:trPr>
        <w:tc>
          <w:tcPr>
            <w:tcW w:w="4876" w:type="dxa"/>
            <w:hideMark/>
          </w:tcPr>
          <w:p w:rsidR="000F46BF" w:rsidRPr="00F14753" w:rsidRDefault="00BF22CA" w:rsidP="00481440">
            <w:pPr>
              <w:pStyle w:val="ColumnHeading"/>
              <w:keepNext/>
            </w:pPr>
            <w:r w:rsidRPr="00F14753">
              <w:t>Proposta di risoluzione</w:t>
            </w:r>
          </w:p>
        </w:tc>
        <w:tc>
          <w:tcPr>
            <w:tcW w:w="4876" w:type="dxa"/>
            <w:hideMark/>
          </w:tcPr>
          <w:p w:rsidR="000F46BF" w:rsidRPr="00F14753" w:rsidRDefault="00BF22CA" w:rsidP="00481440">
            <w:pPr>
              <w:pStyle w:val="ColumnHeading"/>
              <w:keepNext/>
            </w:pPr>
            <w:r w:rsidRPr="00F14753">
              <w:t>Emendamento</w:t>
            </w:r>
          </w:p>
        </w:tc>
      </w:tr>
      <w:tr w:rsidR="00B3157A" w:rsidRPr="00F14753" w:rsidTr="00481440">
        <w:trPr>
          <w:jc w:val="center"/>
        </w:trPr>
        <w:tc>
          <w:tcPr>
            <w:tcW w:w="4876" w:type="dxa"/>
          </w:tcPr>
          <w:p w:rsidR="000F46BF" w:rsidRPr="00F14753" w:rsidRDefault="000F46BF" w:rsidP="00481440">
            <w:pPr>
              <w:pStyle w:val="Normal6"/>
            </w:pPr>
          </w:p>
        </w:tc>
        <w:tc>
          <w:tcPr>
            <w:tcW w:w="4876" w:type="dxa"/>
            <w:hideMark/>
          </w:tcPr>
          <w:p w:rsidR="000F46BF" w:rsidRPr="00F14753" w:rsidRDefault="00BF22CA" w:rsidP="00481440">
            <w:pPr>
              <w:pStyle w:val="Normal6"/>
              <w:rPr>
                <w:szCs w:val="24"/>
              </w:rPr>
            </w:pPr>
            <w:r w:rsidRPr="00F14753">
              <w:rPr>
                <w:b/>
                <w:i/>
              </w:rPr>
              <w:t>–</w:t>
            </w:r>
            <w:r w:rsidRPr="00F14753">
              <w:rPr>
                <w:b/>
                <w:i/>
              </w:rPr>
              <w:tab/>
            </w:r>
            <w:r w:rsidRPr="00F14753">
              <w:rPr>
                <w:b/>
                <w:i/>
              </w:rPr>
              <w:t>vista la raccomandazione del Consiglio, del 30 ottobre 2020, relativa a un ponte verso il lavoro, che rafforza la garanzia per i giovani e sostituisce la raccomandazione del Consiglio del 22 aprile 2013 sull'istituzione di una garanzia per i giovani</w:t>
            </w:r>
            <w:r w:rsidRPr="00F14753">
              <w:rPr>
                <w:b/>
                <w:i/>
                <w:vertAlign w:val="superscript"/>
              </w:rPr>
              <w:t>1 bis</w:t>
            </w:r>
            <w:r w:rsidRPr="00F14753">
              <w:rPr>
                <w:b/>
                <w:i/>
              </w:rPr>
              <w:t>,</w:t>
            </w:r>
          </w:p>
        </w:tc>
      </w:tr>
      <w:tr w:rsidR="00B3157A" w:rsidRPr="00F14753" w:rsidTr="00481440">
        <w:trPr>
          <w:jc w:val="center"/>
        </w:trPr>
        <w:tc>
          <w:tcPr>
            <w:tcW w:w="4876" w:type="dxa"/>
          </w:tcPr>
          <w:p w:rsidR="000F46BF" w:rsidRPr="00F14753" w:rsidRDefault="000F46BF" w:rsidP="00481440">
            <w:pPr>
              <w:pStyle w:val="Normal6"/>
            </w:pPr>
          </w:p>
        </w:tc>
        <w:tc>
          <w:tcPr>
            <w:tcW w:w="4876" w:type="dxa"/>
            <w:hideMark/>
          </w:tcPr>
          <w:p w:rsidR="000F46BF" w:rsidRPr="00F14753" w:rsidRDefault="00BF22CA" w:rsidP="00481440">
            <w:pPr>
              <w:pStyle w:val="Normal6"/>
              <w:rPr>
                <w:szCs w:val="24"/>
              </w:rPr>
            </w:pPr>
            <w:r w:rsidRPr="00F14753">
              <w:rPr>
                <w:b/>
                <w:i/>
              </w:rPr>
              <w:t>__________________</w:t>
            </w:r>
          </w:p>
        </w:tc>
      </w:tr>
      <w:tr w:rsidR="00B3157A" w:rsidRPr="00F14753" w:rsidTr="00481440">
        <w:trPr>
          <w:jc w:val="center"/>
        </w:trPr>
        <w:tc>
          <w:tcPr>
            <w:tcW w:w="4876" w:type="dxa"/>
          </w:tcPr>
          <w:p w:rsidR="000F46BF" w:rsidRPr="00F14753" w:rsidRDefault="000F46BF" w:rsidP="00481440">
            <w:pPr>
              <w:pStyle w:val="Normal6"/>
            </w:pPr>
          </w:p>
        </w:tc>
        <w:tc>
          <w:tcPr>
            <w:tcW w:w="4876" w:type="dxa"/>
            <w:hideMark/>
          </w:tcPr>
          <w:p w:rsidR="000F46BF" w:rsidRPr="00F14753" w:rsidRDefault="00BF22CA" w:rsidP="00481440">
            <w:pPr>
              <w:pStyle w:val="Normal6"/>
              <w:rPr>
                <w:szCs w:val="24"/>
              </w:rPr>
            </w:pPr>
            <w:r w:rsidRPr="00F14753">
              <w:rPr>
                <w:b/>
                <w:bCs/>
                <w:i/>
                <w:iCs/>
              </w:rPr>
              <w:t>GU C 372 del 4.11.2020, pag. 1.</w:t>
            </w:r>
          </w:p>
        </w:tc>
      </w:tr>
    </w:tbl>
    <w:p w:rsidR="000F46BF" w:rsidRPr="00F14753" w:rsidRDefault="00BF22CA" w:rsidP="000F46BF">
      <w:pPr>
        <w:rPr>
          <w:szCs w:val="24"/>
        </w:rPr>
      </w:pPr>
      <w:r w:rsidRPr="00F14753">
        <w:rPr>
          <w:rStyle w:val="HideTWBExt"/>
          <w:color w:val="auto"/>
        </w:rPr>
        <w:t>&lt;/Amend&gt;</w:t>
      </w:r>
    </w:p>
    <w:p w:rsidR="000F46BF" w:rsidRPr="00F14753" w:rsidRDefault="00BF22CA" w:rsidP="000F46BF">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6</w:t>
      </w:r>
      <w:r w:rsidRPr="00F14753">
        <w:rPr>
          <w:rStyle w:val="HideTWBExt"/>
          <w:b w:val="0"/>
          <w:color w:val="auto"/>
        </w:rPr>
        <w:t>&lt;/NumAm&gt;</w:t>
      </w:r>
    </w:p>
    <w:p w:rsidR="000F46BF" w:rsidRPr="00F14753" w:rsidRDefault="00BF22CA" w:rsidP="000F46BF">
      <w:pPr>
        <w:pStyle w:val="NormalBold12b"/>
        <w:keepNext/>
      </w:pPr>
      <w:r w:rsidRPr="00F14753">
        <w:rPr>
          <w:rStyle w:val="HideTWBExt"/>
          <w:b w:val="0"/>
          <w:color w:val="auto"/>
        </w:rPr>
        <w:t>&lt;DocAmend&gt;</w:t>
      </w:r>
      <w:r w:rsidRPr="00F14753">
        <w:t>Proposta di risoluzione</w:t>
      </w:r>
      <w:r w:rsidRPr="00F14753">
        <w:rPr>
          <w:rStyle w:val="HideTWBExt"/>
          <w:b w:val="0"/>
          <w:color w:val="auto"/>
        </w:rPr>
        <w:t>&lt;/DocAmend&gt;</w:t>
      </w:r>
    </w:p>
    <w:p w:rsidR="000F46BF" w:rsidRPr="00F14753" w:rsidRDefault="00BF22CA" w:rsidP="000F46BF">
      <w:pPr>
        <w:pStyle w:val="NormalBold"/>
      </w:pPr>
      <w:r w:rsidRPr="00F14753">
        <w:rPr>
          <w:rStyle w:val="HideTWBExt"/>
          <w:b w:val="0"/>
          <w:color w:val="auto"/>
        </w:rPr>
        <w:t>&lt;Article&gt;</w:t>
      </w:r>
      <w:r w:rsidRPr="00F14753">
        <w:t>Visto 12 bis (nuovo)</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481440">
        <w:trPr>
          <w:jc w:val="center"/>
        </w:trPr>
        <w:tc>
          <w:tcPr>
            <w:tcW w:w="9752" w:type="dxa"/>
            <w:gridSpan w:val="2"/>
          </w:tcPr>
          <w:p w:rsidR="000F46BF" w:rsidRPr="00F14753" w:rsidRDefault="000F46BF" w:rsidP="00481440">
            <w:pPr>
              <w:keepNext/>
            </w:pPr>
          </w:p>
        </w:tc>
      </w:tr>
      <w:tr w:rsidR="00B3157A" w:rsidRPr="00F14753" w:rsidTr="00481440">
        <w:trPr>
          <w:jc w:val="center"/>
        </w:trPr>
        <w:tc>
          <w:tcPr>
            <w:tcW w:w="4876" w:type="dxa"/>
            <w:hideMark/>
          </w:tcPr>
          <w:p w:rsidR="000F46BF" w:rsidRPr="00F14753" w:rsidRDefault="00BF22CA" w:rsidP="00481440">
            <w:pPr>
              <w:pStyle w:val="ColumnHeading"/>
              <w:keepNext/>
            </w:pPr>
            <w:r w:rsidRPr="00F14753">
              <w:t>Proposta di risoluzione</w:t>
            </w:r>
          </w:p>
        </w:tc>
        <w:tc>
          <w:tcPr>
            <w:tcW w:w="4876" w:type="dxa"/>
            <w:hideMark/>
          </w:tcPr>
          <w:p w:rsidR="000F46BF" w:rsidRPr="00F14753" w:rsidRDefault="00BF22CA" w:rsidP="00481440">
            <w:pPr>
              <w:pStyle w:val="ColumnHeading"/>
              <w:keepNext/>
            </w:pPr>
            <w:r w:rsidRPr="00F14753">
              <w:t>Emendamento</w:t>
            </w:r>
          </w:p>
        </w:tc>
      </w:tr>
      <w:tr w:rsidR="00B3157A" w:rsidRPr="00F14753" w:rsidTr="00481440">
        <w:trPr>
          <w:jc w:val="center"/>
        </w:trPr>
        <w:tc>
          <w:tcPr>
            <w:tcW w:w="4876" w:type="dxa"/>
          </w:tcPr>
          <w:p w:rsidR="000F46BF" w:rsidRPr="00F14753" w:rsidRDefault="000F46BF" w:rsidP="00481440">
            <w:pPr>
              <w:pStyle w:val="Normal6"/>
            </w:pPr>
          </w:p>
        </w:tc>
        <w:tc>
          <w:tcPr>
            <w:tcW w:w="4876" w:type="dxa"/>
            <w:hideMark/>
          </w:tcPr>
          <w:p w:rsidR="000F46BF" w:rsidRPr="00F14753" w:rsidRDefault="00BF22CA" w:rsidP="00481440">
            <w:pPr>
              <w:pStyle w:val="Normal6"/>
              <w:rPr>
                <w:szCs w:val="24"/>
              </w:rPr>
            </w:pPr>
            <w:r w:rsidRPr="00F14753">
              <w:rPr>
                <w:b/>
                <w:i/>
              </w:rPr>
              <w:t>–</w:t>
            </w:r>
            <w:r w:rsidRPr="00F14753">
              <w:rPr>
                <w:b/>
                <w:i/>
              </w:rPr>
              <w:tab/>
            </w:r>
            <w:r w:rsidRPr="00F14753">
              <w:rPr>
                <w:b/>
                <w:i/>
              </w:rPr>
              <w:t xml:space="preserve">vista la comunicazione della Commissione, del 17 dicembre 2024, dal </w:t>
            </w:r>
            <w:r w:rsidRPr="00F14753">
              <w:rPr>
                <w:b/>
                <w:i/>
              </w:rPr>
              <w:lastRenderedPageBreak/>
              <w:t>titolo "Semestre europeo 2025 – Pacchetto d'autunno" (COM(2024)0700),</w:t>
            </w:r>
          </w:p>
        </w:tc>
      </w:tr>
    </w:tbl>
    <w:p w:rsidR="000F46BF" w:rsidRPr="00F14753" w:rsidRDefault="00BF22CA" w:rsidP="000F46BF">
      <w:pPr>
        <w:rPr>
          <w:szCs w:val="24"/>
        </w:rPr>
      </w:pPr>
      <w:r w:rsidRPr="00F14753">
        <w:rPr>
          <w:rStyle w:val="HideTWBExt"/>
          <w:color w:val="auto"/>
        </w:rPr>
        <w:lastRenderedPageBreak/>
        <w:t>&lt;/Amend&gt;</w:t>
      </w:r>
    </w:p>
    <w:p w:rsidR="000F46BF" w:rsidRPr="00F14753" w:rsidRDefault="00BF22CA" w:rsidP="000F46BF">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7</w:t>
      </w:r>
      <w:r w:rsidRPr="00F14753">
        <w:rPr>
          <w:rStyle w:val="HideTWBExt"/>
          <w:b w:val="0"/>
          <w:color w:val="auto"/>
        </w:rPr>
        <w:t>&lt;/NumAm&gt;</w:t>
      </w:r>
    </w:p>
    <w:p w:rsidR="000F46BF" w:rsidRPr="00F14753" w:rsidRDefault="00BF22CA" w:rsidP="000F46BF">
      <w:pPr>
        <w:pStyle w:val="NormalBold12b"/>
        <w:keepNext/>
      </w:pPr>
      <w:r w:rsidRPr="00F14753">
        <w:rPr>
          <w:rStyle w:val="HideTWBExt"/>
          <w:b w:val="0"/>
          <w:color w:val="auto"/>
        </w:rPr>
        <w:t>&lt;DocAmend&gt;</w:t>
      </w:r>
      <w:r w:rsidRPr="00F14753">
        <w:t>Proposta di risoluzione</w:t>
      </w:r>
      <w:r w:rsidRPr="00F14753">
        <w:rPr>
          <w:rStyle w:val="HideTWBExt"/>
          <w:b w:val="0"/>
          <w:color w:val="auto"/>
        </w:rPr>
        <w:t>&lt;/DocAmend&gt;</w:t>
      </w:r>
    </w:p>
    <w:p w:rsidR="000F46BF" w:rsidRPr="00F14753" w:rsidRDefault="00BF22CA" w:rsidP="000F46BF">
      <w:pPr>
        <w:pStyle w:val="NormalBold"/>
      </w:pPr>
      <w:r w:rsidRPr="00F14753">
        <w:rPr>
          <w:rStyle w:val="HideTWBExt"/>
          <w:b w:val="0"/>
          <w:color w:val="auto"/>
        </w:rPr>
        <w:t>&lt;Article&gt;</w:t>
      </w:r>
      <w:r w:rsidRPr="00F14753">
        <w:t>Visto 12 ter (nuo</w:t>
      </w:r>
      <w:r w:rsidRPr="00F14753">
        <w:t>vo)</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481440">
        <w:trPr>
          <w:jc w:val="center"/>
        </w:trPr>
        <w:tc>
          <w:tcPr>
            <w:tcW w:w="9752" w:type="dxa"/>
            <w:gridSpan w:val="2"/>
          </w:tcPr>
          <w:p w:rsidR="000F46BF" w:rsidRPr="00F14753" w:rsidRDefault="000F46BF" w:rsidP="00481440">
            <w:pPr>
              <w:keepNext/>
            </w:pPr>
          </w:p>
        </w:tc>
      </w:tr>
      <w:tr w:rsidR="00B3157A" w:rsidRPr="00F14753" w:rsidTr="00481440">
        <w:trPr>
          <w:jc w:val="center"/>
        </w:trPr>
        <w:tc>
          <w:tcPr>
            <w:tcW w:w="4876" w:type="dxa"/>
            <w:hideMark/>
          </w:tcPr>
          <w:p w:rsidR="000F46BF" w:rsidRPr="00F14753" w:rsidRDefault="00BF22CA" w:rsidP="00481440">
            <w:pPr>
              <w:pStyle w:val="ColumnHeading"/>
              <w:keepNext/>
            </w:pPr>
            <w:r w:rsidRPr="00F14753">
              <w:t>Proposta di risoluzione</w:t>
            </w:r>
          </w:p>
        </w:tc>
        <w:tc>
          <w:tcPr>
            <w:tcW w:w="4876" w:type="dxa"/>
            <w:hideMark/>
          </w:tcPr>
          <w:p w:rsidR="000F46BF" w:rsidRPr="00F14753" w:rsidRDefault="00BF22CA" w:rsidP="00481440">
            <w:pPr>
              <w:pStyle w:val="ColumnHeading"/>
              <w:keepNext/>
            </w:pPr>
            <w:r w:rsidRPr="00F14753">
              <w:t>Emendamento</w:t>
            </w:r>
          </w:p>
        </w:tc>
      </w:tr>
      <w:tr w:rsidR="00B3157A" w:rsidRPr="00F14753" w:rsidTr="00481440">
        <w:trPr>
          <w:jc w:val="center"/>
        </w:trPr>
        <w:tc>
          <w:tcPr>
            <w:tcW w:w="4876" w:type="dxa"/>
          </w:tcPr>
          <w:p w:rsidR="000F46BF" w:rsidRPr="00F14753" w:rsidRDefault="000F46BF" w:rsidP="00481440">
            <w:pPr>
              <w:pStyle w:val="Normal6"/>
            </w:pPr>
          </w:p>
        </w:tc>
        <w:tc>
          <w:tcPr>
            <w:tcW w:w="4876" w:type="dxa"/>
            <w:hideMark/>
          </w:tcPr>
          <w:p w:rsidR="000F46BF" w:rsidRPr="00F14753" w:rsidRDefault="00BF22CA" w:rsidP="00481440">
            <w:pPr>
              <w:pStyle w:val="Normal6"/>
              <w:rPr>
                <w:szCs w:val="24"/>
              </w:rPr>
            </w:pPr>
            <w:r w:rsidRPr="00F14753">
              <w:rPr>
                <w:b/>
                <w:i/>
              </w:rPr>
              <w:t>–</w:t>
            </w:r>
            <w:r w:rsidRPr="00F14753">
              <w:rPr>
                <w:b/>
                <w:i/>
              </w:rPr>
              <w:tab/>
              <w:t>vista la proposta di relazione comune sull'occupazione della Commissione e del Consiglio, presentata dalla Commissione il 17 dicembre 2024 (COM(2024)0701),</w:t>
            </w:r>
          </w:p>
        </w:tc>
      </w:tr>
    </w:tbl>
    <w:p w:rsidR="000F46BF" w:rsidRPr="00F14753" w:rsidRDefault="00BF22CA" w:rsidP="000F46BF">
      <w:pPr>
        <w:rPr>
          <w:szCs w:val="24"/>
        </w:rPr>
      </w:pPr>
      <w:r w:rsidRPr="00F14753">
        <w:rPr>
          <w:rStyle w:val="HideTWBExt"/>
          <w:color w:val="auto"/>
        </w:rPr>
        <w:t>&lt;/Amend&gt;</w:t>
      </w:r>
    </w:p>
    <w:p w:rsidR="000F46BF" w:rsidRPr="00F14753" w:rsidRDefault="00BF22CA" w:rsidP="000F46BF">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8</w:t>
      </w:r>
      <w:r w:rsidRPr="00F14753">
        <w:rPr>
          <w:rStyle w:val="HideTWBExt"/>
          <w:b w:val="0"/>
          <w:color w:val="auto"/>
        </w:rPr>
        <w:t>&lt;/NumAm&gt;</w:t>
      </w:r>
    </w:p>
    <w:p w:rsidR="000F46BF" w:rsidRPr="00F14753" w:rsidRDefault="000F46BF" w:rsidP="000F46BF"/>
    <w:p w:rsidR="000F46BF" w:rsidRPr="00F14753" w:rsidRDefault="00BF22CA" w:rsidP="000F46BF">
      <w:pPr>
        <w:pStyle w:val="NormalBold"/>
        <w:keepNext/>
      </w:pPr>
      <w:r w:rsidRPr="00F14753">
        <w:rPr>
          <w:rStyle w:val="HideTWBExt"/>
          <w:b w:val="0"/>
          <w:color w:val="auto"/>
        </w:rPr>
        <w:t>&lt;DocAmend&gt;</w:t>
      </w:r>
      <w:r w:rsidRPr="00F14753">
        <w:t>Proposta di risoluzione</w:t>
      </w:r>
      <w:r w:rsidRPr="00F14753">
        <w:rPr>
          <w:rStyle w:val="HideTWBExt"/>
          <w:b w:val="0"/>
          <w:color w:val="auto"/>
        </w:rPr>
        <w:t>&lt;/DocAmend&gt;</w:t>
      </w:r>
    </w:p>
    <w:p w:rsidR="000F46BF" w:rsidRPr="00F14753" w:rsidRDefault="00BF22CA" w:rsidP="000F46BF">
      <w:pPr>
        <w:pStyle w:val="NormalBold"/>
      </w:pPr>
      <w:r w:rsidRPr="00F14753">
        <w:rPr>
          <w:rStyle w:val="HideTWBExt"/>
          <w:b w:val="0"/>
          <w:color w:val="auto"/>
        </w:rPr>
        <w:t>&lt;Article&gt;</w:t>
      </w:r>
      <w:r w:rsidRPr="00F14753">
        <w:t>Visto 19 bis (nuovo)</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481440">
        <w:trPr>
          <w:jc w:val="center"/>
        </w:trPr>
        <w:tc>
          <w:tcPr>
            <w:tcW w:w="9752" w:type="dxa"/>
            <w:gridSpan w:val="2"/>
          </w:tcPr>
          <w:p w:rsidR="000F46BF" w:rsidRPr="00F14753" w:rsidRDefault="000F46BF" w:rsidP="00481440">
            <w:pPr>
              <w:keepNext/>
            </w:pPr>
          </w:p>
        </w:tc>
      </w:tr>
      <w:tr w:rsidR="00B3157A" w:rsidRPr="00F14753" w:rsidTr="00481440">
        <w:trPr>
          <w:jc w:val="center"/>
        </w:trPr>
        <w:tc>
          <w:tcPr>
            <w:tcW w:w="4876" w:type="dxa"/>
            <w:hideMark/>
          </w:tcPr>
          <w:p w:rsidR="000F46BF" w:rsidRPr="00F14753" w:rsidRDefault="00BF22CA" w:rsidP="00481440">
            <w:pPr>
              <w:pStyle w:val="ColumnHeading"/>
              <w:keepNext/>
            </w:pPr>
            <w:r w:rsidRPr="00F14753">
              <w:t>Proposta di risoluzione</w:t>
            </w:r>
          </w:p>
        </w:tc>
        <w:tc>
          <w:tcPr>
            <w:tcW w:w="4876" w:type="dxa"/>
            <w:hideMark/>
          </w:tcPr>
          <w:p w:rsidR="000F46BF" w:rsidRPr="00F14753" w:rsidRDefault="00BF22CA" w:rsidP="00481440">
            <w:pPr>
              <w:pStyle w:val="ColumnHeading"/>
              <w:keepNext/>
            </w:pPr>
            <w:r w:rsidRPr="00F14753">
              <w:t>Emendamento</w:t>
            </w:r>
          </w:p>
        </w:tc>
      </w:tr>
      <w:tr w:rsidR="00B3157A" w:rsidRPr="00F14753" w:rsidTr="00481440">
        <w:trPr>
          <w:jc w:val="center"/>
        </w:trPr>
        <w:tc>
          <w:tcPr>
            <w:tcW w:w="4876" w:type="dxa"/>
          </w:tcPr>
          <w:p w:rsidR="000F46BF" w:rsidRPr="00F14753" w:rsidRDefault="000F46BF" w:rsidP="00481440">
            <w:pPr>
              <w:pStyle w:val="Normal6"/>
            </w:pPr>
          </w:p>
        </w:tc>
        <w:tc>
          <w:tcPr>
            <w:tcW w:w="4876" w:type="dxa"/>
            <w:hideMark/>
          </w:tcPr>
          <w:p w:rsidR="000F46BF" w:rsidRPr="00F14753" w:rsidRDefault="00BF22CA" w:rsidP="00481440">
            <w:pPr>
              <w:pStyle w:val="Normal6"/>
              <w:rPr>
                <w:szCs w:val="24"/>
              </w:rPr>
            </w:pPr>
            <w:r w:rsidRPr="00F14753">
              <w:rPr>
                <w:b/>
                <w:i/>
              </w:rPr>
              <w:t>–</w:t>
            </w:r>
            <w:r w:rsidRPr="00F14753">
              <w:rPr>
                <w:b/>
                <w:i/>
              </w:rPr>
              <w:tab/>
              <w:t>visto il quadro di valutazione della ripresa e della resilienza,</w:t>
            </w:r>
          </w:p>
        </w:tc>
      </w:tr>
    </w:tbl>
    <w:p w:rsidR="000F46BF" w:rsidRPr="00F14753" w:rsidRDefault="00BF22CA" w:rsidP="000F46BF">
      <w:r w:rsidRPr="00F14753">
        <w:rPr>
          <w:rStyle w:val="HideTWBExt"/>
          <w:color w:val="auto"/>
        </w:rPr>
        <w:t>&lt;/Amend&gt;</w:t>
      </w:r>
    </w:p>
    <w:p w:rsidR="000F46BF" w:rsidRPr="00F14753" w:rsidRDefault="00BF22CA" w:rsidP="000F46BF">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9</w:t>
      </w:r>
      <w:r w:rsidRPr="00F14753">
        <w:rPr>
          <w:rStyle w:val="HideTWBExt"/>
          <w:b w:val="0"/>
          <w:color w:val="auto"/>
        </w:rPr>
        <w:t>&lt;/NumAm&gt;</w:t>
      </w:r>
    </w:p>
    <w:p w:rsidR="000F46BF" w:rsidRPr="00F14753" w:rsidRDefault="000F46BF" w:rsidP="000F46BF"/>
    <w:p w:rsidR="000F46BF" w:rsidRPr="00F14753" w:rsidRDefault="00BF22CA" w:rsidP="000F46BF">
      <w:pPr>
        <w:pStyle w:val="NormalBold"/>
        <w:keepNext/>
      </w:pPr>
      <w:r w:rsidRPr="00F14753">
        <w:rPr>
          <w:rStyle w:val="HideTWBExt"/>
          <w:b w:val="0"/>
          <w:color w:val="auto"/>
        </w:rPr>
        <w:t>&lt;DocAmend&gt;</w:t>
      </w:r>
      <w:r w:rsidRPr="00F14753">
        <w:t>Proposta di risoluzione</w:t>
      </w:r>
      <w:r w:rsidRPr="00F14753">
        <w:rPr>
          <w:rStyle w:val="HideTWBExt"/>
          <w:b w:val="0"/>
          <w:color w:val="auto"/>
        </w:rPr>
        <w:t>&lt;/DocAmend&gt;</w:t>
      </w:r>
    </w:p>
    <w:p w:rsidR="000F46BF" w:rsidRPr="00F14753" w:rsidRDefault="00BF22CA" w:rsidP="000F46BF">
      <w:pPr>
        <w:pStyle w:val="NormalBold"/>
      </w:pPr>
      <w:r w:rsidRPr="00F14753">
        <w:rPr>
          <w:rStyle w:val="HideTWBExt"/>
          <w:b w:val="0"/>
          <w:color w:val="auto"/>
        </w:rPr>
        <w:t>&lt;Article&gt;</w:t>
      </w:r>
      <w:r w:rsidRPr="00F14753">
        <w:t>Visto 19 ter (nuovo)</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481440">
        <w:trPr>
          <w:jc w:val="center"/>
        </w:trPr>
        <w:tc>
          <w:tcPr>
            <w:tcW w:w="9752" w:type="dxa"/>
            <w:gridSpan w:val="2"/>
          </w:tcPr>
          <w:p w:rsidR="000F46BF" w:rsidRPr="00F14753" w:rsidRDefault="000F46BF" w:rsidP="00481440">
            <w:pPr>
              <w:keepNext/>
            </w:pPr>
          </w:p>
        </w:tc>
      </w:tr>
      <w:tr w:rsidR="00B3157A" w:rsidRPr="00F14753" w:rsidTr="00481440">
        <w:trPr>
          <w:jc w:val="center"/>
        </w:trPr>
        <w:tc>
          <w:tcPr>
            <w:tcW w:w="4876" w:type="dxa"/>
            <w:hideMark/>
          </w:tcPr>
          <w:p w:rsidR="000F46BF" w:rsidRPr="00F14753" w:rsidRDefault="00BF22CA" w:rsidP="00481440">
            <w:pPr>
              <w:pStyle w:val="ColumnHeading"/>
              <w:keepNext/>
            </w:pPr>
            <w:r w:rsidRPr="00F14753">
              <w:t>Proposta di risoluzione</w:t>
            </w:r>
          </w:p>
        </w:tc>
        <w:tc>
          <w:tcPr>
            <w:tcW w:w="4876" w:type="dxa"/>
            <w:hideMark/>
          </w:tcPr>
          <w:p w:rsidR="000F46BF" w:rsidRPr="00F14753" w:rsidRDefault="00BF22CA" w:rsidP="00481440">
            <w:pPr>
              <w:pStyle w:val="ColumnHeading"/>
              <w:keepNext/>
            </w:pPr>
            <w:r w:rsidRPr="00F14753">
              <w:t>Emendamento</w:t>
            </w:r>
          </w:p>
        </w:tc>
      </w:tr>
      <w:tr w:rsidR="00B3157A" w:rsidRPr="00F14753" w:rsidTr="00481440">
        <w:trPr>
          <w:jc w:val="center"/>
        </w:trPr>
        <w:tc>
          <w:tcPr>
            <w:tcW w:w="4876" w:type="dxa"/>
          </w:tcPr>
          <w:p w:rsidR="000F46BF" w:rsidRPr="00F14753" w:rsidRDefault="000F46BF" w:rsidP="00481440">
            <w:pPr>
              <w:pStyle w:val="Normal6"/>
            </w:pPr>
          </w:p>
        </w:tc>
        <w:tc>
          <w:tcPr>
            <w:tcW w:w="4876" w:type="dxa"/>
            <w:hideMark/>
          </w:tcPr>
          <w:p w:rsidR="000F46BF" w:rsidRPr="00F14753" w:rsidRDefault="00BF22CA" w:rsidP="00481440">
            <w:pPr>
              <w:pStyle w:val="Normal6"/>
              <w:rPr>
                <w:szCs w:val="24"/>
              </w:rPr>
            </w:pPr>
            <w:r w:rsidRPr="00F14753">
              <w:rPr>
                <w:b/>
                <w:i/>
              </w:rPr>
              <w:t>–</w:t>
            </w:r>
            <w:r w:rsidRPr="00F14753">
              <w:rPr>
                <w:b/>
                <w:i/>
              </w:rPr>
              <w:tab/>
              <w:t xml:space="preserve">vista la relazione di Eurofound dal titolo "Governance sociale del dispositivo per la ripresa e la resilienza: </w:t>
            </w:r>
            <w:r w:rsidRPr="00F14753">
              <w:rPr>
                <w:b/>
                <w:i/>
              </w:rPr>
              <w:t>coinvolgimento delle parti sociali nazionali",</w:t>
            </w:r>
          </w:p>
        </w:tc>
      </w:tr>
    </w:tbl>
    <w:p w:rsidR="000F46BF" w:rsidRPr="00F14753" w:rsidRDefault="00BF22CA" w:rsidP="000F46BF">
      <w:r w:rsidRPr="00F14753">
        <w:rPr>
          <w:rStyle w:val="HideTWBExt"/>
          <w:color w:val="auto"/>
        </w:rPr>
        <w:t>&lt;/Amend&gt;</w:t>
      </w:r>
    </w:p>
    <w:p w:rsidR="000F46BF" w:rsidRPr="00F14753" w:rsidRDefault="00BF22CA" w:rsidP="000F46BF">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10</w:t>
      </w:r>
      <w:r w:rsidRPr="00F14753">
        <w:rPr>
          <w:rStyle w:val="HideTWBExt"/>
          <w:b w:val="0"/>
          <w:color w:val="auto"/>
        </w:rPr>
        <w:t>&lt;/NumAm&gt;</w:t>
      </w:r>
    </w:p>
    <w:p w:rsidR="000F46BF" w:rsidRPr="00F14753" w:rsidRDefault="000F46BF" w:rsidP="000F46BF"/>
    <w:p w:rsidR="000F46BF" w:rsidRPr="00F14753" w:rsidRDefault="00BF22CA" w:rsidP="000F46BF">
      <w:pPr>
        <w:pStyle w:val="NormalBold"/>
        <w:keepNext/>
      </w:pPr>
      <w:r w:rsidRPr="00F14753">
        <w:rPr>
          <w:rStyle w:val="HideTWBExt"/>
          <w:b w:val="0"/>
          <w:color w:val="auto"/>
        </w:rPr>
        <w:t>&lt;DocAmend&gt;</w:t>
      </w:r>
      <w:r w:rsidRPr="00F14753">
        <w:t>Proposta di risoluzione</w:t>
      </w:r>
      <w:r w:rsidRPr="00F14753">
        <w:rPr>
          <w:rStyle w:val="HideTWBExt"/>
          <w:b w:val="0"/>
          <w:color w:val="auto"/>
        </w:rPr>
        <w:t>&lt;/DocAmend&gt;</w:t>
      </w:r>
    </w:p>
    <w:p w:rsidR="000F46BF" w:rsidRPr="00F14753" w:rsidRDefault="00BF22CA" w:rsidP="000F46BF">
      <w:pPr>
        <w:pStyle w:val="NormalBold"/>
      </w:pPr>
      <w:r w:rsidRPr="00F14753">
        <w:rPr>
          <w:rStyle w:val="HideTWBExt"/>
          <w:b w:val="0"/>
          <w:color w:val="auto"/>
        </w:rPr>
        <w:t>&lt;Article&gt;</w:t>
      </w:r>
      <w:r w:rsidRPr="00F14753">
        <w:t>Visto 19 quater (nuovo)</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481440">
        <w:trPr>
          <w:jc w:val="center"/>
        </w:trPr>
        <w:tc>
          <w:tcPr>
            <w:tcW w:w="9752" w:type="dxa"/>
            <w:gridSpan w:val="2"/>
          </w:tcPr>
          <w:p w:rsidR="000F46BF" w:rsidRPr="00F14753" w:rsidRDefault="000F46BF" w:rsidP="00481440">
            <w:pPr>
              <w:keepNext/>
            </w:pPr>
          </w:p>
        </w:tc>
      </w:tr>
      <w:tr w:rsidR="00B3157A" w:rsidRPr="00F14753" w:rsidTr="00481440">
        <w:trPr>
          <w:jc w:val="center"/>
        </w:trPr>
        <w:tc>
          <w:tcPr>
            <w:tcW w:w="4876" w:type="dxa"/>
            <w:hideMark/>
          </w:tcPr>
          <w:p w:rsidR="000F46BF" w:rsidRPr="00F14753" w:rsidRDefault="00BF22CA" w:rsidP="00481440">
            <w:pPr>
              <w:pStyle w:val="ColumnHeading"/>
              <w:keepNext/>
            </w:pPr>
            <w:r w:rsidRPr="00F14753">
              <w:t>Proposta di risoluzione</w:t>
            </w:r>
          </w:p>
        </w:tc>
        <w:tc>
          <w:tcPr>
            <w:tcW w:w="4876" w:type="dxa"/>
            <w:hideMark/>
          </w:tcPr>
          <w:p w:rsidR="000F46BF" w:rsidRPr="00F14753" w:rsidRDefault="00BF22CA" w:rsidP="00481440">
            <w:pPr>
              <w:pStyle w:val="ColumnHeading"/>
              <w:keepNext/>
            </w:pPr>
            <w:r w:rsidRPr="00F14753">
              <w:t>Emendamento</w:t>
            </w:r>
          </w:p>
        </w:tc>
      </w:tr>
      <w:tr w:rsidR="00B3157A" w:rsidRPr="00F14753" w:rsidTr="00481440">
        <w:trPr>
          <w:jc w:val="center"/>
        </w:trPr>
        <w:tc>
          <w:tcPr>
            <w:tcW w:w="4876" w:type="dxa"/>
          </w:tcPr>
          <w:p w:rsidR="000F46BF" w:rsidRPr="00F14753" w:rsidRDefault="000F46BF" w:rsidP="00481440">
            <w:pPr>
              <w:pStyle w:val="Normal6"/>
            </w:pPr>
          </w:p>
        </w:tc>
        <w:tc>
          <w:tcPr>
            <w:tcW w:w="4876" w:type="dxa"/>
            <w:hideMark/>
          </w:tcPr>
          <w:p w:rsidR="000F46BF" w:rsidRPr="00F14753" w:rsidRDefault="00BF22CA" w:rsidP="00481440">
            <w:pPr>
              <w:pStyle w:val="Normal6"/>
              <w:rPr>
                <w:b/>
                <w:i/>
              </w:rPr>
            </w:pPr>
            <w:r w:rsidRPr="00F14753">
              <w:rPr>
                <w:b/>
                <w:i/>
              </w:rPr>
              <w:t>–</w:t>
            </w:r>
            <w:r w:rsidRPr="00F14753">
              <w:rPr>
                <w:b/>
                <w:i/>
              </w:rPr>
              <w:tab/>
            </w:r>
            <w:r w:rsidRPr="00F14753">
              <w:rPr>
                <w:b/>
                <w:i/>
              </w:rPr>
              <w:t>vista la direttiva (UE) 2022/2041 del Parlamento europeo e del Consiglio, del 19 ottobre 2022, relativa a salari minimi adeguati nell'Unione europea</w:t>
            </w:r>
            <w:r w:rsidRPr="00F14753">
              <w:rPr>
                <w:b/>
                <w:i/>
                <w:vertAlign w:val="superscript"/>
              </w:rPr>
              <w:t>1 bis</w:t>
            </w:r>
            <w:r w:rsidRPr="00F14753">
              <w:rPr>
                <w:b/>
                <w:i/>
              </w:rPr>
              <w:t>,</w:t>
            </w:r>
          </w:p>
          <w:p w:rsidR="000F46BF" w:rsidRPr="00F14753" w:rsidRDefault="00BF22CA" w:rsidP="00481440">
            <w:pPr>
              <w:pStyle w:val="Normal6"/>
              <w:rPr>
                <w:b/>
                <w:i/>
              </w:rPr>
            </w:pPr>
            <w:r w:rsidRPr="00F14753">
              <w:rPr>
                <w:b/>
                <w:i/>
              </w:rPr>
              <w:t>_______________</w:t>
            </w:r>
          </w:p>
          <w:p w:rsidR="000F46BF" w:rsidRPr="00F14753" w:rsidRDefault="00BF22CA" w:rsidP="00481440">
            <w:pPr>
              <w:pStyle w:val="Normal6"/>
              <w:rPr>
                <w:b/>
                <w:i/>
                <w:szCs w:val="24"/>
              </w:rPr>
            </w:pPr>
            <w:r w:rsidRPr="00F14753">
              <w:rPr>
                <w:b/>
                <w:i/>
                <w:vertAlign w:val="superscript"/>
              </w:rPr>
              <w:t>1 bis</w:t>
            </w:r>
            <w:r w:rsidRPr="00F14753">
              <w:rPr>
                <w:b/>
                <w:i/>
              </w:rPr>
              <w:t xml:space="preserve"> GU L 275 del 25.10.2022, pag. 33, ELI: </w:t>
            </w:r>
            <w:hyperlink r:id="rId9" w:history="1">
              <w:r w:rsidRPr="00F14753">
                <w:rPr>
                  <w:rStyle w:val="Hyperlink"/>
                  <w:b/>
                  <w:i/>
                  <w:color w:val="auto"/>
                </w:rPr>
                <w:t>http://data.europa.eu/eli/dir/2022/2041/oj</w:t>
              </w:r>
            </w:hyperlink>
            <w:r w:rsidRPr="00F14753">
              <w:rPr>
                <w:b/>
                <w:i/>
              </w:rPr>
              <w:t xml:space="preserve">. </w:t>
            </w:r>
          </w:p>
        </w:tc>
      </w:tr>
    </w:tbl>
    <w:p w:rsidR="000F46BF" w:rsidRPr="00F14753" w:rsidRDefault="00BF22CA" w:rsidP="000F46BF">
      <w:r w:rsidRPr="00F14753">
        <w:rPr>
          <w:rStyle w:val="HideTWBExt"/>
          <w:color w:val="auto"/>
        </w:rPr>
        <w:t>&lt;/Amend&gt;</w:t>
      </w:r>
    </w:p>
    <w:p w:rsidR="000F46BF" w:rsidRPr="00F14753" w:rsidRDefault="00BF22CA" w:rsidP="000F46BF">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11</w:t>
      </w:r>
      <w:r w:rsidRPr="00F14753">
        <w:rPr>
          <w:rStyle w:val="HideTWBExt"/>
          <w:b w:val="0"/>
          <w:color w:val="auto"/>
        </w:rPr>
        <w:t>&lt;/NumAm&gt;</w:t>
      </w:r>
    </w:p>
    <w:p w:rsidR="000F46BF" w:rsidRPr="00F14753" w:rsidRDefault="000F46BF" w:rsidP="000F46BF"/>
    <w:p w:rsidR="000F46BF" w:rsidRPr="00F14753" w:rsidRDefault="00BF22CA" w:rsidP="000F46BF">
      <w:pPr>
        <w:pStyle w:val="NormalBold"/>
        <w:keepNext/>
      </w:pPr>
      <w:r w:rsidRPr="00F14753">
        <w:rPr>
          <w:rStyle w:val="HideTWBExt"/>
          <w:b w:val="0"/>
          <w:color w:val="auto"/>
        </w:rPr>
        <w:t>&lt;DocAmend&gt;</w:t>
      </w:r>
      <w:r w:rsidRPr="00F14753">
        <w:t>Proposta di risoluzione</w:t>
      </w:r>
      <w:r w:rsidRPr="00F14753">
        <w:rPr>
          <w:rStyle w:val="HideTWBExt"/>
          <w:b w:val="0"/>
          <w:color w:val="auto"/>
        </w:rPr>
        <w:t>&lt;/DocAmend&gt;</w:t>
      </w:r>
    </w:p>
    <w:p w:rsidR="000F46BF" w:rsidRPr="00F14753" w:rsidRDefault="00BF22CA" w:rsidP="000F46BF">
      <w:pPr>
        <w:pStyle w:val="NormalBold"/>
      </w:pPr>
      <w:r w:rsidRPr="00F14753">
        <w:rPr>
          <w:rStyle w:val="HideTWBExt"/>
          <w:b w:val="0"/>
          <w:color w:val="auto"/>
        </w:rPr>
        <w:t>&lt;Article&gt;</w:t>
      </w:r>
      <w:r w:rsidRPr="00F14753">
        <w:t>Considerando -A (nuovo)</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481440">
        <w:trPr>
          <w:jc w:val="center"/>
        </w:trPr>
        <w:tc>
          <w:tcPr>
            <w:tcW w:w="9752" w:type="dxa"/>
            <w:gridSpan w:val="2"/>
          </w:tcPr>
          <w:p w:rsidR="000F46BF" w:rsidRPr="00F14753" w:rsidRDefault="000F46BF" w:rsidP="00481440">
            <w:pPr>
              <w:keepNext/>
            </w:pPr>
          </w:p>
        </w:tc>
      </w:tr>
      <w:tr w:rsidR="00B3157A" w:rsidRPr="00F14753" w:rsidTr="00481440">
        <w:trPr>
          <w:jc w:val="center"/>
        </w:trPr>
        <w:tc>
          <w:tcPr>
            <w:tcW w:w="4876" w:type="dxa"/>
            <w:hideMark/>
          </w:tcPr>
          <w:p w:rsidR="000F46BF" w:rsidRPr="00F14753" w:rsidRDefault="00BF22CA" w:rsidP="00481440">
            <w:pPr>
              <w:pStyle w:val="ColumnHeading"/>
              <w:keepNext/>
            </w:pPr>
            <w:r w:rsidRPr="00F14753">
              <w:t>Proposta di risoluzione</w:t>
            </w:r>
          </w:p>
        </w:tc>
        <w:tc>
          <w:tcPr>
            <w:tcW w:w="4876" w:type="dxa"/>
            <w:hideMark/>
          </w:tcPr>
          <w:p w:rsidR="000F46BF" w:rsidRPr="00F14753" w:rsidRDefault="00BF22CA" w:rsidP="00481440">
            <w:pPr>
              <w:pStyle w:val="ColumnHeading"/>
              <w:keepNext/>
            </w:pPr>
            <w:r w:rsidRPr="00F14753">
              <w:t>Emendamento</w:t>
            </w:r>
          </w:p>
        </w:tc>
      </w:tr>
      <w:tr w:rsidR="00B3157A" w:rsidRPr="00F14753" w:rsidTr="00481440">
        <w:trPr>
          <w:jc w:val="center"/>
        </w:trPr>
        <w:tc>
          <w:tcPr>
            <w:tcW w:w="4876" w:type="dxa"/>
          </w:tcPr>
          <w:p w:rsidR="000F46BF" w:rsidRPr="00F14753" w:rsidRDefault="000F46BF" w:rsidP="00481440">
            <w:pPr>
              <w:pStyle w:val="Normal6"/>
            </w:pPr>
          </w:p>
        </w:tc>
        <w:tc>
          <w:tcPr>
            <w:tcW w:w="4876" w:type="dxa"/>
            <w:hideMark/>
          </w:tcPr>
          <w:p w:rsidR="000F46BF" w:rsidRPr="00F14753" w:rsidRDefault="00BF22CA" w:rsidP="00481440">
            <w:pPr>
              <w:pStyle w:val="Normal6"/>
              <w:rPr>
                <w:szCs w:val="24"/>
              </w:rPr>
            </w:pPr>
            <w:r w:rsidRPr="00F14753">
              <w:rPr>
                <w:b/>
                <w:i/>
              </w:rPr>
              <w:t>-A.</w:t>
            </w:r>
            <w:r w:rsidRPr="00F14753">
              <w:rPr>
                <w:b/>
                <w:i/>
              </w:rPr>
              <w:tab/>
            </w:r>
            <w:r w:rsidRPr="00F14753">
              <w:rPr>
                <w:b/>
                <w:i/>
              </w:rPr>
              <w:t>considerando che la dimensione sociale della ripresa dell'UE è un aspetto orizzontale del dispositivo per la ripresa e la resilienza; che l'obiettivo generale del dispositivo per la ripresa e la resilienza è promuovere la coesione economica, sociale e terr</w:t>
            </w:r>
            <w:r w:rsidRPr="00F14753">
              <w:rPr>
                <w:b/>
                <w:i/>
              </w:rPr>
              <w:t>itoriale dell'Unione migliorando la resilienza, la preparazione alle crisi, la capacità di aggiustamento e il potenziale di crescita degli Stati membri, attenuando l'impatto sociale ed economico della crisi della COVID-19, contribuendo all'attuazione del p</w:t>
            </w:r>
            <w:r w:rsidRPr="00F14753">
              <w:rPr>
                <w:b/>
                <w:i/>
              </w:rPr>
              <w:t>ilastro europeo dei diritti sociali e sostenendo le transizioni verde e digitale, contribuendo in tal modo alla convergenza economica e sociale verso l'alto, ripristinando e promuovendo una crescita sostenibile e incentivando la creazione di posti di lavor</w:t>
            </w:r>
            <w:r w:rsidRPr="00F14753">
              <w:rPr>
                <w:b/>
                <w:i/>
              </w:rPr>
              <w:t>o di alta qualità;</w:t>
            </w:r>
          </w:p>
        </w:tc>
      </w:tr>
    </w:tbl>
    <w:p w:rsidR="000F46BF" w:rsidRPr="00F14753" w:rsidRDefault="00BF22CA" w:rsidP="000F46BF">
      <w:r w:rsidRPr="00F14753">
        <w:rPr>
          <w:rStyle w:val="HideTWBExt"/>
          <w:color w:val="auto"/>
        </w:rPr>
        <w:t>&lt;/Amend&gt;</w:t>
      </w:r>
    </w:p>
    <w:p w:rsidR="000F46BF" w:rsidRPr="00F14753" w:rsidRDefault="00BF22CA" w:rsidP="000F46BF">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12</w:t>
      </w:r>
      <w:r w:rsidRPr="00F14753">
        <w:rPr>
          <w:rStyle w:val="HideTWBExt"/>
          <w:b w:val="0"/>
          <w:color w:val="auto"/>
        </w:rPr>
        <w:t>&lt;/NumAm&gt;</w:t>
      </w:r>
    </w:p>
    <w:p w:rsidR="000F46BF" w:rsidRPr="00F14753" w:rsidRDefault="00BF22CA" w:rsidP="000F46BF">
      <w:pPr>
        <w:pStyle w:val="NormalBold12b"/>
        <w:keepNext/>
      </w:pPr>
      <w:r w:rsidRPr="00F14753">
        <w:rPr>
          <w:rStyle w:val="HideTWBExt"/>
          <w:b w:val="0"/>
          <w:color w:val="auto"/>
        </w:rPr>
        <w:t>&lt;DocAmend&gt;</w:t>
      </w:r>
      <w:r w:rsidRPr="00F14753">
        <w:t>Proposta di risoluzione</w:t>
      </w:r>
      <w:r w:rsidRPr="00F14753">
        <w:rPr>
          <w:rStyle w:val="HideTWBExt"/>
          <w:b w:val="0"/>
          <w:color w:val="auto"/>
        </w:rPr>
        <w:t>&lt;/DocAmend&gt;</w:t>
      </w:r>
    </w:p>
    <w:p w:rsidR="000F46BF" w:rsidRPr="00F14753" w:rsidRDefault="00BF22CA" w:rsidP="000F46BF">
      <w:pPr>
        <w:pStyle w:val="NormalBold"/>
      </w:pPr>
      <w:r w:rsidRPr="00F14753">
        <w:rPr>
          <w:rStyle w:val="HideTWBExt"/>
          <w:b w:val="0"/>
          <w:color w:val="auto"/>
        </w:rPr>
        <w:t>&lt;Article&gt;</w:t>
      </w:r>
      <w:r w:rsidRPr="00F14753">
        <w:t>Considerando -A bis (nuovo)</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481440">
        <w:trPr>
          <w:jc w:val="center"/>
        </w:trPr>
        <w:tc>
          <w:tcPr>
            <w:tcW w:w="9752" w:type="dxa"/>
            <w:gridSpan w:val="2"/>
          </w:tcPr>
          <w:p w:rsidR="000F46BF" w:rsidRPr="00F14753" w:rsidRDefault="000F46BF" w:rsidP="00481440">
            <w:pPr>
              <w:keepNext/>
            </w:pPr>
          </w:p>
        </w:tc>
      </w:tr>
      <w:tr w:rsidR="00B3157A" w:rsidRPr="00F14753" w:rsidTr="00481440">
        <w:trPr>
          <w:jc w:val="center"/>
        </w:trPr>
        <w:tc>
          <w:tcPr>
            <w:tcW w:w="4876" w:type="dxa"/>
            <w:hideMark/>
          </w:tcPr>
          <w:p w:rsidR="000F46BF" w:rsidRPr="00F14753" w:rsidRDefault="00BF22CA" w:rsidP="00481440">
            <w:pPr>
              <w:pStyle w:val="ColumnHeading"/>
              <w:keepNext/>
            </w:pPr>
            <w:r w:rsidRPr="00F14753">
              <w:t>Proposta di risoluzione</w:t>
            </w:r>
          </w:p>
        </w:tc>
        <w:tc>
          <w:tcPr>
            <w:tcW w:w="4876" w:type="dxa"/>
            <w:hideMark/>
          </w:tcPr>
          <w:p w:rsidR="000F46BF" w:rsidRPr="00F14753" w:rsidRDefault="00BF22CA" w:rsidP="00481440">
            <w:pPr>
              <w:pStyle w:val="ColumnHeading"/>
              <w:keepNext/>
            </w:pPr>
            <w:r w:rsidRPr="00F14753">
              <w:t>Emendamento</w:t>
            </w:r>
          </w:p>
        </w:tc>
      </w:tr>
      <w:tr w:rsidR="00B3157A" w:rsidRPr="00F14753" w:rsidTr="00481440">
        <w:trPr>
          <w:jc w:val="center"/>
        </w:trPr>
        <w:tc>
          <w:tcPr>
            <w:tcW w:w="4876" w:type="dxa"/>
          </w:tcPr>
          <w:p w:rsidR="000F46BF" w:rsidRPr="00F14753" w:rsidRDefault="000F46BF" w:rsidP="00481440">
            <w:pPr>
              <w:pStyle w:val="Normal6"/>
            </w:pPr>
          </w:p>
        </w:tc>
        <w:tc>
          <w:tcPr>
            <w:tcW w:w="4876" w:type="dxa"/>
            <w:hideMark/>
          </w:tcPr>
          <w:p w:rsidR="000F46BF" w:rsidRPr="00F14753" w:rsidRDefault="00BF22CA" w:rsidP="00481440">
            <w:pPr>
              <w:pStyle w:val="Normal6"/>
              <w:rPr>
                <w:szCs w:val="24"/>
              </w:rPr>
            </w:pPr>
            <w:r w:rsidRPr="00F14753">
              <w:rPr>
                <w:b/>
                <w:i/>
              </w:rPr>
              <w:t>–A bis.</w:t>
            </w:r>
            <w:r w:rsidRPr="00F14753">
              <w:rPr>
                <w:b/>
                <w:i/>
              </w:rPr>
              <w:tab/>
            </w:r>
            <w:r w:rsidRPr="00F14753">
              <w:rPr>
                <w:b/>
                <w:i/>
              </w:rPr>
              <w:t>considerando che l'ambito di applicazione del dispositivo per la ripresa e la resilienza fa riferimento a sei pilastri strategici, vale a dire:</w:t>
            </w:r>
          </w:p>
        </w:tc>
      </w:tr>
      <w:tr w:rsidR="00B3157A" w:rsidRPr="00F14753" w:rsidTr="00481440">
        <w:trPr>
          <w:jc w:val="center"/>
        </w:trPr>
        <w:tc>
          <w:tcPr>
            <w:tcW w:w="4876" w:type="dxa"/>
          </w:tcPr>
          <w:p w:rsidR="000F46BF" w:rsidRPr="00F14753" w:rsidRDefault="000F46BF" w:rsidP="00481440">
            <w:pPr>
              <w:pStyle w:val="Normal6"/>
            </w:pPr>
          </w:p>
        </w:tc>
        <w:tc>
          <w:tcPr>
            <w:tcW w:w="4876" w:type="dxa"/>
          </w:tcPr>
          <w:p w:rsidR="000F46BF" w:rsidRPr="00F14753" w:rsidRDefault="00BF22CA" w:rsidP="00481440">
            <w:pPr>
              <w:pStyle w:val="Normal6"/>
              <w:rPr>
                <w:b/>
                <w:i/>
              </w:rPr>
            </w:pPr>
            <w:r w:rsidRPr="00F14753">
              <w:rPr>
                <w:b/>
                <w:i/>
              </w:rPr>
              <w:t>a) la transizione verde;</w:t>
            </w:r>
          </w:p>
        </w:tc>
      </w:tr>
      <w:tr w:rsidR="00B3157A" w:rsidRPr="00F14753" w:rsidTr="00481440">
        <w:trPr>
          <w:jc w:val="center"/>
        </w:trPr>
        <w:tc>
          <w:tcPr>
            <w:tcW w:w="4876" w:type="dxa"/>
          </w:tcPr>
          <w:p w:rsidR="000F46BF" w:rsidRPr="00F14753" w:rsidRDefault="000F46BF" w:rsidP="00481440">
            <w:pPr>
              <w:pStyle w:val="Normal6"/>
            </w:pPr>
          </w:p>
        </w:tc>
        <w:tc>
          <w:tcPr>
            <w:tcW w:w="4876" w:type="dxa"/>
          </w:tcPr>
          <w:p w:rsidR="000F46BF" w:rsidRPr="00F14753" w:rsidRDefault="00BF22CA" w:rsidP="00481440">
            <w:pPr>
              <w:pStyle w:val="Normal6"/>
              <w:rPr>
                <w:b/>
                <w:i/>
              </w:rPr>
            </w:pPr>
            <w:r w:rsidRPr="00F14753">
              <w:rPr>
                <w:b/>
                <w:i/>
              </w:rPr>
              <w:t>b) la trasformazione digitale;</w:t>
            </w:r>
          </w:p>
        </w:tc>
      </w:tr>
      <w:tr w:rsidR="00B3157A" w:rsidRPr="00F14753" w:rsidTr="00481440">
        <w:trPr>
          <w:jc w:val="center"/>
        </w:trPr>
        <w:tc>
          <w:tcPr>
            <w:tcW w:w="4876" w:type="dxa"/>
          </w:tcPr>
          <w:p w:rsidR="000F46BF" w:rsidRPr="00F14753" w:rsidRDefault="000F46BF" w:rsidP="00481440">
            <w:pPr>
              <w:pStyle w:val="Normal6"/>
            </w:pPr>
          </w:p>
        </w:tc>
        <w:tc>
          <w:tcPr>
            <w:tcW w:w="4876" w:type="dxa"/>
          </w:tcPr>
          <w:p w:rsidR="000F46BF" w:rsidRPr="00F14753" w:rsidRDefault="00BF22CA" w:rsidP="00481440">
            <w:pPr>
              <w:pStyle w:val="Normal6"/>
              <w:rPr>
                <w:b/>
                <w:i/>
              </w:rPr>
            </w:pPr>
            <w:r w:rsidRPr="00F14753">
              <w:rPr>
                <w:b/>
                <w:i/>
              </w:rPr>
              <w:t>c) la crescita intelligente, sostenibile e inclusi</w:t>
            </w:r>
            <w:r w:rsidRPr="00F14753">
              <w:rPr>
                <w:b/>
                <w:i/>
              </w:rPr>
              <w:t>va;</w:t>
            </w:r>
          </w:p>
        </w:tc>
      </w:tr>
      <w:tr w:rsidR="00B3157A" w:rsidRPr="00F14753" w:rsidTr="00481440">
        <w:trPr>
          <w:jc w:val="center"/>
        </w:trPr>
        <w:tc>
          <w:tcPr>
            <w:tcW w:w="4876" w:type="dxa"/>
          </w:tcPr>
          <w:p w:rsidR="000F46BF" w:rsidRPr="00F14753" w:rsidRDefault="000F46BF" w:rsidP="00481440">
            <w:pPr>
              <w:pStyle w:val="Normal6"/>
            </w:pPr>
          </w:p>
        </w:tc>
        <w:tc>
          <w:tcPr>
            <w:tcW w:w="4876" w:type="dxa"/>
          </w:tcPr>
          <w:p w:rsidR="000F46BF" w:rsidRPr="00F14753" w:rsidRDefault="00BF22CA" w:rsidP="00481440">
            <w:pPr>
              <w:pStyle w:val="Normal6"/>
              <w:rPr>
                <w:b/>
                <w:i/>
              </w:rPr>
            </w:pPr>
            <w:r w:rsidRPr="00F14753">
              <w:rPr>
                <w:b/>
                <w:i/>
              </w:rPr>
              <w:t xml:space="preserve">d) la coesione sociale e territoriale; </w:t>
            </w:r>
          </w:p>
        </w:tc>
      </w:tr>
      <w:tr w:rsidR="00B3157A" w:rsidRPr="00F14753" w:rsidTr="00481440">
        <w:trPr>
          <w:jc w:val="center"/>
        </w:trPr>
        <w:tc>
          <w:tcPr>
            <w:tcW w:w="4876" w:type="dxa"/>
          </w:tcPr>
          <w:p w:rsidR="000F46BF" w:rsidRPr="00F14753" w:rsidRDefault="000F46BF" w:rsidP="00481440">
            <w:pPr>
              <w:pStyle w:val="Normal6"/>
            </w:pPr>
          </w:p>
        </w:tc>
        <w:tc>
          <w:tcPr>
            <w:tcW w:w="4876" w:type="dxa"/>
          </w:tcPr>
          <w:p w:rsidR="000F46BF" w:rsidRPr="00F14753" w:rsidRDefault="00BF22CA" w:rsidP="00481440">
            <w:pPr>
              <w:pStyle w:val="Normal6"/>
              <w:rPr>
                <w:b/>
                <w:i/>
              </w:rPr>
            </w:pPr>
            <w:r w:rsidRPr="00F14753">
              <w:rPr>
                <w:b/>
                <w:i/>
              </w:rPr>
              <w:t>e) la sanità e la resilienza economica, sociale e istituzionale; e</w:t>
            </w:r>
          </w:p>
        </w:tc>
      </w:tr>
      <w:tr w:rsidR="00B3157A" w:rsidRPr="00F14753" w:rsidTr="00481440">
        <w:trPr>
          <w:jc w:val="center"/>
        </w:trPr>
        <w:tc>
          <w:tcPr>
            <w:tcW w:w="4876" w:type="dxa"/>
          </w:tcPr>
          <w:p w:rsidR="000F46BF" w:rsidRPr="00F14753" w:rsidRDefault="000F46BF" w:rsidP="00481440">
            <w:pPr>
              <w:pStyle w:val="Normal6"/>
            </w:pPr>
          </w:p>
        </w:tc>
        <w:tc>
          <w:tcPr>
            <w:tcW w:w="4876" w:type="dxa"/>
          </w:tcPr>
          <w:p w:rsidR="000F46BF" w:rsidRPr="00F14753" w:rsidRDefault="00BF22CA" w:rsidP="00481440">
            <w:pPr>
              <w:pStyle w:val="Normal6"/>
              <w:rPr>
                <w:b/>
                <w:i/>
              </w:rPr>
            </w:pPr>
            <w:r w:rsidRPr="00F14753">
              <w:rPr>
                <w:b/>
                <w:i/>
              </w:rPr>
              <w:t>f) le politiche per la prossima generazione, l'infanzia e i giovani;</w:t>
            </w:r>
          </w:p>
        </w:tc>
      </w:tr>
      <w:tr w:rsidR="00B3157A" w:rsidRPr="00F14753" w:rsidTr="00481440">
        <w:trPr>
          <w:jc w:val="center"/>
        </w:trPr>
        <w:tc>
          <w:tcPr>
            <w:tcW w:w="4876" w:type="dxa"/>
          </w:tcPr>
          <w:p w:rsidR="000F46BF" w:rsidRPr="00F14753" w:rsidRDefault="000F46BF" w:rsidP="00481440">
            <w:pPr>
              <w:pStyle w:val="Normal6"/>
            </w:pPr>
          </w:p>
        </w:tc>
        <w:tc>
          <w:tcPr>
            <w:tcW w:w="4876" w:type="dxa"/>
          </w:tcPr>
          <w:p w:rsidR="000F46BF" w:rsidRPr="00F14753" w:rsidRDefault="00BF22CA" w:rsidP="00481440">
            <w:pPr>
              <w:pStyle w:val="Normal6"/>
              <w:rPr>
                <w:b/>
                <w:i/>
              </w:rPr>
            </w:pPr>
            <w:r w:rsidRPr="00F14753">
              <w:rPr>
                <w:b/>
                <w:i/>
              </w:rPr>
              <w:t>che è necessario garantire la coerenza e le sinergie tra le azioni nell'ambito di tutti i pilastri, data la loro natura interconnessa;</w:t>
            </w:r>
          </w:p>
        </w:tc>
      </w:tr>
    </w:tbl>
    <w:p w:rsidR="000F46BF" w:rsidRPr="00F14753" w:rsidRDefault="00BF22CA" w:rsidP="000F46BF">
      <w:pPr>
        <w:rPr>
          <w:szCs w:val="24"/>
        </w:rPr>
      </w:pPr>
      <w:r w:rsidRPr="00F14753">
        <w:rPr>
          <w:rStyle w:val="HideTWBExt"/>
          <w:color w:val="auto"/>
        </w:rPr>
        <w:t>&lt;/Amend&gt;</w:t>
      </w:r>
    </w:p>
    <w:p w:rsidR="000F46BF" w:rsidRPr="00F14753" w:rsidRDefault="00BF22CA" w:rsidP="000F46BF">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13</w:t>
      </w:r>
      <w:r w:rsidRPr="00F14753">
        <w:rPr>
          <w:rStyle w:val="HideTWBExt"/>
          <w:b w:val="0"/>
          <w:color w:val="auto"/>
        </w:rPr>
        <w:t>&lt;/NumAm&gt;</w:t>
      </w:r>
    </w:p>
    <w:p w:rsidR="000F46BF" w:rsidRPr="00F14753" w:rsidRDefault="000F46BF" w:rsidP="000F46BF"/>
    <w:p w:rsidR="000F46BF" w:rsidRPr="00F14753" w:rsidRDefault="00BF22CA" w:rsidP="000F46BF">
      <w:pPr>
        <w:pStyle w:val="NormalBold"/>
        <w:keepNext/>
      </w:pPr>
      <w:r w:rsidRPr="00F14753">
        <w:rPr>
          <w:rStyle w:val="HideTWBExt"/>
          <w:b w:val="0"/>
          <w:color w:val="auto"/>
        </w:rPr>
        <w:t>&lt;DocAmend&gt;</w:t>
      </w:r>
      <w:r w:rsidRPr="00F14753">
        <w:t>Proposta di risoluzione</w:t>
      </w:r>
      <w:r w:rsidRPr="00F14753">
        <w:rPr>
          <w:rStyle w:val="HideTWBExt"/>
          <w:b w:val="0"/>
          <w:color w:val="auto"/>
        </w:rPr>
        <w:t>&lt;/DocAmend&gt;</w:t>
      </w:r>
    </w:p>
    <w:p w:rsidR="000F46BF" w:rsidRPr="00F14753" w:rsidRDefault="00BF22CA" w:rsidP="000F46BF">
      <w:pPr>
        <w:pStyle w:val="NormalBold"/>
      </w:pPr>
      <w:r w:rsidRPr="00F14753">
        <w:rPr>
          <w:rStyle w:val="HideTWBExt"/>
          <w:b w:val="0"/>
          <w:color w:val="auto"/>
        </w:rPr>
        <w:t>&lt;Article&gt;</w:t>
      </w:r>
      <w:r w:rsidRPr="00F14753">
        <w:t>Considerando A</w:t>
      </w:r>
      <w:r w:rsidRPr="00F14753">
        <w:rPr>
          <w:rStyle w:val="HideTWBExt"/>
          <w:b w:val="0"/>
          <w:color w:val="auto"/>
        </w:rPr>
        <w:t>&lt;/Ar</w:t>
      </w:r>
      <w:r w:rsidRPr="00F14753">
        <w:rPr>
          <w:rStyle w:val="HideTWBExt"/>
          <w:b w:val="0"/>
          <w:color w:val="auto"/>
        </w:rPr>
        <w:t>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481440">
        <w:trPr>
          <w:jc w:val="center"/>
        </w:trPr>
        <w:tc>
          <w:tcPr>
            <w:tcW w:w="9752" w:type="dxa"/>
            <w:gridSpan w:val="2"/>
          </w:tcPr>
          <w:p w:rsidR="000F46BF" w:rsidRPr="00F14753" w:rsidRDefault="000F46BF" w:rsidP="00481440">
            <w:pPr>
              <w:keepNext/>
            </w:pPr>
          </w:p>
        </w:tc>
      </w:tr>
      <w:tr w:rsidR="00B3157A" w:rsidRPr="00F14753" w:rsidTr="00481440">
        <w:trPr>
          <w:jc w:val="center"/>
        </w:trPr>
        <w:tc>
          <w:tcPr>
            <w:tcW w:w="4876" w:type="dxa"/>
            <w:hideMark/>
          </w:tcPr>
          <w:p w:rsidR="000F46BF" w:rsidRPr="00F14753" w:rsidRDefault="00BF22CA" w:rsidP="00481440">
            <w:pPr>
              <w:pStyle w:val="ColumnHeading"/>
              <w:keepNext/>
            </w:pPr>
            <w:r w:rsidRPr="00F14753">
              <w:t>Proposta di risoluzione</w:t>
            </w:r>
          </w:p>
        </w:tc>
        <w:tc>
          <w:tcPr>
            <w:tcW w:w="4876" w:type="dxa"/>
            <w:hideMark/>
          </w:tcPr>
          <w:p w:rsidR="000F46BF" w:rsidRPr="00F14753" w:rsidRDefault="00BF22CA" w:rsidP="00481440">
            <w:pPr>
              <w:pStyle w:val="ColumnHeading"/>
              <w:keepNext/>
            </w:pPr>
            <w:r w:rsidRPr="00F14753">
              <w:t>Emendamento</w:t>
            </w:r>
          </w:p>
        </w:tc>
      </w:tr>
      <w:tr w:rsidR="00B3157A" w:rsidRPr="00F14753" w:rsidTr="00481440">
        <w:trPr>
          <w:jc w:val="center"/>
        </w:trPr>
        <w:tc>
          <w:tcPr>
            <w:tcW w:w="4876" w:type="dxa"/>
            <w:hideMark/>
          </w:tcPr>
          <w:p w:rsidR="000F46BF" w:rsidRPr="00F14753" w:rsidRDefault="00BF22CA" w:rsidP="00481440">
            <w:pPr>
              <w:pStyle w:val="Normal6"/>
            </w:pPr>
            <w:r w:rsidRPr="00F14753">
              <w:t>A.</w:t>
            </w:r>
            <w:r w:rsidRPr="00F14753">
              <w:tab/>
            </w:r>
            <w:r w:rsidRPr="00F14753">
              <w:t xml:space="preserve">considerando che le riforme e gli investimenti nell'ambito del dispositivo per la ripresa e la resilienza aiutano a rendere l'UE più resiliente e meno dipendente grazie alla diversificazione delle principali catene di approvvigionamento, il che rafforzerà </w:t>
            </w:r>
            <w:r w:rsidRPr="00F14753">
              <w:t xml:space="preserve">l'autonomia strategica dell'UE; che le riforme e gli investimenti nell'ambito del dispositivo per la ripresa e la resilienza </w:t>
            </w:r>
            <w:r w:rsidRPr="00F14753">
              <w:rPr>
                <w:b/>
                <w:bCs/>
                <w:i/>
                <w:iCs/>
              </w:rPr>
              <w:t>generano</w:t>
            </w:r>
            <w:r w:rsidRPr="00F14753">
              <w:t xml:space="preserve"> altresì un valore aggiunto europeo;</w:t>
            </w:r>
          </w:p>
        </w:tc>
        <w:tc>
          <w:tcPr>
            <w:tcW w:w="4876" w:type="dxa"/>
            <w:hideMark/>
          </w:tcPr>
          <w:p w:rsidR="000F46BF" w:rsidRPr="00F14753" w:rsidRDefault="00BF22CA" w:rsidP="00481440">
            <w:pPr>
              <w:pStyle w:val="Normal6"/>
              <w:rPr>
                <w:szCs w:val="24"/>
              </w:rPr>
            </w:pPr>
            <w:r w:rsidRPr="00F14753">
              <w:t>A.</w:t>
            </w:r>
            <w:r w:rsidRPr="00F14753">
              <w:tab/>
              <w:t>considerando che le riforme e gli investimenti nell'ambito del dispositivo per la r</w:t>
            </w:r>
            <w:r w:rsidRPr="00F14753">
              <w:t>ipresa e la resilienza aiutano a rendere l'UE più resiliente e meno dipendente grazie alla diversificazione delle principali catene di approvvigionamento, il che rafforzerà l'autonomia strategica dell'UE; che le riforme e gli investimenti nell'ambito del d</w:t>
            </w:r>
            <w:r w:rsidRPr="00F14753">
              <w:t xml:space="preserve">ispositivo per la ripresa e la resilienza </w:t>
            </w:r>
            <w:r w:rsidRPr="00F14753">
              <w:rPr>
                <w:b/>
                <w:bCs/>
                <w:i/>
                <w:iCs/>
              </w:rPr>
              <w:t>dovrebbero contribuire all'attuazione del pilastro europeo dei diritti sociali, a una crescita sostenibile e inclusiva e alla convergenza sociale verso l'alto, dovrebbero sostenere una transizione giusta verso un'e</w:t>
            </w:r>
            <w:r w:rsidRPr="00F14753">
              <w:rPr>
                <w:b/>
                <w:bCs/>
                <w:i/>
                <w:iCs/>
              </w:rPr>
              <w:t xml:space="preserve">conomia più verde e digitale, rafforzando la competitività europea, riducendo nel contempo le ineguaglianze sociali e </w:t>
            </w:r>
            <w:r w:rsidRPr="00F14753">
              <w:rPr>
                <w:b/>
                <w:bCs/>
                <w:i/>
                <w:iCs/>
              </w:rPr>
              <w:lastRenderedPageBreak/>
              <w:t>territoriali e tutelando le persone vulnerabili, e dovrebbero</w:t>
            </w:r>
            <w:r w:rsidRPr="00F14753">
              <w:t xml:space="preserve"> altresì </w:t>
            </w:r>
            <w:r w:rsidRPr="00F14753">
              <w:rPr>
                <w:b/>
                <w:bCs/>
                <w:i/>
                <w:iCs/>
              </w:rPr>
              <w:t>generare</w:t>
            </w:r>
            <w:r w:rsidRPr="00F14753">
              <w:t xml:space="preserve"> un valore aggiunto europeo; </w:t>
            </w:r>
            <w:r w:rsidRPr="00F14753">
              <w:rPr>
                <w:b/>
                <w:i/>
              </w:rPr>
              <w:t>che le riforme e gli investimenti nell'ambito del dispositivo per la ripresa e la resilienza dovrebbero inoltre garantire l'inclusione sociale e rafforzare i servizi e le infrastrutture pubblici e sociali;</w:t>
            </w:r>
          </w:p>
        </w:tc>
      </w:tr>
    </w:tbl>
    <w:p w:rsidR="000F46BF" w:rsidRPr="00F14753" w:rsidRDefault="00BF22CA" w:rsidP="000F46BF">
      <w:r w:rsidRPr="00F14753">
        <w:rPr>
          <w:rStyle w:val="HideTWBExt"/>
          <w:color w:val="auto"/>
        </w:rPr>
        <w:lastRenderedPageBreak/>
        <w:t>&lt;/Amend&gt;</w:t>
      </w:r>
    </w:p>
    <w:p w:rsidR="000F46BF" w:rsidRPr="00F14753" w:rsidRDefault="00BF22CA" w:rsidP="000F46BF">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14</w:t>
      </w:r>
      <w:r w:rsidRPr="00F14753">
        <w:rPr>
          <w:rStyle w:val="HideTWBExt"/>
          <w:b w:val="0"/>
          <w:color w:val="auto"/>
        </w:rPr>
        <w:t>&lt;/NumAm&gt;</w:t>
      </w:r>
    </w:p>
    <w:p w:rsidR="000F46BF" w:rsidRPr="00F14753" w:rsidRDefault="000F46BF" w:rsidP="000F46BF"/>
    <w:p w:rsidR="000F46BF" w:rsidRPr="00F14753" w:rsidRDefault="00BF22CA" w:rsidP="000F46BF">
      <w:pPr>
        <w:pStyle w:val="NormalBold"/>
        <w:keepNext/>
      </w:pPr>
      <w:r w:rsidRPr="00F14753">
        <w:rPr>
          <w:rStyle w:val="HideTWBExt"/>
          <w:b w:val="0"/>
          <w:color w:val="auto"/>
        </w:rPr>
        <w:t>&lt;</w:t>
      </w:r>
      <w:r w:rsidRPr="00F14753">
        <w:rPr>
          <w:rStyle w:val="HideTWBExt"/>
          <w:b w:val="0"/>
          <w:color w:val="auto"/>
        </w:rPr>
        <w:t>DocAmend&gt;</w:t>
      </w:r>
      <w:r w:rsidRPr="00F14753">
        <w:t>Proposta di risoluzione</w:t>
      </w:r>
      <w:r w:rsidRPr="00F14753">
        <w:rPr>
          <w:rStyle w:val="HideTWBExt"/>
          <w:b w:val="0"/>
          <w:color w:val="auto"/>
        </w:rPr>
        <w:t>&lt;/DocAmend&gt;</w:t>
      </w:r>
    </w:p>
    <w:p w:rsidR="000F46BF" w:rsidRPr="00F14753" w:rsidRDefault="00BF22CA" w:rsidP="000F46BF">
      <w:pPr>
        <w:pStyle w:val="NormalBold"/>
      </w:pPr>
      <w:r w:rsidRPr="00F14753">
        <w:rPr>
          <w:rStyle w:val="HideTWBExt"/>
          <w:b w:val="0"/>
          <w:color w:val="auto"/>
        </w:rPr>
        <w:t>&lt;Article&gt;</w:t>
      </w:r>
      <w:r w:rsidRPr="00F14753">
        <w:t>Considerando A bis (nuovo)</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481440">
        <w:trPr>
          <w:jc w:val="center"/>
        </w:trPr>
        <w:tc>
          <w:tcPr>
            <w:tcW w:w="9752" w:type="dxa"/>
            <w:gridSpan w:val="2"/>
          </w:tcPr>
          <w:p w:rsidR="000F46BF" w:rsidRPr="00F14753" w:rsidRDefault="000F46BF" w:rsidP="00481440">
            <w:pPr>
              <w:keepNext/>
            </w:pPr>
          </w:p>
        </w:tc>
      </w:tr>
      <w:tr w:rsidR="00B3157A" w:rsidRPr="00F14753" w:rsidTr="00481440">
        <w:trPr>
          <w:jc w:val="center"/>
        </w:trPr>
        <w:tc>
          <w:tcPr>
            <w:tcW w:w="4876" w:type="dxa"/>
            <w:hideMark/>
          </w:tcPr>
          <w:p w:rsidR="000F46BF" w:rsidRPr="00F14753" w:rsidRDefault="00BF22CA" w:rsidP="00481440">
            <w:pPr>
              <w:pStyle w:val="ColumnHeading"/>
              <w:keepNext/>
            </w:pPr>
            <w:r w:rsidRPr="00F14753">
              <w:t>Proposta di risoluzione</w:t>
            </w:r>
          </w:p>
        </w:tc>
        <w:tc>
          <w:tcPr>
            <w:tcW w:w="4876" w:type="dxa"/>
            <w:hideMark/>
          </w:tcPr>
          <w:p w:rsidR="000F46BF" w:rsidRPr="00F14753" w:rsidRDefault="00BF22CA" w:rsidP="00481440">
            <w:pPr>
              <w:pStyle w:val="ColumnHeading"/>
              <w:keepNext/>
            </w:pPr>
            <w:r w:rsidRPr="00F14753">
              <w:t>Emendamento</w:t>
            </w:r>
          </w:p>
        </w:tc>
      </w:tr>
      <w:tr w:rsidR="00B3157A" w:rsidRPr="00F14753" w:rsidTr="00481440">
        <w:trPr>
          <w:jc w:val="center"/>
        </w:trPr>
        <w:tc>
          <w:tcPr>
            <w:tcW w:w="4876" w:type="dxa"/>
          </w:tcPr>
          <w:p w:rsidR="000F46BF" w:rsidRPr="00F14753" w:rsidRDefault="000F46BF" w:rsidP="00481440">
            <w:pPr>
              <w:pStyle w:val="Normal6"/>
            </w:pPr>
          </w:p>
        </w:tc>
        <w:tc>
          <w:tcPr>
            <w:tcW w:w="4876" w:type="dxa"/>
            <w:hideMark/>
          </w:tcPr>
          <w:p w:rsidR="000F46BF" w:rsidRPr="00F14753" w:rsidRDefault="00BF22CA" w:rsidP="00481440">
            <w:pPr>
              <w:pStyle w:val="Normal6"/>
              <w:rPr>
                <w:szCs w:val="24"/>
              </w:rPr>
            </w:pPr>
            <w:r w:rsidRPr="00F14753">
              <w:rPr>
                <w:b/>
                <w:i/>
              </w:rPr>
              <w:t>A bis.</w:t>
            </w:r>
            <w:r w:rsidRPr="00F14753">
              <w:rPr>
                <w:b/>
                <w:i/>
              </w:rPr>
              <w:tab/>
            </w:r>
            <w:r w:rsidRPr="00F14753">
              <w:rPr>
                <w:b/>
                <w:i/>
              </w:rPr>
              <w:t xml:space="preserve">considerando che il dispositivo per la ripresa e la resilienza offre un'opportunità senza precedenti di garantire transizioni eque e giuste verso la neutralità climatica, la digitalizzazione e il cambiamento demografico; che il dispositivo dovrebbe tenere </w:t>
            </w:r>
            <w:r w:rsidRPr="00F14753">
              <w:rPr>
                <w:b/>
                <w:i/>
              </w:rPr>
              <w:t>conto degli impatti socioeconomici specifici in base al genere nel processo di ripresa; che le misure dovrebbero affrontare i temi della protezione sociale, dell'occupazione di qualità e degli alloggi a prezzi accessibili e sostenere i gruppi in situazioni</w:t>
            </w:r>
            <w:r w:rsidRPr="00F14753">
              <w:rPr>
                <w:b/>
                <w:i/>
              </w:rPr>
              <w:t xml:space="preserve"> di vulnerabilità per migliorare il tenore di vita in linea con il pilastro europeo dei diritti sociali;</w:t>
            </w:r>
          </w:p>
        </w:tc>
      </w:tr>
    </w:tbl>
    <w:p w:rsidR="000F46BF" w:rsidRPr="00F14753" w:rsidRDefault="00BF22CA" w:rsidP="000F46BF">
      <w:r w:rsidRPr="00F14753">
        <w:rPr>
          <w:rStyle w:val="HideTWBExt"/>
          <w:color w:val="auto"/>
        </w:rPr>
        <w:t>&lt;/Amend&gt;</w:t>
      </w:r>
    </w:p>
    <w:p w:rsidR="000F46BF" w:rsidRPr="00F14753" w:rsidRDefault="00BF22CA" w:rsidP="000F46BF">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15</w:t>
      </w:r>
      <w:r w:rsidRPr="00F14753">
        <w:rPr>
          <w:rStyle w:val="HideTWBExt"/>
          <w:b w:val="0"/>
          <w:color w:val="auto"/>
        </w:rPr>
        <w:t>&lt;/NumAm&gt;</w:t>
      </w:r>
    </w:p>
    <w:p w:rsidR="000F46BF" w:rsidRPr="00F14753" w:rsidRDefault="000F46BF" w:rsidP="000F46BF"/>
    <w:p w:rsidR="000F46BF" w:rsidRPr="00F14753" w:rsidRDefault="00BF22CA" w:rsidP="000F46BF">
      <w:pPr>
        <w:pStyle w:val="NormalBold"/>
        <w:keepNext/>
      </w:pPr>
      <w:r w:rsidRPr="00F14753">
        <w:rPr>
          <w:rStyle w:val="HideTWBExt"/>
          <w:b w:val="0"/>
          <w:color w:val="auto"/>
        </w:rPr>
        <w:t>&lt;DocAmend&gt;</w:t>
      </w:r>
      <w:r w:rsidRPr="00F14753">
        <w:t>Proposta di risoluzione</w:t>
      </w:r>
      <w:r w:rsidRPr="00F14753">
        <w:rPr>
          <w:rStyle w:val="HideTWBExt"/>
          <w:b w:val="0"/>
          <w:color w:val="auto"/>
        </w:rPr>
        <w:t>&lt;/DocAmend&gt;</w:t>
      </w:r>
    </w:p>
    <w:p w:rsidR="000F46BF" w:rsidRPr="00F14753" w:rsidRDefault="00BF22CA" w:rsidP="000F46BF">
      <w:pPr>
        <w:pStyle w:val="NormalBold"/>
      </w:pPr>
      <w:r w:rsidRPr="00F14753">
        <w:rPr>
          <w:rStyle w:val="HideTWBExt"/>
          <w:b w:val="0"/>
          <w:color w:val="auto"/>
        </w:rPr>
        <w:t>&lt;Article&gt;</w:t>
      </w:r>
      <w:r w:rsidRPr="00F14753">
        <w:t>Considerando A ter (nuovo)</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481440">
        <w:trPr>
          <w:jc w:val="center"/>
        </w:trPr>
        <w:tc>
          <w:tcPr>
            <w:tcW w:w="9752" w:type="dxa"/>
            <w:gridSpan w:val="2"/>
          </w:tcPr>
          <w:p w:rsidR="000F46BF" w:rsidRPr="00F14753" w:rsidRDefault="000F46BF" w:rsidP="00481440">
            <w:pPr>
              <w:keepNext/>
            </w:pPr>
          </w:p>
        </w:tc>
      </w:tr>
      <w:tr w:rsidR="00B3157A" w:rsidRPr="00F14753" w:rsidTr="00481440">
        <w:trPr>
          <w:jc w:val="center"/>
        </w:trPr>
        <w:tc>
          <w:tcPr>
            <w:tcW w:w="4876" w:type="dxa"/>
            <w:hideMark/>
          </w:tcPr>
          <w:p w:rsidR="000F46BF" w:rsidRPr="00F14753" w:rsidRDefault="00BF22CA" w:rsidP="00481440">
            <w:pPr>
              <w:pStyle w:val="ColumnHeading"/>
              <w:keepNext/>
            </w:pPr>
            <w:r w:rsidRPr="00F14753">
              <w:t>Proposta di risoluzione</w:t>
            </w:r>
          </w:p>
        </w:tc>
        <w:tc>
          <w:tcPr>
            <w:tcW w:w="4876" w:type="dxa"/>
            <w:hideMark/>
          </w:tcPr>
          <w:p w:rsidR="000F46BF" w:rsidRPr="00F14753" w:rsidRDefault="00BF22CA" w:rsidP="00481440">
            <w:pPr>
              <w:pStyle w:val="ColumnHeading"/>
              <w:keepNext/>
            </w:pPr>
            <w:r w:rsidRPr="00F14753">
              <w:t>Emendamento</w:t>
            </w:r>
          </w:p>
        </w:tc>
      </w:tr>
      <w:tr w:rsidR="00B3157A" w:rsidRPr="00F14753" w:rsidTr="00481440">
        <w:trPr>
          <w:jc w:val="center"/>
        </w:trPr>
        <w:tc>
          <w:tcPr>
            <w:tcW w:w="4876" w:type="dxa"/>
          </w:tcPr>
          <w:p w:rsidR="000F46BF" w:rsidRPr="00F14753" w:rsidRDefault="000F46BF" w:rsidP="00481440">
            <w:pPr>
              <w:pStyle w:val="Normal6"/>
            </w:pPr>
          </w:p>
        </w:tc>
        <w:tc>
          <w:tcPr>
            <w:tcW w:w="4876" w:type="dxa"/>
            <w:hideMark/>
          </w:tcPr>
          <w:p w:rsidR="000F46BF" w:rsidRPr="00F14753" w:rsidRDefault="00BF22CA" w:rsidP="00481440">
            <w:pPr>
              <w:pStyle w:val="Normal6"/>
              <w:rPr>
                <w:szCs w:val="24"/>
              </w:rPr>
            </w:pPr>
            <w:r w:rsidRPr="00F14753">
              <w:rPr>
                <w:b/>
                <w:i/>
              </w:rPr>
              <w:t>A ter.</w:t>
            </w:r>
            <w:r w:rsidRPr="00F14753">
              <w:rPr>
                <w:b/>
                <w:i/>
              </w:rPr>
              <w:tab/>
              <w:t>considerando che negli ultimi anni l'UE ha dimostrato una forte resilienza alle gravi perturbazioni economiche e sociali, in particolare grazie a risposte coordinate e nuovi strumenti, quali il dispositivo per l</w:t>
            </w:r>
            <w:r w:rsidRPr="00F14753">
              <w:rPr>
                <w:b/>
                <w:i/>
              </w:rPr>
              <w:t xml:space="preserve">a ripresa e la resilienza e lo strumento europeo di sostegno </w:t>
            </w:r>
            <w:r w:rsidRPr="00F14753">
              <w:rPr>
                <w:b/>
                <w:i/>
              </w:rPr>
              <w:lastRenderedPageBreak/>
              <w:t>temporaneo per attenuare i rischi di disoccupazione nello stato di emergenza (SURE); che tali strumenti si sono dimostrati fondamentali per evitare una ripresa asimmetrica nei diversi Stati membr</w:t>
            </w:r>
            <w:r w:rsidRPr="00F14753">
              <w:rPr>
                <w:b/>
                <w:i/>
              </w:rPr>
              <w:t>i e mantenere sulla buona strada la transizione verso un'economia sostenibile e inclusiva;</w:t>
            </w:r>
          </w:p>
        </w:tc>
      </w:tr>
    </w:tbl>
    <w:p w:rsidR="000F46BF" w:rsidRPr="00F14753" w:rsidRDefault="00BF22CA" w:rsidP="000F46BF">
      <w:r w:rsidRPr="00F14753">
        <w:rPr>
          <w:rStyle w:val="HideTWBExt"/>
          <w:color w:val="auto"/>
        </w:rPr>
        <w:lastRenderedPageBreak/>
        <w:t>&lt;/Amend&gt;</w:t>
      </w:r>
    </w:p>
    <w:p w:rsidR="000F46BF" w:rsidRPr="00F14753" w:rsidRDefault="00BF22CA" w:rsidP="000F46BF">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16</w:t>
      </w:r>
      <w:r w:rsidRPr="00F14753">
        <w:rPr>
          <w:rStyle w:val="HideTWBExt"/>
          <w:b w:val="0"/>
          <w:color w:val="auto"/>
        </w:rPr>
        <w:t>&lt;/NumAm&gt;</w:t>
      </w:r>
    </w:p>
    <w:p w:rsidR="000F46BF" w:rsidRPr="00F14753" w:rsidRDefault="000F46BF" w:rsidP="000F46BF"/>
    <w:p w:rsidR="000F46BF" w:rsidRPr="00F14753" w:rsidRDefault="00BF22CA" w:rsidP="000F46BF">
      <w:pPr>
        <w:pStyle w:val="NormalBold"/>
        <w:keepNext/>
      </w:pPr>
      <w:r w:rsidRPr="00F14753">
        <w:rPr>
          <w:rStyle w:val="HideTWBExt"/>
          <w:b w:val="0"/>
          <w:color w:val="auto"/>
        </w:rPr>
        <w:t>&lt;DocAmend&gt;</w:t>
      </w:r>
      <w:r w:rsidRPr="00F14753">
        <w:t>Proposta di risoluzione</w:t>
      </w:r>
      <w:r w:rsidRPr="00F14753">
        <w:rPr>
          <w:rStyle w:val="HideTWBExt"/>
          <w:b w:val="0"/>
          <w:color w:val="auto"/>
        </w:rPr>
        <w:t>&lt;/DocAmend&gt;</w:t>
      </w:r>
    </w:p>
    <w:p w:rsidR="000F46BF" w:rsidRPr="00F14753" w:rsidRDefault="00BF22CA" w:rsidP="000F46BF">
      <w:pPr>
        <w:pStyle w:val="NormalBold"/>
      </w:pPr>
      <w:r w:rsidRPr="00F14753">
        <w:rPr>
          <w:rStyle w:val="HideTWBExt"/>
          <w:b w:val="0"/>
          <w:color w:val="auto"/>
        </w:rPr>
        <w:t>&lt;Article&gt;</w:t>
      </w:r>
      <w:r w:rsidRPr="00F14753">
        <w:t>Considerando A quater (nuovo)</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481440">
        <w:trPr>
          <w:jc w:val="center"/>
        </w:trPr>
        <w:tc>
          <w:tcPr>
            <w:tcW w:w="9752" w:type="dxa"/>
            <w:gridSpan w:val="2"/>
          </w:tcPr>
          <w:p w:rsidR="000F46BF" w:rsidRPr="00F14753" w:rsidRDefault="000F46BF" w:rsidP="00481440">
            <w:pPr>
              <w:keepNext/>
            </w:pPr>
          </w:p>
        </w:tc>
      </w:tr>
      <w:tr w:rsidR="00B3157A" w:rsidRPr="00F14753" w:rsidTr="00481440">
        <w:trPr>
          <w:jc w:val="center"/>
        </w:trPr>
        <w:tc>
          <w:tcPr>
            <w:tcW w:w="4876" w:type="dxa"/>
            <w:hideMark/>
          </w:tcPr>
          <w:p w:rsidR="000F46BF" w:rsidRPr="00F14753" w:rsidRDefault="00BF22CA" w:rsidP="00481440">
            <w:pPr>
              <w:pStyle w:val="ColumnHeading"/>
              <w:keepNext/>
            </w:pPr>
            <w:r w:rsidRPr="00F14753">
              <w:t>Proposta di risoluzione</w:t>
            </w:r>
          </w:p>
        </w:tc>
        <w:tc>
          <w:tcPr>
            <w:tcW w:w="4876" w:type="dxa"/>
            <w:hideMark/>
          </w:tcPr>
          <w:p w:rsidR="000F46BF" w:rsidRPr="00F14753" w:rsidRDefault="00BF22CA" w:rsidP="00481440">
            <w:pPr>
              <w:pStyle w:val="ColumnHeading"/>
              <w:keepNext/>
            </w:pPr>
            <w:r w:rsidRPr="00F14753">
              <w:t>Emendamento</w:t>
            </w:r>
          </w:p>
        </w:tc>
      </w:tr>
      <w:tr w:rsidR="00B3157A" w:rsidRPr="00F14753" w:rsidTr="00481440">
        <w:trPr>
          <w:jc w:val="center"/>
        </w:trPr>
        <w:tc>
          <w:tcPr>
            <w:tcW w:w="4876" w:type="dxa"/>
          </w:tcPr>
          <w:p w:rsidR="000F46BF" w:rsidRPr="00F14753" w:rsidRDefault="000F46BF" w:rsidP="00481440">
            <w:pPr>
              <w:pStyle w:val="Normal6"/>
            </w:pPr>
          </w:p>
        </w:tc>
        <w:tc>
          <w:tcPr>
            <w:tcW w:w="4876" w:type="dxa"/>
            <w:hideMark/>
          </w:tcPr>
          <w:p w:rsidR="000F46BF" w:rsidRPr="00F14753" w:rsidRDefault="00BF22CA" w:rsidP="00481440">
            <w:pPr>
              <w:pStyle w:val="Normal6"/>
              <w:rPr>
                <w:szCs w:val="24"/>
              </w:rPr>
            </w:pPr>
            <w:r w:rsidRPr="00F14753">
              <w:rPr>
                <w:b/>
                <w:i/>
              </w:rPr>
              <w:t>A quater.</w:t>
            </w:r>
            <w:r w:rsidRPr="00F14753">
              <w:rPr>
                <w:b/>
                <w:i/>
              </w:rPr>
              <w:tab/>
              <w:t>considerando che le conseguenze sociali delle crisi hanno avuto un impatto impari, colpendo in particolare le persone e i gruppi a basso reddito in situazioni di vulnerabilità;</w:t>
            </w:r>
          </w:p>
        </w:tc>
      </w:tr>
    </w:tbl>
    <w:p w:rsidR="000F46BF" w:rsidRPr="00F14753" w:rsidRDefault="00BF22CA" w:rsidP="000F46BF">
      <w:r w:rsidRPr="00F14753">
        <w:rPr>
          <w:rStyle w:val="HideTWBExt"/>
          <w:color w:val="auto"/>
        </w:rPr>
        <w:t>&lt;/Amend&gt;</w:t>
      </w:r>
    </w:p>
    <w:p w:rsidR="000F46BF" w:rsidRPr="00F14753" w:rsidRDefault="00BF22CA" w:rsidP="000F46BF">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17</w:t>
      </w:r>
      <w:r w:rsidRPr="00F14753">
        <w:rPr>
          <w:rStyle w:val="HideTWBExt"/>
          <w:b w:val="0"/>
          <w:color w:val="auto"/>
        </w:rPr>
        <w:t>&lt;/NumAm&gt;</w:t>
      </w:r>
    </w:p>
    <w:p w:rsidR="000F46BF" w:rsidRPr="00F14753" w:rsidRDefault="000F46BF" w:rsidP="000F46BF"/>
    <w:p w:rsidR="000F46BF" w:rsidRPr="00F14753" w:rsidRDefault="00BF22CA" w:rsidP="000F46BF">
      <w:pPr>
        <w:pStyle w:val="NormalBold"/>
        <w:keepNext/>
      </w:pPr>
      <w:r w:rsidRPr="00F14753">
        <w:rPr>
          <w:rStyle w:val="HideTWBExt"/>
          <w:b w:val="0"/>
          <w:color w:val="auto"/>
        </w:rPr>
        <w:t>&lt;DocAmend&gt;</w:t>
      </w:r>
      <w:r w:rsidRPr="00F14753">
        <w:t>Proposta di risoluzione</w:t>
      </w:r>
      <w:r w:rsidRPr="00F14753">
        <w:rPr>
          <w:rStyle w:val="HideTWBExt"/>
          <w:b w:val="0"/>
          <w:color w:val="auto"/>
        </w:rPr>
        <w:t>&lt;/DocAmend&gt;</w:t>
      </w:r>
    </w:p>
    <w:p w:rsidR="000F46BF" w:rsidRPr="00F14753" w:rsidRDefault="00BF22CA" w:rsidP="000F46BF">
      <w:pPr>
        <w:pStyle w:val="NormalBold"/>
      </w:pPr>
      <w:r w:rsidRPr="00F14753">
        <w:rPr>
          <w:rStyle w:val="HideTWBExt"/>
          <w:b w:val="0"/>
          <w:color w:val="auto"/>
        </w:rPr>
        <w:t>&lt;Article&gt;</w:t>
      </w:r>
      <w:r w:rsidRPr="00F14753">
        <w:t>Considerando B bis (nuovo)</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481440">
        <w:trPr>
          <w:jc w:val="center"/>
        </w:trPr>
        <w:tc>
          <w:tcPr>
            <w:tcW w:w="9752" w:type="dxa"/>
            <w:gridSpan w:val="2"/>
          </w:tcPr>
          <w:p w:rsidR="000F46BF" w:rsidRPr="00F14753" w:rsidRDefault="000F46BF" w:rsidP="00481440">
            <w:pPr>
              <w:keepNext/>
            </w:pPr>
          </w:p>
        </w:tc>
      </w:tr>
      <w:tr w:rsidR="00B3157A" w:rsidRPr="00F14753" w:rsidTr="00481440">
        <w:trPr>
          <w:jc w:val="center"/>
        </w:trPr>
        <w:tc>
          <w:tcPr>
            <w:tcW w:w="4876" w:type="dxa"/>
            <w:hideMark/>
          </w:tcPr>
          <w:p w:rsidR="000F46BF" w:rsidRPr="00F14753" w:rsidRDefault="00BF22CA" w:rsidP="00481440">
            <w:pPr>
              <w:pStyle w:val="ColumnHeading"/>
              <w:keepNext/>
            </w:pPr>
            <w:r w:rsidRPr="00F14753">
              <w:t>Proposta di risoluzione</w:t>
            </w:r>
          </w:p>
        </w:tc>
        <w:tc>
          <w:tcPr>
            <w:tcW w:w="4876" w:type="dxa"/>
            <w:hideMark/>
          </w:tcPr>
          <w:p w:rsidR="000F46BF" w:rsidRPr="00F14753" w:rsidRDefault="00BF22CA" w:rsidP="00481440">
            <w:pPr>
              <w:pStyle w:val="ColumnHeading"/>
              <w:keepNext/>
            </w:pPr>
            <w:r w:rsidRPr="00F14753">
              <w:t>Emendamento</w:t>
            </w:r>
          </w:p>
        </w:tc>
      </w:tr>
      <w:tr w:rsidR="00B3157A" w:rsidRPr="00F14753" w:rsidTr="00481440">
        <w:trPr>
          <w:jc w:val="center"/>
        </w:trPr>
        <w:tc>
          <w:tcPr>
            <w:tcW w:w="4876" w:type="dxa"/>
          </w:tcPr>
          <w:p w:rsidR="000F46BF" w:rsidRPr="00F14753" w:rsidRDefault="000F46BF" w:rsidP="00481440">
            <w:pPr>
              <w:pStyle w:val="Normal6"/>
            </w:pPr>
          </w:p>
        </w:tc>
        <w:tc>
          <w:tcPr>
            <w:tcW w:w="4876" w:type="dxa"/>
            <w:hideMark/>
          </w:tcPr>
          <w:p w:rsidR="000F46BF" w:rsidRPr="00F14753" w:rsidRDefault="00BF22CA" w:rsidP="00481440">
            <w:pPr>
              <w:pStyle w:val="Normal6"/>
              <w:rPr>
                <w:b/>
                <w:i/>
              </w:rPr>
            </w:pPr>
            <w:r w:rsidRPr="00F14753">
              <w:rPr>
                <w:b/>
                <w:i/>
              </w:rPr>
              <w:t>B bis.</w:t>
            </w:r>
            <w:r w:rsidRPr="00F14753">
              <w:rPr>
                <w:b/>
                <w:i/>
              </w:rPr>
              <w:tab/>
            </w:r>
            <w:r w:rsidRPr="00F14753">
              <w:rPr>
                <w:b/>
                <w:i/>
              </w:rPr>
              <w:t>considerando che gli Stati membri hanno conseguito diversi livelli di progresso nell'attuazione dei loro piani per la ripresa e la resilienza; che la relazione speciale 13/2024</w:t>
            </w:r>
            <w:r w:rsidRPr="00F14753">
              <w:rPr>
                <w:b/>
                <w:i/>
                <w:vertAlign w:val="superscript"/>
              </w:rPr>
              <w:t>1 bis</w:t>
            </w:r>
            <w:r w:rsidRPr="00F14753">
              <w:rPr>
                <w:b/>
                <w:i/>
              </w:rPr>
              <w:t xml:space="preserve"> della Corte dei conti europea ha rilevato che gli Stati membri faticherebb</w:t>
            </w:r>
            <w:r w:rsidRPr="00F14753">
              <w:rPr>
                <w:b/>
                <w:i/>
              </w:rPr>
              <w:t>ero ad assorbire l'importo totale dei fondi assegnati entro il 31 agosto 2026 e che permanevano rischi rispetto al completamento delle misure nella seconda metà dell'attuazione del dispositivo per la ripresa e la resilienza; che i ritardi nell'attuazione s</w:t>
            </w:r>
            <w:r w:rsidRPr="00F14753">
              <w:rPr>
                <w:b/>
                <w:i/>
              </w:rPr>
              <w:t xml:space="preserve">ono dovuti, tra l'altro, all'aumento dell'inflazione, alle sfide in materia di appalti pubblici, alle carenze di approvvigionamento e alle fluttuazioni dei prezzi di mercato; che, nel valutare </w:t>
            </w:r>
            <w:r w:rsidRPr="00F14753">
              <w:rPr>
                <w:b/>
                <w:i/>
              </w:rPr>
              <w:lastRenderedPageBreak/>
              <w:t xml:space="preserve">l'attuazione del dispositivo per la ripresa e la resilienza, è </w:t>
            </w:r>
            <w:r w:rsidRPr="00F14753">
              <w:rPr>
                <w:b/>
                <w:i/>
              </w:rPr>
              <w:t>essenziale applicare gli insegnamenti tratti e aggiornare le strutture esistenti;</w:t>
            </w:r>
          </w:p>
          <w:p w:rsidR="000F46BF" w:rsidRPr="00F14753" w:rsidRDefault="00BF22CA" w:rsidP="00481440">
            <w:pPr>
              <w:pStyle w:val="Normal6"/>
              <w:rPr>
                <w:b/>
                <w:i/>
              </w:rPr>
            </w:pPr>
            <w:r w:rsidRPr="00F14753">
              <w:rPr>
                <w:b/>
                <w:i/>
              </w:rPr>
              <w:t>________________</w:t>
            </w:r>
          </w:p>
          <w:p w:rsidR="000F46BF" w:rsidRPr="00F14753" w:rsidRDefault="00BF22CA" w:rsidP="00481440">
            <w:pPr>
              <w:pStyle w:val="Normal6"/>
              <w:rPr>
                <w:b/>
                <w:i/>
                <w:szCs w:val="24"/>
              </w:rPr>
            </w:pPr>
            <w:r w:rsidRPr="00F14753">
              <w:rPr>
                <w:b/>
                <w:i/>
                <w:vertAlign w:val="superscript"/>
              </w:rPr>
              <w:t>1 bis</w:t>
            </w:r>
            <w:r w:rsidRPr="00F14753">
              <w:rPr>
                <w:b/>
                <w:i/>
              </w:rPr>
              <w:t xml:space="preserve"> Relazione speciale 13/2024 della Corte dei conti europea, del 10 settembre 2024, dal titolo "Assorbimento dei fondi del dispositivo per la ripresa e la</w:t>
            </w:r>
            <w:r w:rsidRPr="00F14753">
              <w:rPr>
                <w:b/>
                <w:i/>
              </w:rPr>
              <w:t xml:space="preserve"> resilienza – Progressi a rilento: rimangono a rischio il completamento delle misure e, quindi, il conseguimento degli obiettivi del dispositivo stesso". </w:t>
            </w:r>
          </w:p>
        </w:tc>
      </w:tr>
    </w:tbl>
    <w:p w:rsidR="000F46BF" w:rsidRPr="00F14753" w:rsidRDefault="00BF22CA" w:rsidP="000F46BF">
      <w:r w:rsidRPr="00F14753">
        <w:rPr>
          <w:rStyle w:val="HideTWBExt"/>
          <w:color w:val="auto"/>
        </w:rPr>
        <w:lastRenderedPageBreak/>
        <w:t>&lt;/Amend&gt;</w:t>
      </w:r>
    </w:p>
    <w:p w:rsidR="000F46BF" w:rsidRPr="00F14753" w:rsidRDefault="00BF22CA" w:rsidP="000F46BF">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18</w:t>
      </w:r>
      <w:r w:rsidRPr="00F14753">
        <w:rPr>
          <w:rStyle w:val="HideTWBExt"/>
          <w:b w:val="0"/>
          <w:color w:val="auto"/>
        </w:rPr>
        <w:t>&lt;/NumAm&gt;</w:t>
      </w:r>
    </w:p>
    <w:p w:rsidR="000F46BF" w:rsidRPr="00F14753" w:rsidRDefault="00BF22CA" w:rsidP="000F46BF">
      <w:pPr>
        <w:pStyle w:val="NormalBold12b"/>
        <w:keepNext/>
      </w:pPr>
      <w:r w:rsidRPr="00F14753">
        <w:rPr>
          <w:rStyle w:val="HideTWBExt"/>
          <w:b w:val="0"/>
          <w:color w:val="auto"/>
        </w:rPr>
        <w:t>&lt;DocAmend&gt;</w:t>
      </w:r>
      <w:r w:rsidRPr="00F14753">
        <w:t>Proposta di risoluzione</w:t>
      </w:r>
      <w:r w:rsidRPr="00F14753">
        <w:rPr>
          <w:rStyle w:val="HideTWBExt"/>
          <w:b w:val="0"/>
          <w:color w:val="auto"/>
        </w:rPr>
        <w:t>&lt;/DocAmend&gt;</w:t>
      </w:r>
    </w:p>
    <w:p w:rsidR="000F46BF" w:rsidRPr="00F14753" w:rsidRDefault="00BF22CA" w:rsidP="000F46BF">
      <w:pPr>
        <w:pStyle w:val="NormalBold"/>
      </w:pPr>
      <w:r w:rsidRPr="00F14753">
        <w:rPr>
          <w:rStyle w:val="HideTWBExt"/>
          <w:b w:val="0"/>
          <w:color w:val="auto"/>
        </w:rPr>
        <w:t>&lt;Article&gt;</w:t>
      </w:r>
      <w:r w:rsidRPr="00F14753">
        <w:t>Considerando F</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481440">
        <w:trPr>
          <w:jc w:val="center"/>
        </w:trPr>
        <w:tc>
          <w:tcPr>
            <w:tcW w:w="9752" w:type="dxa"/>
            <w:gridSpan w:val="2"/>
          </w:tcPr>
          <w:p w:rsidR="000F46BF" w:rsidRPr="00F14753" w:rsidRDefault="000F46BF" w:rsidP="00481440">
            <w:pPr>
              <w:keepNext/>
            </w:pPr>
          </w:p>
        </w:tc>
      </w:tr>
      <w:tr w:rsidR="00B3157A" w:rsidRPr="00F14753" w:rsidTr="00481440">
        <w:trPr>
          <w:jc w:val="center"/>
        </w:trPr>
        <w:tc>
          <w:tcPr>
            <w:tcW w:w="4876" w:type="dxa"/>
            <w:hideMark/>
          </w:tcPr>
          <w:p w:rsidR="000F46BF" w:rsidRPr="00F14753" w:rsidRDefault="00BF22CA" w:rsidP="00481440">
            <w:pPr>
              <w:pStyle w:val="ColumnHeading"/>
              <w:keepNext/>
            </w:pPr>
            <w:r w:rsidRPr="00F14753">
              <w:t>Proposta di risoluzione</w:t>
            </w:r>
          </w:p>
        </w:tc>
        <w:tc>
          <w:tcPr>
            <w:tcW w:w="4876" w:type="dxa"/>
            <w:hideMark/>
          </w:tcPr>
          <w:p w:rsidR="000F46BF" w:rsidRPr="00F14753" w:rsidRDefault="00BF22CA" w:rsidP="00481440">
            <w:pPr>
              <w:pStyle w:val="ColumnHeading"/>
              <w:keepNext/>
            </w:pPr>
            <w:r w:rsidRPr="00F14753">
              <w:t>Emendamento</w:t>
            </w:r>
          </w:p>
        </w:tc>
      </w:tr>
      <w:tr w:rsidR="00B3157A" w:rsidRPr="00F14753" w:rsidTr="00481440">
        <w:trPr>
          <w:jc w:val="center"/>
        </w:trPr>
        <w:tc>
          <w:tcPr>
            <w:tcW w:w="4876" w:type="dxa"/>
            <w:hideMark/>
          </w:tcPr>
          <w:p w:rsidR="000F46BF" w:rsidRPr="00F14753" w:rsidRDefault="00BF22CA" w:rsidP="00481440">
            <w:pPr>
              <w:pStyle w:val="Normal6"/>
            </w:pPr>
            <w:r w:rsidRPr="00F14753">
              <w:t>F.</w:t>
            </w:r>
            <w:r w:rsidRPr="00F14753">
              <w:tab/>
            </w:r>
            <w:r w:rsidRPr="00F14753">
              <w:t>considerando che l'effettivo controllo democratico e parlamentare sull'attuazione del dispositivo per la ripresa e la resilienza richiede il pieno coinvolgimento del Parlamento e impone di prendere in considerazione tutte le sue raccomandazioni in ogni fas</w:t>
            </w:r>
            <w:r w:rsidRPr="00F14753">
              <w:t>e;</w:t>
            </w:r>
          </w:p>
        </w:tc>
        <w:tc>
          <w:tcPr>
            <w:tcW w:w="4876" w:type="dxa"/>
            <w:hideMark/>
          </w:tcPr>
          <w:p w:rsidR="000F46BF" w:rsidRPr="00F14753" w:rsidRDefault="00BF22CA" w:rsidP="00481440">
            <w:pPr>
              <w:pStyle w:val="Normal6"/>
              <w:rPr>
                <w:szCs w:val="24"/>
              </w:rPr>
            </w:pPr>
            <w:r w:rsidRPr="00F14753">
              <w:t>F.</w:t>
            </w:r>
            <w:r w:rsidRPr="00F14753">
              <w:tab/>
              <w:t>considerando che l'effettivo controllo democratico e parlamentare sull'attuazione del dispositivo per la ripresa e la resilienza richiede il pieno coinvolgimento del Parlamento e impone di prendere in considerazione tutte le sue raccomandazioni in og</w:t>
            </w:r>
            <w:r w:rsidRPr="00F14753">
              <w:t>ni fase;</w:t>
            </w:r>
            <w:r w:rsidRPr="00F14753">
              <w:rPr>
                <w:b/>
                <w:i/>
              </w:rPr>
              <w:t xml:space="preserve"> che la consultazione dei pertinenti portatori di interessi, in particolare le parti sociali, le organizzazioni della società civile, le organizzazioni giovanili e le autorità locali e regionali, è anch'essa fondamentale per la preparazione e l'att</w:t>
            </w:r>
            <w:r w:rsidRPr="00F14753">
              <w:rPr>
                <w:b/>
                <w:i/>
              </w:rPr>
              <w:t>uazione delle misure dei PNRR ed è un requisito previsto dal regolamento che istituisce il dispositivo per la ripresa e la resilienza;</w:t>
            </w:r>
          </w:p>
        </w:tc>
      </w:tr>
    </w:tbl>
    <w:p w:rsidR="000F46BF" w:rsidRPr="00F14753" w:rsidRDefault="00BF22CA" w:rsidP="000F46BF">
      <w:pPr>
        <w:rPr>
          <w:szCs w:val="24"/>
        </w:rPr>
      </w:pPr>
      <w:r w:rsidRPr="00F14753">
        <w:rPr>
          <w:rStyle w:val="HideTWBExt"/>
          <w:color w:val="auto"/>
        </w:rPr>
        <w:t>&lt;/Amend&gt;</w:t>
      </w:r>
    </w:p>
    <w:p w:rsidR="000F46BF" w:rsidRPr="00F14753" w:rsidRDefault="00BF22CA" w:rsidP="000F46BF">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19</w:t>
      </w:r>
      <w:r w:rsidRPr="00F14753">
        <w:rPr>
          <w:rStyle w:val="HideTWBExt"/>
          <w:b w:val="0"/>
          <w:color w:val="auto"/>
        </w:rPr>
        <w:t>&lt;/NumAm&gt;</w:t>
      </w:r>
    </w:p>
    <w:p w:rsidR="000F46BF" w:rsidRPr="00F14753" w:rsidRDefault="000F46BF" w:rsidP="000F46BF"/>
    <w:p w:rsidR="000F46BF" w:rsidRPr="00F14753" w:rsidRDefault="00BF22CA" w:rsidP="000F46BF">
      <w:pPr>
        <w:pStyle w:val="NormalBold"/>
        <w:keepNext/>
      </w:pPr>
      <w:r w:rsidRPr="00F14753">
        <w:rPr>
          <w:rStyle w:val="HideTWBExt"/>
          <w:b w:val="0"/>
          <w:color w:val="auto"/>
        </w:rPr>
        <w:t>&lt;DocAmend&gt;</w:t>
      </w:r>
      <w:r w:rsidRPr="00F14753">
        <w:t>Proposta di risoluzione</w:t>
      </w:r>
      <w:r w:rsidRPr="00F14753">
        <w:rPr>
          <w:rStyle w:val="HideTWBExt"/>
          <w:b w:val="0"/>
          <w:color w:val="auto"/>
        </w:rPr>
        <w:t>&lt;/DocAmend&gt;</w:t>
      </w:r>
    </w:p>
    <w:p w:rsidR="000F46BF" w:rsidRPr="00F14753" w:rsidRDefault="00BF22CA" w:rsidP="000F46BF">
      <w:pPr>
        <w:pStyle w:val="NormalBold"/>
      </w:pPr>
      <w:r w:rsidRPr="00F14753">
        <w:rPr>
          <w:rStyle w:val="HideTWBExt"/>
          <w:b w:val="0"/>
          <w:color w:val="auto"/>
        </w:rPr>
        <w:t>&lt;Article&gt;</w:t>
      </w:r>
      <w:r w:rsidRPr="00F14753">
        <w:t>Considerando F bis (nuovo)</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481440">
        <w:trPr>
          <w:jc w:val="center"/>
        </w:trPr>
        <w:tc>
          <w:tcPr>
            <w:tcW w:w="9752" w:type="dxa"/>
            <w:gridSpan w:val="2"/>
          </w:tcPr>
          <w:p w:rsidR="000F46BF" w:rsidRPr="00F14753" w:rsidRDefault="000F46BF" w:rsidP="00481440">
            <w:pPr>
              <w:keepNext/>
            </w:pPr>
          </w:p>
        </w:tc>
      </w:tr>
      <w:tr w:rsidR="00B3157A" w:rsidRPr="00F14753" w:rsidTr="00481440">
        <w:trPr>
          <w:jc w:val="center"/>
        </w:trPr>
        <w:tc>
          <w:tcPr>
            <w:tcW w:w="4876" w:type="dxa"/>
            <w:hideMark/>
          </w:tcPr>
          <w:p w:rsidR="000F46BF" w:rsidRPr="00F14753" w:rsidRDefault="00BF22CA" w:rsidP="00481440">
            <w:pPr>
              <w:pStyle w:val="ColumnHeading"/>
              <w:keepNext/>
            </w:pPr>
            <w:r w:rsidRPr="00F14753">
              <w:t>Proposta di risoluzione</w:t>
            </w:r>
          </w:p>
        </w:tc>
        <w:tc>
          <w:tcPr>
            <w:tcW w:w="4876" w:type="dxa"/>
            <w:hideMark/>
          </w:tcPr>
          <w:p w:rsidR="000F46BF" w:rsidRPr="00F14753" w:rsidRDefault="00BF22CA" w:rsidP="00481440">
            <w:pPr>
              <w:pStyle w:val="ColumnHeading"/>
              <w:keepNext/>
            </w:pPr>
            <w:r w:rsidRPr="00F14753">
              <w:t>Emendamento</w:t>
            </w:r>
          </w:p>
        </w:tc>
      </w:tr>
      <w:tr w:rsidR="00B3157A" w:rsidRPr="00F14753" w:rsidTr="00481440">
        <w:trPr>
          <w:jc w:val="center"/>
        </w:trPr>
        <w:tc>
          <w:tcPr>
            <w:tcW w:w="4876" w:type="dxa"/>
          </w:tcPr>
          <w:p w:rsidR="000F46BF" w:rsidRPr="00F14753" w:rsidRDefault="000F46BF" w:rsidP="00481440">
            <w:pPr>
              <w:pStyle w:val="Normal6"/>
            </w:pPr>
          </w:p>
        </w:tc>
        <w:tc>
          <w:tcPr>
            <w:tcW w:w="4876" w:type="dxa"/>
            <w:hideMark/>
          </w:tcPr>
          <w:p w:rsidR="000F46BF" w:rsidRPr="00F14753" w:rsidRDefault="00BF22CA" w:rsidP="00481440">
            <w:pPr>
              <w:rPr>
                <w:b/>
                <w:i/>
              </w:rPr>
            </w:pPr>
            <w:r w:rsidRPr="00F14753">
              <w:rPr>
                <w:b/>
                <w:i/>
              </w:rPr>
              <w:t>F bis.</w:t>
            </w:r>
            <w:r w:rsidRPr="00F14753">
              <w:rPr>
                <w:b/>
                <w:i/>
              </w:rPr>
              <w:tab/>
            </w:r>
            <w:r w:rsidRPr="00F14753">
              <w:rPr>
                <w:b/>
                <w:i/>
              </w:rPr>
              <w:t>considerando che la relazione comune sull'occupazione ha rilevato che le parti sociali nazionali hanno valutato in modo disomogeneo il proprio coinvolgimento nell'attuazione del dispositivo per la ripresa e la resilienza nel 2023; che i quadri istituzional</w:t>
            </w:r>
            <w:r w:rsidRPr="00F14753">
              <w:rPr>
                <w:b/>
                <w:i/>
              </w:rPr>
              <w:t>i per il coinvolgimento delle parti sociali sono diversificati, dal momento che alcuni Stati membri hanno stabilito contesti e procedure specifici mentre altri hanno utilizzato i canali di dialogo sociale esistenti e solo in alcuni paesi le parti sociali s</w:t>
            </w:r>
            <w:r w:rsidRPr="00F14753">
              <w:rPr>
                <w:b/>
                <w:i/>
              </w:rPr>
              <w:t xml:space="preserve">ono state coinvolte attraverso nuovi organismi o gruppi di lavoro specifici creati nel contesto del semestre europeo o per monitorare l'attuazione dei piani per la ripresa e la resilienza; </w:t>
            </w:r>
            <w:r w:rsidRPr="00F14753">
              <w:rPr>
                <w:b/>
                <w:bCs/>
                <w:i/>
                <w:iCs/>
              </w:rPr>
              <w:t>che gli Stati membri dovrebbero promuovere la contrattazione collet</w:t>
            </w:r>
            <w:r w:rsidRPr="00F14753">
              <w:rPr>
                <w:b/>
                <w:bCs/>
                <w:i/>
                <w:iCs/>
              </w:rPr>
              <w:t>tiva e il dialogo sociale, in linea con la raccomandazione del Consiglio sul rafforzamento del dialogo sociale nell'Unione europea</w:t>
            </w:r>
            <w:r w:rsidRPr="00F14753">
              <w:rPr>
                <w:b/>
                <w:bCs/>
                <w:i/>
                <w:iCs/>
                <w:vertAlign w:val="superscript"/>
              </w:rPr>
              <w:t>1 bis</w:t>
            </w:r>
            <w:r w:rsidRPr="00F14753">
              <w:rPr>
                <w:b/>
                <w:bCs/>
                <w:i/>
                <w:iCs/>
              </w:rPr>
              <w:t>, unitamente a un coinvolgimento tempestivo e significativo delle parti sociali nell'elaborazione delle pertinenti politi</w:t>
            </w:r>
            <w:r w:rsidRPr="00F14753">
              <w:rPr>
                <w:b/>
                <w:bCs/>
                <w:i/>
                <w:iCs/>
              </w:rPr>
              <w:t>che a livello nazionale e dell'UE, anche in relazione all'attuazione dei piani per la ripresa e la resilienza degli Stati membri;</w:t>
            </w:r>
          </w:p>
        </w:tc>
      </w:tr>
      <w:tr w:rsidR="00B3157A" w:rsidRPr="00F14753" w:rsidTr="00481440">
        <w:trPr>
          <w:jc w:val="center"/>
        </w:trPr>
        <w:tc>
          <w:tcPr>
            <w:tcW w:w="4876" w:type="dxa"/>
          </w:tcPr>
          <w:p w:rsidR="000F46BF" w:rsidRPr="00F14753" w:rsidRDefault="000F46BF" w:rsidP="00481440">
            <w:pPr>
              <w:pStyle w:val="Normal6"/>
            </w:pPr>
          </w:p>
        </w:tc>
        <w:tc>
          <w:tcPr>
            <w:tcW w:w="4876" w:type="dxa"/>
            <w:hideMark/>
          </w:tcPr>
          <w:p w:rsidR="000F46BF" w:rsidRPr="00F14753" w:rsidRDefault="00BF22CA" w:rsidP="00481440">
            <w:pPr>
              <w:pStyle w:val="Normal6"/>
              <w:rPr>
                <w:szCs w:val="24"/>
              </w:rPr>
            </w:pPr>
            <w:r w:rsidRPr="00F14753">
              <w:rPr>
                <w:b/>
                <w:i/>
              </w:rPr>
              <w:t>__________________</w:t>
            </w:r>
          </w:p>
        </w:tc>
      </w:tr>
      <w:tr w:rsidR="00B3157A" w:rsidRPr="00F14753" w:rsidTr="00481440">
        <w:trPr>
          <w:jc w:val="center"/>
        </w:trPr>
        <w:tc>
          <w:tcPr>
            <w:tcW w:w="4876" w:type="dxa"/>
          </w:tcPr>
          <w:p w:rsidR="000F46BF" w:rsidRPr="00F14753" w:rsidRDefault="000F46BF" w:rsidP="00481440">
            <w:pPr>
              <w:pStyle w:val="Normal6"/>
            </w:pPr>
          </w:p>
        </w:tc>
        <w:tc>
          <w:tcPr>
            <w:tcW w:w="4876" w:type="dxa"/>
            <w:hideMark/>
          </w:tcPr>
          <w:p w:rsidR="000F46BF" w:rsidRPr="00F14753" w:rsidRDefault="00BF22CA" w:rsidP="00481440">
            <w:pPr>
              <w:pStyle w:val="Normal6"/>
              <w:rPr>
                <w:szCs w:val="24"/>
              </w:rPr>
            </w:pPr>
            <w:r w:rsidRPr="00F14753">
              <w:rPr>
                <w:b/>
                <w:i/>
                <w:vertAlign w:val="superscript"/>
              </w:rPr>
              <w:t>1 bis</w:t>
            </w:r>
            <w:r w:rsidRPr="00F14753">
              <w:t xml:space="preserve"> </w:t>
            </w:r>
            <w:r w:rsidRPr="00F14753">
              <w:rPr>
                <w:b/>
                <w:i/>
              </w:rPr>
              <w:t>Raccomandazione del Consiglio, del 12 giugno 2023, sul rafforzamento del dialogo sociale nell'Uni</w:t>
            </w:r>
            <w:r w:rsidRPr="00F14753">
              <w:rPr>
                <w:b/>
                <w:i/>
              </w:rPr>
              <w:t xml:space="preserve">one europea (GU C, C/2023/1389, 6.12.2023, ELI: </w:t>
            </w:r>
            <w:hyperlink r:id="rId10" w:history="1">
              <w:r w:rsidRPr="00F14753">
                <w:rPr>
                  <w:rStyle w:val="Hyperlink"/>
                  <w:b/>
                  <w:i/>
                  <w:color w:val="auto"/>
                </w:rPr>
                <w:t>http://data.europa.eu/eli/C/2023/1389/oj</w:t>
              </w:r>
            </w:hyperlink>
            <w:r w:rsidRPr="00F14753">
              <w:rPr>
                <w:b/>
                <w:i/>
              </w:rPr>
              <w:t>).</w:t>
            </w:r>
          </w:p>
        </w:tc>
      </w:tr>
    </w:tbl>
    <w:p w:rsidR="000F46BF" w:rsidRPr="00F14753" w:rsidRDefault="00BF22CA" w:rsidP="000F46BF">
      <w:r w:rsidRPr="00F14753">
        <w:rPr>
          <w:rStyle w:val="HideTWBExt"/>
          <w:color w:val="auto"/>
        </w:rPr>
        <w:t>&lt;/Amend&gt;</w:t>
      </w:r>
    </w:p>
    <w:p w:rsidR="000F46BF" w:rsidRPr="00F14753" w:rsidRDefault="00BF22CA" w:rsidP="000F46BF">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20</w:t>
      </w:r>
      <w:r w:rsidRPr="00F14753">
        <w:rPr>
          <w:rStyle w:val="HideTWBExt"/>
          <w:b w:val="0"/>
          <w:color w:val="auto"/>
        </w:rPr>
        <w:t>&lt;/NumAm&gt;</w:t>
      </w:r>
    </w:p>
    <w:p w:rsidR="000F46BF" w:rsidRPr="00F14753" w:rsidRDefault="000F46BF" w:rsidP="000F46BF"/>
    <w:p w:rsidR="000F46BF" w:rsidRPr="00F14753" w:rsidRDefault="00BF22CA" w:rsidP="000F46BF">
      <w:pPr>
        <w:pStyle w:val="NormalBold"/>
        <w:keepNext/>
      </w:pPr>
      <w:r w:rsidRPr="00F14753">
        <w:rPr>
          <w:rStyle w:val="HideTWBExt"/>
          <w:b w:val="0"/>
          <w:color w:val="auto"/>
        </w:rPr>
        <w:t>&lt;DocAmend&gt;</w:t>
      </w:r>
      <w:r w:rsidRPr="00F14753">
        <w:t>Proposta di risoluzione</w:t>
      </w:r>
      <w:r w:rsidRPr="00F14753">
        <w:rPr>
          <w:rStyle w:val="HideTWBExt"/>
          <w:b w:val="0"/>
          <w:color w:val="auto"/>
        </w:rPr>
        <w:t>&lt;/DocAmend&gt;</w:t>
      </w:r>
    </w:p>
    <w:p w:rsidR="000F46BF" w:rsidRPr="00F14753" w:rsidRDefault="00BF22CA" w:rsidP="000F46BF">
      <w:pPr>
        <w:pStyle w:val="NormalBold"/>
      </w:pPr>
      <w:r w:rsidRPr="00F14753">
        <w:rPr>
          <w:rStyle w:val="HideTWBExt"/>
          <w:b w:val="0"/>
          <w:color w:val="auto"/>
        </w:rPr>
        <w:t>&lt;Article&gt;</w:t>
      </w:r>
      <w:r w:rsidRPr="00F14753">
        <w:t>Considerando F ter (nuovo)</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481440">
        <w:trPr>
          <w:jc w:val="center"/>
        </w:trPr>
        <w:tc>
          <w:tcPr>
            <w:tcW w:w="9752" w:type="dxa"/>
            <w:gridSpan w:val="2"/>
          </w:tcPr>
          <w:p w:rsidR="000F46BF" w:rsidRPr="00F14753" w:rsidRDefault="000F46BF" w:rsidP="00481440">
            <w:pPr>
              <w:keepNext/>
            </w:pPr>
          </w:p>
        </w:tc>
      </w:tr>
      <w:tr w:rsidR="00B3157A" w:rsidRPr="00F14753" w:rsidTr="00481440">
        <w:trPr>
          <w:jc w:val="center"/>
        </w:trPr>
        <w:tc>
          <w:tcPr>
            <w:tcW w:w="4876" w:type="dxa"/>
            <w:hideMark/>
          </w:tcPr>
          <w:p w:rsidR="000F46BF" w:rsidRPr="00F14753" w:rsidRDefault="00BF22CA" w:rsidP="00481440">
            <w:pPr>
              <w:pStyle w:val="ColumnHeading"/>
              <w:keepNext/>
            </w:pPr>
            <w:r w:rsidRPr="00F14753">
              <w:t>Proposta di risoluzione</w:t>
            </w:r>
          </w:p>
        </w:tc>
        <w:tc>
          <w:tcPr>
            <w:tcW w:w="4876" w:type="dxa"/>
            <w:hideMark/>
          </w:tcPr>
          <w:p w:rsidR="000F46BF" w:rsidRPr="00F14753" w:rsidRDefault="00BF22CA" w:rsidP="00481440">
            <w:pPr>
              <w:pStyle w:val="ColumnHeading"/>
              <w:keepNext/>
            </w:pPr>
            <w:r w:rsidRPr="00F14753">
              <w:t>Emendamento</w:t>
            </w:r>
          </w:p>
        </w:tc>
      </w:tr>
      <w:tr w:rsidR="00B3157A" w:rsidRPr="00F14753" w:rsidTr="00481440">
        <w:trPr>
          <w:jc w:val="center"/>
        </w:trPr>
        <w:tc>
          <w:tcPr>
            <w:tcW w:w="4876" w:type="dxa"/>
          </w:tcPr>
          <w:p w:rsidR="000F46BF" w:rsidRPr="00F14753" w:rsidRDefault="000F46BF" w:rsidP="00481440">
            <w:pPr>
              <w:pStyle w:val="Normal6"/>
            </w:pPr>
          </w:p>
        </w:tc>
        <w:tc>
          <w:tcPr>
            <w:tcW w:w="4876" w:type="dxa"/>
            <w:hideMark/>
          </w:tcPr>
          <w:p w:rsidR="000F46BF" w:rsidRPr="00F14753" w:rsidRDefault="00BF22CA" w:rsidP="00481440">
            <w:pPr>
              <w:pStyle w:val="Normal6"/>
              <w:rPr>
                <w:szCs w:val="24"/>
              </w:rPr>
            </w:pPr>
            <w:r w:rsidRPr="00F14753">
              <w:rPr>
                <w:b/>
                <w:i/>
              </w:rPr>
              <w:t>F ter.</w:t>
            </w:r>
            <w:r w:rsidRPr="00F14753">
              <w:rPr>
                <w:b/>
                <w:i/>
              </w:rPr>
              <w:tab/>
            </w:r>
            <w:r w:rsidRPr="00F14753">
              <w:rPr>
                <w:b/>
                <w:i/>
              </w:rPr>
              <w:t>considerando che, secondo la relazione comune sull'occupazione 2025, dei 7 129 traguardi e obiettivi inclusi nei 27 piani per la ripresa e la resilienza, si prevede che 2 201 contribuiranno alle politiche sociali (circa il 31 %), mentre dei 1 742 traguardi</w:t>
            </w:r>
            <w:r w:rsidRPr="00F14753">
              <w:rPr>
                <w:b/>
                <w:i/>
              </w:rPr>
              <w:t xml:space="preserve"> e obiettivi raggiunti al 14 novembre 2024, 505 promuovono politiche sociali (circa il 30 %);</w:t>
            </w:r>
          </w:p>
        </w:tc>
      </w:tr>
    </w:tbl>
    <w:p w:rsidR="000F46BF" w:rsidRPr="00F14753" w:rsidRDefault="00BF22CA" w:rsidP="000F46BF">
      <w:r w:rsidRPr="00F14753">
        <w:rPr>
          <w:rStyle w:val="HideTWBExt"/>
          <w:color w:val="auto"/>
        </w:rPr>
        <w:t>&lt;/Amend&gt;</w:t>
      </w:r>
    </w:p>
    <w:p w:rsidR="000F46BF" w:rsidRPr="00F14753" w:rsidRDefault="00BF22CA" w:rsidP="000F46BF">
      <w:pPr>
        <w:pStyle w:val="AmNumberTabs"/>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21</w:t>
      </w:r>
      <w:r w:rsidRPr="00F14753">
        <w:rPr>
          <w:rStyle w:val="HideTWBExt"/>
          <w:b w:val="0"/>
          <w:color w:val="auto"/>
        </w:rPr>
        <w:t>&lt;/NumAm&gt;</w:t>
      </w:r>
    </w:p>
    <w:p w:rsidR="000F46BF" w:rsidRPr="00F14753" w:rsidRDefault="00BF22CA" w:rsidP="000F46BF">
      <w:pPr>
        <w:pStyle w:val="NormalBold12b"/>
      </w:pPr>
      <w:r w:rsidRPr="00F14753">
        <w:rPr>
          <w:rStyle w:val="HideTWBExt"/>
          <w:b w:val="0"/>
          <w:color w:val="auto"/>
        </w:rPr>
        <w:t>&lt;DocAmend&gt;</w:t>
      </w:r>
      <w:r w:rsidRPr="00F14753">
        <w:t>Proposta di risoluzione</w:t>
      </w:r>
      <w:r w:rsidRPr="00F14753">
        <w:rPr>
          <w:rStyle w:val="HideTWBExt"/>
          <w:b w:val="0"/>
          <w:color w:val="auto"/>
        </w:rPr>
        <w:t>&lt;/DocAmend&gt;</w:t>
      </w:r>
    </w:p>
    <w:p w:rsidR="000F46BF" w:rsidRPr="00F14753" w:rsidRDefault="00BF22CA" w:rsidP="000F46BF">
      <w:pPr>
        <w:pStyle w:val="NormalBold"/>
      </w:pPr>
      <w:r w:rsidRPr="00F14753">
        <w:rPr>
          <w:rStyle w:val="HideTWBExt"/>
          <w:b w:val="0"/>
          <w:color w:val="auto"/>
        </w:rPr>
        <w:t>&lt;Article&gt;</w:t>
      </w:r>
      <w:r w:rsidRPr="00F14753">
        <w:t>Considerando F quater (nuovo)</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481440">
        <w:trPr>
          <w:jc w:val="center"/>
        </w:trPr>
        <w:tc>
          <w:tcPr>
            <w:tcW w:w="9752" w:type="dxa"/>
            <w:gridSpan w:val="2"/>
          </w:tcPr>
          <w:p w:rsidR="000F46BF" w:rsidRPr="00F14753" w:rsidRDefault="000F46BF" w:rsidP="00481440">
            <w:pPr>
              <w:keepNext/>
            </w:pPr>
          </w:p>
        </w:tc>
      </w:tr>
      <w:tr w:rsidR="00B3157A" w:rsidRPr="00F14753" w:rsidTr="00481440">
        <w:trPr>
          <w:jc w:val="center"/>
        </w:trPr>
        <w:tc>
          <w:tcPr>
            <w:tcW w:w="4876" w:type="dxa"/>
            <w:hideMark/>
          </w:tcPr>
          <w:p w:rsidR="000F46BF" w:rsidRPr="00F14753" w:rsidRDefault="00BF22CA" w:rsidP="00481440">
            <w:pPr>
              <w:pStyle w:val="ColumnHeading"/>
              <w:keepNext/>
            </w:pPr>
            <w:r w:rsidRPr="00F14753">
              <w:t>Proposta di risoluzione</w:t>
            </w:r>
          </w:p>
        </w:tc>
        <w:tc>
          <w:tcPr>
            <w:tcW w:w="4876" w:type="dxa"/>
            <w:hideMark/>
          </w:tcPr>
          <w:p w:rsidR="000F46BF" w:rsidRPr="00F14753" w:rsidRDefault="00BF22CA" w:rsidP="00481440">
            <w:pPr>
              <w:pStyle w:val="ColumnHeading"/>
              <w:keepNext/>
            </w:pPr>
            <w:r w:rsidRPr="00F14753">
              <w:t>Emendamento</w:t>
            </w:r>
          </w:p>
        </w:tc>
      </w:tr>
      <w:tr w:rsidR="00B3157A" w:rsidRPr="00F14753" w:rsidTr="00481440">
        <w:trPr>
          <w:jc w:val="center"/>
        </w:trPr>
        <w:tc>
          <w:tcPr>
            <w:tcW w:w="4876" w:type="dxa"/>
          </w:tcPr>
          <w:p w:rsidR="000F46BF" w:rsidRPr="00F14753" w:rsidRDefault="000F46BF" w:rsidP="00481440">
            <w:pPr>
              <w:pStyle w:val="Normal6"/>
            </w:pPr>
          </w:p>
        </w:tc>
        <w:tc>
          <w:tcPr>
            <w:tcW w:w="4876" w:type="dxa"/>
            <w:hideMark/>
          </w:tcPr>
          <w:p w:rsidR="000F46BF" w:rsidRPr="00F14753" w:rsidRDefault="00BF22CA" w:rsidP="00481440">
            <w:pPr>
              <w:pStyle w:val="Normal6"/>
              <w:rPr>
                <w:szCs w:val="24"/>
              </w:rPr>
            </w:pPr>
            <w:r w:rsidRPr="00F14753">
              <w:rPr>
                <w:b/>
                <w:i/>
              </w:rPr>
              <w:t>F quater.</w:t>
            </w:r>
            <w:r w:rsidRPr="00F14753">
              <w:rPr>
                <w:b/>
                <w:i/>
              </w:rPr>
              <w:tab/>
              <w:t>considerando che l'UE deve far fronte a una società che invecchia, con una previsione di calo dei tassi di sostituzione per le pensioni nei prossimi quattro decenni, a fronte di esigenze di assistenza a lungo</w:t>
            </w:r>
            <w:r w:rsidRPr="00F14753">
              <w:rPr>
                <w:b/>
                <w:i/>
              </w:rPr>
              <w:t xml:space="preserve"> termine già elevate e in aumento; che il rischio di povertà o di esclusione sociale tra gli anziani è rimasto stabile, ma che si prevede che i tassi di sostituzione per le pensioni per una carriera di 40 anni diminuiranno nella maggior parte dei paesi del</w:t>
            </w:r>
            <w:r w:rsidRPr="00F14753">
              <w:rPr>
                <w:b/>
                <w:i/>
              </w:rPr>
              <w:t>l'UE, in alcuni casi di oltre 20 punti percentuali;</w:t>
            </w:r>
          </w:p>
        </w:tc>
      </w:tr>
    </w:tbl>
    <w:p w:rsidR="000F46BF" w:rsidRPr="00F14753" w:rsidRDefault="00BF22CA" w:rsidP="000F46BF">
      <w:r w:rsidRPr="00F14753">
        <w:rPr>
          <w:rStyle w:val="HideTWBExt"/>
          <w:color w:val="auto"/>
        </w:rPr>
        <w:t>&lt;/Amend&gt;</w:t>
      </w:r>
    </w:p>
    <w:p w:rsidR="000F46BF" w:rsidRPr="00F14753" w:rsidRDefault="00BF22CA" w:rsidP="000F46BF">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22</w:t>
      </w:r>
      <w:r w:rsidRPr="00F14753">
        <w:rPr>
          <w:rStyle w:val="HideTWBExt"/>
          <w:b w:val="0"/>
          <w:color w:val="auto"/>
        </w:rPr>
        <w:t>&lt;/NumAm&gt;</w:t>
      </w:r>
    </w:p>
    <w:p w:rsidR="000F46BF" w:rsidRPr="00F14753" w:rsidRDefault="000F46BF" w:rsidP="000F46BF"/>
    <w:p w:rsidR="000F46BF" w:rsidRPr="00F14753" w:rsidRDefault="00BF22CA" w:rsidP="000F46BF">
      <w:pPr>
        <w:pStyle w:val="NormalBold"/>
        <w:keepNext/>
      </w:pPr>
      <w:r w:rsidRPr="00F14753">
        <w:rPr>
          <w:rStyle w:val="HideTWBExt"/>
          <w:b w:val="0"/>
          <w:color w:val="auto"/>
        </w:rPr>
        <w:t>&lt;DocAmend&gt;</w:t>
      </w:r>
      <w:r w:rsidRPr="00F14753">
        <w:t>Proposta di risoluzione</w:t>
      </w:r>
      <w:r w:rsidRPr="00F14753">
        <w:rPr>
          <w:rStyle w:val="HideTWBExt"/>
          <w:b w:val="0"/>
          <w:color w:val="auto"/>
        </w:rPr>
        <w:t>&lt;/DocAmend&gt;</w:t>
      </w:r>
    </w:p>
    <w:p w:rsidR="000F46BF" w:rsidRPr="00F14753" w:rsidRDefault="00BF22CA" w:rsidP="000F46BF">
      <w:pPr>
        <w:pStyle w:val="NormalBold"/>
      </w:pPr>
      <w:r w:rsidRPr="00F14753">
        <w:rPr>
          <w:rStyle w:val="HideTWBExt"/>
          <w:b w:val="0"/>
          <w:color w:val="auto"/>
        </w:rPr>
        <w:t>&lt;Article&gt;</w:t>
      </w:r>
      <w:r w:rsidRPr="00F14753">
        <w:t>Considerando G</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481440">
        <w:trPr>
          <w:jc w:val="center"/>
        </w:trPr>
        <w:tc>
          <w:tcPr>
            <w:tcW w:w="9752" w:type="dxa"/>
            <w:gridSpan w:val="2"/>
          </w:tcPr>
          <w:p w:rsidR="000F46BF" w:rsidRPr="00F14753" w:rsidRDefault="000F46BF" w:rsidP="00481440">
            <w:pPr>
              <w:keepNext/>
            </w:pPr>
          </w:p>
        </w:tc>
      </w:tr>
      <w:tr w:rsidR="00B3157A" w:rsidRPr="00F14753" w:rsidTr="00481440">
        <w:trPr>
          <w:jc w:val="center"/>
        </w:trPr>
        <w:tc>
          <w:tcPr>
            <w:tcW w:w="4876" w:type="dxa"/>
            <w:hideMark/>
          </w:tcPr>
          <w:p w:rsidR="000F46BF" w:rsidRPr="00F14753" w:rsidRDefault="00BF22CA" w:rsidP="00481440">
            <w:pPr>
              <w:pStyle w:val="ColumnHeading"/>
              <w:keepNext/>
            </w:pPr>
            <w:r w:rsidRPr="00F14753">
              <w:t>Proposta di risoluzione</w:t>
            </w:r>
          </w:p>
        </w:tc>
        <w:tc>
          <w:tcPr>
            <w:tcW w:w="4876" w:type="dxa"/>
            <w:hideMark/>
          </w:tcPr>
          <w:p w:rsidR="000F46BF" w:rsidRPr="00F14753" w:rsidRDefault="00BF22CA" w:rsidP="00481440">
            <w:pPr>
              <w:pStyle w:val="ColumnHeading"/>
              <w:keepNext/>
            </w:pPr>
            <w:r w:rsidRPr="00F14753">
              <w:t>Emendamento</w:t>
            </w:r>
          </w:p>
        </w:tc>
      </w:tr>
      <w:tr w:rsidR="00B3157A" w:rsidRPr="00F14753" w:rsidTr="00481440">
        <w:trPr>
          <w:jc w:val="center"/>
        </w:trPr>
        <w:tc>
          <w:tcPr>
            <w:tcW w:w="4876" w:type="dxa"/>
            <w:hideMark/>
          </w:tcPr>
          <w:p w:rsidR="000F46BF" w:rsidRPr="00F14753" w:rsidRDefault="00BF22CA" w:rsidP="00481440">
            <w:pPr>
              <w:pStyle w:val="Normal6"/>
            </w:pPr>
            <w:r w:rsidRPr="00F14753">
              <w:t>G.</w:t>
            </w:r>
            <w:r w:rsidRPr="00F14753">
              <w:tab/>
            </w:r>
            <w:r w:rsidRPr="00F14753">
              <w:t xml:space="preserve">considerando che la Commissione deve presentare, entro il 31 dicembre 2028, una relazione di valutazione ex post indipendente sull'attuazione del dispositivo per la ripresa e la resilienza, composta da </w:t>
            </w:r>
            <w:r w:rsidRPr="00F14753">
              <w:lastRenderedPageBreak/>
              <w:t>una valutazione globale del dispositivo e contenente i</w:t>
            </w:r>
            <w:r w:rsidRPr="00F14753">
              <w:t>nformazioni sul suo impatto a lungo termine;</w:t>
            </w:r>
          </w:p>
        </w:tc>
        <w:tc>
          <w:tcPr>
            <w:tcW w:w="4876" w:type="dxa"/>
            <w:hideMark/>
          </w:tcPr>
          <w:p w:rsidR="000F46BF" w:rsidRPr="00F14753" w:rsidRDefault="00BF22CA" w:rsidP="00481440">
            <w:pPr>
              <w:pStyle w:val="Normal6"/>
              <w:rPr>
                <w:szCs w:val="24"/>
              </w:rPr>
            </w:pPr>
            <w:r w:rsidRPr="00F14753">
              <w:lastRenderedPageBreak/>
              <w:t>G.</w:t>
            </w:r>
            <w:r w:rsidRPr="00F14753">
              <w:tab/>
              <w:t xml:space="preserve">considerando che la Commissione deve presentare, entro il 31 dicembre 2028, una relazione di valutazione ex post indipendente sull'attuazione del dispositivo per la ripresa e la resilienza, composta da </w:t>
            </w:r>
            <w:r w:rsidRPr="00F14753">
              <w:lastRenderedPageBreak/>
              <w:t>una va</w:t>
            </w:r>
            <w:r w:rsidRPr="00F14753">
              <w:t>lutazione globale del dispositivo e contenente informazioni sul suo impatto a lungo termine</w:t>
            </w:r>
            <w:r w:rsidRPr="00F14753">
              <w:rPr>
                <w:b/>
                <w:bCs/>
                <w:i/>
                <w:iCs/>
              </w:rPr>
              <w:t>, compresi dati sui risultati conseguiti sul piano sociale</w:t>
            </w:r>
            <w:r w:rsidRPr="00F14753">
              <w:t>;</w:t>
            </w:r>
          </w:p>
        </w:tc>
      </w:tr>
    </w:tbl>
    <w:p w:rsidR="000F46BF" w:rsidRPr="00F14753" w:rsidRDefault="00BF22CA" w:rsidP="000F46BF">
      <w:r w:rsidRPr="00F14753">
        <w:rPr>
          <w:rStyle w:val="HideTWBExt"/>
          <w:color w:val="auto"/>
        </w:rPr>
        <w:lastRenderedPageBreak/>
        <w:t>&lt;/Amend&gt;</w:t>
      </w:r>
    </w:p>
    <w:p w:rsidR="000F46BF" w:rsidRPr="00F14753" w:rsidRDefault="00BF22CA" w:rsidP="000F46BF">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23</w:t>
      </w:r>
      <w:r w:rsidRPr="00F14753">
        <w:rPr>
          <w:rStyle w:val="HideTWBExt"/>
          <w:b w:val="0"/>
          <w:color w:val="auto"/>
        </w:rPr>
        <w:t>&lt;/NumAm&gt;</w:t>
      </w:r>
    </w:p>
    <w:p w:rsidR="000F46BF" w:rsidRPr="00F14753" w:rsidRDefault="000F46BF" w:rsidP="000F46BF"/>
    <w:p w:rsidR="000F46BF" w:rsidRPr="00F14753" w:rsidRDefault="00BF22CA" w:rsidP="000F46BF">
      <w:pPr>
        <w:pStyle w:val="NormalBold"/>
        <w:keepNext/>
      </w:pPr>
      <w:r w:rsidRPr="00F14753">
        <w:rPr>
          <w:rStyle w:val="HideTWBExt"/>
          <w:b w:val="0"/>
          <w:color w:val="auto"/>
        </w:rPr>
        <w:t>&lt;DocAmend&gt;</w:t>
      </w:r>
      <w:r w:rsidRPr="00F14753">
        <w:t>Proposta di risoluzione</w:t>
      </w:r>
      <w:r w:rsidRPr="00F14753">
        <w:rPr>
          <w:rStyle w:val="HideTWBExt"/>
          <w:b w:val="0"/>
          <w:color w:val="auto"/>
        </w:rPr>
        <w:t>&lt;/DocAmend&gt;</w:t>
      </w:r>
    </w:p>
    <w:p w:rsidR="000F46BF" w:rsidRPr="00F14753" w:rsidRDefault="00BF22CA" w:rsidP="000F46BF">
      <w:pPr>
        <w:pStyle w:val="NormalBold"/>
      </w:pPr>
      <w:r w:rsidRPr="00F14753">
        <w:rPr>
          <w:rStyle w:val="HideTWBExt"/>
          <w:b w:val="0"/>
          <w:color w:val="auto"/>
        </w:rPr>
        <w:t>&lt;Article&gt;</w:t>
      </w:r>
      <w:r w:rsidRPr="00F14753">
        <w:t>Considerando G bis (nuovo)</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481440">
        <w:trPr>
          <w:jc w:val="center"/>
        </w:trPr>
        <w:tc>
          <w:tcPr>
            <w:tcW w:w="9752" w:type="dxa"/>
            <w:gridSpan w:val="2"/>
          </w:tcPr>
          <w:p w:rsidR="000F46BF" w:rsidRPr="00F14753" w:rsidRDefault="000F46BF" w:rsidP="00481440">
            <w:pPr>
              <w:keepNext/>
            </w:pPr>
          </w:p>
        </w:tc>
      </w:tr>
      <w:tr w:rsidR="00B3157A" w:rsidRPr="00F14753" w:rsidTr="00481440">
        <w:trPr>
          <w:jc w:val="center"/>
        </w:trPr>
        <w:tc>
          <w:tcPr>
            <w:tcW w:w="4876" w:type="dxa"/>
            <w:hideMark/>
          </w:tcPr>
          <w:p w:rsidR="000F46BF" w:rsidRPr="00F14753" w:rsidRDefault="00BF22CA" w:rsidP="00481440">
            <w:pPr>
              <w:pStyle w:val="ColumnHeading"/>
              <w:keepNext/>
            </w:pPr>
            <w:r w:rsidRPr="00F14753">
              <w:t>Proposta di risoluzione</w:t>
            </w:r>
          </w:p>
        </w:tc>
        <w:tc>
          <w:tcPr>
            <w:tcW w:w="4876" w:type="dxa"/>
            <w:hideMark/>
          </w:tcPr>
          <w:p w:rsidR="000F46BF" w:rsidRPr="00F14753" w:rsidRDefault="00BF22CA" w:rsidP="00481440">
            <w:pPr>
              <w:pStyle w:val="ColumnHeading"/>
              <w:keepNext/>
            </w:pPr>
            <w:r w:rsidRPr="00F14753">
              <w:t>Emendamento</w:t>
            </w:r>
          </w:p>
        </w:tc>
      </w:tr>
      <w:tr w:rsidR="00B3157A" w:rsidRPr="00F14753" w:rsidTr="00481440">
        <w:trPr>
          <w:jc w:val="center"/>
        </w:trPr>
        <w:tc>
          <w:tcPr>
            <w:tcW w:w="4876" w:type="dxa"/>
          </w:tcPr>
          <w:p w:rsidR="000F46BF" w:rsidRPr="00F14753" w:rsidRDefault="000F46BF" w:rsidP="00481440">
            <w:pPr>
              <w:pStyle w:val="Normal6"/>
            </w:pPr>
          </w:p>
        </w:tc>
        <w:tc>
          <w:tcPr>
            <w:tcW w:w="4876" w:type="dxa"/>
            <w:hideMark/>
          </w:tcPr>
          <w:p w:rsidR="000F46BF" w:rsidRPr="00F14753" w:rsidRDefault="00BF22CA" w:rsidP="00481440">
            <w:pPr>
              <w:pStyle w:val="Normal6"/>
              <w:rPr>
                <w:szCs w:val="24"/>
              </w:rPr>
            </w:pPr>
            <w:r w:rsidRPr="00F14753">
              <w:rPr>
                <w:b/>
                <w:i/>
              </w:rPr>
              <w:t>G bis.</w:t>
            </w:r>
            <w:r w:rsidRPr="00F14753">
              <w:rPr>
                <w:b/>
                <w:i/>
              </w:rPr>
              <w:tab/>
            </w:r>
            <w:r w:rsidRPr="00F14753">
              <w:rPr>
                <w:b/>
                <w:i/>
              </w:rPr>
              <w:t xml:space="preserve">considerando che ciascuno Stato membro deve destinare almeno il 20 % della dotazione totale del suo piano per la ripresa e la resilienza a misure che contribuiscano alla transizione digitale o ad affrontare le sfide che ne conseguono; che il miglioramento </w:t>
            </w:r>
            <w:r w:rsidRPr="00F14753">
              <w:rPr>
                <w:b/>
                <w:i/>
              </w:rPr>
              <w:t>delle competenze digitali della popolazione e della forza lavoro, l'aumento della digitalizzazione delle imprese, la promozione dell'offerta di servizi pubblici digitali e l'accelerazione dell'attuazione dei principali progetti di e-government sono tutti p</w:t>
            </w:r>
            <w:r w:rsidRPr="00F14753">
              <w:rPr>
                <w:b/>
                <w:i/>
              </w:rPr>
              <w:t>assaggi fondamentali verso la realizzazione della transizione digitale;</w:t>
            </w:r>
          </w:p>
        </w:tc>
      </w:tr>
    </w:tbl>
    <w:p w:rsidR="000F46BF" w:rsidRPr="00F14753" w:rsidRDefault="00BF22CA" w:rsidP="000F46BF">
      <w:r w:rsidRPr="00F14753">
        <w:rPr>
          <w:rStyle w:val="HideTWBExt"/>
          <w:color w:val="auto"/>
        </w:rPr>
        <w:t>&lt;/Amend&gt;</w:t>
      </w:r>
    </w:p>
    <w:p w:rsidR="000F46BF" w:rsidRPr="00F14753" w:rsidRDefault="00BF22CA" w:rsidP="000F46BF">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24</w:t>
      </w:r>
      <w:r w:rsidRPr="00F14753">
        <w:rPr>
          <w:rStyle w:val="HideTWBExt"/>
          <w:b w:val="0"/>
          <w:color w:val="auto"/>
        </w:rPr>
        <w:t>&lt;/NumAm&gt;</w:t>
      </w:r>
    </w:p>
    <w:p w:rsidR="000F46BF" w:rsidRPr="00F14753" w:rsidRDefault="000F46BF" w:rsidP="000F46BF"/>
    <w:p w:rsidR="000F46BF" w:rsidRPr="00F14753" w:rsidRDefault="00BF22CA" w:rsidP="000F46BF">
      <w:pPr>
        <w:pStyle w:val="NormalBold"/>
        <w:keepNext/>
      </w:pPr>
      <w:r w:rsidRPr="00F14753">
        <w:rPr>
          <w:rStyle w:val="HideTWBExt"/>
          <w:b w:val="0"/>
          <w:color w:val="auto"/>
        </w:rPr>
        <w:t>&lt;DocAmend&gt;</w:t>
      </w:r>
      <w:r w:rsidRPr="00F14753">
        <w:t>Proposta di risoluzione</w:t>
      </w:r>
      <w:r w:rsidRPr="00F14753">
        <w:rPr>
          <w:rStyle w:val="HideTWBExt"/>
          <w:b w:val="0"/>
          <w:color w:val="auto"/>
        </w:rPr>
        <w:t>&lt;/DocAmend&gt;</w:t>
      </w:r>
    </w:p>
    <w:p w:rsidR="000F46BF" w:rsidRPr="00F14753" w:rsidRDefault="00BF22CA" w:rsidP="000F46BF">
      <w:pPr>
        <w:pStyle w:val="NormalBold"/>
      </w:pPr>
      <w:r w:rsidRPr="00F14753">
        <w:rPr>
          <w:rStyle w:val="HideTWBExt"/>
          <w:b w:val="0"/>
          <w:color w:val="auto"/>
        </w:rPr>
        <w:t>&lt;Article&gt;</w:t>
      </w:r>
      <w:r w:rsidRPr="00F14753">
        <w:t>Considerando G ter (nuovo)</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481440">
        <w:trPr>
          <w:jc w:val="center"/>
        </w:trPr>
        <w:tc>
          <w:tcPr>
            <w:tcW w:w="9752" w:type="dxa"/>
            <w:gridSpan w:val="2"/>
          </w:tcPr>
          <w:p w:rsidR="000F46BF" w:rsidRPr="00F14753" w:rsidRDefault="000F46BF" w:rsidP="00481440">
            <w:pPr>
              <w:keepNext/>
            </w:pPr>
          </w:p>
        </w:tc>
      </w:tr>
      <w:tr w:rsidR="00B3157A" w:rsidRPr="00F14753" w:rsidTr="00481440">
        <w:trPr>
          <w:jc w:val="center"/>
        </w:trPr>
        <w:tc>
          <w:tcPr>
            <w:tcW w:w="4876" w:type="dxa"/>
            <w:hideMark/>
          </w:tcPr>
          <w:p w:rsidR="000F46BF" w:rsidRPr="00F14753" w:rsidRDefault="00BF22CA" w:rsidP="00481440">
            <w:pPr>
              <w:pStyle w:val="ColumnHeading"/>
              <w:keepNext/>
            </w:pPr>
            <w:r w:rsidRPr="00F14753">
              <w:t>Proposta di risoluzione</w:t>
            </w:r>
          </w:p>
        </w:tc>
        <w:tc>
          <w:tcPr>
            <w:tcW w:w="4876" w:type="dxa"/>
            <w:hideMark/>
          </w:tcPr>
          <w:p w:rsidR="000F46BF" w:rsidRPr="00F14753" w:rsidRDefault="00BF22CA" w:rsidP="00481440">
            <w:pPr>
              <w:pStyle w:val="ColumnHeading"/>
              <w:keepNext/>
            </w:pPr>
            <w:r w:rsidRPr="00F14753">
              <w:t>Emendamento</w:t>
            </w:r>
          </w:p>
        </w:tc>
      </w:tr>
      <w:tr w:rsidR="00B3157A" w:rsidRPr="00F14753" w:rsidTr="00481440">
        <w:trPr>
          <w:jc w:val="center"/>
        </w:trPr>
        <w:tc>
          <w:tcPr>
            <w:tcW w:w="4876" w:type="dxa"/>
          </w:tcPr>
          <w:p w:rsidR="000F46BF" w:rsidRPr="00F14753" w:rsidRDefault="000F46BF" w:rsidP="00481440">
            <w:pPr>
              <w:pStyle w:val="Normal6"/>
            </w:pPr>
          </w:p>
        </w:tc>
        <w:tc>
          <w:tcPr>
            <w:tcW w:w="4876" w:type="dxa"/>
            <w:hideMark/>
          </w:tcPr>
          <w:p w:rsidR="000F46BF" w:rsidRPr="00F14753" w:rsidRDefault="00BF22CA" w:rsidP="00481440">
            <w:pPr>
              <w:pStyle w:val="Normal6"/>
              <w:rPr>
                <w:szCs w:val="24"/>
              </w:rPr>
            </w:pPr>
            <w:r w:rsidRPr="00F14753">
              <w:rPr>
                <w:b/>
                <w:i/>
              </w:rPr>
              <w:t>G ter.</w:t>
            </w:r>
            <w:r w:rsidRPr="00F14753">
              <w:rPr>
                <w:b/>
                <w:i/>
              </w:rPr>
              <w:tab/>
              <w:t>considerando che solo il 55,56 % degli adulti possiede almeno competenze digitali di base</w:t>
            </w:r>
            <w:r w:rsidRPr="00F14753">
              <w:rPr>
                <w:b/>
                <w:i/>
                <w:vertAlign w:val="superscript"/>
              </w:rPr>
              <w:t>1 bis</w:t>
            </w:r>
            <w:r w:rsidRPr="00F14753">
              <w:rPr>
                <w:b/>
                <w:i/>
              </w:rPr>
              <w:t>; che uno degli obiettivi digitali dell'UE prevede che, entro il 2030, l'80 % degli adulti possieda almeno le competenze digitali di base; che l'UE deve su</w:t>
            </w:r>
            <w:r w:rsidRPr="00F14753">
              <w:rPr>
                <w:b/>
                <w:i/>
              </w:rPr>
              <w:t xml:space="preserve">perare tutte le forme di carenza e squilibrio tra domanda e offerta di competenze al fine di utilizzare efficacemente il suo capitale umano; che l'accesso a un'infrastruttura digitale adeguata e alla formazione in materia di </w:t>
            </w:r>
            <w:r w:rsidRPr="00F14753">
              <w:rPr>
                <w:b/>
                <w:i/>
              </w:rPr>
              <w:lastRenderedPageBreak/>
              <w:t>competenze digitali dovrebbe es</w:t>
            </w:r>
            <w:r w:rsidRPr="00F14753">
              <w:rPr>
                <w:b/>
                <w:i/>
              </w:rPr>
              <w:t xml:space="preserve">sere a disposizione di tutti, al fine di garantire pari opportunità nel sistema di istruzione e nel mercato del lavoro; che sono state realizzate riforme e investimenti significativi nelle competenze di base, comprese le revisioni dei programmi di studio, </w:t>
            </w:r>
            <w:r w:rsidRPr="00F14753">
              <w:rPr>
                <w:b/>
                <w:i/>
              </w:rPr>
              <w:t>ma che tali riforme non hanno affrontato in misura sufficiente le sfide esistenti, il che richiede ulteriori sforzi in tutta l'UE per invertire le tendenze negative;</w:t>
            </w:r>
          </w:p>
        </w:tc>
      </w:tr>
      <w:tr w:rsidR="00B3157A" w:rsidRPr="00F14753" w:rsidTr="00481440">
        <w:trPr>
          <w:jc w:val="center"/>
        </w:trPr>
        <w:tc>
          <w:tcPr>
            <w:tcW w:w="4876" w:type="dxa"/>
          </w:tcPr>
          <w:p w:rsidR="000F46BF" w:rsidRPr="00F14753" w:rsidRDefault="000F46BF" w:rsidP="00481440">
            <w:pPr>
              <w:pStyle w:val="Normal6"/>
            </w:pPr>
          </w:p>
        </w:tc>
        <w:tc>
          <w:tcPr>
            <w:tcW w:w="4876" w:type="dxa"/>
            <w:hideMark/>
          </w:tcPr>
          <w:p w:rsidR="000F46BF" w:rsidRPr="00F14753" w:rsidRDefault="00BF22CA" w:rsidP="00481440">
            <w:pPr>
              <w:pStyle w:val="Normal6"/>
              <w:rPr>
                <w:szCs w:val="24"/>
              </w:rPr>
            </w:pPr>
            <w:r w:rsidRPr="00F14753">
              <w:rPr>
                <w:b/>
                <w:i/>
              </w:rPr>
              <w:t>__________________</w:t>
            </w:r>
          </w:p>
        </w:tc>
      </w:tr>
      <w:tr w:rsidR="00B3157A" w:rsidRPr="00F14753" w:rsidTr="00481440">
        <w:trPr>
          <w:jc w:val="center"/>
        </w:trPr>
        <w:tc>
          <w:tcPr>
            <w:tcW w:w="4876" w:type="dxa"/>
          </w:tcPr>
          <w:p w:rsidR="000F46BF" w:rsidRPr="00F14753" w:rsidRDefault="000F46BF" w:rsidP="00481440">
            <w:pPr>
              <w:pStyle w:val="Normal6"/>
            </w:pPr>
          </w:p>
        </w:tc>
        <w:tc>
          <w:tcPr>
            <w:tcW w:w="4876" w:type="dxa"/>
            <w:hideMark/>
          </w:tcPr>
          <w:p w:rsidR="000F46BF" w:rsidRPr="00F14753" w:rsidRDefault="00BF22CA" w:rsidP="00481440">
            <w:pPr>
              <w:pStyle w:val="Normal6"/>
              <w:rPr>
                <w:szCs w:val="24"/>
              </w:rPr>
            </w:pPr>
            <w:r w:rsidRPr="00F14753">
              <w:rPr>
                <w:b/>
                <w:i/>
                <w:vertAlign w:val="superscript"/>
              </w:rPr>
              <w:t>1 bis</w:t>
            </w:r>
            <w:r w:rsidRPr="00F14753">
              <w:t xml:space="preserve"> </w:t>
            </w:r>
            <w:r w:rsidRPr="00F14753">
              <w:rPr>
                <w:b/>
                <w:i/>
              </w:rPr>
              <w:t xml:space="preserve">Eurostat, "Database", </w:t>
            </w:r>
            <w:hyperlink r:id="rId11" w:history="1">
              <w:r w:rsidRPr="00F14753">
                <w:rPr>
                  <w:rStyle w:val="Hyperlink"/>
                  <w:b/>
                  <w:i/>
                  <w:color w:val="auto"/>
                </w:rPr>
                <w:t>https://ec.europa.eu/eurostat/databrowser/view/sdg_04_70/default/table</w:t>
              </w:r>
            </w:hyperlink>
            <w:r w:rsidRPr="00F14753">
              <w:rPr>
                <w:b/>
                <w:i/>
              </w:rPr>
              <w:t>; Eurostat, "56% of EU people have basic digital skills" (Il 56 % dei cittadini dell'UE possiede comp</w:t>
            </w:r>
            <w:r w:rsidRPr="00F14753">
              <w:rPr>
                <w:b/>
                <w:i/>
              </w:rPr>
              <w:t xml:space="preserve">etenze digitali di base), 15 dicembre 2023, </w:t>
            </w:r>
            <w:hyperlink r:id="rId12" w:history="1">
              <w:r w:rsidRPr="00F14753">
                <w:rPr>
                  <w:rStyle w:val="Hyperlink"/>
                  <w:b/>
                  <w:i/>
                  <w:color w:val="auto"/>
                </w:rPr>
                <w:t>https://ec.europa.eu/eurostat/web/products-eurostat-news/-/ddn-20231215-3</w:t>
              </w:r>
            </w:hyperlink>
            <w:r w:rsidRPr="00F14753">
              <w:rPr>
                <w:b/>
                <w:i/>
              </w:rPr>
              <w:t xml:space="preserve">. </w:t>
            </w:r>
          </w:p>
        </w:tc>
      </w:tr>
    </w:tbl>
    <w:p w:rsidR="000F46BF" w:rsidRPr="00F14753" w:rsidRDefault="00BF22CA" w:rsidP="000F46BF">
      <w:r w:rsidRPr="00F14753">
        <w:rPr>
          <w:rStyle w:val="HideTWBExt"/>
          <w:color w:val="auto"/>
        </w:rPr>
        <w:t>&lt;/Amend&gt;</w:t>
      </w:r>
    </w:p>
    <w:p w:rsidR="000F46BF" w:rsidRPr="00F14753" w:rsidRDefault="00BF22CA" w:rsidP="000F46BF">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25</w:t>
      </w:r>
      <w:r w:rsidRPr="00F14753">
        <w:rPr>
          <w:rStyle w:val="HideTWBExt"/>
          <w:b w:val="0"/>
          <w:color w:val="auto"/>
        </w:rPr>
        <w:t>&lt;/NumAm</w:t>
      </w:r>
      <w:r w:rsidRPr="00F14753">
        <w:rPr>
          <w:rStyle w:val="HideTWBExt"/>
          <w:b w:val="0"/>
          <w:color w:val="auto"/>
        </w:rPr>
        <w:t>&gt;</w:t>
      </w:r>
    </w:p>
    <w:p w:rsidR="000F46BF" w:rsidRPr="00F14753" w:rsidRDefault="000F46BF" w:rsidP="000F46BF"/>
    <w:p w:rsidR="000F46BF" w:rsidRPr="00F14753" w:rsidRDefault="00BF22CA" w:rsidP="000F46BF">
      <w:pPr>
        <w:pStyle w:val="NormalBold"/>
        <w:keepNext/>
      </w:pPr>
      <w:r w:rsidRPr="00F14753">
        <w:rPr>
          <w:rStyle w:val="HideTWBExt"/>
          <w:b w:val="0"/>
          <w:color w:val="auto"/>
        </w:rPr>
        <w:t>&lt;DocAmend&gt;</w:t>
      </w:r>
      <w:r w:rsidRPr="00F14753">
        <w:t>Proposta di risoluzione</w:t>
      </w:r>
      <w:r w:rsidRPr="00F14753">
        <w:rPr>
          <w:rStyle w:val="HideTWBExt"/>
          <w:b w:val="0"/>
          <w:color w:val="auto"/>
        </w:rPr>
        <w:t>&lt;/DocAmend&gt;</w:t>
      </w:r>
    </w:p>
    <w:p w:rsidR="000F46BF" w:rsidRPr="00F14753" w:rsidRDefault="00BF22CA" w:rsidP="000F46BF">
      <w:pPr>
        <w:pStyle w:val="NormalBold"/>
      </w:pPr>
      <w:r w:rsidRPr="00F14753">
        <w:rPr>
          <w:rStyle w:val="HideTWBExt"/>
          <w:b w:val="0"/>
          <w:color w:val="auto"/>
        </w:rPr>
        <w:t>&lt;Article&gt;</w:t>
      </w:r>
      <w:r w:rsidRPr="00F14753">
        <w:t>Paragrafo 1</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481440">
        <w:trPr>
          <w:jc w:val="center"/>
        </w:trPr>
        <w:tc>
          <w:tcPr>
            <w:tcW w:w="9752" w:type="dxa"/>
            <w:gridSpan w:val="2"/>
          </w:tcPr>
          <w:p w:rsidR="000F46BF" w:rsidRPr="00F14753" w:rsidRDefault="000F46BF" w:rsidP="00481440">
            <w:pPr>
              <w:keepNext/>
            </w:pPr>
          </w:p>
        </w:tc>
      </w:tr>
      <w:tr w:rsidR="00B3157A" w:rsidRPr="00F14753" w:rsidTr="00481440">
        <w:trPr>
          <w:jc w:val="center"/>
        </w:trPr>
        <w:tc>
          <w:tcPr>
            <w:tcW w:w="4876" w:type="dxa"/>
            <w:hideMark/>
          </w:tcPr>
          <w:p w:rsidR="000F46BF" w:rsidRPr="00F14753" w:rsidRDefault="00BF22CA" w:rsidP="00481440">
            <w:pPr>
              <w:pStyle w:val="ColumnHeading"/>
              <w:keepNext/>
            </w:pPr>
            <w:r w:rsidRPr="00F14753">
              <w:t>Proposta di risoluzione</w:t>
            </w:r>
          </w:p>
        </w:tc>
        <w:tc>
          <w:tcPr>
            <w:tcW w:w="4876" w:type="dxa"/>
            <w:hideMark/>
          </w:tcPr>
          <w:p w:rsidR="000F46BF" w:rsidRPr="00F14753" w:rsidRDefault="00BF22CA" w:rsidP="00481440">
            <w:pPr>
              <w:pStyle w:val="ColumnHeading"/>
              <w:keepNext/>
            </w:pPr>
            <w:r w:rsidRPr="00F14753">
              <w:t>Emendamento</w:t>
            </w:r>
          </w:p>
        </w:tc>
      </w:tr>
      <w:tr w:rsidR="00B3157A" w:rsidRPr="00F14753" w:rsidTr="00481440">
        <w:trPr>
          <w:jc w:val="center"/>
        </w:trPr>
        <w:tc>
          <w:tcPr>
            <w:tcW w:w="4876" w:type="dxa"/>
            <w:hideMark/>
          </w:tcPr>
          <w:p w:rsidR="000F46BF" w:rsidRPr="00F14753" w:rsidRDefault="00BF22CA" w:rsidP="00481440">
            <w:pPr>
              <w:pStyle w:val="Normal6"/>
            </w:pPr>
            <w:r w:rsidRPr="00F14753">
              <w:t>1.</w:t>
            </w:r>
            <w:r w:rsidRPr="00F14753">
              <w:tab/>
            </w:r>
            <w:r w:rsidRPr="00F14753">
              <w:rPr>
                <w:b/>
                <w:bCs/>
                <w:i/>
                <w:iCs/>
              </w:rPr>
              <w:t>sottolinea</w:t>
            </w:r>
            <w:r w:rsidRPr="00F14753">
              <w:t xml:space="preserve"> che il dispositivo per la ripresa e la resilienza è uno strumento di solidarietà senza precedenti, in risposta a due crisi senza precedenti, nonché una pietra angolare dello strumento NGEU, che termina nel 2026; pone l'accento sull'effetto stabilizzatore </w:t>
            </w:r>
            <w:r w:rsidRPr="00F14753">
              <w:t xml:space="preserve">del dispositivo per la ripresa e la resilienza per gli Stati membri in un periodo di grande incertezza economica, in quanto attenua le conseguenze economiche e sociali negative </w:t>
            </w:r>
            <w:r w:rsidRPr="00F14753">
              <w:rPr>
                <w:b/>
                <w:bCs/>
                <w:i/>
                <w:iCs/>
              </w:rPr>
              <w:t>e sostiene i governi contribuendo</w:t>
            </w:r>
            <w:r w:rsidRPr="00F14753">
              <w:t xml:space="preserve"> all'attuazione del pilastro europeo dei dirit</w:t>
            </w:r>
            <w:r w:rsidRPr="00F14753">
              <w:t>ti sociali;</w:t>
            </w:r>
          </w:p>
        </w:tc>
        <w:tc>
          <w:tcPr>
            <w:tcW w:w="4876" w:type="dxa"/>
            <w:hideMark/>
          </w:tcPr>
          <w:p w:rsidR="000F46BF" w:rsidRPr="00F14753" w:rsidRDefault="00BF22CA" w:rsidP="00481440">
            <w:pPr>
              <w:pStyle w:val="Normal6"/>
              <w:rPr>
                <w:szCs w:val="24"/>
              </w:rPr>
            </w:pPr>
            <w:r w:rsidRPr="00F14753">
              <w:t>1.</w:t>
            </w:r>
            <w:r w:rsidRPr="00F14753">
              <w:tab/>
            </w:r>
            <w:r w:rsidRPr="00F14753">
              <w:rPr>
                <w:b/>
                <w:bCs/>
                <w:i/>
                <w:iCs/>
              </w:rPr>
              <w:t>riconosce</w:t>
            </w:r>
            <w:r w:rsidRPr="00F14753">
              <w:t xml:space="preserve"> che il dispositivo per la ripresa e la resilienza è uno strumento di solidarietà senza precedenti, in risposta a due crisi senza precedenti, nonché una pietra angolare dello strumento NGEU, che termina nel 2026; pone l'accento sull</w:t>
            </w:r>
            <w:r w:rsidRPr="00F14753">
              <w:t xml:space="preserve">'effetto stabilizzatore del dispositivo per la ripresa e la resilienza per gli Stati membri in un periodo di grande incertezza economica, in quanto attenua le conseguenze economiche e sociali negative </w:t>
            </w:r>
            <w:r w:rsidRPr="00F14753">
              <w:rPr>
                <w:b/>
                <w:bCs/>
                <w:i/>
                <w:iCs/>
              </w:rPr>
              <w:t>delle crisi</w:t>
            </w:r>
            <w:r w:rsidRPr="00F14753">
              <w:t>;</w:t>
            </w:r>
            <w:r w:rsidRPr="00F14753">
              <w:rPr>
                <w:b/>
                <w:i/>
              </w:rPr>
              <w:t xml:space="preserve"> </w:t>
            </w:r>
            <w:r w:rsidRPr="00F14753">
              <w:rPr>
                <w:b/>
                <w:bCs/>
                <w:i/>
                <w:iCs/>
              </w:rPr>
              <w:t>ricorda che un obiettivo generale del disp</w:t>
            </w:r>
            <w:r w:rsidRPr="00F14753">
              <w:rPr>
                <w:b/>
                <w:bCs/>
                <w:i/>
                <w:iCs/>
              </w:rPr>
              <w:t>ositivo per la ripresa e la resilienza è contribuire</w:t>
            </w:r>
            <w:r w:rsidRPr="00F14753">
              <w:t xml:space="preserve"> all'attuazione del pilastro europeo dei diritti sociali </w:t>
            </w:r>
            <w:r w:rsidRPr="00F14753">
              <w:rPr>
                <w:b/>
                <w:bCs/>
                <w:i/>
                <w:iCs/>
              </w:rPr>
              <w:t xml:space="preserve">al fine di costruire un'Europa sociale più forte e potenziare la coesione sociale, </w:t>
            </w:r>
            <w:r w:rsidRPr="00F14753">
              <w:rPr>
                <w:b/>
                <w:bCs/>
                <w:i/>
                <w:iCs/>
              </w:rPr>
              <w:lastRenderedPageBreak/>
              <w:t xml:space="preserve">consolidando in tal modo la resilienza a lungo termine in tutta </w:t>
            </w:r>
            <w:r w:rsidRPr="00F14753">
              <w:rPr>
                <w:b/>
                <w:bCs/>
                <w:i/>
                <w:iCs/>
              </w:rPr>
              <w:t>l'UE</w:t>
            </w:r>
            <w:r w:rsidRPr="00F14753">
              <w:t xml:space="preserve">; </w:t>
            </w:r>
            <w:r w:rsidRPr="00F14753">
              <w:rPr>
                <w:b/>
                <w:i/>
              </w:rPr>
              <w:t>sottolinea che tale obiettivo dovrebbe essere ulteriormente rafforzato garantendo investimenti pubblici a lungo termine in servizi sociali pubblici di alta qualità e promuovendo misure che riducano le disuguaglianze per tutti;</w:t>
            </w:r>
          </w:p>
        </w:tc>
      </w:tr>
    </w:tbl>
    <w:p w:rsidR="000F46BF" w:rsidRPr="00F14753" w:rsidRDefault="00BF22CA" w:rsidP="000F46BF">
      <w:r w:rsidRPr="00F14753">
        <w:rPr>
          <w:rStyle w:val="HideTWBExt"/>
          <w:color w:val="auto"/>
        </w:rPr>
        <w:lastRenderedPageBreak/>
        <w:t>&lt;/Amend&gt;</w:t>
      </w:r>
    </w:p>
    <w:p w:rsidR="000F46BF" w:rsidRPr="00F14753" w:rsidRDefault="00BF22CA" w:rsidP="000F46BF">
      <w:pPr>
        <w:pStyle w:val="AMNumberTabs0"/>
        <w:keepNext/>
      </w:pPr>
      <w:r w:rsidRPr="00F14753">
        <w:rPr>
          <w:rStyle w:val="HideTWBExt"/>
          <w:b w:val="0"/>
          <w:color w:val="auto"/>
        </w:rPr>
        <w:t>&lt;Amend&gt;</w:t>
      </w:r>
      <w:r w:rsidRPr="00F14753">
        <w:t>Emenda</w:t>
      </w:r>
      <w:r w:rsidRPr="00F14753">
        <w:t>mento</w:t>
      </w:r>
      <w:r w:rsidRPr="00F14753">
        <w:tab/>
      </w:r>
      <w:r w:rsidRPr="00F14753">
        <w:tab/>
      </w:r>
      <w:r w:rsidRPr="00F14753">
        <w:rPr>
          <w:rStyle w:val="HideTWBExt"/>
          <w:b w:val="0"/>
          <w:color w:val="auto"/>
        </w:rPr>
        <w:t>&lt;NumAm&gt;</w:t>
      </w:r>
      <w:r w:rsidRPr="00F14753">
        <w:t>26</w:t>
      </w:r>
      <w:r w:rsidRPr="00F14753">
        <w:rPr>
          <w:rStyle w:val="HideTWBExt"/>
          <w:b w:val="0"/>
          <w:color w:val="auto"/>
        </w:rPr>
        <w:t>&lt;/NumAm&gt;</w:t>
      </w:r>
    </w:p>
    <w:p w:rsidR="000F46BF" w:rsidRPr="00F14753" w:rsidRDefault="000F46BF" w:rsidP="000F46BF"/>
    <w:p w:rsidR="000F46BF" w:rsidRPr="00F14753" w:rsidRDefault="00BF22CA" w:rsidP="000F46BF">
      <w:pPr>
        <w:pStyle w:val="NormalBold"/>
        <w:keepNext/>
      </w:pPr>
      <w:r w:rsidRPr="00F14753">
        <w:rPr>
          <w:rStyle w:val="HideTWBExt"/>
          <w:b w:val="0"/>
          <w:color w:val="auto"/>
        </w:rPr>
        <w:t>&lt;DocAmend&gt;</w:t>
      </w:r>
      <w:r w:rsidRPr="00F14753">
        <w:t>Proposta di risoluzione</w:t>
      </w:r>
      <w:r w:rsidRPr="00F14753">
        <w:rPr>
          <w:rStyle w:val="HideTWBExt"/>
          <w:b w:val="0"/>
          <w:color w:val="auto"/>
        </w:rPr>
        <w:t>&lt;/DocAmend&gt;</w:t>
      </w:r>
    </w:p>
    <w:p w:rsidR="000F46BF" w:rsidRPr="00F14753" w:rsidRDefault="00BF22CA" w:rsidP="000F46BF">
      <w:pPr>
        <w:pStyle w:val="NormalBold"/>
      </w:pPr>
      <w:r w:rsidRPr="00F14753">
        <w:rPr>
          <w:rStyle w:val="HideTWBExt"/>
          <w:b w:val="0"/>
          <w:color w:val="auto"/>
        </w:rPr>
        <w:t>&lt;Article&gt;</w:t>
      </w:r>
      <w:r w:rsidRPr="00F14753">
        <w:t>Paragrafo 1 bis (nuovo)</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481440">
        <w:trPr>
          <w:jc w:val="center"/>
        </w:trPr>
        <w:tc>
          <w:tcPr>
            <w:tcW w:w="9752" w:type="dxa"/>
            <w:gridSpan w:val="2"/>
          </w:tcPr>
          <w:p w:rsidR="000F46BF" w:rsidRPr="00F14753" w:rsidRDefault="000F46BF" w:rsidP="00481440">
            <w:pPr>
              <w:keepNext/>
            </w:pPr>
          </w:p>
        </w:tc>
      </w:tr>
      <w:tr w:rsidR="00B3157A" w:rsidRPr="00F14753" w:rsidTr="00481440">
        <w:trPr>
          <w:jc w:val="center"/>
        </w:trPr>
        <w:tc>
          <w:tcPr>
            <w:tcW w:w="4876" w:type="dxa"/>
            <w:hideMark/>
          </w:tcPr>
          <w:p w:rsidR="000F46BF" w:rsidRPr="00F14753" w:rsidRDefault="00BF22CA" w:rsidP="00481440">
            <w:pPr>
              <w:pStyle w:val="ColumnHeading"/>
              <w:keepNext/>
            </w:pPr>
            <w:r w:rsidRPr="00F14753">
              <w:t>Proposta di risoluzione</w:t>
            </w:r>
          </w:p>
        </w:tc>
        <w:tc>
          <w:tcPr>
            <w:tcW w:w="4876" w:type="dxa"/>
            <w:hideMark/>
          </w:tcPr>
          <w:p w:rsidR="000F46BF" w:rsidRPr="00F14753" w:rsidRDefault="00BF22CA" w:rsidP="00481440">
            <w:pPr>
              <w:pStyle w:val="ColumnHeading"/>
              <w:keepNext/>
            </w:pPr>
            <w:r w:rsidRPr="00F14753">
              <w:t>Emendamento</w:t>
            </w:r>
          </w:p>
        </w:tc>
      </w:tr>
      <w:tr w:rsidR="00B3157A" w:rsidRPr="00F14753" w:rsidTr="00481440">
        <w:trPr>
          <w:jc w:val="center"/>
        </w:trPr>
        <w:tc>
          <w:tcPr>
            <w:tcW w:w="4876" w:type="dxa"/>
          </w:tcPr>
          <w:p w:rsidR="000F46BF" w:rsidRPr="00F14753" w:rsidRDefault="000F46BF" w:rsidP="00481440">
            <w:pPr>
              <w:pStyle w:val="Normal6"/>
            </w:pPr>
          </w:p>
        </w:tc>
        <w:tc>
          <w:tcPr>
            <w:tcW w:w="4876" w:type="dxa"/>
            <w:hideMark/>
          </w:tcPr>
          <w:p w:rsidR="000F46BF" w:rsidRPr="00F14753" w:rsidRDefault="00BF22CA" w:rsidP="00481440">
            <w:pPr>
              <w:pStyle w:val="Normal6"/>
              <w:rPr>
                <w:szCs w:val="24"/>
              </w:rPr>
            </w:pPr>
            <w:r w:rsidRPr="00F14753">
              <w:rPr>
                <w:b/>
                <w:i/>
              </w:rPr>
              <w:t>1 bis.</w:t>
            </w:r>
            <w:r w:rsidRPr="00F14753">
              <w:rPr>
                <w:b/>
                <w:i/>
              </w:rPr>
              <w:tab/>
            </w:r>
            <w:r w:rsidRPr="00F14753">
              <w:rPr>
                <w:b/>
                <w:i/>
              </w:rPr>
              <w:t>ricorda che il dispositivo per la ripresa e la resilienza svolge un ruolo cruciale nel promuovere la coesione sociale e territoriale combattendo la povertà, riducendo la disoccupazione e promuovendo una ripresa economica inclusiva; osserva che il conseguim</w:t>
            </w:r>
            <w:r w:rsidRPr="00F14753">
              <w:rPr>
                <w:b/>
                <w:i/>
              </w:rPr>
              <w:t>ento di un tasso di occupazione del 78 % nell'UE entro il 2030 costituisce uno degli obiettivi principali previsti dal piano d'azione sul pilastro europeo dei diritti sociali; sottolinea che, sebbene questo obiettivo sia raggiungibile, sono necessarie ulte</w:t>
            </w:r>
            <w:r w:rsidRPr="00F14753">
              <w:rPr>
                <w:b/>
                <w:i/>
              </w:rPr>
              <w:t xml:space="preserve">riori misure a tutti i livelli per attivare la partecipazione dei gruppi sottorappresentati al mercato del lavoro e attrarvi un maggior numero di persone; pone l'accento sulla necessità di riforme e investimenti ambiziosi che siano in linea con i principi </w:t>
            </w:r>
            <w:r w:rsidRPr="00F14753">
              <w:rPr>
                <w:b/>
                <w:i/>
              </w:rPr>
              <w:t>del pilastro europeo dei diritti sociali, diano priorità a un'occupazione di alta qualità e all'inclusione dei gruppi vulnerabili, affrontino gli squilibri tra domanda e offerta di competenze tenendo conto delle tecnologie emergenti e rafforzino il dialogo</w:t>
            </w:r>
            <w:r w:rsidRPr="00F14753">
              <w:rPr>
                <w:b/>
                <w:i/>
              </w:rPr>
              <w:t xml:space="preserve"> sociale, le infrastrutture e i sistemi di protezione sociale per affrontare le sfide immediate e la resilienza a lungo termine del mercato del lavoro; fa presente che, sulla base dei dati più recenti disponibili, oltre 16,3 milioni </w:t>
            </w:r>
            <w:r w:rsidRPr="00F14753">
              <w:rPr>
                <w:b/>
                <w:i/>
              </w:rPr>
              <w:lastRenderedPageBreak/>
              <w:t>di persone hanno partec</w:t>
            </w:r>
            <w:r w:rsidRPr="00F14753">
              <w:rPr>
                <w:b/>
                <w:i/>
              </w:rPr>
              <w:t>ipato ad attività di istruzione o formazione con il sostegno ricevuto dal dispositivo per la ripresa e la resilienza e oltre 2,1 milioni di persone hanno trovato un impiego o sono impegnate in attività di ricerca di lavoro;</w:t>
            </w:r>
          </w:p>
        </w:tc>
      </w:tr>
    </w:tbl>
    <w:p w:rsidR="000F46BF" w:rsidRPr="00F14753" w:rsidRDefault="00BF22CA" w:rsidP="000F46BF">
      <w:r w:rsidRPr="00F14753">
        <w:rPr>
          <w:rStyle w:val="HideTWBExt"/>
          <w:color w:val="auto"/>
        </w:rPr>
        <w:lastRenderedPageBreak/>
        <w:t>&lt;/Amend&gt;</w:t>
      </w:r>
    </w:p>
    <w:p w:rsidR="000F46BF" w:rsidRPr="00F14753" w:rsidRDefault="00BF22CA" w:rsidP="000F46BF">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27</w:t>
      </w:r>
      <w:r w:rsidRPr="00F14753">
        <w:rPr>
          <w:rStyle w:val="HideTWBExt"/>
          <w:b w:val="0"/>
          <w:color w:val="auto"/>
        </w:rPr>
        <w:t>&lt;/NumAm&gt;</w:t>
      </w:r>
    </w:p>
    <w:p w:rsidR="000F46BF" w:rsidRPr="00F14753" w:rsidRDefault="000F46BF" w:rsidP="000F46BF"/>
    <w:p w:rsidR="000F46BF" w:rsidRPr="00F14753" w:rsidRDefault="00BF22CA" w:rsidP="000F46BF">
      <w:pPr>
        <w:pStyle w:val="NormalBold"/>
        <w:keepNext/>
      </w:pPr>
      <w:r w:rsidRPr="00F14753">
        <w:rPr>
          <w:rStyle w:val="HideTWBExt"/>
          <w:b w:val="0"/>
          <w:color w:val="auto"/>
        </w:rPr>
        <w:t>&lt;DocAmend&gt;</w:t>
      </w:r>
      <w:r w:rsidRPr="00F14753">
        <w:t>Proposta di risoluzione</w:t>
      </w:r>
      <w:r w:rsidRPr="00F14753">
        <w:rPr>
          <w:rStyle w:val="HideTWBExt"/>
          <w:b w:val="0"/>
          <w:color w:val="auto"/>
        </w:rPr>
        <w:t>&lt;/DocAmend&gt;</w:t>
      </w:r>
    </w:p>
    <w:p w:rsidR="000F46BF" w:rsidRPr="00F14753" w:rsidRDefault="00BF22CA" w:rsidP="000F46BF">
      <w:pPr>
        <w:pStyle w:val="NormalBold"/>
      </w:pPr>
      <w:r w:rsidRPr="00F14753">
        <w:rPr>
          <w:rStyle w:val="HideTWBExt"/>
          <w:b w:val="0"/>
          <w:color w:val="auto"/>
        </w:rPr>
        <w:t>&lt;Article&gt;</w:t>
      </w:r>
      <w:r w:rsidRPr="00F14753">
        <w:t>Paragrafo 1 ter (nuovo)</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481440">
        <w:trPr>
          <w:jc w:val="center"/>
        </w:trPr>
        <w:tc>
          <w:tcPr>
            <w:tcW w:w="9752" w:type="dxa"/>
            <w:gridSpan w:val="2"/>
          </w:tcPr>
          <w:p w:rsidR="000F46BF" w:rsidRPr="00F14753" w:rsidRDefault="000F46BF" w:rsidP="00481440">
            <w:pPr>
              <w:keepNext/>
            </w:pPr>
          </w:p>
        </w:tc>
      </w:tr>
      <w:tr w:rsidR="00B3157A" w:rsidRPr="00F14753" w:rsidTr="00481440">
        <w:trPr>
          <w:jc w:val="center"/>
        </w:trPr>
        <w:tc>
          <w:tcPr>
            <w:tcW w:w="4876" w:type="dxa"/>
            <w:hideMark/>
          </w:tcPr>
          <w:p w:rsidR="000F46BF" w:rsidRPr="00F14753" w:rsidRDefault="00BF22CA" w:rsidP="00481440">
            <w:pPr>
              <w:pStyle w:val="ColumnHeading"/>
              <w:keepNext/>
            </w:pPr>
            <w:r w:rsidRPr="00F14753">
              <w:t>Proposta di risoluzione</w:t>
            </w:r>
          </w:p>
        </w:tc>
        <w:tc>
          <w:tcPr>
            <w:tcW w:w="4876" w:type="dxa"/>
            <w:hideMark/>
          </w:tcPr>
          <w:p w:rsidR="000F46BF" w:rsidRPr="00F14753" w:rsidRDefault="00BF22CA" w:rsidP="00481440">
            <w:pPr>
              <w:pStyle w:val="ColumnHeading"/>
              <w:keepNext/>
            </w:pPr>
            <w:r w:rsidRPr="00F14753">
              <w:t>Emendamento</w:t>
            </w:r>
          </w:p>
        </w:tc>
      </w:tr>
      <w:tr w:rsidR="00B3157A" w:rsidRPr="00F14753" w:rsidTr="00481440">
        <w:trPr>
          <w:jc w:val="center"/>
        </w:trPr>
        <w:tc>
          <w:tcPr>
            <w:tcW w:w="4876" w:type="dxa"/>
          </w:tcPr>
          <w:p w:rsidR="000F46BF" w:rsidRPr="00F14753" w:rsidRDefault="000F46BF" w:rsidP="00481440">
            <w:pPr>
              <w:pStyle w:val="Normal6"/>
            </w:pPr>
          </w:p>
        </w:tc>
        <w:tc>
          <w:tcPr>
            <w:tcW w:w="4876" w:type="dxa"/>
            <w:hideMark/>
          </w:tcPr>
          <w:p w:rsidR="000F46BF" w:rsidRPr="00F14753" w:rsidRDefault="00BF22CA" w:rsidP="00481440">
            <w:pPr>
              <w:pStyle w:val="Normal6"/>
              <w:rPr>
                <w:szCs w:val="24"/>
              </w:rPr>
            </w:pPr>
            <w:r w:rsidRPr="00F14753">
              <w:rPr>
                <w:b/>
                <w:i/>
              </w:rPr>
              <w:t>1 ter.</w:t>
            </w:r>
            <w:r w:rsidRPr="00F14753">
              <w:rPr>
                <w:b/>
                <w:i/>
              </w:rPr>
              <w:tab/>
              <w:t xml:space="preserve">sottolinea che gli investimenti e le riforme del dispositivo per la ripresa e la resilienza destinati </w:t>
            </w:r>
            <w:r w:rsidRPr="00F14753">
              <w:rPr>
                <w:b/>
                <w:i/>
              </w:rPr>
              <w:t>alla prossima generazione, in particolare nell'istruzione e nell'accesso a servizi pubblici di qualità, sono fondamentali per la convergenza sociale a lungo termine; riconosce che investire nel benessere dei bambini e in un'istruzione di qualità è essenzia</w:t>
            </w:r>
            <w:r w:rsidRPr="00F14753">
              <w:rPr>
                <w:b/>
                <w:i/>
              </w:rPr>
              <w:t>le per la coesione sociale e la stabilità economica; sottolinea che le misure dei PNRR destinate alla prossima generazione, ai bambini e ai giovani si concentrano sull'educazione e la cura della prima infanzia, sull'istruzione e la formazione, sul migliora</w:t>
            </w:r>
            <w:r w:rsidRPr="00F14753">
              <w:rPr>
                <w:b/>
                <w:i/>
              </w:rPr>
              <w:t>mento delle infrastrutture scolastiche, sul sostegno ai bambini svantaggiati e sull'occupazione giovanile; osserva, a tal proposito, che i PNRR destinano circa 56,4 miliardi di EUR a questo pilastro e che la relazione annuale della Commissione indica che g</w:t>
            </w:r>
            <w:r w:rsidRPr="00F14753">
              <w:rPr>
                <w:b/>
                <w:i/>
              </w:rPr>
              <w:t>li Stati membri hanno compiuto progressi tangibili, con 259 dei 665 traguardi e obiettivi indicati come completati dagli Stati membri o valutati come conseguiti dalla Commissione entro il 31 agosto 2024; prende atto di un tasso di avanzamento del 39 %, com</w:t>
            </w:r>
            <w:r w:rsidRPr="00F14753">
              <w:rPr>
                <w:b/>
                <w:i/>
              </w:rPr>
              <w:t xml:space="preserve">preso il 21 % delle richieste di pagamento valutate, e dei dati disponibili, stando ai quali oltre 9,4 milioni di giovani di età compresa tra i 15 e i 29 anni hanno ricevuto sostegno attraverso il dispositivo per la ripresa e la </w:t>
            </w:r>
            <w:r w:rsidRPr="00F14753">
              <w:rPr>
                <w:b/>
                <w:i/>
              </w:rPr>
              <w:lastRenderedPageBreak/>
              <w:t>resilienza; invita gli Stat</w:t>
            </w:r>
            <w:r w:rsidRPr="00F14753">
              <w:rPr>
                <w:b/>
                <w:i/>
              </w:rPr>
              <w:t>i membri a intensificare ulteriormente gli sforzi nell'ambito di questo pilastro, in linea con gli obiettivi della garanzia europea per l'infanzia, la strategia europea per l'assistenza e le raccomandazioni del Consiglio in materia di educazione e cura del</w:t>
            </w:r>
            <w:r w:rsidRPr="00F14753">
              <w:rPr>
                <w:b/>
                <w:i/>
              </w:rPr>
              <w:t>la prima infanzia e di accesso a un'assistenza a lungo termine di elevata qualità e a prezzi accessibili;</w:t>
            </w:r>
          </w:p>
        </w:tc>
      </w:tr>
    </w:tbl>
    <w:p w:rsidR="000F46BF" w:rsidRPr="00F14753" w:rsidRDefault="00BF22CA" w:rsidP="009558F6">
      <w:r w:rsidRPr="00F14753">
        <w:rPr>
          <w:rStyle w:val="HideTWBExt"/>
          <w:color w:val="auto"/>
        </w:rPr>
        <w:lastRenderedPageBreak/>
        <w:t>&lt;/Amend&gt;</w:t>
      </w:r>
      <w:bookmarkStart w:id="0" w:name="RollCallPageAD"/>
    </w:p>
    <w:bookmarkEnd w:id="0"/>
    <w:p w:rsidR="00B3157A" w:rsidRPr="00F14753" w:rsidRDefault="00B3157A" w:rsidP="00B3157A">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28</w:t>
      </w:r>
      <w:r w:rsidRPr="00F14753">
        <w:rPr>
          <w:rStyle w:val="HideTWBExt"/>
          <w:b w:val="0"/>
          <w:color w:val="auto"/>
        </w:rPr>
        <w:t>&lt;/NumAm&gt;</w:t>
      </w:r>
    </w:p>
    <w:p w:rsidR="00B3157A" w:rsidRPr="00F14753" w:rsidRDefault="00B3157A" w:rsidP="00B3157A"/>
    <w:p w:rsidR="00B3157A" w:rsidRPr="00F14753" w:rsidRDefault="00B3157A" w:rsidP="00B3157A">
      <w:pPr>
        <w:pStyle w:val="NormalBold"/>
        <w:keepNext/>
      </w:pPr>
      <w:r w:rsidRPr="00F14753">
        <w:rPr>
          <w:rStyle w:val="HideTWBExt"/>
          <w:b w:val="0"/>
          <w:color w:val="auto"/>
        </w:rPr>
        <w:t>&lt;DocAmend&gt;</w:t>
      </w:r>
      <w:r w:rsidRPr="00F14753">
        <w:t>Proposta di risoluzione</w:t>
      </w:r>
      <w:r w:rsidRPr="00F14753">
        <w:rPr>
          <w:rStyle w:val="HideTWBExt"/>
          <w:b w:val="0"/>
          <w:color w:val="auto"/>
        </w:rPr>
        <w:t>&lt;/DocAmend&gt;</w:t>
      </w:r>
    </w:p>
    <w:p w:rsidR="00B3157A" w:rsidRPr="00F14753" w:rsidRDefault="00B3157A" w:rsidP="00B3157A">
      <w:pPr>
        <w:pStyle w:val="NormalBold"/>
      </w:pPr>
      <w:r w:rsidRPr="00F14753">
        <w:rPr>
          <w:rStyle w:val="HideTWBExt"/>
          <w:b w:val="0"/>
          <w:color w:val="auto"/>
        </w:rPr>
        <w:t>&lt;Article&gt;</w:t>
      </w:r>
      <w:r w:rsidRPr="00F14753">
        <w:t>Paragrafo 1 quater (nuovo)</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0427A3">
        <w:trPr>
          <w:jc w:val="center"/>
        </w:trPr>
        <w:tc>
          <w:tcPr>
            <w:tcW w:w="9752" w:type="dxa"/>
            <w:gridSpan w:val="2"/>
          </w:tcPr>
          <w:p w:rsidR="00B3157A" w:rsidRPr="00F14753" w:rsidRDefault="00B3157A" w:rsidP="000427A3">
            <w:pPr>
              <w:keepNext/>
            </w:pPr>
          </w:p>
        </w:tc>
      </w:tr>
      <w:tr w:rsidR="00B3157A" w:rsidRPr="00F14753" w:rsidTr="000427A3">
        <w:trPr>
          <w:jc w:val="center"/>
        </w:trPr>
        <w:tc>
          <w:tcPr>
            <w:tcW w:w="4876" w:type="dxa"/>
            <w:hideMark/>
          </w:tcPr>
          <w:p w:rsidR="00B3157A" w:rsidRPr="00F14753" w:rsidRDefault="00B3157A" w:rsidP="000427A3">
            <w:pPr>
              <w:pStyle w:val="ColumnHeading"/>
              <w:keepNext/>
            </w:pPr>
            <w:r w:rsidRPr="00F14753">
              <w:t>Proposta di risoluzione</w:t>
            </w:r>
          </w:p>
        </w:tc>
        <w:tc>
          <w:tcPr>
            <w:tcW w:w="4876" w:type="dxa"/>
            <w:hideMark/>
          </w:tcPr>
          <w:p w:rsidR="00B3157A" w:rsidRPr="00F14753" w:rsidRDefault="00B3157A" w:rsidP="000427A3">
            <w:pPr>
              <w:pStyle w:val="ColumnHeading"/>
              <w:keepNext/>
            </w:pPr>
            <w:r w:rsidRPr="00F14753">
              <w:t>Emendamento</w:t>
            </w:r>
          </w:p>
        </w:tc>
      </w:tr>
      <w:tr w:rsidR="00B3157A" w:rsidRPr="00F14753" w:rsidTr="000427A3">
        <w:trPr>
          <w:jc w:val="center"/>
        </w:trPr>
        <w:tc>
          <w:tcPr>
            <w:tcW w:w="4876" w:type="dxa"/>
          </w:tcPr>
          <w:p w:rsidR="00B3157A" w:rsidRPr="00F14753" w:rsidRDefault="00B3157A" w:rsidP="000427A3">
            <w:pPr>
              <w:pStyle w:val="Normal6"/>
            </w:pPr>
          </w:p>
        </w:tc>
        <w:tc>
          <w:tcPr>
            <w:tcW w:w="4876" w:type="dxa"/>
            <w:hideMark/>
          </w:tcPr>
          <w:p w:rsidR="00B3157A" w:rsidRPr="00F14753" w:rsidRDefault="00B3157A" w:rsidP="000427A3">
            <w:pPr>
              <w:pStyle w:val="Normal6"/>
              <w:rPr>
                <w:szCs w:val="24"/>
              </w:rPr>
            </w:pPr>
            <w:r w:rsidRPr="00F14753">
              <w:rPr>
                <w:b/>
                <w:i/>
              </w:rPr>
              <w:t>1 quater.</w:t>
            </w:r>
            <w:r w:rsidRPr="00F14753">
              <w:rPr>
                <w:b/>
                <w:i/>
              </w:rPr>
              <w:tab/>
              <w:t xml:space="preserve">sottolinea che, insieme ai fondi della politica di coesione, l'attuazione delle riforme e degli investimenti nei PNRR sostiene una crescita equa, inclusiva e sostenibile, aumentando in tal modo la creazione di posti di lavoro e promuovendo la stabilità finanziaria e gli investimenti; sottolinea che, parallelamente al sostegno fornito dal Fondo sociale europeo Plus, dal Fondo europeo di sviluppo regionale, dal Fondo per una transizione giusta e dallo strumento di assistenza tecnica, il dispositivo per la ripresa e la resilienza promuove la coesione economica, sociale e territoriale dell'Unione rafforzando la competitività, la resilienza, la preparazione alle crisi, la capacità di adeguamento e il potenziale di crescita degli Stati membri e favorendo la creazione di posti di lavoro di qualità mediante riforme e investimenti pertinenti; osserva che gli Stati membri hanno incluso nei rispettivi PNRR numerose misure a sostegno della coesione sociale e territoriale, come quelle dedicate all'accesso al mercato del lavoro, alla protezione e all'inclusione sociali e alle infrastrutture e ai servizi territoriali; osserva che i 27 PNRR hanno destinato </w:t>
            </w:r>
            <w:r w:rsidRPr="00F14753">
              <w:rPr>
                <w:b/>
                <w:i/>
              </w:rPr>
              <w:lastRenderedPageBreak/>
              <w:t>circa 261,2 miliardi di EUR a detto pilastro e che 1 064 dei 2 888 traguardi e obiettivi sono stati notificati come completati dagli Stati membri o valutati come conseguiti dalla Commissione entro il 31 agosto 2024</w:t>
            </w:r>
            <w:r w:rsidRPr="00F14753">
              <w:rPr>
                <w:b/>
                <w:i/>
                <w:vertAlign w:val="superscript"/>
              </w:rPr>
              <w:t>1 bis</w:t>
            </w:r>
            <w:r w:rsidRPr="00F14753">
              <w:rPr>
                <w:b/>
                <w:i/>
              </w:rPr>
              <w:t>; sottolinea che ciò rappresenta un tasso di avanzamento del 37 %, compreso il 20 % di richieste di pagamento valutate;</w:t>
            </w:r>
          </w:p>
        </w:tc>
      </w:tr>
      <w:tr w:rsidR="00B3157A" w:rsidRPr="00F14753" w:rsidTr="000427A3">
        <w:trPr>
          <w:jc w:val="center"/>
        </w:trPr>
        <w:tc>
          <w:tcPr>
            <w:tcW w:w="4876" w:type="dxa"/>
          </w:tcPr>
          <w:p w:rsidR="00B3157A" w:rsidRPr="00F14753" w:rsidRDefault="00B3157A" w:rsidP="000427A3">
            <w:pPr>
              <w:pStyle w:val="Normal6"/>
            </w:pPr>
          </w:p>
        </w:tc>
        <w:tc>
          <w:tcPr>
            <w:tcW w:w="4876" w:type="dxa"/>
            <w:hideMark/>
          </w:tcPr>
          <w:p w:rsidR="00B3157A" w:rsidRPr="00F14753" w:rsidRDefault="00B3157A" w:rsidP="000427A3">
            <w:pPr>
              <w:pStyle w:val="Normal6"/>
              <w:rPr>
                <w:szCs w:val="24"/>
              </w:rPr>
            </w:pPr>
            <w:r w:rsidRPr="00F14753">
              <w:rPr>
                <w:b/>
                <w:i/>
              </w:rPr>
              <w:t>__________________</w:t>
            </w:r>
          </w:p>
        </w:tc>
      </w:tr>
      <w:tr w:rsidR="00B3157A" w:rsidRPr="00F14753" w:rsidTr="000427A3">
        <w:trPr>
          <w:jc w:val="center"/>
        </w:trPr>
        <w:tc>
          <w:tcPr>
            <w:tcW w:w="4876" w:type="dxa"/>
          </w:tcPr>
          <w:p w:rsidR="00B3157A" w:rsidRPr="00F14753" w:rsidRDefault="00B3157A" w:rsidP="000427A3">
            <w:pPr>
              <w:pStyle w:val="Normal6"/>
            </w:pPr>
          </w:p>
        </w:tc>
        <w:tc>
          <w:tcPr>
            <w:tcW w:w="4876" w:type="dxa"/>
            <w:hideMark/>
          </w:tcPr>
          <w:p w:rsidR="00B3157A" w:rsidRPr="00F14753" w:rsidRDefault="00B3157A" w:rsidP="000427A3">
            <w:pPr>
              <w:pStyle w:val="Normal6"/>
              <w:rPr>
                <w:b/>
                <w:i/>
              </w:rPr>
            </w:pPr>
            <w:r w:rsidRPr="00F14753">
              <w:rPr>
                <w:b/>
                <w:i/>
                <w:vertAlign w:val="superscript"/>
              </w:rPr>
              <w:t>1 bis</w:t>
            </w:r>
            <w:r w:rsidRPr="00F14753">
              <w:t xml:space="preserve">  </w:t>
            </w:r>
            <w:r w:rsidRPr="00F14753">
              <w:rPr>
                <w:b/>
                <w:bCs/>
                <w:i/>
                <w:iCs/>
              </w:rPr>
              <w:t>Servizio Ricerca del Parlamento europeo,</w:t>
            </w:r>
            <w:r w:rsidRPr="00F14753">
              <w:rPr>
                <w:b/>
                <w:i/>
              </w:rPr>
              <w:t xml:space="preserve"> "Recovery and Resilience Facility: </w:t>
            </w:r>
            <w:r w:rsidRPr="00F14753">
              <w:rPr>
                <w:b/>
                <w:bCs/>
                <w:i/>
                <w:iCs/>
              </w:rPr>
              <w:t xml:space="preserve">State of play and way forward" (Dispositivo per la ripresa e la resilienza: situazione attuale e via da seguire), febbraio 2025, </w:t>
            </w:r>
            <w:hyperlink r:id="rId13" w:history="1">
              <w:r w:rsidRPr="00F14753">
                <w:rPr>
                  <w:rStyle w:val="Hyperlink"/>
                  <w:b/>
                  <w:i/>
                  <w:color w:val="auto"/>
                </w:rPr>
                <w:t>https://www.europarl.europa.eu/RegData/etudes/IDAN/2025/765765/EPRS_IDA(2025)765765_EN.pdf</w:t>
              </w:r>
            </w:hyperlink>
            <w:r w:rsidRPr="00F14753">
              <w:rPr>
                <w:b/>
                <w:bCs/>
                <w:i/>
                <w:iCs/>
              </w:rPr>
              <w:t>.</w:t>
            </w:r>
            <w:r w:rsidRPr="00F14753">
              <w:rPr>
                <w:b/>
                <w:i/>
              </w:rPr>
              <w:t xml:space="preserve"> </w:t>
            </w:r>
          </w:p>
        </w:tc>
      </w:tr>
    </w:tbl>
    <w:p w:rsidR="00B3157A" w:rsidRPr="00F14753" w:rsidRDefault="00B3157A" w:rsidP="00B3157A">
      <w:r w:rsidRPr="00F14753">
        <w:rPr>
          <w:rStyle w:val="HideTWBExt"/>
          <w:color w:val="auto"/>
        </w:rPr>
        <w:t>&lt;/Amend&gt;</w:t>
      </w:r>
    </w:p>
    <w:p w:rsidR="00B3157A" w:rsidRPr="00F14753" w:rsidRDefault="00B3157A" w:rsidP="00B3157A">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29</w:t>
      </w:r>
      <w:r w:rsidRPr="00F14753">
        <w:rPr>
          <w:rStyle w:val="HideTWBExt"/>
          <w:b w:val="0"/>
          <w:color w:val="auto"/>
        </w:rPr>
        <w:t>&lt;/NumAm&gt;</w:t>
      </w:r>
    </w:p>
    <w:p w:rsidR="00B3157A" w:rsidRPr="00F14753" w:rsidRDefault="00B3157A" w:rsidP="00B3157A">
      <w:pPr>
        <w:pStyle w:val="NormalBold12b"/>
        <w:keepNext/>
      </w:pPr>
      <w:r w:rsidRPr="00F14753">
        <w:rPr>
          <w:rStyle w:val="HideTWBExt"/>
          <w:b w:val="0"/>
          <w:color w:val="auto"/>
        </w:rPr>
        <w:t>&lt;DocAmend&gt;</w:t>
      </w:r>
      <w:r w:rsidRPr="00F14753">
        <w:t>Proposta di risoluzione</w:t>
      </w:r>
      <w:r w:rsidRPr="00F14753">
        <w:rPr>
          <w:rStyle w:val="HideTWBExt"/>
          <w:b w:val="0"/>
          <w:color w:val="auto"/>
        </w:rPr>
        <w:t>&lt;/DocAmend&gt;</w:t>
      </w:r>
    </w:p>
    <w:p w:rsidR="00B3157A" w:rsidRPr="00F14753" w:rsidRDefault="00B3157A" w:rsidP="00B3157A">
      <w:pPr>
        <w:pStyle w:val="NormalBold"/>
      </w:pPr>
      <w:r w:rsidRPr="00F14753">
        <w:rPr>
          <w:rStyle w:val="HideTWBExt"/>
          <w:b w:val="0"/>
          <w:color w:val="auto"/>
        </w:rPr>
        <w:t>&lt;Article&gt;</w:t>
      </w:r>
      <w:r w:rsidRPr="00F14753">
        <w:t>Paragrafo 2</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0427A3">
        <w:trPr>
          <w:jc w:val="center"/>
        </w:trPr>
        <w:tc>
          <w:tcPr>
            <w:tcW w:w="9752" w:type="dxa"/>
            <w:gridSpan w:val="2"/>
          </w:tcPr>
          <w:p w:rsidR="00B3157A" w:rsidRPr="00F14753" w:rsidRDefault="00B3157A" w:rsidP="000427A3">
            <w:pPr>
              <w:keepNext/>
            </w:pPr>
          </w:p>
        </w:tc>
      </w:tr>
      <w:tr w:rsidR="00B3157A" w:rsidRPr="00F14753" w:rsidTr="000427A3">
        <w:trPr>
          <w:jc w:val="center"/>
        </w:trPr>
        <w:tc>
          <w:tcPr>
            <w:tcW w:w="4876" w:type="dxa"/>
            <w:hideMark/>
          </w:tcPr>
          <w:p w:rsidR="00B3157A" w:rsidRPr="00F14753" w:rsidRDefault="00B3157A" w:rsidP="000427A3">
            <w:pPr>
              <w:pStyle w:val="ColumnHeading"/>
              <w:keepNext/>
            </w:pPr>
            <w:r w:rsidRPr="00F14753">
              <w:t>Proposta di risoluzione</w:t>
            </w:r>
          </w:p>
        </w:tc>
        <w:tc>
          <w:tcPr>
            <w:tcW w:w="4876" w:type="dxa"/>
            <w:hideMark/>
          </w:tcPr>
          <w:p w:rsidR="00B3157A" w:rsidRPr="00F14753" w:rsidRDefault="00B3157A" w:rsidP="000427A3">
            <w:pPr>
              <w:pStyle w:val="ColumnHeading"/>
              <w:keepNext/>
            </w:pPr>
            <w:r w:rsidRPr="00F14753">
              <w:t>Emendamento</w:t>
            </w:r>
          </w:p>
        </w:tc>
      </w:tr>
      <w:tr w:rsidR="00B3157A" w:rsidRPr="00F14753" w:rsidTr="000427A3">
        <w:trPr>
          <w:jc w:val="center"/>
        </w:trPr>
        <w:tc>
          <w:tcPr>
            <w:tcW w:w="4876" w:type="dxa"/>
            <w:hideMark/>
          </w:tcPr>
          <w:p w:rsidR="00B3157A" w:rsidRPr="00F14753" w:rsidRDefault="00B3157A" w:rsidP="000427A3">
            <w:pPr>
              <w:pStyle w:val="Normal6"/>
            </w:pPr>
            <w:r w:rsidRPr="00F14753">
              <w:t>2.</w:t>
            </w:r>
            <w:r w:rsidRPr="00F14753">
              <w:tab/>
              <w:t xml:space="preserve">accoglie con favore il fatto che il dispositivo per la ripresa e la resilienza abbia fornito un ulteriore margine di bilancio temporaneo dopo la pandemia e abbia contribuito a evitare divergenze tra gli Stati membri </w:t>
            </w:r>
            <w:r w:rsidRPr="00F14753">
              <w:rPr>
                <w:b/>
                <w:i/>
              </w:rPr>
              <w:t>in ragione dei diversi margini di bilancio</w:t>
            </w:r>
            <w:r w:rsidRPr="00F14753">
              <w:t>; prende atto della constatazione della Commissione secondo cui il dispositivo per la ripresa e la resilienza si è tradotto in un forte aumento degli investimenti in tutta l'UE e osserva che la Commissione si attende che il dispositivo abbia un impatto duraturo in tutta l'UE oltre il 2026, date le sue sinergie con altri fondi dell'UE;</w:t>
            </w:r>
          </w:p>
        </w:tc>
        <w:tc>
          <w:tcPr>
            <w:tcW w:w="4876" w:type="dxa"/>
            <w:hideMark/>
          </w:tcPr>
          <w:p w:rsidR="00B3157A" w:rsidRPr="00F14753" w:rsidRDefault="00B3157A" w:rsidP="000427A3">
            <w:pPr>
              <w:pStyle w:val="Normal6"/>
              <w:rPr>
                <w:szCs w:val="24"/>
              </w:rPr>
            </w:pPr>
            <w:r w:rsidRPr="00F14753">
              <w:t>2.</w:t>
            </w:r>
            <w:r w:rsidRPr="00F14753">
              <w:tab/>
              <w:t xml:space="preserve">accoglie con favore il fatto che il dispositivo per la ripresa e la resilienza abbia fornito un ulteriore margine di bilancio temporaneo </w:t>
            </w:r>
            <w:r w:rsidRPr="00F14753">
              <w:rPr>
                <w:b/>
                <w:i/>
              </w:rPr>
              <w:t xml:space="preserve">e stabilizzante </w:t>
            </w:r>
            <w:r w:rsidRPr="00F14753">
              <w:t xml:space="preserve">dopo la pandemia e abbia contribuito a evitare divergenze tra gli Stati membri </w:t>
            </w:r>
            <w:r w:rsidRPr="00F14753">
              <w:rPr>
                <w:b/>
                <w:i/>
              </w:rPr>
              <w:t>fornendo loro un sostegno rapido e diretto</w:t>
            </w:r>
            <w:r w:rsidRPr="00F14753">
              <w:t xml:space="preserve">; prende atto della constatazione della Commissione secondo cui il dispositivo per la ripresa e la resilienza si è tradotto in un forte aumento degli investimenti in tutta l'UE e osserva che la Commissione si attende che il dispositivo abbia un impatto duraturo in tutta l'UE oltre il 2026, date le sue sinergie con altri fondi dell'UE; </w:t>
            </w:r>
            <w:r w:rsidRPr="00F14753">
              <w:rPr>
                <w:b/>
                <w:i/>
              </w:rPr>
              <w:t xml:space="preserve">sottolinea tuttavia la necessità di dare maggiore priorità agli investimenti sociali per assicurare un impatto duraturo, in particolare in termini di alloggi, povertà energetica, inclusione digitale, buon funzionamento dei mercati </w:t>
            </w:r>
            <w:r w:rsidRPr="00F14753">
              <w:rPr>
                <w:b/>
                <w:i/>
              </w:rPr>
              <w:lastRenderedPageBreak/>
              <w:t>del lavoro e parità di accesso a servizi pubblici di qualità per tutti;</w:t>
            </w:r>
          </w:p>
        </w:tc>
      </w:tr>
    </w:tbl>
    <w:p w:rsidR="00B3157A" w:rsidRPr="00F14753" w:rsidRDefault="00B3157A" w:rsidP="00B3157A">
      <w:pPr>
        <w:rPr>
          <w:szCs w:val="24"/>
        </w:rPr>
      </w:pPr>
      <w:r w:rsidRPr="00F14753">
        <w:rPr>
          <w:rStyle w:val="HideTWBExt"/>
          <w:color w:val="auto"/>
        </w:rPr>
        <w:lastRenderedPageBreak/>
        <w:t>&lt;/Amend&gt;</w:t>
      </w:r>
    </w:p>
    <w:p w:rsidR="00B3157A" w:rsidRPr="00F14753" w:rsidRDefault="00B3157A" w:rsidP="00B3157A">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30</w:t>
      </w:r>
      <w:r w:rsidRPr="00F14753">
        <w:rPr>
          <w:rStyle w:val="HideTWBExt"/>
          <w:b w:val="0"/>
          <w:color w:val="auto"/>
        </w:rPr>
        <w:t>&lt;/NumAm&gt;</w:t>
      </w:r>
    </w:p>
    <w:p w:rsidR="00B3157A" w:rsidRPr="00F14753" w:rsidRDefault="00B3157A" w:rsidP="00B3157A"/>
    <w:p w:rsidR="00B3157A" w:rsidRPr="00F14753" w:rsidRDefault="00B3157A" w:rsidP="00B3157A">
      <w:pPr>
        <w:pStyle w:val="NormalBold"/>
        <w:keepNext/>
      </w:pPr>
      <w:r w:rsidRPr="00F14753">
        <w:rPr>
          <w:rStyle w:val="HideTWBExt"/>
          <w:b w:val="0"/>
          <w:color w:val="auto"/>
        </w:rPr>
        <w:t>&lt;DocAmend&gt;</w:t>
      </w:r>
      <w:r w:rsidRPr="00F14753">
        <w:t>Proposta di risoluzione</w:t>
      </w:r>
      <w:r w:rsidRPr="00F14753">
        <w:rPr>
          <w:rStyle w:val="HideTWBExt"/>
          <w:b w:val="0"/>
          <w:color w:val="auto"/>
        </w:rPr>
        <w:t>&lt;/DocAmend&gt;</w:t>
      </w:r>
    </w:p>
    <w:p w:rsidR="00B3157A" w:rsidRPr="00F14753" w:rsidRDefault="00B3157A" w:rsidP="00B3157A">
      <w:pPr>
        <w:pStyle w:val="NormalBold"/>
      </w:pPr>
      <w:r w:rsidRPr="00F14753">
        <w:rPr>
          <w:rStyle w:val="HideTWBExt"/>
          <w:b w:val="0"/>
          <w:color w:val="auto"/>
        </w:rPr>
        <w:t>&lt;Article&gt;</w:t>
      </w:r>
      <w:r w:rsidRPr="00F14753">
        <w:t>Paragrafo 2 bis (nuovo)</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0427A3">
        <w:trPr>
          <w:jc w:val="center"/>
        </w:trPr>
        <w:tc>
          <w:tcPr>
            <w:tcW w:w="9752" w:type="dxa"/>
            <w:gridSpan w:val="2"/>
          </w:tcPr>
          <w:p w:rsidR="00B3157A" w:rsidRPr="00F14753" w:rsidRDefault="00B3157A" w:rsidP="000427A3">
            <w:pPr>
              <w:keepNext/>
            </w:pPr>
          </w:p>
        </w:tc>
      </w:tr>
      <w:tr w:rsidR="00B3157A" w:rsidRPr="00F14753" w:rsidTr="000427A3">
        <w:trPr>
          <w:jc w:val="center"/>
        </w:trPr>
        <w:tc>
          <w:tcPr>
            <w:tcW w:w="4876" w:type="dxa"/>
            <w:hideMark/>
          </w:tcPr>
          <w:p w:rsidR="00B3157A" w:rsidRPr="00F14753" w:rsidRDefault="00B3157A" w:rsidP="000427A3">
            <w:pPr>
              <w:pStyle w:val="ColumnHeading"/>
              <w:keepNext/>
            </w:pPr>
            <w:r w:rsidRPr="00F14753">
              <w:t>Proposta di risoluzione</w:t>
            </w:r>
          </w:p>
        </w:tc>
        <w:tc>
          <w:tcPr>
            <w:tcW w:w="4876" w:type="dxa"/>
            <w:hideMark/>
          </w:tcPr>
          <w:p w:rsidR="00B3157A" w:rsidRPr="00F14753" w:rsidRDefault="00B3157A" w:rsidP="000427A3">
            <w:pPr>
              <w:pStyle w:val="ColumnHeading"/>
              <w:keepNext/>
            </w:pPr>
            <w:r w:rsidRPr="00F14753">
              <w:t>Emendamento</w:t>
            </w:r>
          </w:p>
        </w:tc>
      </w:tr>
      <w:tr w:rsidR="00B3157A" w:rsidRPr="00F14753" w:rsidTr="000427A3">
        <w:trPr>
          <w:jc w:val="center"/>
        </w:trPr>
        <w:tc>
          <w:tcPr>
            <w:tcW w:w="4876" w:type="dxa"/>
          </w:tcPr>
          <w:p w:rsidR="00B3157A" w:rsidRPr="00F14753" w:rsidRDefault="00B3157A" w:rsidP="000427A3">
            <w:pPr>
              <w:pStyle w:val="Normal6"/>
            </w:pPr>
          </w:p>
        </w:tc>
        <w:tc>
          <w:tcPr>
            <w:tcW w:w="4876" w:type="dxa"/>
            <w:hideMark/>
          </w:tcPr>
          <w:p w:rsidR="00B3157A" w:rsidRPr="00F14753" w:rsidRDefault="00B3157A" w:rsidP="000427A3">
            <w:pPr>
              <w:pStyle w:val="Normal6"/>
              <w:rPr>
                <w:szCs w:val="24"/>
              </w:rPr>
            </w:pPr>
            <w:r w:rsidRPr="00F14753">
              <w:rPr>
                <w:b/>
                <w:i/>
              </w:rPr>
              <w:t>2 bis.</w:t>
            </w:r>
            <w:r w:rsidRPr="00F14753">
              <w:rPr>
                <w:b/>
                <w:i/>
              </w:rPr>
              <w:tab/>
              <w:t>osserva che il regolamento RRF, insieme al semestre europeo quale quadro per individuare le priorità di riforma nazionali, contiene un forte legame con i principi del pilastro europeo dei diritti sociali; sottolinea che le misure previste nei programmi nazionali di riforma per promuovere le politiche sociali non affrontano allo stesso modo tutti i principi del pilastro europeo dei diritti sociali, con alcuni principi coperti solo marginalmente o non del tutto allineati al loro contenuto; invita la Commissione a valutare l'impatto dei PNRR sui progressi compiuti verso il conseguimento degli obiettivi del pilastro europeo dei diritti sociali e a condurre un'analisi disaggregata del modo in cui ciascun principio è stato trattato dalle misure incluse nei PNRR;</w:t>
            </w:r>
          </w:p>
        </w:tc>
      </w:tr>
    </w:tbl>
    <w:p w:rsidR="00B3157A" w:rsidRPr="00F14753" w:rsidRDefault="00B3157A" w:rsidP="00B3157A">
      <w:r w:rsidRPr="00F14753">
        <w:rPr>
          <w:rStyle w:val="HideTWBExt"/>
          <w:color w:val="auto"/>
        </w:rPr>
        <w:t>&lt;/Amend&gt;</w:t>
      </w:r>
    </w:p>
    <w:p w:rsidR="00B3157A" w:rsidRPr="00F14753" w:rsidRDefault="00B3157A" w:rsidP="00B3157A">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31</w:t>
      </w:r>
      <w:r w:rsidRPr="00F14753">
        <w:rPr>
          <w:rStyle w:val="HideTWBExt"/>
          <w:b w:val="0"/>
          <w:color w:val="auto"/>
        </w:rPr>
        <w:t>&lt;/NumAm&gt;</w:t>
      </w:r>
    </w:p>
    <w:p w:rsidR="00B3157A" w:rsidRPr="00F14753" w:rsidRDefault="00B3157A" w:rsidP="00B3157A">
      <w:pPr>
        <w:pStyle w:val="NormalBold12b"/>
        <w:keepNext/>
      </w:pPr>
      <w:r w:rsidRPr="00F14753">
        <w:rPr>
          <w:rStyle w:val="HideTWBExt"/>
          <w:b w:val="0"/>
          <w:color w:val="auto"/>
        </w:rPr>
        <w:t>&lt;DocAmend&gt;</w:t>
      </w:r>
      <w:r w:rsidRPr="00F14753">
        <w:t>Proposta di risoluzione</w:t>
      </w:r>
      <w:r w:rsidRPr="00F14753">
        <w:rPr>
          <w:rStyle w:val="HideTWBExt"/>
          <w:b w:val="0"/>
          <w:color w:val="auto"/>
        </w:rPr>
        <w:t>&lt;/DocAmend&gt;</w:t>
      </w:r>
    </w:p>
    <w:p w:rsidR="00B3157A" w:rsidRPr="00F14753" w:rsidRDefault="00B3157A" w:rsidP="00B3157A">
      <w:pPr>
        <w:pStyle w:val="NormalBold"/>
      </w:pPr>
      <w:r w:rsidRPr="00F14753">
        <w:rPr>
          <w:rStyle w:val="HideTWBExt"/>
          <w:b w:val="0"/>
          <w:color w:val="auto"/>
        </w:rPr>
        <w:t>&lt;Article&gt;</w:t>
      </w:r>
      <w:r w:rsidRPr="00F14753">
        <w:t>Paragrafo 2 ter (nuovo)</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0427A3">
        <w:trPr>
          <w:jc w:val="center"/>
        </w:trPr>
        <w:tc>
          <w:tcPr>
            <w:tcW w:w="9752" w:type="dxa"/>
            <w:gridSpan w:val="2"/>
          </w:tcPr>
          <w:p w:rsidR="00B3157A" w:rsidRPr="00F14753" w:rsidRDefault="00B3157A" w:rsidP="000427A3">
            <w:pPr>
              <w:keepNext/>
            </w:pPr>
          </w:p>
        </w:tc>
      </w:tr>
      <w:tr w:rsidR="00B3157A" w:rsidRPr="00F14753" w:rsidTr="000427A3">
        <w:trPr>
          <w:jc w:val="center"/>
        </w:trPr>
        <w:tc>
          <w:tcPr>
            <w:tcW w:w="4876" w:type="dxa"/>
            <w:hideMark/>
          </w:tcPr>
          <w:p w:rsidR="00B3157A" w:rsidRPr="00F14753" w:rsidRDefault="00B3157A" w:rsidP="000427A3">
            <w:pPr>
              <w:pStyle w:val="ColumnHeading"/>
              <w:keepNext/>
            </w:pPr>
            <w:r w:rsidRPr="00F14753">
              <w:t>Proposta di risoluzione</w:t>
            </w:r>
          </w:p>
        </w:tc>
        <w:tc>
          <w:tcPr>
            <w:tcW w:w="4876" w:type="dxa"/>
            <w:hideMark/>
          </w:tcPr>
          <w:p w:rsidR="00B3157A" w:rsidRPr="00F14753" w:rsidRDefault="00B3157A" w:rsidP="000427A3">
            <w:pPr>
              <w:pStyle w:val="ColumnHeading"/>
              <w:keepNext/>
            </w:pPr>
            <w:r w:rsidRPr="00F14753">
              <w:t>Emendamento</w:t>
            </w:r>
          </w:p>
        </w:tc>
      </w:tr>
      <w:tr w:rsidR="00B3157A" w:rsidRPr="00F14753" w:rsidTr="000427A3">
        <w:trPr>
          <w:jc w:val="center"/>
        </w:trPr>
        <w:tc>
          <w:tcPr>
            <w:tcW w:w="4876" w:type="dxa"/>
          </w:tcPr>
          <w:p w:rsidR="00B3157A" w:rsidRPr="00F14753" w:rsidRDefault="00B3157A" w:rsidP="000427A3">
            <w:pPr>
              <w:pStyle w:val="Normal6"/>
            </w:pPr>
          </w:p>
        </w:tc>
        <w:tc>
          <w:tcPr>
            <w:tcW w:w="4876" w:type="dxa"/>
            <w:hideMark/>
          </w:tcPr>
          <w:p w:rsidR="00B3157A" w:rsidRPr="00F14753" w:rsidRDefault="00B3157A" w:rsidP="000427A3">
            <w:pPr>
              <w:pStyle w:val="Normal6"/>
              <w:rPr>
                <w:szCs w:val="24"/>
              </w:rPr>
            </w:pPr>
            <w:r w:rsidRPr="00F14753">
              <w:rPr>
                <w:b/>
                <w:i/>
              </w:rPr>
              <w:t>2 ter.</w:t>
            </w:r>
            <w:r w:rsidRPr="00F14753">
              <w:rPr>
                <w:b/>
                <w:i/>
              </w:rPr>
              <w:tab/>
              <w:t xml:space="preserve">ricorda che l'esecuzione da parte degli Stati membri del dispositivo per la ripresa e la resilienza, come pure di altri fondi dell'UE, come SURE, ha contribuito a proteggere i mercati del lavoro dal rischio di danni a lungo termine causati dal doppio shock economico della pandemia e della crisi energetica; osserva che nel maggio 2023 i tassi di </w:t>
            </w:r>
            <w:r w:rsidRPr="00F14753">
              <w:rPr>
                <w:b/>
                <w:i/>
              </w:rPr>
              <w:lastRenderedPageBreak/>
              <w:t>occupazione hanno raggiunto livelli record, mentre la disoccupazione è scesa al minimo storico di circa il 6 % e da allora è rimasta bassa; ricorda, tuttavia, che la disoccupazione giovanile rimane a un livello costantemente elevato, con una media del 15 % in tutta l'UE e di oltre il 20 % in alcuni Stati membri; sottolinea, a tale riguardo, gli impegni assunti nell'ambito della garanzia per i giovani rafforzata, che continua a guidare le riforme strutturali e a sostenere l'occupabilità dei giovani; esorta gli Stati membri, a tale riguardo, a dare priorità nei rispettivi piani per la ripresa e la resilienza alla garanzia per i giovani rafforzata e ad accrescere gli investimenti nell'istruzione, nella formazione e nel sostegno all'occupazione per i giovani nell'ambito del pilastro delle politiche per la prossima generazione;</w:t>
            </w:r>
          </w:p>
        </w:tc>
      </w:tr>
    </w:tbl>
    <w:p w:rsidR="00B3157A" w:rsidRPr="00F14753" w:rsidRDefault="00B3157A" w:rsidP="00B3157A">
      <w:pPr>
        <w:rPr>
          <w:szCs w:val="24"/>
        </w:rPr>
      </w:pPr>
      <w:r w:rsidRPr="00F14753">
        <w:rPr>
          <w:rStyle w:val="HideTWBExt"/>
          <w:color w:val="auto"/>
        </w:rPr>
        <w:lastRenderedPageBreak/>
        <w:t>&lt;/Amend&gt;</w:t>
      </w:r>
    </w:p>
    <w:p w:rsidR="00B3157A" w:rsidRPr="00F14753" w:rsidRDefault="00B3157A" w:rsidP="00B3157A">
      <w:pPr>
        <w:pStyle w:val="AmNumberTabs"/>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32</w:t>
      </w:r>
      <w:r w:rsidRPr="00F14753">
        <w:rPr>
          <w:rStyle w:val="HideTWBExt"/>
          <w:b w:val="0"/>
          <w:color w:val="auto"/>
        </w:rPr>
        <w:t>&lt;/NumAm&gt;</w:t>
      </w:r>
    </w:p>
    <w:p w:rsidR="00B3157A" w:rsidRPr="00F14753" w:rsidRDefault="00B3157A" w:rsidP="00B3157A">
      <w:pPr>
        <w:pStyle w:val="NormalBold12b"/>
      </w:pPr>
      <w:r w:rsidRPr="00F14753">
        <w:rPr>
          <w:rStyle w:val="HideTWBExt"/>
          <w:b w:val="0"/>
          <w:color w:val="auto"/>
        </w:rPr>
        <w:t>&lt;DocAmend&gt;</w:t>
      </w:r>
      <w:r w:rsidRPr="00F14753">
        <w:t>Proposta di risoluzione</w:t>
      </w:r>
      <w:r w:rsidRPr="00F14753">
        <w:rPr>
          <w:rStyle w:val="HideTWBExt"/>
          <w:b w:val="0"/>
          <w:color w:val="auto"/>
        </w:rPr>
        <w:t>&lt;/DocAmend&gt;</w:t>
      </w:r>
    </w:p>
    <w:p w:rsidR="00B3157A" w:rsidRPr="00F14753" w:rsidRDefault="00B3157A" w:rsidP="00B3157A">
      <w:pPr>
        <w:pStyle w:val="NormalBold"/>
      </w:pPr>
      <w:r w:rsidRPr="00F14753">
        <w:rPr>
          <w:rStyle w:val="HideTWBExt"/>
          <w:b w:val="0"/>
          <w:color w:val="auto"/>
        </w:rPr>
        <w:t>&lt;Article&gt;</w:t>
      </w:r>
      <w:r w:rsidRPr="00F14753">
        <w:t>Paragrafo 2 quater (nuovo)</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0427A3">
        <w:trPr>
          <w:jc w:val="center"/>
        </w:trPr>
        <w:tc>
          <w:tcPr>
            <w:tcW w:w="9752" w:type="dxa"/>
            <w:gridSpan w:val="2"/>
          </w:tcPr>
          <w:p w:rsidR="00B3157A" w:rsidRPr="00F14753" w:rsidRDefault="00B3157A" w:rsidP="000427A3">
            <w:pPr>
              <w:keepNext/>
            </w:pPr>
          </w:p>
        </w:tc>
      </w:tr>
      <w:tr w:rsidR="00B3157A" w:rsidRPr="00F14753" w:rsidTr="000427A3">
        <w:trPr>
          <w:jc w:val="center"/>
        </w:trPr>
        <w:tc>
          <w:tcPr>
            <w:tcW w:w="4876" w:type="dxa"/>
            <w:hideMark/>
          </w:tcPr>
          <w:p w:rsidR="00B3157A" w:rsidRPr="00F14753" w:rsidRDefault="00B3157A" w:rsidP="000427A3">
            <w:pPr>
              <w:pStyle w:val="ColumnHeading"/>
              <w:keepNext/>
            </w:pPr>
            <w:r w:rsidRPr="00F14753">
              <w:t>Proposta di risoluzione</w:t>
            </w:r>
          </w:p>
        </w:tc>
        <w:tc>
          <w:tcPr>
            <w:tcW w:w="4876" w:type="dxa"/>
            <w:hideMark/>
          </w:tcPr>
          <w:p w:rsidR="00B3157A" w:rsidRPr="00F14753" w:rsidRDefault="00B3157A" w:rsidP="000427A3">
            <w:pPr>
              <w:pStyle w:val="ColumnHeading"/>
              <w:keepNext/>
            </w:pPr>
            <w:r w:rsidRPr="00F14753">
              <w:t>Emendamento</w:t>
            </w:r>
          </w:p>
        </w:tc>
      </w:tr>
      <w:tr w:rsidR="00B3157A" w:rsidRPr="00F14753" w:rsidTr="000427A3">
        <w:trPr>
          <w:jc w:val="center"/>
        </w:trPr>
        <w:tc>
          <w:tcPr>
            <w:tcW w:w="4876" w:type="dxa"/>
          </w:tcPr>
          <w:p w:rsidR="00B3157A" w:rsidRPr="00F14753" w:rsidRDefault="00B3157A" w:rsidP="000427A3">
            <w:pPr>
              <w:pStyle w:val="Normal6"/>
            </w:pPr>
          </w:p>
        </w:tc>
        <w:tc>
          <w:tcPr>
            <w:tcW w:w="4876" w:type="dxa"/>
            <w:hideMark/>
          </w:tcPr>
          <w:p w:rsidR="00B3157A" w:rsidRPr="00F14753" w:rsidRDefault="00B3157A" w:rsidP="000427A3">
            <w:pPr>
              <w:pStyle w:val="Normal6"/>
              <w:rPr>
                <w:szCs w:val="24"/>
              </w:rPr>
            </w:pPr>
            <w:r w:rsidRPr="00F14753">
              <w:rPr>
                <w:b/>
                <w:i/>
              </w:rPr>
              <w:t>2 quater.</w:t>
            </w:r>
            <w:r w:rsidRPr="00F14753">
              <w:rPr>
                <w:b/>
                <w:i/>
              </w:rPr>
              <w:tab/>
              <w:t xml:space="preserve">sottolinea i vari sforzi degli Stati membri verso l'introduzione di riforme normative e non normative e di programmi di investimento volti ad ampliare il parco di alloggi sociali e sostenere l'accessibilità economica degli alloggi, ad esempio con nuovi alloggi a prezzi accessibili e programmi di prestiti agevolati, programmi di ristrutturazione degli alloggi sociali per i gruppi più vulnerabili e sostegno statale ai comuni per nuovi progetti di edilizia abitativa e ristrutturazioni; invita gli Stati membri a dare priorità alla garanzia dell'accesso ad alloggi sociali dignitosi e a prezzi accessibili o all'assistenza abitativa di qualità per coloro che ne hanno bisogno, conformemente al principio 19 del pilastro europeo dei diritti sociali; </w:t>
            </w:r>
            <w:r w:rsidRPr="00F14753">
              <w:rPr>
                <w:b/>
                <w:i/>
              </w:rPr>
              <w:lastRenderedPageBreak/>
              <w:t>sottolinea l'importanza del salvaguardare il diritto delle persone vulnerabili a un'assistenza adeguata e alla tutela contro gli sfratti forzati e la fornitura di alloggi e servizi adeguati per i senzatetto al fine di promuoverne l'inclusione sociale;</w:t>
            </w:r>
          </w:p>
        </w:tc>
      </w:tr>
    </w:tbl>
    <w:p w:rsidR="00B3157A" w:rsidRPr="00F14753" w:rsidRDefault="00B3157A" w:rsidP="00B3157A">
      <w:r w:rsidRPr="00F14753">
        <w:rPr>
          <w:rStyle w:val="HideTWBExt"/>
          <w:color w:val="auto"/>
        </w:rPr>
        <w:lastRenderedPageBreak/>
        <w:t>&lt;/Amend&gt;</w:t>
      </w:r>
    </w:p>
    <w:p w:rsidR="00B3157A" w:rsidRPr="00F14753" w:rsidRDefault="00B3157A" w:rsidP="00B3157A">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33</w:t>
      </w:r>
      <w:r w:rsidRPr="00F14753">
        <w:rPr>
          <w:rStyle w:val="HideTWBExt"/>
          <w:b w:val="0"/>
          <w:color w:val="auto"/>
        </w:rPr>
        <w:t>&lt;/NumAm&gt;</w:t>
      </w:r>
    </w:p>
    <w:p w:rsidR="00B3157A" w:rsidRPr="00F14753" w:rsidRDefault="00B3157A" w:rsidP="00B3157A"/>
    <w:p w:rsidR="00B3157A" w:rsidRPr="00F14753" w:rsidRDefault="00B3157A" w:rsidP="00B3157A">
      <w:pPr>
        <w:pStyle w:val="NormalBold"/>
        <w:keepNext/>
      </w:pPr>
      <w:r w:rsidRPr="00F14753">
        <w:rPr>
          <w:rStyle w:val="HideTWBExt"/>
          <w:b w:val="0"/>
          <w:color w:val="auto"/>
        </w:rPr>
        <w:t>&lt;DocAmend&gt;</w:t>
      </w:r>
      <w:r w:rsidRPr="00F14753">
        <w:t>Proposta di risoluzione</w:t>
      </w:r>
      <w:r w:rsidRPr="00F14753">
        <w:rPr>
          <w:rStyle w:val="HideTWBExt"/>
          <w:b w:val="0"/>
          <w:color w:val="auto"/>
        </w:rPr>
        <w:t>&lt;/DocAmend&gt;</w:t>
      </w:r>
    </w:p>
    <w:p w:rsidR="00B3157A" w:rsidRPr="00F14753" w:rsidRDefault="00B3157A" w:rsidP="00B3157A">
      <w:pPr>
        <w:pStyle w:val="NormalBold"/>
      </w:pPr>
      <w:r w:rsidRPr="00F14753">
        <w:rPr>
          <w:rStyle w:val="HideTWBExt"/>
          <w:b w:val="0"/>
          <w:color w:val="auto"/>
        </w:rPr>
        <w:t>&lt;Article&gt;</w:t>
      </w:r>
      <w:r w:rsidRPr="00F14753">
        <w:t>Paragrafo 3</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0427A3">
        <w:trPr>
          <w:jc w:val="center"/>
        </w:trPr>
        <w:tc>
          <w:tcPr>
            <w:tcW w:w="9752" w:type="dxa"/>
            <w:gridSpan w:val="2"/>
          </w:tcPr>
          <w:p w:rsidR="00B3157A" w:rsidRPr="00F14753" w:rsidRDefault="00B3157A" w:rsidP="000427A3">
            <w:pPr>
              <w:keepNext/>
            </w:pPr>
          </w:p>
        </w:tc>
      </w:tr>
      <w:tr w:rsidR="00B3157A" w:rsidRPr="00F14753" w:rsidTr="000427A3">
        <w:trPr>
          <w:jc w:val="center"/>
        </w:trPr>
        <w:tc>
          <w:tcPr>
            <w:tcW w:w="4876" w:type="dxa"/>
            <w:hideMark/>
          </w:tcPr>
          <w:p w:rsidR="00B3157A" w:rsidRPr="00F14753" w:rsidRDefault="00B3157A" w:rsidP="000427A3">
            <w:pPr>
              <w:pStyle w:val="ColumnHeading"/>
              <w:keepNext/>
            </w:pPr>
            <w:r w:rsidRPr="00F14753">
              <w:t>Proposta di risoluzione</w:t>
            </w:r>
          </w:p>
        </w:tc>
        <w:tc>
          <w:tcPr>
            <w:tcW w:w="4876" w:type="dxa"/>
            <w:hideMark/>
          </w:tcPr>
          <w:p w:rsidR="00B3157A" w:rsidRPr="00F14753" w:rsidRDefault="00B3157A" w:rsidP="000427A3">
            <w:pPr>
              <w:pStyle w:val="ColumnHeading"/>
              <w:keepNext/>
            </w:pPr>
            <w:r w:rsidRPr="00F14753">
              <w:t>Emendamento</w:t>
            </w:r>
          </w:p>
        </w:tc>
      </w:tr>
      <w:tr w:rsidR="00B3157A" w:rsidRPr="00F14753" w:rsidTr="000427A3">
        <w:trPr>
          <w:jc w:val="center"/>
        </w:trPr>
        <w:tc>
          <w:tcPr>
            <w:tcW w:w="4876" w:type="dxa"/>
            <w:hideMark/>
          </w:tcPr>
          <w:p w:rsidR="00B3157A" w:rsidRPr="00F14753" w:rsidRDefault="00B3157A" w:rsidP="000427A3">
            <w:pPr>
              <w:pStyle w:val="Normal6"/>
            </w:pPr>
            <w:r w:rsidRPr="00F14753">
              <w:t>3.</w:t>
            </w:r>
            <w:r w:rsidRPr="00F14753">
              <w:tab/>
              <w:t xml:space="preserve">prende atto della proiezione della Commissione del 2024 sul potenziale impatto di NextGenerationEU sul prodotto interno lordo (PIL) reale dell'UE entro il 2026, che è notevolmente inferiore alla sua simulazione del 2020 (1,4 % a fronte del 2,3 %), e della stima secondo cui NextGenerationEU potrebbe innescare un aumento considerevole e a breve termine dell'occupazione nell'UE, fino a un massimo dello 0,8 %; osserva con soddisfazione che i benefici a lungo termine del dispositivo per la ripresa e la resilienza sul PIL potrebbero essere da tre a sei volte superiori al bilancio erogato nell'ambito di NextGenerationEU, a seconda degli effetti sulla produttività degli investimenti a titolo del dispositivo per la ripresa e la resilienza; </w:t>
            </w:r>
            <w:r w:rsidRPr="00F14753">
              <w:rPr>
                <w:b/>
                <w:i/>
              </w:rPr>
              <w:t>pone in risalto,</w:t>
            </w:r>
            <w:r w:rsidRPr="00F14753">
              <w:t xml:space="preserve"> tuttavia, la difficoltà di quantificare con precisione l'impatto sociale ed economico del dispositivo per la ripresa e la resilienza, </w:t>
            </w:r>
            <w:r w:rsidRPr="00F14753">
              <w:rPr>
                <w:b/>
                <w:i/>
              </w:rPr>
              <w:t>dal momento</w:t>
            </w:r>
            <w:r w:rsidRPr="00F14753">
              <w:t xml:space="preserve"> che </w:t>
            </w:r>
            <w:r w:rsidRPr="00F14753">
              <w:rPr>
                <w:b/>
                <w:i/>
              </w:rPr>
              <w:t>l'impatto</w:t>
            </w:r>
            <w:r w:rsidRPr="00F14753">
              <w:t xml:space="preserve"> delle riforme </w:t>
            </w:r>
            <w:r w:rsidRPr="00F14753">
              <w:rPr>
                <w:b/>
                <w:i/>
              </w:rPr>
              <w:t>diventa evidente</w:t>
            </w:r>
            <w:r w:rsidRPr="00F14753">
              <w:t xml:space="preserve"> solo </w:t>
            </w:r>
            <w:r w:rsidRPr="00F14753">
              <w:rPr>
                <w:b/>
                <w:i/>
              </w:rPr>
              <w:t>a distanza</w:t>
            </w:r>
            <w:r w:rsidRPr="00F14753">
              <w:t xml:space="preserve"> di </w:t>
            </w:r>
            <w:r w:rsidRPr="00F14753">
              <w:rPr>
                <w:b/>
                <w:i/>
              </w:rPr>
              <w:t>tempo</w:t>
            </w:r>
            <w:r w:rsidRPr="00F14753">
              <w:t>; prende atto della constatazione della Commissione, secondo cui circa la metà dell'aumento degli investimenti pubblici previsto tra il 2019 e il 2025 è legata a investimenti finanziati dal bilancio dell'UE, in particolare dal dispositivo per la ripresa e la resilienza;</w:t>
            </w:r>
          </w:p>
        </w:tc>
        <w:tc>
          <w:tcPr>
            <w:tcW w:w="4876" w:type="dxa"/>
            <w:hideMark/>
          </w:tcPr>
          <w:p w:rsidR="00B3157A" w:rsidRPr="00F14753" w:rsidRDefault="00B3157A" w:rsidP="000427A3">
            <w:pPr>
              <w:pStyle w:val="Normal6"/>
              <w:rPr>
                <w:szCs w:val="24"/>
              </w:rPr>
            </w:pPr>
            <w:r w:rsidRPr="00F14753">
              <w:t>3.</w:t>
            </w:r>
            <w:r w:rsidRPr="00F14753">
              <w:tab/>
              <w:t xml:space="preserve">prende atto della proiezione della Commissione del 2024 sul potenziale impatto di NextGenerationEU sul prodotto interno lordo (PIL) reale dell'UE entro il 2026, che è notevolmente inferiore alla sua simulazione del 2020 (1,4 % a fronte del 2,3 %), e della stima secondo cui NextGenerationEU potrebbe innescare un aumento considerevole e a breve termine dell'occupazione nell'UE, fino a un massimo dello 0,8 %; osserva con soddisfazione che i benefici a lungo termine del dispositivo per la ripresa e la resilienza sul PIL potrebbero essere da tre a sei volte superiori al bilancio erogato nell'ambito di NextGenerationEU, a seconda degli effetti sulla produttività degli investimenti a titolo del dispositivo per la ripresa e la resilienza; </w:t>
            </w:r>
            <w:r w:rsidRPr="00F14753">
              <w:rPr>
                <w:b/>
                <w:i/>
              </w:rPr>
              <w:t>sottolinea</w:t>
            </w:r>
            <w:r w:rsidRPr="00F14753">
              <w:t xml:space="preserve"> tuttavia, la difficoltà di quantificare con precisione l'impatto sociale ed economico del dispositivo per la ripresa e la resilienza, </w:t>
            </w:r>
            <w:r w:rsidRPr="00F14753">
              <w:rPr>
                <w:b/>
                <w:i/>
              </w:rPr>
              <w:t>dato</w:t>
            </w:r>
            <w:r w:rsidRPr="00F14753">
              <w:t xml:space="preserve"> che </w:t>
            </w:r>
            <w:r w:rsidRPr="00F14753">
              <w:rPr>
                <w:b/>
                <w:i/>
              </w:rPr>
              <w:t>gli effetti</w:t>
            </w:r>
            <w:r w:rsidRPr="00F14753">
              <w:t xml:space="preserve"> delle riforme </w:t>
            </w:r>
            <w:r w:rsidRPr="00F14753">
              <w:rPr>
                <w:b/>
                <w:i/>
              </w:rPr>
              <w:t>hanno bisogno di tempo per concretizzarsi, ed evidenzia che gli investimenti dovrebbero essere valutati non</w:t>
            </w:r>
            <w:r w:rsidRPr="00F14753">
              <w:t xml:space="preserve"> solo </w:t>
            </w:r>
            <w:r w:rsidRPr="00F14753">
              <w:rPr>
                <w:b/>
                <w:i/>
              </w:rPr>
              <w:t>sulla base della crescita economica, ma anche in base al contributo che offrono all'attuazione del pilastro europeo dei diritti sociali, alla riduzione delle disuguaglianze, al miglioramento delle condizioni del mercato del lavoro, alla creazione</w:t>
            </w:r>
            <w:r w:rsidRPr="00F14753">
              <w:t xml:space="preserve"> di </w:t>
            </w:r>
            <w:r w:rsidRPr="00F14753">
              <w:rPr>
                <w:b/>
                <w:i/>
              </w:rPr>
              <w:t xml:space="preserve">posti di lavoro di qualità e alla garanzia di una </w:t>
            </w:r>
            <w:r w:rsidRPr="00F14753">
              <w:rPr>
                <w:b/>
                <w:i/>
              </w:rPr>
              <w:lastRenderedPageBreak/>
              <w:t>transizione giusta</w:t>
            </w:r>
            <w:r w:rsidRPr="00F14753">
              <w:t>; prende atto della constatazione della Commissione, secondo cui circa la metà dell'aumento degli investimenti pubblici previsto tra il 2019 e il 2025 è legata a investimenti finanziati dal bilancio dell'UE, in particolare dal dispositivo per la ripresa e la resilienza;</w:t>
            </w:r>
          </w:p>
        </w:tc>
      </w:tr>
    </w:tbl>
    <w:p w:rsidR="00B3157A" w:rsidRPr="00F14753" w:rsidRDefault="00B3157A" w:rsidP="00B3157A">
      <w:r w:rsidRPr="00F14753">
        <w:rPr>
          <w:rStyle w:val="HideTWBExt"/>
          <w:color w:val="auto"/>
        </w:rPr>
        <w:lastRenderedPageBreak/>
        <w:t>&lt;/Amend&gt;</w:t>
      </w:r>
    </w:p>
    <w:p w:rsidR="00B3157A" w:rsidRPr="00F14753" w:rsidRDefault="00B3157A" w:rsidP="00B3157A">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34</w:t>
      </w:r>
      <w:r w:rsidRPr="00F14753">
        <w:rPr>
          <w:rStyle w:val="HideTWBExt"/>
          <w:b w:val="0"/>
          <w:color w:val="auto"/>
        </w:rPr>
        <w:t>&lt;/NumAm&gt;</w:t>
      </w:r>
    </w:p>
    <w:p w:rsidR="00B3157A" w:rsidRPr="00F14753" w:rsidRDefault="00B3157A" w:rsidP="00B3157A"/>
    <w:p w:rsidR="00B3157A" w:rsidRPr="00F14753" w:rsidRDefault="00B3157A" w:rsidP="00B3157A">
      <w:pPr>
        <w:pStyle w:val="NormalBold"/>
        <w:keepNext/>
      </w:pPr>
      <w:r w:rsidRPr="00F14753">
        <w:rPr>
          <w:rStyle w:val="HideTWBExt"/>
          <w:b w:val="0"/>
          <w:color w:val="auto"/>
        </w:rPr>
        <w:t>&lt;DocAmend&gt;</w:t>
      </w:r>
      <w:r w:rsidRPr="00F14753">
        <w:t>Proposta di risoluzione</w:t>
      </w:r>
      <w:r w:rsidRPr="00F14753">
        <w:rPr>
          <w:rStyle w:val="HideTWBExt"/>
          <w:b w:val="0"/>
          <w:color w:val="auto"/>
        </w:rPr>
        <w:t>&lt;/DocAmend&gt;</w:t>
      </w:r>
    </w:p>
    <w:p w:rsidR="00B3157A" w:rsidRPr="00F14753" w:rsidRDefault="00B3157A" w:rsidP="00B3157A">
      <w:pPr>
        <w:pStyle w:val="NormalBold"/>
      </w:pPr>
      <w:r w:rsidRPr="00F14753">
        <w:rPr>
          <w:rStyle w:val="HideTWBExt"/>
          <w:b w:val="0"/>
          <w:color w:val="auto"/>
        </w:rPr>
        <w:t>&lt;Article&gt;</w:t>
      </w:r>
      <w:r w:rsidRPr="00F14753">
        <w:t>Paragrafo 3 bis (nuovo)</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0427A3">
        <w:trPr>
          <w:jc w:val="center"/>
        </w:trPr>
        <w:tc>
          <w:tcPr>
            <w:tcW w:w="9752" w:type="dxa"/>
            <w:gridSpan w:val="2"/>
          </w:tcPr>
          <w:p w:rsidR="00B3157A" w:rsidRPr="00F14753" w:rsidRDefault="00B3157A" w:rsidP="000427A3">
            <w:pPr>
              <w:keepNext/>
            </w:pPr>
          </w:p>
        </w:tc>
      </w:tr>
      <w:tr w:rsidR="00B3157A" w:rsidRPr="00F14753" w:rsidTr="000427A3">
        <w:trPr>
          <w:jc w:val="center"/>
        </w:trPr>
        <w:tc>
          <w:tcPr>
            <w:tcW w:w="4876" w:type="dxa"/>
            <w:hideMark/>
          </w:tcPr>
          <w:p w:rsidR="00B3157A" w:rsidRPr="00F14753" w:rsidRDefault="00B3157A" w:rsidP="000427A3">
            <w:pPr>
              <w:pStyle w:val="ColumnHeading"/>
              <w:keepNext/>
            </w:pPr>
            <w:r w:rsidRPr="00F14753">
              <w:t>Proposta di risoluzione</w:t>
            </w:r>
          </w:p>
        </w:tc>
        <w:tc>
          <w:tcPr>
            <w:tcW w:w="4876" w:type="dxa"/>
            <w:hideMark/>
          </w:tcPr>
          <w:p w:rsidR="00B3157A" w:rsidRPr="00F14753" w:rsidRDefault="00B3157A" w:rsidP="000427A3">
            <w:pPr>
              <w:pStyle w:val="ColumnHeading"/>
              <w:keepNext/>
            </w:pPr>
            <w:r w:rsidRPr="00F14753">
              <w:t>Emendamento</w:t>
            </w:r>
          </w:p>
        </w:tc>
      </w:tr>
      <w:tr w:rsidR="00B3157A" w:rsidRPr="00F14753" w:rsidTr="000427A3">
        <w:trPr>
          <w:jc w:val="center"/>
        </w:trPr>
        <w:tc>
          <w:tcPr>
            <w:tcW w:w="4876" w:type="dxa"/>
          </w:tcPr>
          <w:p w:rsidR="00B3157A" w:rsidRPr="00F14753" w:rsidRDefault="00B3157A" w:rsidP="000427A3">
            <w:pPr>
              <w:pStyle w:val="Normal6"/>
            </w:pPr>
          </w:p>
        </w:tc>
        <w:tc>
          <w:tcPr>
            <w:tcW w:w="4876" w:type="dxa"/>
            <w:hideMark/>
          </w:tcPr>
          <w:p w:rsidR="00B3157A" w:rsidRPr="00F14753" w:rsidRDefault="00B3157A" w:rsidP="000427A3">
            <w:pPr>
              <w:pStyle w:val="Normal6"/>
              <w:rPr>
                <w:szCs w:val="24"/>
              </w:rPr>
            </w:pPr>
            <w:r w:rsidRPr="00F14753">
              <w:rPr>
                <w:b/>
                <w:i/>
              </w:rPr>
              <w:t>3 bis.</w:t>
            </w:r>
            <w:r w:rsidRPr="00F14753">
              <w:rPr>
                <w:b/>
                <w:i/>
              </w:rPr>
              <w:tab/>
              <w:t xml:space="preserve">sottolinea che le carenze di manodopera e di competenze costituiscono gravi strozzature per la crescita, la competitività e le transizioni verde e digitale dell'UE, che interessano in misura diversa i diversi settori e gli Stati membri, con conseguenze per la resilienza complessiva dell'UE e che, nonostante la sua importanza, la partecipazione all'apprendimento degli adulti rimane limitata in tutti gli Stati membri; sottolinea che le misure del dispositivo per la ripresa e la resilienza possono incentivare gli investimenti nelle competenze e nella formazione permanente dei lavoratori, al fine di realizzare sistemi di istruzione e formazione che rispondano meglio alle mutevoli esigenze di competenze e ottenere risultati migliori sul mercato del lavoro in termini sia di quantità che di qualità dei posti di lavoro; invita gli Stati membri a sostenere ulteriormente le misure volte ad aumentare la partecipazione degli adulti a programmi di apprendimento, con particolare attenzione alle persone scarsamente qualificate, dato che molti paesi stanno sviluppando conti individuali per l'apprendimento e microcredenziali e ritiene che un'ulteriore analisi delle misure del dispositivo per la ripresa e la resilienza in questo settore potrebbe essere </w:t>
            </w:r>
            <w:r w:rsidRPr="00F14753">
              <w:rPr>
                <w:b/>
                <w:i/>
              </w:rPr>
              <w:lastRenderedPageBreak/>
              <w:t>utile per valutarne sostanzialmente l'impatto; ricorda che la libera circolazione dei lavoratori è una libertà fondamentale e che la mobilità dei lavoratori all'interno dell'UE può svolgere un ruolo significativo nell'affrontare le carenze di manodopera e di competenze; incoraggia gli Stati membri a utilizzare le previsioni del Cedefop in materia di competenze e le sue proiezioni sulle future tendenze occupazionali nei vari settori, occupazioni e qualifiche nell'elaborazione e nell'attuazione delle misure dei PNRR volte ad affrontare le carenze di manodopera e di competenze;</w:t>
            </w:r>
          </w:p>
        </w:tc>
      </w:tr>
    </w:tbl>
    <w:p w:rsidR="00B3157A" w:rsidRPr="00F14753" w:rsidRDefault="00B3157A" w:rsidP="00B3157A">
      <w:r w:rsidRPr="00F14753">
        <w:rPr>
          <w:rStyle w:val="HideTWBExt"/>
          <w:color w:val="auto"/>
        </w:rPr>
        <w:lastRenderedPageBreak/>
        <w:t>&lt;/Amend&gt;</w:t>
      </w:r>
    </w:p>
    <w:p w:rsidR="00B3157A" w:rsidRPr="00F14753" w:rsidRDefault="00B3157A" w:rsidP="00B3157A">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35</w:t>
      </w:r>
      <w:r w:rsidRPr="00F14753">
        <w:rPr>
          <w:rStyle w:val="HideTWBExt"/>
          <w:b w:val="0"/>
          <w:color w:val="auto"/>
        </w:rPr>
        <w:t>&lt;/NumAm&gt;</w:t>
      </w:r>
    </w:p>
    <w:p w:rsidR="00B3157A" w:rsidRPr="00F14753" w:rsidRDefault="00B3157A" w:rsidP="00B3157A"/>
    <w:p w:rsidR="00B3157A" w:rsidRPr="00F14753" w:rsidRDefault="00B3157A" w:rsidP="00B3157A">
      <w:pPr>
        <w:pStyle w:val="NormalBold"/>
        <w:keepNext/>
      </w:pPr>
      <w:r w:rsidRPr="00F14753">
        <w:rPr>
          <w:rStyle w:val="HideTWBExt"/>
          <w:b w:val="0"/>
          <w:color w:val="auto"/>
        </w:rPr>
        <w:t>&lt;DocAmend&gt;</w:t>
      </w:r>
      <w:r w:rsidRPr="00F14753">
        <w:t>Proposta di risoluzione</w:t>
      </w:r>
      <w:r w:rsidRPr="00F14753">
        <w:rPr>
          <w:rStyle w:val="HideTWBExt"/>
          <w:b w:val="0"/>
          <w:color w:val="auto"/>
        </w:rPr>
        <w:t>&lt;/DocAmend&gt;</w:t>
      </w:r>
    </w:p>
    <w:p w:rsidR="00B3157A" w:rsidRPr="00F14753" w:rsidRDefault="00B3157A" w:rsidP="00B3157A">
      <w:pPr>
        <w:pStyle w:val="NormalBold"/>
      </w:pPr>
      <w:r w:rsidRPr="00F14753">
        <w:rPr>
          <w:rStyle w:val="HideTWBExt"/>
          <w:b w:val="0"/>
          <w:color w:val="auto"/>
        </w:rPr>
        <w:t>&lt;Article&gt;</w:t>
      </w:r>
      <w:r w:rsidRPr="00F14753">
        <w:t>Paragrafo 3 ter (nuovo)</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0427A3">
        <w:trPr>
          <w:jc w:val="center"/>
        </w:trPr>
        <w:tc>
          <w:tcPr>
            <w:tcW w:w="9752" w:type="dxa"/>
            <w:gridSpan w:val="2"/>
          </w:tcPr>
          <w:p w:rsidR="00B3157A" w:rsidRPr="00F14753" w:rsidRDefault="00B3157A" w:rsidP="000427A3">
            <w:pPr>
              <w:keepNext/>
            </w:pPr>
          </w:p>
        </w:tc>
      </w:tr>
      <w:tr w:rsidR="00B3157A" w:rsidRPr="00F14753" w:rsidTr="000427A3">
        <w:trPr>
          <w:jc w:val="center"/>
        </w:trPr>
        <w:tc>
          <w:tcPr>
            <w:tcW w:w="4876" w:type="dxa"/>
            <w:hideMark/>
          </w:tcPr>
          <w:p w:rsidR="00B3157A" w:rsidRPr="00F14753" w:rsidRDefault="00B3157A" w:rsidP="000427A3">
            <w:pPr>
              <w:pStyle w:val="ColumnHeading"/>
              <w:keepNext/>
            </w:pPr>
            <w:r w:rsidRPr="00F14753">
              <w:t>Proposta di risoluzione</w:t>
            </w:r>
          </w:p>
        </w:tc>
        <w:tc>
          <w:tcPr>
            <w:tcW w:w="4876" w:type="dxa"/>
            <w:hideMark/>
          </w:tcPr>
          <w:p w:rsidR="00B3157A" w:rsidRPr="00F14753" w:rsidRDefault="00B3157A" w:rsidP="000427A3">
            <w:pPr>
              <w:pStyle w:val="ColumnHeading"/>
              <w:keepNext/>
            </w:pPr>
            <w:r w:rsidRPr="00F14753">
              <w:t>Emendamento</w:t>
            </w:r>
          </w:p>
        </w:tc>
      </w:tr>
      <w:tr w:rsidR="00B3157A" w:rsidRPr="00F14753" w:rsidTr="000427A3">
        <w:trPr>
          <w:jc w:val="center"/>
        </w:trPr>
        <w:tc>
          <w:tcPr>
            <w:tcW w:w="4876" w:type="dxa"/>
          </w:tcPr>
          <w:p w:rsidR="00B3157A" w:rsidRPr="00F14753" w:rsidRDefault="00B3157A" w:rsidP="000427A3">
            <w:pPr>
              <w:pStyle w:val="Normal6"/>
            </w:pPr>
          </w:p>
        </w:tc>
        <w:tc>
          <w:tcPr>
            <w:tcW w:w="4876" w:type="dxa"/>
            <w:hideMark/>
          </w:tcPr>
          <w:p w:rsidR="00B3157A" w:rsidRPr="00F14753" w:rsidRDefault="00B3157A" w:rsidP="000427A3">
            <w:pPr>
              <w:pStyle w:val="Normal6"/>
              <w:rPr>
                <w:szCs w:val="24"/>
              </w:rPr>
            </w:pPr>
            <w:r w:rsidRPr="00F14753">
              <w:rPr>
                <w:b/>
                <w:i/>
              </w:rPr>
              <w:t>3 ter.</w:t>
            </w:r>
            <w:r w:rsidRPr="00F14753">
              <w:rPr>
                <w:b/>
                <w:i/>
              </w:rPr>
              <w:tab/>
              <w:t>osserva che il dispositivo per la ripresa e la resilienza contribuisce, tra l'altro, all'occupazione, all'apprendimento e alle competenze degli adulti, alla modernizzazione delle istituzioni del mercato del lavoro e all'istruzione generale, professionale e superiore; sottolinea che tali misure mirano ad affrontare alcune delle sfide relative alla qualità, equità e pertinenza per il mercato del lavoro dei sistemi di istruzione e formazione in tutta l'UE, anche al fine di far fronte alle carenze di competenze; invita gli Stati membri a continuare a sostenere la modernizzazione di un'istruzione superiore di qualità attraverso riforme e misure di governance volte a promuovere l'internazionalizzazione e a creare un ambiente di ricerca e innovazione dinamico, efficace e orientato ai risultati;</w:t>
            </w:r>
          </w:p>
        </w:tc>
      </w:tr>
    </w:tbl>
    <w:p w:rsidR="00B3157A" w:rsidRPr="00F14753" w:rsidRDefault="00B3157A" w:rsidP="00B3157A">
      <w:r w:rsidRPr="00F14753">
        <w:rPr>
          <w:rStyle w:val="HideTWBExt"/>
          <w:color w:val="auto"/>
        </w:rPr>
        <w:t>&lt;/Amend&gt;</w:t>
      </w:r>
    </w:p>
    <w:p w:rsidR="00B3157A" w:rsidRPr="00F14753" w:rsidRDefault="00B3157A" w:rsidP="00B3157A">
      <w:pPr>
        <w:pStyle w:val="AMNumberTabs0"/>
        <w:keepNext/>
      </w:pPr>
      <w:r w:rsidRPr="00F14753">
        <w:rPr>
          <w:rStyle w:val="HideTWBExt"/>
          <w:b w:val="0"/>
          <w:color w:val="auto"/>
        </w:rPr>
        <w:lastRenderedPageBreak/>
        <w:t>&lt;Amend&gt;</w:t>
      </w:r>
      <w:r w:rsidRPr="00F14753">
        <w:t>Emendamento</w:t>
      </w:r>
      <w:r w:rsidRPr="00F14753">
        <w:tab/>
      </w:r>
      <w:r w:rsidRPr="00F14753">
        <w:tab/>
      </w:r>
      <w:r w:rsidRPr="00F14753">
        <w:rPr>
          <w:rStyle w:val="HideTWBExt"/>
          <w:b w:val="0"/>
          <w:color w:val="auto"/>
        </w:rPr>
        <w:t>&lt;NumAm&gt;</w:t>
      </w:r>
      <w:r w:rsidRPr="00F14753">
        <w:t>36</w:t>
      </w:r>
      <w:r w:rsidRPr="00F14753">
        <w:rPr>
          <w:rStyle w:val="HideTWBExt"/>
          <w:b w:val="0"/>
          <w:color w:val="auto"/>
        </w:rPr>
        <w:t>&lt;/NumAm&gt;</w:t>
      </w:r>
    </w:p>
    <w:p w:rsidR="00B3157A" w:rsidRPr="00F14753" w:rsidRDefault="00B3157A" w:rsidP="00B3157A">
      <w:pPr>
        <w:pStyle w:val="NormalBold12b"/>
        <w:keepNext/>
      </w:pPr>
      <w:r w:rsidRPr="00F14753">
        <w:rPr>
          <w:rStyle w:val="HideTWBExt"/>
          <w:b w:val="0"/>
          <w:color w:val="auto"/>
        </w:rPr>
        <w:t>&lt;DocAmend&gt;</w:t>
      </w:r>
      <w:r w:rsidRPr="00F14753">
        <w:t>Proposta di risoluzione</w:t>
      </w:r>
      <w:r w:rsidRPr="00F14753">
        <w:rPr>
          <w:rStyle w:val="HideTWBExt"/>
          <w:b w:val="0"/>
          <w:color w:val="auto"/>
        </w:rPr>
        <w:t>&lt;/DocAmend&gt;</w:t>
      </w:r>
    </w:p>
    <w:p w:rsidR="00B3157A" w:rsidRPr="00F14753" w:rsidRDefault="00B3157A" w:rsidP="00B3157A">
      <w:pPr>
        <w:pStyle w:val="NormalBold"/>
      </w:pPr>
      <w:r w:rsidRPr="00F14753">
        <w:rPr>
          <w:rStyle w:val="HideTWBExt"/>
          <w:b w:val="0"/>
          <w:color w:val="auto"/>
        </w:rPr>
        <w:t>&lt;Article&gt;</w:t>
      </w:r>
      <w:r w:rsidRPr="00F14753">
        <w:t>Paragrafo 4</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0427A3">
        <w:trPr>
          <w:jc w:val="center"/>
        </w:trPr>
        <w:tc>
          <w:tcPr>
            <w:tcW w:w="9752" w:type="dxa"/>
            <w:gridSpan w:val="2"/>
          </w:tcPr>
          <w:p w:rsidR="00B3157A" w:rsidRPr="00F14753" w:rsidRDefault="00B3157A" w:rsidP="000427A3">
            <w:pPr>
              <w:keepNext/>
            </w:pPr>
          </w:p>
        </w:tc>
      </w:tr>
      <w:tr w:rsidR="00B3157A" w:rsidRPr="00F14753" w:rsidTr="000427A3">
        <w:trPr>
          <w:jc w:val="center"/>
        </w:trPr>
        <w:tc>
          <w:tcPr>
            <w:tcW w:w="4876" w:type="dxa"/>
            <w:hideMark/>
          </w:tcPr>
          <w:p w:rsidR="00B3157A" w:rsidRPr="00F14753" w:rsidRDefault="00B3157A" w:rsidP="000427A3">
            <w:pPr>
              <w:pStyle w:val="ColumnHeading"/>
              <w:keepNext/>
            </w:pPr>
            <w:r w:rsidRPr="00F14753">
              <w:t>Proposta di risoluzione</w:t>
            </w:r>
          </w:p>
        </w:tc>
        <w:tc>
          <w:tcPr>
            <w:tcW w:w="4876" w:type="dxa"/>
            <w:hideMark/>
          </w:tcPr>
          <w:p w:rsidR="00B3157A" w:rsidRPr="00F14753" w:rsidRDefault="00B3157A" w:rsidP="000427A3">
            <w:pPr>
              <w:pStyle w:val="ColumnHeading"/>
              <w:keepNext/>
            </w:pPr>
            <w:r w:rsidRPr="00F14753">
              <w:t>Emendamento</w:t>
            </w:r>
          </w:p>
        </w:tc>
      </w:tr>
      <w:tr w:rsidR="00B3157A" w:rsidRPr="00F14753" w:rsidTr="000427A3">
        <w:trPr>
          <w:jc w:val="center"/>
        </w:trPr>
        <w:tc>
          <w:tcPr>
            <w:tcW w:w="4876" w:type="dxa"/>
            <w:hideMark/>
          </w:tcPr>
          <w:p w:rsidR="00B3157A" w:rsidRPr="00F14753" w:rsidRDefault="00B3157A" w:rsidP="000427A3">
            <w:pPr>
              <w:pStyle w:val="Normal6"/>
            </w:pPr>
            <w:r w:rsidRPr="00F14753">
              <w:t>4.</w:t>
            </w:r>
            <w:r w:rsidRPr="00F14753">
              <w:tab/>
              <w:t>osserva che il dispositivo per la ripresa e la resilienza ha incentivato l'attuazione di alcune riforme incluse nelle raccomandazioni specifiche per paese formulate nel contesto del semestre europeo</w:t>
            </w:r>
            <w:r w:rsidRPr="00F14753">
              <w:rPr>
                <w:b/>
                <w:i/>
              </w:rPr>
              <w:t xml:space="preserve"> e</w:t>
            </w:r>
            <w:r w:rsidRPr="00F14753">
              <w:t xml:space="preserve"> che il quadro di valutazione del dispositivo per la ripresa e la resilienza è utilizzato per monitorare i progressi compiuti verso il conseguimento dei traguardi e degli obiettivi, come pure il rispetto dei principi orizzontali, in particolare i sei pilastri, vale a dire la transizione verde, la trasformazione digitale, la crescita intelligente, sostenibile e inclusiva, la coesione sociale e territoriale, la salute e la resilienza economica, sociale e istituzionale e le politiche per la prossima generazione, i bambini e i giovani, </w:t>
            </w:r>
            <w:r w:rsidRPr="00F14753">
              <w:rPr>
                <w:b/>
                <w:i/>
              </w:rPr>
              <w:t>compresa</w:t>
            </w:r>
            <w:r w:rsidRPr="00F14753">
              <w:t xml:space="preserve"> l'istruzione;</w:t>
            </w:r>
          </w:p>
        </w:tc>
        <w:tc>
          <w:tcPr>
            <w:tcW w:w="4876" w:type="dxa"/>
            <w:hideMark/>
          </w:tcPr>
          <w:p w:rsidR="00B3157A" w:rsidRPr="00F14753" w:rsidRDefault="00B3157A" w:rsidP="000427A3">
            <w:pPr>
              <w:pStyle w:val="Normal6"/>
              <w:rPr>
                <w:szCs w:val="24"/>
              </w:rPr>
            </w:pPr>
            <w:r w:rsidRPr="00F14753">
              <w:t>4.</w:t>
            </w:r>
            <w:r w:rsidRPr="00F14753">
              <w:tab/>
              <w:t xml:space="preserve">osserva che il dispositivo per la ripresa e la resilienza </w:t>
            </w:r>
            <w:r w:rsidRPr="00F14753">
              <w:rPr>
                <w:b/>
                <w:i/>
              </w:rPr>
              <w:t xml:space="preserve">prevede che i PNRR affrontino la totalità o una parte significativa delle sfide individuate nelle pertinenti raccomandazioni specifiche per paese come prerequisito ai fini di una valutazione positiva; riconosce che il dispositivo per la ripresa e la resilienza </w:t>
            </w:r>
            <w:r w:rsidRPr="00F14753">
              <w:t>ha incentivato l'attuazione di alcune riforme incluse nelle raccomandazioni specifiche per paese formulate nel contesto del semestre europeo</w:t>
            </w:r>
            <w:r w:rsidRPr="00F14753">
              <w:rPr>
                <w:b/>
                <w:i/>
              </w:rPr>
              <w:t>, ma osserva che la Corte dei conti europea ha riscontrato alcune lacune ancora esistenti per quanto riguarda la mancata inclusione di alcuni elementi delle raccomandazioni specifiche per paese; ricorda</w:t>
            </w:r>
            <w:r w:rsidRPr="00F14753">
              <w:t xml:space="preserve"> che il quadro di valutazione del dispositivo per la ripresa e la resilienza è utilizzato per monitorare i progressi compiuti verso il conseguimento dei traguardi e degli obiettivi, come pure il rispetto dei principi orizzontali, in particolare i sei pilastri, vale a dire la transizione verde, la trasformazione digitale, la crescita intelligente, sostenibile e inclusiva, </w:t>
            </w:r>
            <w:r w:rsidRPr="00F14753">
              <w:rPr>
                <w:b/>
                <w:i/>
              </w:rPr>
              <w:t xml:space="preserve">compresi la coesione economica, l'occupazione, la produttività, la competitività, la ricerca, lo sviluppo e l'innovazione e un mercato interno ben funzionante con piccole e medie imprese (PMI) forti, nonché </w:t>
            </w:r>
            <w:r w:rsidRPr="00F14753">
              <w:t xml:space="preserve">la coesione sociale e territoriale, la salute e la resilienza economica, sociale e istituzionale e le politiche per la prossima generazione, i bambini e i giovani, </w:t>
            </w:r>
            <w:r w:rsidRPr="00F14753">
              <w:rPr>
                <w:b/>
                <w:i/>
              </w:rPr>
              <w:t>comprese</w:t>
            </w:r>
            <w:r w:rsidRPr="00F14753">
              <w:t xml:space="preserve"> l'istruzione</w:t>
            </w:r>
            <w:r w:rsidRPr="00F14753">
              <w:rPr>
                <w:b/>
                <w:i/>
              </w:rPr>
              <w:t xml:space="preserve"> e le competenze;</w:t>
            </w:r>
            <w:r w:rsidRPr="00F14753">
              <w:t xml:space="preserve"> </w:t>
            </w:r>
            <w:r w:rsidRPr="00F14753">
              <w:rPr>
                <w:b/>
                <w:i/>
              </w:rPr>
              <w:t xml:space="preserve">invita la Commissione a continuare a monitorare le carenze di manodopera e competenze e le relative sfide nell'UE nel contesto del semestre europeo, anche tenendo discussioni tematiche, al fine di promuovere la condivisione delle conoscenze e delle </w:t>
            </w:r>
            <w:r w:rsidRPr="00F14753">
              <w:rPr>
                <w:b/>
                <w:i/>
              </w:rPr>
              <w:lastRenderedPageBreak/>
              <w:t>buone pratiche tra gli Stati membri; ricorda l'importanza degli investimenti volti ad aumentare l'autonomia delle persone con disabilità;</w:t>
            </w:r>
          </w:p>
        </w:tc>
      </w:tr>
    </w:tbl>
    <w:p w:rsidR="00B3157A" w:rsidRPr="00F14753" w:rsidRDefault="00B3157A" w:rsidP="00B3157A">
      <w:pPr>
        <w:rPr>
          <w:szCs w:val="24"/>
        </w:rPr>
      </w:pPr>
      <w:r w:rsidRPr="00F14753">
        <w:rPr>
          <w:rStyle w:val="HideTWBExt"/>
          <w:color w:val="auto"/>
        </w:rPr>
        <w:lastRenderedPageBreak/>
        <w:t>&lt;/Amend&gt;</w:t>
      </w:r>
    </w:p>
    <w:p w:rsidR="00B3157A" w:rsidRPr="00F14753" w:rsidRDefault="00B3157A" w:rsidP="00B3157A">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37</w:t>
      </w:r>
      <w:r w:rsidRPr="00F14753">
        <w:rPr>
          <w:rStyle w:val="HideTWBExt"/>
          <w:b w:val="0"/>
          <w:color w:val="auto"/>
        </w:rPr>
        <w:t>&lt;/NumAm&gt;</w:t>
      </w:r>
    </w:p>
    <w:p w:rsidR="00B3157A" w:rsidRPr="00F14753" w:rsidRDefault="00B3157A" w:rsidP="00B3157A"/>
    <w:p w:rsidR="00B3157A" w:rsidRPr="00F14753" w:rsidRDefault="00B3157A" w:rsidP="00B3157A">
      <w:pPr>
        <w:pStyle w:val="NormalBold"/>
        <w:keepNext/>
      </w:pPr>
      <w:r w:rsidRPr="00F14753">
        <w:rPr>
          <w:rStyle w:val="HideTWBExt"/>
          <w:b w:val="0"/>
          <w:color w:val="auto"/>
        </w:rPr>
        <w:t>&lt;DocAmend&gt;</w:t>
      </w:r>
      <w:r w:rsidRPr="00F14753">
        <w:t>Proposta di risoluzione</w:t>
      </w:r>
      <w:r w:rsidRPr="00F14753">
        <w:rPr>
          <w:rStyle w:val="HideTWBExt"/>
          <w:b w:val="0"/>
          <w:color w:val="auto"/>
        </w:rPr>
        <w:t>&lt;/DocAmend&gt;</w:t>
      </w:r>
    </w:p>
    <w:p w:rsidR="00B3157A" w:rsidRPr="00F14753" w:rsidRDefault="00B3157A" w:rsidP="00B3157A">
      <w:pPr>
        <w:pStyle w:val="NormalBold"/>
      </w:pPr>
      <w:r w:rsidRPr="00F14753">
        <w:rPr>
          <w:rStyle w:val="HideTWBExt"/>
          <w:b w:val="0"/>
          <w:color w:val="auto"/>
        </w:rPr>
        <w:t>&lt;Article&gt;</w:t>
      </w:r>
      <w:r w:rsidRPr="00F14753">
        <w:t>Paragrafo 4 bis (nuovo)</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0427A3">
        <w:trPr>
          <w:jc w:val="center"/>
        </w:trPr>
        <w:tc>
          <w:tcPr>
            <w:tcW w:w="9752" w:type="dxa"/>
            <w:gridSpan w:val="2"/>
          </w:tcPr>
          <w:p w:rsidR="00B3157A" w:rsidRPr="00F14753" w:rsidRDefault="00B3157A" w:rsidP="000427A3">
            <w:pPr>
              <w:keepNext/>
            </w:pPr>
          </w:p>
        </w:tc>
      </w:tr>
      <w:tr w:rsidR="00B3157A" w:rsidRPr="00F14753" w:rsidTr="000427A3">
        <w:trPr>
          <w:jc w:val="center"/>
        </w:trPr>
        <w:tc>
          <w:tcPr>
            <w:tcW w:w="4876" w:type="dxa"/>
            <w:hideMark/>
          </w:tcPr>
          <w:p w:rsidR="00B3157A" w:rsidRPr="00F14753" w:rsidRDefault="00B3157A" w:rsidP="000427A3">
            <w:pPr>
              <w:pStyle w:val="ColumnHeading"/>
              <w:keepNext/>
            </w:pPr>
            <w:r w:rsidRPr="00F14753">
              <w:t>Proposta di risoluzione</w:t>
            </w:r>
          </w:p>
        </w:tc>
        <w:tc>
          <w:tcPr>
            <w:tcW w:w="4876" w:type="dxa"/>
            <w:hideMark/>
          </w:tcPr>
          <w:p w:rsidR="00B3157A" w:rsidRPr="00F14753" w:rsidRDefault="00B3157A" w:rsidP="000427A3">
            <w:pPr>
              <w:pStyle w:val="ColumnHeading"/>
              <w:keepNext/>
            </w:pPr>
            <w:r w:rsidRPr="00F14753">
              <w:t>Emendamento</w:t>
            </w:r>
          </w:p>
        </w:tc>
      </w:tr>
      <w:tr w:rsidR="00B3157A" w:rsidRPr="00F14753" w:rsidTr="000427A3">
        <w:trPr>
          <w:jc w:val="center"/>
        </w:trPr>
        <w:tc>
          <w:tcPr>
            <w:tcW w:w="4876" w:type="dxa"/>
          </w:tcPr>
          <w:p w:rsidR="00B3157A" w:rsidRPr="00F14753" w:rsidRDefault="00B3157A" w:rsidP="000427A3">
            <w:pPr>
              <w:pStyle w:val="Normal6"/>
            </w:pPr>
          </w:p>
        </w:tc>
        <w:tc>
          <w:tcPr>
            <w:tcW w:w="4876" w:type="dxa"/>
            <w:hideMark/>
          </w:tcPr>
          <w:p w:rsidR="00B3157A" w:rsidRPr="00F14753" w:rsidRDefault="00B3157A" w:rsidP="000427A3">
            <w:pPr>
              <w:pStyle w:val="Normal6"/>
              <w:rPr>
                <w:szCs w:val="24"/>
              </w:rPr>
            </w:pPr>
            <w:r w:rsidRPr="00F14753">
              <w:rPr>
                <w:b/>
                <w:i/>
              </w:rPr>
              <w:t>4 bis.</w:t>
            </w:r>
            <w:r w:rsidRPr="00F14753">
              <w:rPr>
                <w:b/>
                <w:i/>
              </w:rPr>
              <w:tab/>
              <w:t xml:space="preserve">ricorda che il dispositivo per la ripresa e la resilienza dovrebbe sostenere la transizione demografica dell'UE in linea con il pilastro europeo dei diritti sociali promuovendo l'occupazione e le pari opportunità, ivi compresi posti di lavoro di qualità per i lavoratori anziani, investendo nell'apprendimento permanente, garantendo un tenore di vita adeguato in età avanzata attraverso pensioni sostenibili e adeguate e garantendo investimenti sufficienti per l'assistenza a lungo termine al fine di sostenere un invecchiamento sano e sostenibile; esprime preoccupazione per il fatto che la relazione comune sull'occupazione 2025 prevede un calo dei tassi di sostituzione delle pensioni e un aumento delle esigenza di assistenza a lungo termine, il che aggraverà le attuali sfide strutturali in materia di disponibilità, accessibilità economica e qualità dell'assistenza a lungo termine; sottolinea che, in una società che invecchia, garantire l'adeguatezza e la sostenibilità di bilancio delle pensioni richiede un'ampia combinazione di politiche; ritiene che gli Stati membri debbano compiere maggiori sforzi per quanto riguarda l'adeguatezza delle pensioni e la qualità dei servizi di assistenza a lungo termine, anche attraverso gli investimenti e le riforme inclusi nei rispettivi piani per la ripresa e la resilienza, in linea con i principi 15 e 18 del pilastro europeo dei diritti sociali; </w:t>
            </w:r>
            <w:r w:rsidRPr="00F14753">
              <w:rPr>
                <w:b/>
                <w:i/>
              </w:rPr>
              <w:lastRenderedPageBreak/>
              <w:t>invita gli Stati membri ad attuare riforme pensionistiche lungimiranti che non solo garantiscano la sostenibilità di bilancio, ma rafforzino anche l'adeguatezza delle pensioni, assicurando un tenore di vita dignitoso per tutti;</w:t>
            </w:r>
          </w:p>
        </w:tc>
      </w:tr>
    </w:tbl>
    <w:p w:rsidR="00B3157A" w:rsidRPr="00F14753" w:rsidRDefault="00B3157A" w:rsidP="00B3157A">
      <w:r w:rsidRPr="00F14753">
        <w:rPr>
          <w:rStyle w:val="HideTWBExt"/>
          <w:color w:val="auto"/>
        </w:rPr>
        <w:lastRenderedPageBreak/>
        <w:t>&lt;/Amend&gt;</w:t>
      </w:r>
    </w:p>
    <w:p w:rsidR="00B3157A" w:rsidRPr="00F14753" w:rsidRDefault="00B3157A" w:rsidP="00B3157A">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38</w:t>
      </w:r>
      <w:r w:rsidRPr="00F14753">
        <w:rPr>
          <w:rStyle w:val="HideTWBExt"/>
          <w:b w:val="0"/>
          <w:color w:val="auto"/>
        </w:rPr>
        <w:t>&lt;/NumAm&gt;</w:t>
      </w:r>
    </w:p>
    <w:p w:rsidR="00B3157A" w:rsidRPr="00F14753" w:rsidRDefault="00B3157A" w:rsidP="00B3157A"/>
    <w:p w:rsidR="00B3157A" w:rsidRPr="00F14753" w:rsidRDefault="00B3157A" w:rsidP="00B3157A">
      <w:pPr>
        <w:pStyle w:val="NormalBold"/>
        <w:keepNext/>
      </w:pPr>
      <w:r w:rsidRPr="00F14753">
        <w:rPr>
          <w:rStyle w:val="HideTWBExt"/>
          <w:b w:val="0"/>
          <w:color w:val="auto"/>
        </w:rPr>
        <w:t>&lt;DocAmend&gt;</w:t>
      </w:r>
      <w:r w:rsidRPr="00F14753">
        <w:t>Proposta di risoluzione</w:t>
      </w:r>
      <w:r w:rsidRPr="00F14753">
        <w:rPr>
          <w:rStyle w:val="HideTWBExt"/>
          <w:b w:val="0"/>
          <w:color w:val="auto"/>
        </w:rPr>
        <w:t>&lt;/DocAmend&gt;</w:t>
      </w:r>
    </w:p>
    <w:p w:rsidR="00B3157A" w:rsidRPr="00F14753" w:rsidRDefault="00B3157A" w:rsidP="00B3157A">
      <w:pPr>
        <w:pStyle w:val="NormalBold"/>
      </w:pPr>
      <w:r w:rsidRPr="00F14753">
        <w:rPr>
          <w:rStyle w:val="HideTWBExt"/>
          <w:b w:val="0"/>
          <w:color w:val="auto"/>
        </w:rPr>
        <w:t>&lt;Article&gt;</w:t>
      </w:r>
      <w:r w:rsidRPr="00F14753">
        <w:t>Paragrafo 4 ter (nuovo)</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0427A3">
        <w:trPr>
          <w:jc w:val="center"/>
        </w:trPr>
        <w:tc>
          <w:tcPr>
            <w:tcW w:w="9752" w:type="dxa"/>
            <w:gridSpan w:val="2"/>
          </w:tcPr>
          <w:p w:rsidR="00B3157A" w:rsidRPr="00F14753" w:rsidRDefault="00B3157A" w:rsidP="000427A3">
            <w:pPr>
              <w:keepNext/>
            </w:pPr>
          </w:p>
        </w:tc>
      </w:tr>
      <w:tr w:rsidR="00B3157A" w:rsidRPr="00F14753" w:rsidTr="000427A3">
        <w:trPr>
          <w:jc w:val="center"/>
        </w:trPr>
        <w:tc>
          <w:tcPr>
            <w:tcW w:w="4876" w:type="dxa"/>
            <w:hideMark/>
          </w:tcPr>
          <w:p w:rsidR="00B3157A" w:rsidRPr="00F14753" w:rsidRDefault="00B3157A" w:rsidP="000427A3">
            <w:pPr>
              <w:pStyle w:val="ColumnHeading"/>
              <w:keepNext/>
            </w:pPr>
            <w:r w:rsidRPr="00F14753">
              <w:t>Proposta di risoluzione</w:t>
            </w:r>
          </w:p>
        </w:tc>
        <w:tc>
          <w:tcPr>
            <w:tcW w:w="4876" w:type="dxa"/>
            <w:hideMark/>
          </w:tcPr>
          <w:p w:rsidR="00B3157A" w:rsidRPr="00F14753" w:rsidRDefault="00B3157A" w:rsidP="000427A3">
            <w:pPr>
              <w:pStyle w:val="ColumnHeading"/>
              <w:keepNext/>
            </w:pPr>
            <w:r w:rsidRPr="00F14753">
              <w:t>Emendamento</w:t>
            </w:r>
          </w:p>
        </w:tc>
      </w:tr>
      <w:tr w:rsidR="00B3157A" w:rsidRPr="00F14753" w:rsidTr="000427A3">
        <w:trPr>
          <w:jc w:val="center"/>
        </w:trPr>
        <w:tc>
          <w:tcPr>
            <w:tcW w:w="4876" w:type="dxa"/>
          </w:tcPr>
          <w:p w:rsidR="00B3157A" w:rsidRPr="00F14753" w:rsidRDefault="00B3157A" w:rsidP="000427A3">
            <w:pPr>
              <w:pStyle w:val="Normal6"/>
            </w:pPr>
          </w:p>
        </w:tc>
        <w:tc>
          <w:tcPr>
            <w:tcW w:w="4876" w:type="dxa"/>
            <w:hideMark/>
          </w:tcPr>
          <w:p w:rsidR="00B3157A" w:rsidRPr="00F14753" w:rsidRDefault="00B3157A" w:rsidP="000427A3">
            <w:pPr>
              <w:pStyle w:val="Normal6"/>
              <w:rPr>
                <w:szCs w:val="24"/>
              </w:rPr>
            </w:pPr>
            <w:r w:rsidRPr="00F14753">
              <w:rPr>
                <w:b/>
                <w:i/>
              </w:rPr>
              <w:t>4 ter.</w:t>
            </w:r>
            <w:r w:rsidRPr="00F14753">
              <w:rPr>
                <w:b/>
                <w:i/>
              </w:rPr>
              <w:tab/>
              <w:t>osserva che, nonostante l'aumento degli investimenti nell'UE, i salari reali nell'UE e nella maggior parte degli Stati membri rimangono al di sotto dei livelli precedenti alla pandemia, mentre l'occupazione precaria continua a destare preoccupazione; sottolinea che il fatto che l'impatto dei trasferimenti sociali (escluse le pensioni) sulla riduzione della povertà sia leggermente diminuito nel 2023 evidenzia l'importanza di adoperarsi ancora di più per garantire un sostegno e una copertura adeguati del reddito, in linea con il principio 14 del pilastro europeo dei diritti sociali; osserva che diversi Stati membri hanno modificato o prevedono di modificare i propri quadri in materia di salari minimi nel contesto dei rispettivi PNRR; sottolinea l'importanza di riforme che mirino ad aumentare i livelli salariali minimi in consultazione con le parti sociali, in linea con la direttiva relativa a salari minimi adeguati, ed esorta gli Stati membri che non l'hanno ancora fatto ad agire al riguardo; sottolinea la necessità di investimenti e riforme ambiziosi per creare posti di lavoro di alta qualità, promuovere condizioni di lavoro di qualità, combattere la povertà e la segmentazione del mercato del lavoro e rafforzare il dialogo sociale e la contrattazione collettiva in linea con il pilastro europeo dei diritti sociali;</w:t>
            </w:r>
          </w:p>
        </w:tc>
      </w:tr>
    </w:tbl>
    <w:p w:rsidR="00B3157A" w:rsidRPr="00F14753" w:rsidRDefault="00B3157A" w:rsidP="00B3157A">
      <w:r w:rsidRPr="00F14753">
        <w:rPr>
          <w:rStyle w:val="HideTWBExt"/>
          <w:color w:val="auto"/>
        </w:rPr>
        <w:t>&lt;/Amend&gt;</w:t>
      </w:r>
    </w:p>
    <w:p w:rsidR="00B3157A" w:rsidRPr="00F14753" w:rsidRDefault="00B3157A" w:rsidP="00B3157A">
      <w:pPr>
        <w:pStyle w:val="AMNumberTabs0"/>
        <w:keepNext/>
      </w:pPr>
      <w:r w:rsidRPr="00F14753">
        <w:rPr>
          <w:rStyle w:val="HideTWBExt"/>
          <w:b w:val="0"/>
          <w:color w:val="auto"/>
        </w:rPr>
        <w:lastRenderedPageBreak/>
        <w:t>&lt;Amend&gt;</w:t>
      </w:r>
      <w:r w:rsidRPr="00F14753">
        <w:t>Emendamento</w:t>
      </w:r>
      <w:r w:rsidRPr="00F14753">
        <w:tab/>
      </w:r>
      <w:r w:rsidRPr="00F14753">
        <w:tab/>
      </w:r>
      <w:r w:rsidRPr="00F14753">
        <w:rPr>
          <w:rStyle w:val="HideTWBExt"/>
          <w:b w:val="0"/>
          <w:color w:val="auto"/>
        </w:rPr>
        <w:t>&lt;NumAm&gt;</w:t>
      </w:r>
      <w:r w:rsidRPr="00F14753">
        <w:t>39</w:t>
      </w:r>
      <w:r w:rsidRPr="00F14753">
        <w:rPr>
          <w:rStyle w:val="HideTWBExt"/>
          <w:b w:val="0"/>
          <w:color w:val="auto"/>
        </w:rPr>
        <w:t>&lt;/NumAm&gt;</w:t>
      </w:r>
    </w:p>
    <w:p w:rsidR="00B3157A" w:rsidRPr="00F14753" w:rsidRDefault="00B3157A" w:rsidP="00B3157A"/>
    <w:p w:rsidR="00B3157A" w:rsidRPr="00F14753" w:rsidRDefault="00B3157A" w:rsidP="00B3157A">
      <w:pPr>
        <w:pStyle w:val="NormalBold"/>
        <w:keepNext/>
      </w:pPr>
      <w:r w:rsidRPr="00F14753">
        <w:rPr>
          <w:rStyle w:val="HideTWBExt"/>
          <w:b w:val="0"/>
          <w:color w:val="auto"/>
        </w:rPr>
        <w:t>&lt;DocAmend&gt;</w:t>
      </w:r>
      <w:r w:rsidRPr="00F14753">
        <w:t>Proposta di risoluzione</w:t>
      </w:r>
      <w:r w:rsidRPr="00F14753">
        <w:rPr>
          <w:rStyle w:val="HideTWBExt"/>
          <w:b w:val="0"/>
          <w:color w:val="auto"/>
        </w:rPr>
        <w:t>&lt;/DocAmend&gt;</w:t>
      </w:r>
    </w:p>
    <w:p w:rsidR="00B3157A" w:rsidRPr="00F14753" w:rsidRDefault="00B3157A" w:rsidP="00B3157A">
      <w:pPr>
        <w:pStyle w:val="NormalBold"/>
      </w:pPr>
      <w:r w:rsidRPr="00F14753">
        <w:rPr>
          <w:rStyle w:val="HideTWBExt"/>
          <w:b w:val="0"/>
          <w:color w:val="auto"/>
        </w:rPr>
        <w:t>&lt;Article&gt;</w:t>
      </w:r>
      <w:r w:rsidRPr="00F14753">
        <w:t>Paragrafo 4 quater (nuovo)</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0427A3">
        <w:trPr>
          <w:jc w:val="center"/>
        </w:trPr>
        <w:tc>
          <w:tcPr>
            <w:tcW w:w="9752" w:type="dxa"/>
            <w:gridSpan w:val="2"/>
          </w:tcPr>
          <w:p w:rsidR="00B3157A" w:rsidRPr="00F14753" w:rsidRDefault="00B3157A" w:rsidP="000427A3">
            <w:pPr>
              <w:keepNext/>
            </w:pPr>
          </w:p>
        </w:tc>
      </w:tr>
      <w:tr w:rsidR="00B3157A" w:rsidRPr="00F14753" w:rsidTr="000427A3">
        <w:trPr>
          <w:jc w:val="center"/>
        </w:trPr>
        <w:tc>
          <w:tcPr>
            <w:tcW w:w="4876" w:type="dxa"/>
            <w:hideMark/>
          </w:tcPr>
          <w:p w:rsidR="00B3157A" w:rsidRPr="00F14753" w:rsidRDefault="00B3157A" w:rsidP="000427A3">
            <w:pPr>
              <w:pStyle w:val="ColumnHeading"/>
              <w:keepNext/>
            </w:pPr>
            <w:r w:rsidRPr="00F14753">
              <w:t>Proposta di risoluzione</w:t>
            </w:r>
          </w:p>
        </w:tc>
        <w:tc>
          <w:tcPr>
            <w:tcW w:w="4876" w:type="dxa"/>
            <w:hideMark/>
          </w:tcPr>
          <w:p w:rsidR="00B3157A" w:rsidRPr="00F14753" w:rsidRDefault="00B3157A" w:rsidP="000427A3">
            <w:pPr>
              <w:pStyle w:val="ColumnHeading"/>
              <w:keepNext/>
            </w:pPr>
            <w:r w:rsidRPr="00F14753">
              <w:t>Emendamento</w:t>
            </w:r>
          </w:p>
        </w:tc>
      </w:tr>
      <w:tr w:rsidR="00B3157A" w:rsidRPr="00F14753" w:rsidTr="000427A3">
        <w:trPr>
          <w:jc w:val="center"/>
        </w:trPr>
        <w:tc>
          <w:tcPr>
            <w:tcW w:w="4876" w:type="dxa"/>
          </w:tcPr>
          <w:p w:rsidR="00B3157A" w:rsidRPr="00F14753" w:rsidRDefault="00B3157A" w:rsidP="000427A3">
            <w:pPr>
              <w:pStyle w:val="Normal6"/>
            </w:pPr>
          </w:p>
        </w:tc>
        <w:tc>
          <w:tcPr>
            <w:tcW w:w="4876" w:type="dxa"/>
            <w:hideMark/>
          </w:tcPr>
          <w:p w:rsidR="00B3157A" w:rsidRPr="00F14753" w:rsidRDefault="00B3157A" w:rsidP="000427A3">
            <w:pPr>
              <w:pStyle w:val="Normal6"/>
              <w:rPr>
                <w:szCs w:val="24"/>
              </w:rPr>
            </w:pPr>
            <w:r w:rsidRPr="00F14753">
              <w:rPr>
                <w:b/>
                <w:i/>
              </w:rPr>
              <w:t>4 quater.</w:t>
            </w:r>
            <w:r w:rsidRPr="00F14753">
              <w:rPr>
                <w:b/>
                <w:i/>
              </w:rPr>
              <w:tab/>
              <w:t>prende atto dei continui sforzi degli Stati membri per migliorare l'accessibilità e la qualità dei servizi sociali, come l'adozione di una mappa nazionale dei servizi sociali per individuare le lacune nell'erogazione e determinare le esigenze di investimento, nonché gli investimenti in nuove strutture sanitarie e nella telemedicina per avvicinare i servizi ai pazienti, le strategie sanitarie nazionali per migliorare l'accesso ai servizi sanitari in tutti i paesi e le misure per affrontare le carenze di personale sanitario e migliorare la fidelizzazione dei lavoratori attraverso attività di formazione e incentivi; esorta gli Stati membri ad adoperarsi per garantire l'accesso universale a servizi essenziali di qualità, tra cui l'acqua, i servizi igienico-sanitari, i trasporti, i servizi finanziari e le comunicazioni digitali; sottolinea che la salute mentale è una parte fondamentale della ripresa socioeconomica dell'UE e una priorità per la salute sul lavoro; esprime preoccupazione per il fatto che alcuni Stati membri non hanno incluso nei loro PNRR misure sufficienti per garantire un'assistenza per la salute mentale che sia accessibile, a prezzi abbordabili e di alta qualità e invita gli Stati membri a integrare strategie specifiche in materia di salute mentale nelle future revisioni dei PNRR;</w:t>
            </w:r>
          </w:p>
        </w:tc>
      </w:tr>
    </w:tbl>
    <w:p w:rsidR="00B3157A" w:rsidRPr="00F14753" w:rsidRDefault="00B3157A" w:rsidP="00B3157A">
      <w:r w:rsidRPr="00F14753">
        <w:rPr>
          <w:rStyle w:val="HideTWBExt"/>
          <w:color w:val="auto"/>
        </w:rPr>
        <w:t>&lt;/Amend&gt;</w:t>
      </w:r>
    </w:p>
    <w:p w:rsidR="00B3157A" w:rsidRPr="00F14753" w:rsidRDefault="00B3157A" w:rsidP="00B3157A">
      <w:pPr>
        <w:pStyle w:val="AmNumberTabs"/>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40</w:t>
      </w:r>
      <w:r w:rsidRPr="00F14753">
        <w:rPr>
          <w:rStyle w:val="HideTWBExt"/>
          <w:b w:val="0"/>
          <w:color w:val="auto"/>
        </w:rPr>
        <w:t>&lt;/NumAm&gt;</w:t>
      </w:r>
    </w:p>
    <w:p w:rsidR="00B3157A" w:rsidRPr="00F14753" w:rsidRDefault="00B3157A" w:rsidP="00B3157A">
      <w:pPr>
        <w:pStyle w:val="NormalBold12b"/>
      </w:pPr>
      <w:r w:rsidRPr="00F14753">
        <w:rPr>
          <w:rStyle w:val="HideTWBExt"/>
          <w:b w:val="0"/>
          <w:color w:val="auto"/>
        </w:rPr>
        <w:t>&lt;DocAmend&gt;</w:t>
      </w:r>
      <w:r w:rsidRPr="00F14753">
        <w:t>Proposta di risoluzione</w:t>
      </w:r>
      <w:r w:rsidRPr="00F14753">
        <w:rPr>
          <w:rStyle w:val="HideTWBExt"/>
          <w:b w:val="0"/>
          <w:color w:val="auto"/>
        </w:rPr>
        <w:t>&lt;/DocAmend&gt;</w:t>
      </w:r>
    </w:p>
    <w:p w:rsidR="00B3157A" w:rsidRPr="00F14753" w:rsidRDefault="00B3157A" w:rsidP="00B3157A">
      <w:pPr>
        <w:pStyle w:val="NormalBold"/>
      </w:pPr>
      <w:r w:rsidRPr="00F14753">
        <w:rPr>
          <w:rStyle w:val="HideTWBExt"/>
          <w:b w:val="0"/>
          <w:color w:val="auto"/>
        </w:rPr>
        <w:t>&lt;Article&gt;</w:t>
      </w:r>
      <w:r w:rsidRPr="00F14753">
        <w:t>Paragrafo 4 quinquies (nuovo)</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0427A3">
        <w:trPr>
          <w:jc w:val="center"/>
        </w:trPr>
        <w:tc>
          <w:tcPr>
            <w:tcW w:w="9752" w:type="dxa"/>
            <w:gridSpan w:val="2"/>
          </w:tcPr>
          <w:p w:rsidR="00B3157A" w:rsidRPr="00F14753" w:rsidRDefault="00B3157A" w:rsidP="000427A3">
            <w:pPr>
              <w:keepNext/>
            </w:pPr>
          </w:p>
        </w:tc>
      </w:tr>
      <w:tr w:rsidR="00B3157A" w:rsidRPr="00F14753" w:rsidTr="000427A3">
        <w:trPr>
          <w:jc w:val="center"/>
        </w:trPr>
        <w:tc>
          <w:tcPr>
            <w:tcW w:w="4876" w:type="dxa"/>
            <w:hideMark/>
          </w:tcPr>
          <w:p w:rsidR="00B3157A" w:rsidRPr="00F14753" w:rsidRDefault="00B3157A" w:rsidP="000427A3">
            <w:pPr>
              <w:pStyle w:val="ColumnHeading"/>
              <w:keepNext/>
            </w:pPr>
            <w:r w:rsidRPr="00F14753">
              <w:t>Proposta di risoluzione</w:t>
            </w:r>
          </w:p>
        </w:tc>
        <w:tc>
          <w:tcPr>
            <w:tcW w:w="4876" w:type="dxa"/>
            <w:hideMark/>
          </w:tcPr>
          <w:p w:rsidR="00B3157A" w:rsidRPr="00F14753" w:rsidRDefault="00B3157A" w:rsidP="000427A3">
            <w:pPr>
              <w:pStyle w:val="ColumnHeading"/>
              <w:keepNext/>
            </w:pPr>
            <w:r w:rsidRPr="00F14753">
              <w:t>Emendamento</w:t>
            </w:r>
          </w:p>
        </w:tc>
      </w:tr>
      <w:tr w:rsidR="00B3157A" w:rsidRPr="00F14753" w:rsidTr="000427A3">
        <w:trPr>
          <w:jc w:val="center"/>
        </w:trPr>
        <w:tc>
          <w:tcPr>
            <w:tcW w:w="4876" w:type="dxa"/>
          </w:tcPr>
          <w:p w:rsidR="00B3157A" w:rsidRPr="00F14753" w:rsidRDefault="00B3157A" w:rsidP="000427A3">
            <w:pPr>
              <w:pStyle w:val="Normal6"/>
            </w:pPr>
          </w:p>
        </w:tc>
        <w:tc>
          <w:tcPr>
            <w:tcW w:w="4876" w:type="dxa"/>
            <w:hideMark/>
          </w:tcPr>
          <w:p w:rsidR="00B3157A" w:rsidRPr="00F14753" w:rsidRDefault="00B3157A" w:rsidP="000427A3">
            <w:pPr>
              <w:pStyle w:val="Normal6"/>
              <w:rPr>
                <w:szCs w:val="24"/>
              </w:rPr>
            </w:pPr>
            <w:r w:rsidRPr="00F14753">
              <w:rPr>
                <w:b/>
                <w:i/>
              </w:rPr>
              <w:t>4 quinquies.</w:t>
            </w:r>
            <w:r w:rsidRPr="00F14753">
              <w:rPr>
                <w:b/>
                <w:i/>
              </w:rPr>
              <w:tab/>
              <w:t>accoglie con favore il fatto che il dispositivo per la ripresa e la resilienza offra l'opportunità di rafforzare i servizi pubblici per l'impiego e le politiche di attivazione dell'occupazione; chiede ulteriori discussioni su come saranno coperti i costi dei nuovi servizi e i costi a essi correlati dopo la fine del dispositivo per la ripresa e la resilienza;</w:t>
            </w:r>
          </w:p>
        </w:tc>
      </w:tr>
    </w:tbl>
    <w:p w:rsidR="00B3157A" w:rsidRPr="00F14753" w:rsidRDefault="00B3157A" w:rsidP="00B3157A">
      <w:r w:rsidRPr="00F14753">
        <w:rPr>
          <w:rStyle w:val="HideTWBExt"/>
          <w:color w:val="auto"/>
        </w:rPr>
        <w:t>&lt;/Amend&gt;</w:t>
      </w:r>
    </w:p>
    <w:p w:rsidR="00B3157A" w:rsidRPr="00F14753" w:rsidRDefault="00B3157A" w:rsidP="00B3157A">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41</w:t>
      </w:r>
      <w:r w:rsidRPr="00F14753">
        <w:rPr>
          <w:rStyle w:val="HideTWBExt"/>
          <w:b w:val="0"/>
          <w:color w:val="auto"/>
        </w:rPr>
        <w:t>&lt;/NumAm&gt;</w:t>
      </w:r>
    </w:p>
    <w:p w:rsidR="00B3157A" w:rsidRPr="00F14753" w:rsidRDefault="00B3157A" w:rsidP="00B3157A"/>
    <w:p w:rsidR="00B3157A" w:rsidRPr="00F14753" w:rsidRDefault="00B3157A" w:rsidP="00B3157A">
      <w:pPr>
        <w:pStyle w:val="NormalBold"/>
        <w:keepNext/>
      </w:pPr>
      <w:r w:rsidRPr="00F14753">
        <w:rPr>
          <w:rStyle w:val="HideTWBExt"/>
          <w:b w:val="0"/>
          <w:color w:val="auto"/>
        </w:rPr>
        <w:t>&lt;DocAmend&gt;</w:t>
      </w:r>
      <w:r w:rsidRPr="00F14753">
        <w:t>Proposta di risoluzione</w:t>
      </w:r>
      <w:r w:rsidRPr="00F14753">
        <w:rPr>
          <w:rStyle w:val="HideTWBExt"/>
          <w:b w:val="0"/>
          <w:color w:val="auto"/>
        </w:rPr>
        <w:t>&lt;/DocAmend&gt;</w:t>
      </w:r>
    </w:p>
    <w:p w:rsidR="00B3157A" w:rsidRPr="00F14753" w:rsidRDefault="00B3157A" w:rsidP="00B3157A">
      <w:pPr>
        <w:pStyle w:val="NormalBold"/>
      </w:pPr>
      <w:r w:rsidRPr="00F14753">
        <w:rPr>
          <w:rStyle w:val="HideTWBExt"/>
          <w:b w:val="0"/>
          <w:color w:val="auto"/>
        </w:rPr>
        <w:t>&lt;Article&gt;</w:t>
      </w:r>
      <w:r w:rsidRPr="00F14753">
        <w:t>Paragrafo 6</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0427A3">
        <w:trPr>
          <w:jc w:val="center"/>
        </w:trPr>
        <w:tc>
          <w:tcPr>
            <w:tcW w:w="9752" w:type="dxa"/>
            <w:gridSpan w:val="2"/>
          </w:tcPr>
          <w:p w:rsidR="00B3157A" w:rsidRPr="00F14753" w:rsidRDefault="00B3157A" w:rsidP="000427A3">
            <w:pPr>
              <w:keepNext/>
            </w:pPr>
          </w:p>
        </w:tc>
      </w:tr>
      <w:tr w:rsidR="00B3157A" w:rsidRPr="00F14753" w:rsidTr="000427A3">
        <w:trPr>
          <w:jc w:val="center"/>
        </w:trPr>
        <w:tc>
          <w:tcPr>
            <w:tcW w:w="4876" w:type="dxa"/>
            <w:hideMark/>
          </w:tcPr>
          <w:p w:rsidR="00B3157A" w:rsidRPr="00F14753" w:rsidRDefault="00B3157A" w:rsidP="000427A3">
            <w:pPr>
              <w:pStyle w:val="ColumnHeading"/>
              <w:keepNext/>
            </w:pPr>
            <w:r w:rsidRPr="00F14753">
              <w:t>Proposta di risoluzione</w:t>
            </w:r>
          </w:p>
        </w:tc>
        <w:tc>
          <w:tcPr>
            <w:tcW w:w="4876" w:type="dxa"/>
            <w:hideMark/>
          </w:tcPr>
          <w:p w:rsidR="00B3157A" w:rsidRPr="00F14753" w:rsidRDefault="00B3157A" w:rsidP="000427A3">
            <w:pPr>
              <w:pStyle w:val="ColumnHeading"/>
              <w:keepNext/>
            </w:pPr>
            <w:r w:rsidRPr="00F14753">
              <w:t>Emendamento</w:t>
            </w:r>
          </w:p>
        </w:tc>
      </w:tr>
      <w:tr w:rsidR="00B3157A" w:rsidRPr="00F14753" w:rsidTr="000427A3">
        <w:trPr>
          <w:jc w:val="center"/>
        </w:trPr>
        <w:tc>
          <w:tcPr>
            <w:tcW w:w="4876" w:type="dxa"/>
            <w:hideMark/>
          </w:tcPr>
          <w:p w:rsidR="00B3157A" w:rsidRPr="00F14753" w:rsidRDefault="00B3157A" w:rsidP="000427A3">
            <w:pPr>
              <w:pStyle w:val="Normal6"/>
            </w:pPr>
            <w:r w:rsidRPr="00F14753">
              <w:t>6.</w:t>
            </w:r>
            <w:r w:rsidRPr="00F14753">
              <w:tab/>
              <w:t>apprezza il fatto che il dispositivo per la ripresa e la resilienza fornisca sostegno sia alle riforme che agli investimenti negli Stati membri, ma segnala che resta ancora molto da fare; esprime preoccupazione per il fatto che il poco tempo rimanente per l'attuazione della parte restante del dispositivo per la ripresa e la resilienza non consentirà di attuare un buon numero di importanti riforme e grandi investimenti pianificati;</w:t>
            </w:r>
          </w:p>
        </w:tc>
        <w:tc>
          <w:tcPr>
            <w:tcW w:w="4876" w:type="dxa"/>
            <w:hideMark/>
          </w:tcPr>
          <w:p w:rsidR="00B3157A" w:rsidRPr="00F14753" w:rsidRDefault="00B3157A" w:rsidP="000427A3">
            <w:pPr>
              <w:pStyle w:val="Normal6"/>
              <w:rPr>
                <w:szCs w:val="24"/>
              </w:rPr>
            </w:pPr>
            <w:r w:rsidRPr="00F14753">
              <w:t>6.</w:t>
            </w:r>
            <w:r w:rsidRPr="00F14753">
              <w:tab/>
              <w:t>apprezza il fatto che il dispositivo per la ripresa e la resilienza fornisca sostegno sia alle riforme che agli investimenti negli Stati membri, ma segnala che resta ancora molto da fare;</w:t>
            </w:r>
            <w:r w:rsidRPr="00F14753">
              <w:rPr>
                <w:b/>
                <w:i/>
              </w:rPr>
              <w:t xml:space="preserve"> sottolinea tuttavia che i ritardi e i problemi nella capacità di assorbimento rimangono ostacoli significativi alla piena realizzazione dei potenziali vantaggi del dispositivo per la ripresa e la resilienza;</w:t>
            </w:r>
            <w:r w:rsidRPr="00F14753">
              <w:t xml:space="preserve"> esprime preoccupazione per il fatto che il poco tempo rimanente per l'attuazione della parte restante del dispositivo per la ripresa e la resilienza non consentirà di attuare un buon numero di importanti riforme e grandi investimenti pianificati</w:t>
            </w:r>
            <w:r w:rsidRPr="00F14753">
              <w:rPr>
                <w:b/>
                <w:i/>
              </w:rPr>
              <w:t>, il che sottolinea la necessità di un'azione più mirata e accelerata affinché sia realizzato il pieno potenziale del dispositivo per la ripresa e la resilienza, in particolare nei settori critici per la stabilità, la crescita e la coesione sociale a lungo termine;</w:t>
            </w:r>
            <w:r w:rsidRPr="00F14753">
              <w:t xml:space="preserve"> </w:t>
            </w:r>
            <w:r w:rsidRPr="00F14753">
              <w:rPr>
                <w:b/>
                <w:i/>
              </w:rPr>
              <w:t>invita gli Stati membri ad accelerare l'attuazione e ad aumentare il ricorso agli orientamenti tecnici attraverso la Commissione e nell'ambito dello strumento di sostegno tecnico;</w:t>
            </w:r>
          </w:p>
        </w:tc>
      </w:tr>
    </w:tbl>
    <w:p w:rsidR="00B3157A" w:rsidRPr="00F14753" w:rsidRDefault="00B3157A" w:rsidP="00B3157A">
      <w:r w:rsidRPr="00F14753">
        <w:rPr>
          <w:rStyle w:val="HideTWBExt"/>
          <w:color w:val="auto"/>
        </w:rPr>
        <w:t>&lt;/Amend&gt;</w:t>
      </w:r>
    </w:p>
    <w:p w:rsidR="00B3157A" w:rsidRPr="00F14753" w:rsidRDefault="00B3157A" w:rsidP="00B3157A">
      <w:pPr>
        <w:pStyle w:val="AMNumberTabs0"/>
        <w:keepNext/>
      </w:pPr>
      <w:r w:rsidRPr="00F14753">
        <w:rPr>
          <w:rStyle w:val="HideTWBExt"/>
          <w:b w:val="0"/>
          <w:color w:val="auto"/>
        </w:rPr>
        <w:lastRenderedPageBreak/>
        <w:t>&lt;Amend&gt;</w:t>
      </w:r>
      <w:r w:rsidRPr="00F14753">
        <w:t>Emendamento</w:t>
      </w:r>
      <w:r w:rsidRPr="00F14753">
        <w:tab/>
      </w:r>
      <w:r w:rsidRPr="00F14753">
        <w:tab/>
      </w:r>
      <w:r w:rsidRPr="00F14753">
        <w:rPr>
          <w:rStyle w:val="HideTWBExt"/>
          <w:b w:val="0"/>
          <w:color w:val="auto"/>
        </w:rPr>
        <w:t>&lt;NumAm&gt;</w:t>
      </w:r>
      <w:r w:rsidRPr="00F14753">
        <w:t>42</w:t>
      </w:r>
      <w:r w:rsidRPr="00F14753">
        <w:rPr>
          <w:rStyle w:val="HideTWBExt"/>
          <w:b w:val="0"/>
          <w:color w:val="auto"/>
        </w:rPr>
        <w:t>&lt;/NumAm&gt;</w:t>
      </w:r>
    </w:p>
    <w:p w:rsidR="00B3157A" w:rsidRPr="00F14753" w:rsidRDefault="00B3157A" w:rsidP="00B3157A"/>
    <w:p w:rsidR="00B3157A" w:rsidRPr="00F14753" w:rsidRDefault="00B3157A" w:rsidP="00B3157A">
      <w:pPr>
        <w:pStyle w:val="NormalBold"/>
        <w:keepNext/>
      </w:pPr>
      <w:r w:rsidRPr="00F14753">
        <w:rPr>
          <w:rStyle w:val="HideTWBExt"/>
          <w:b w:val="0"/>
          <w:color w:val="auto"/>
        </w:rPr>
        <w:t>&lt;DocAmend&gt;</w:t>
      </w:r>
      <w:r w:rsidRPr="00F14753">
        <w:t>Proposta di risoluzione</w:t>
      </w:r>
      <w:r w:rsidRPr="00F14753">
        <w:rPr>
          <w:rStyle w:val="HideTWBExt"/>
          <w:b w:val="0"/>
          <w:color w:val="auto"/>
        </w:rPr>
        <w:t>&lt;/DocAmend&gt;</w:t>
      </w:r>
    </w:p>
    <w:p w:rsidR="00B3157A" w:rsidRPr="00F14753" w:rsidRDefault="00B3157A" w:rsidP="00B3157A">
      <w:pPr>
        <w:pStyle w:val="NormalBold"/>
      </w:pPr>
      <w:r w:rsidRPr="00F14753">
        <w:rPr>
          <w:rStyle w:val="HideTWBExt"/>
          <w:b w:val="0"/>
          <w:color w:val="auto"/>
        </w:rPr>
        <w:t>&lt;Article&gt;</w:t>
      </w:r>
      <w:r w:rsidRPr="00F14753">
        <w:t>Paragrafo 7</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0427A3">
        <w:trPr>
          <w:jc w:val="center"/>
        </w:trPr>
        <w:tc>
          <w:tcPr>
            <w:tcW w:w="9752" w:type="dxa"/>
            <w:gridSpan w:val="2"/>
          </w:tcPr>
          <w:p w:rsidR="00B3157A" w:rsidRPr="00F14753" w:rsidRDefault="00B3157A" w:rsidP="000427A3">
            <w:pPr>
              <w:keepNext/>
            </w:pPr>
          </w:p>
        </w:tc>
      </w:tr>
      <w:tr w:rsidR="00B3157A" w:rsidRPr="00F14753" w:rsidTr="000427A3">
        <w:trPr>
          <w:jc w:val="center"/>
        </w:trPr>
        <w:tc>
          <w:tcPr>
            <w:tcW w:w="4876" w:type="dxa"/>
            <w:hideMark/>
          </w:tcPr>
          <w:p w:rsidR="00B3157A" w:rsidRPr="00F14753" w:rsidRDefault="00B3157A" w:rsidP="000427A3">
            <w:pPr>
              <w:pStyle w:val="ColumnHeading"/>
              <w:keepNext/>
            </w:pPr>
            <w:r w:rsidRPr="00F14753">
              <w:t>Proposta di risoluzione</w:t>
            </w:r>
          </w:p>
        </w:tc>
        <w:tc>
          <w:tcPr>
            <w:tcW w:w="4876" w:type="dxa"/>
            <w:hideMark/>
          </w:tcPr>
          <w:p w:rsidR="00B3157A" w:rsidRPr="00F14753" w:rsidRDefault="00B3157A" w:rsidP="000427A3">
            <w:pPr>
              <w:pStyle w:val="ColumnHeading"/>
              <w:keepNext/>
            </w:pPr>
            <w:r w:rsidRPr="00F14753">
              <w:t>Emendamento</w:t>
            </w:r>
          </w:p>
        </w:tc>
      </w:tr>
      <w:tr w:rsidR="00B3157A" w:rsidRPr="00F14753" w:rsidTr="000427A3">
        <w:trPr>
          <w:jc w:val="center"/>
        </w:trPr>
        <w:tc>
          <w:tcPr>
            <w:tcW w:w="4876" w:type="dxa"/>
            <w:hideMark/>
          </w:tcPr>
          <w:p w:rsidR="00B3157A" w:rsidRPr="00F14753" w:rsidRDefault="00B3157A" w:rsidP="000427A3">
            <w:pPr>
              <w:pStyle w:val="Normal6"/>
            </w:pPr>
            <w:r w:rsidRPr="00F14753">
              <w:t>7.</w:t>
            </w:r>
            <w:r w:rsidRPr="00F14753">
              <w:tab/>
              <w:t xml:space="preserve">sottolinea che la priorità attribuita all'attuazione del dispositivo per la ripresa e la resilienza, la capacità amministrativa carente in molti Stati membri e le sfide poste dalle catene di approvvigionamento globali hanno contribuito al ritardo nell'attuazione della politica di coesione; ricorda </w:t>
            </w:r>
            <w:r w:rsidRPr="00F14753">
              <w:rPr>
                <w:b/>
                <w:i/>
              </w:rPr>
              <w:t>la necessità di rispettare il</w:t>
            </w:r>
            <w:r w:rsidRPr="00F14753">
              <w:t xml:space="preserve"> principio di addizionalità</w:t>
            </w:r>
            <w:r w:rsidRPr="00F14753">
              <w:rPr>
                <w:b/>
                <w:i/>
              </w:rPr>
              <w:t xml:space="preserve"> ed esprime la propria contrarietà all'</w:t>
            </w:r>
            <w:r w:rsidRPr="00F14753">
              <w:t xml:space="preserve">esclusione della politica di coesione o </w:t>
            </w:r>
            <w:r w:rsidRPr="00F14753">
              <w:rPr>
                <w:b/>
                <w:i/>
              </w:rPr>
              <w:t>alla</w:t>
            </w:r>
            <w:r w:rsidRPr="00F14753">
              <w:t xml:space="preserve"> sua sostituzione da parte del dispositivo per la ripresa e la resilienza o </w:t>
            </w:r>
            <w:r w:rsidRPr="00F14753">
              <w:rPr>
                <w:b/>
                <w:bCs/>
                <w:i/>
                <w:iCs/>
              </w:rPr>
              <w:t>da</w:t>
            </w:r>
            <w:r w:rsidRPr="00F14753">
              <w:t xml:space="preserve"> altri strumenti temporanei;</w:t>
            </w:r>
          </w:p>
        </w:tc>
        <w:tc>
          <w:tcPr>
            <w:tcW w:w="4876" w:type="dxa"/>
            <w:hideMark/>
          </w:tcPr>
          <w:p w:rsidR="00B3157A" w:rsidRPr="00F14753" w:rsidRDefault="00B3157A" w:rsidP="000427A3">
            <w:pPr>
              <w:pStyle w:val="Normal6"/>
              <w:rPr>
                <w:szCs w:val="24"/>
              </w:rPr>
            </w:pPr>
            <w:r w:rsidRPr="00F14753">
              <w:t>7.</w:t>
            </w:r>
            <w:r w:rsidRPr="00F14753">
              <w:tab/>
              <w:t xml:space="preserve">sottolinea che la priorità attribuita all'attuazione del dispositivo per la ripresa e la resilienza, </w:t>
            </w:r>
            <w:r w:rsidRPr="00F14753">
              <w:rPr>
                <w:b/>
                <w:i/>
              </w:rPr>
              <w:t xml:space="preserve">le significative risorse aggiuntive a titolo di REACT-EU messe a disposizione per lo stesso periodo, </w:t>
            </w:r>
            <w:r w:rsidRPr="00F14753">
              <w:t>la capacità amministrativa carente in molti Stati membri e le sfide poste dalle catene di approvvigionamento globali</w:t>
            </w:r>
            <w:r w:rsidRPr="00F14753">
              <w:rPr>
                <w:b/>
                <w:i/>
              </w:rPr>
              <w:t>, nonché la fine, al 31 dicembre 2023, del periodo di ammissibilità della spesa per la coesione per il periodo 2014-2020,</w:t>
            </w:r>
            <w:r w:rsidRPr="00F14753">
              <w:t xml:space="preserve"> hanno contribuito al ritardo nell'attuazione della politica di coesione; ricorda </w:t>
            </w:r>
            <w:r w:rsidRPr="00F14753">
              <w:rPr>
                <w:b/>
                <w:i/>
              </w:rPr>
              <w:t>che, conformemente al</w:t>
            </w:r>
            <w:r w:rsidRPr="00F14753">
              <w:t xml:space="preserve"> principio di addizionalità</w:t>
            </w:r>
            <w:r w:rsidRPr="00F14753">
              <w:rPr>
                <w:b/>
                <w:i/>
              </w:rPr>
              <w:t>, dovrebbe essere evitata l'</w:t>
            </w:r>
            <w:r w:rsidRPr="00F14753">
              <w:t xml:space="preserve">esclusione della politica di coesione o </w:t>
            </w:r>
            <w:r w:rsidRPr="00F14753">
              <w:rPr>
                <w:b/>
                <w:i/>
              </w:rPr>
              <w:t>la</w:t>
            </w:r>
            <w:r w:rsidRPr="00F14753">
              <w:t xml:space="preserve"> sua sostituzione da parte del dispositivo per la ripresa e la resilienza o </w:t>
            </w:r>
            <w:r w:rsidRPr="00F14753">
              <w:rPr>
                <w:b/>
                <w:bCs/>
                <w:i/>
                <w:iCs/>
              </w:rPr>
              <w:t>di</w:t>
            </w:r>
            <w:r w:rsidRPr="00F14753">
              <w:t xml:space="preserve"> altri strumenti temporanei</w:t>
            </w:r>
            <w:r w:rsidRPr="00F14753">
              <w:rPr>
                <w:b/>
                <w:i/>
              </w:rPr>
              <w:t>;</w:t>
            </w:r>
            <w:r w:rsidRPr="00F14753">
              <w:t xml:space="preserve"> </w:t>
            </w:r>
            <w:r w:rsidRPr="00F14753">
              <w:rPr>
                <w:b/>
                <w:i/>
              </w:rPr>
              <w:t>sottolinea, a tale proposito, l'importanza che la Commissione fornisca un'analisi sulla quantità di nuovi investimenti sociali reali creati nell'ambito dei PNRR;</w:t>
            </w:r>
          </w:p>
        </w:tc>
      </w:tr>
    </w:tbl>
    <w:p w:rsidR="00B3157A" w:rsidRPr="00F14753" w:rsidRDefault="00B3157A" w:rsidP="00B3157A">
      <w:r w:rsidRPr="00F14753">
        <w:rPr>
          <w:rStyle w:val="HideTWBExt"/>
          <w:color w:val="auto"/>
        </w:rPr>
        <w:t>&lt;/Amend&gt;</w:t>
      </w:r>
    </w:p>
    <w:p w:rsidR="00B3157A" w:rsidRPr="00F14753" w:rsidRDefault="00B3157A" w:rsidP="00B3157A">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43</w:t>
      </w:r>
      <w:r w:rsidRPr="00F14753">
        <w:rPr>
          <w:rStyle w:val="HideTWBExt"/>
          <w:b w:val="0"/>
          <w:color w:val="auto"/>
        </w:rPr>
        <w:t>&lt;/NumAm&gt;</w:t>
      </w:r>
    </w:p>
    <w:p w:rsidR="00B3157A" w:rsidRPr="00F14753" w:rsidRDefault="00B3157A" w:rsidP="00B3157A">
      <w:pPr>
        <w:pStyle w:val="NormalBold12b"/>
        <w:keepNext/>
      </w:pPr>
      <w:r w:rsidRPr="00F14753">
        <w:rPr>
          <w:rStyle w:val="HideTWBExt"/>
          <w:b w:val="0"/>
          <w:color w:val="auto"/>
        </w:rPr>
        <w:t>&lt;DocAmend&gt;</w:t>
      </w:r>
      <w:r w:rsidRPr="00F14753">
        <w:t>Proposta di risoluzione</w:t>
      </w:r>
      <w:r w:rsidRPr="00F14753">
        <w:rPr>
          <w:rStyle w:val="HideTWBExt"/>
          <w:b w:val="0"/>
          <w:color w:val="auto"/>
        </w:rPr>
        <w:t>&lt;/DocAmend&gt;</w:t>
      </w:r>
    </w:p>
    <w:p w:rsidR="00B3157A" w:rsidRPr="00F14753" w:rsidRDefault="00B3157A" w:rsidP="00B3157A">
      <w:pPr>
        <w:pStyle w:val="NormalBold"/>
      </w:pPr>
      <w:r w:rsidRPr="00F14753">
        <w:rPr>
          <w:rStyle w:val="HideTWBExt"/>
          <w:b w:val="0"/>
          <w:color w:val="auto"/>
        </w:rPr>
        <w:t>&lt;Article&gt;</w:t>
      </w:r>
      <w:r w:rsidRPr="00F14753">
        <w:t>Paragrafo 7 bis (nuovo)</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0427A3">
        <w:trPr>
          <w:jc w:val="center"/>
        </w:trPr>
        <w:tc>
          <w:tcPr>
            <w:tcW w:w="9752" w:type="dxa"/>
            <w:gridSpan w:val="2"/>
          </w:tcPr>
          <w:p w:rsidR="00B3157A" w:rsidRPr="00F14753" w:rsidRDefault="00B3157A" w:rsidP="000427A3">
            <w:pPr>
              <w:keepNext/>
            </w:pPr>
          </w:p>
        </w:tc>
      </w:tr>
      <w:tr w:rsidR="00B3157A" w:rsidRPr="00F14753" w:rsidTr="000427A3">
        <w:trPr>
          <w:jc w:val="center"/>
        </w:trPr>
        <w:tc>
          <w:tcPr>
            <w:tcW w:w="4876" w:type="dxa"/>
            <w:hideMark/>
          </w:tcPr>
          <w:p w:rsidR="00B3157A" w:rsidRPr="00F14753" w:rsidRDefault="00B3157A" w:rsidP="000427A3">
            <w:pPr>
              <w:pStyle w:val="ColumnHeading"/>
              <w:keepNext/>
            </w:pPr>
            <w:r w:rsidRPr="00F14753">
              <w:t>Proposta di risoluzione</w:t>
            </w:r>
          </w:p>
        </w:tc>
        <w:tc>
          <w:tcPr>
            <w:tcW w:w="4876" w:type="dxa"/>
            <w:hideMark/>
          </w:tcPr>
          <w:p w:rsidR="00B3157A" w:rsidRPr="00F14753" w:rsidRDefault="00B3157A" w:rsidP="000427A3">
            <w:pPr>
              <w:pStyle w:val="ColumnHeading"/>
              <w:keepNext/>
            </w:pPr>
            <w:r w:rsidRPr="00F14753">
              <w:t>Emendamento</w:t>
            </w:r>
          </w:p>
        </w:tc>
      </w:tr>
      <w:tr w:rsidR="00B3157A" w:rsidRPr="00F14753" w:rsidTr="000427A3">
        <w:trPr>
          <w:jc w:val="center"/>
        </w:trPr>
        <w:tc>
          <w:tcPr>
            <w:tcW w:w="4876" w:type="dxa"/>
          </w:tcPr>
          <w:p w:rsidR="00B3157A" w:rsidRPr="00F14753" w:rsidRDefault="00B3157A" w:rsidP="000427A3">
            <w:pPr>
              <w:pStyle w:val="Normal6"/>
            </w:pPr>
          </w:p>
        </w:tc>
        <w:tc>
          <w:tcPr>
            <w:tcW w:w="4876" w:type="dxa"/>
            <w:hideMark/>
          </w:tcPr>
          <w:p w:rsidR="00B3157A" w:rsidRPr="00F14753" w:rsidRDefault="00B3157A" w:rsidP="000427A3">
            <w:pPr>
              <w:pStyle w:val="Normal6"/>
              <w:rPr>
                <w:szCs w:val="24"/>
              </w:rPr>
            </w:pPr>
            <w:r w:rsidRPr="00F14753">
              <w:rPr>
                <w:b/>
                <w:i/>
              </w:rPr>
              <w:t>7 bis.</w:t>
            </w:r>
            <w:r w:rsidRPr="00F14753">
              <w:rPr>
                <w:b/>
                <w:i/>
              </w:rPr>
              <w:tab/>
              <w:t xml:space="preserve">ricorda, a tale proposito, l'importanza del Fondo sociale europeo Plus, che mira a conseguire un elevato livello di occupazione, una protezione sociale equa, una forza lavoro qualificata e resiliente e società inclusive e coese quali elementi fondamentali per eliminare la povertà, e sottolinea la necessità di sinergie con la spesa del dispositivo per la ripresa e la resilienza nell'ambito dei </w:t>
            </w:r>
            <w:r w:rsidRPr="00F14753">
              <w:rPr>
                <w:b/>
                <w:i/>
              </w:rPr>
              <w:lastRenderedPageBreak/>
              <w:t>pilastri pertinenti; sottolinea inoltre che la Commissione dovrebbe individuare modalità per aiutare gli Stati membri ad accelerare l'utilizzo dei fondi dell'UE e migliorarne l'assorbimento, nel rispetto della sana gestione finanziaria;</w:t>
            </w:r>
          </w:p>
        </w:tc>
      </w:tr>
    </w:tbl>
    <w:p w:rsidR="00B3157A" w:rsidRPr="00F14753" w:rsidRDefault="00B3157A" w:rsidP="00B3157A">
      <w:pPr>
        <w:rPr>
          <w:szCs w:val="24"/>
        </w:rPr>
      </w:pPr>
      <w:r w:rsidRPr="00F14753">
        <w:rPr>
          <w:rStyle w:val="HideTWBExt"/>
          <w:color w:val="auto"/>
        </w:rPr>
        <w:lastRenderedPageBreak/>
        <w:t>&lt;/Amend&gt;</w:t>
      </w:r>
    </w:p>
    <w:p w:rsidR="00B3157A" w:rsidRPr="00F14753" w:rsidRDefault="00B3157A" w:rsidP="00B3157A">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44</w:t>
      </w:r>
      <w:r w:rsidRPr="00F14753">
        <w:rPr>
          <w:rStyle w:val="HideTWBExt"/>
          <w:b w:val="0"/>
          <w:color w:val="auto"/>
        </w:rPr>
        <w:t>&lt;/NumAm&gt;</w:t>
      </w:r>
    </w:p>
    <w:p w:rsidR="00B3157A" w:rsidRPr="00F14753" w:rsidRDefault="00B3157A" w:rsidP="00B3157A">
      <w:pPr>
        <w:pStyle w:val="NormalBold12b"/>
        <w:keepNext/>
      </w:pPr>
      <w:r w:rsidRPr="00F14753">
        <w:rPr>
          <w:rStyle w:val="HideTWBExt"/>
          <w:b w:val="0"/>
          <w:color w:val="auto"/>
        </w:rPr>
        <w:t>&lt;DocAmend&gt;</w:t>
      </w:r>
      <w:r w:rsidRPr="00F14753">
        <w:t>Proposta di risoluzione</w:t>
      </w:r>
      <w:r w:rsidRPr="00F14753">
        <w:rPr>
          <w:rStyle w:val="HideTWBExt"/>
          <w:b w:val="0"/>
          <w:color w:val="auto"/>
        </w:rPr>
        <w:t>&lt;/DocAmend&gt;</w:t>
      </w:r>
    </w:p>
    <w:p w:rsidR="00B3157A" w:rsidRPr="00F14753" w:rsidRDefault="00B3157A" w:rsidP="00B3157A">
      <w:pPr>
        <w:pStyle w:val="NormalBold"/>
      </w:pPr>
      <w:r w:rsidRPr="00F14753">
        <w:rPr>
          <w:rStyle w:val="HideTWBExt"/>
          <w:b w:val="0"/>
          <w:color w:val="auto"/>
        </w:rPr>
        <w:t>&lt;Article&gt;</w:t>
      </w:r>
      <w:r w:rsidRPr="00F14753">
        <w:t>Paragrafo 10</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0427A3">
        <w:trPr>
          <w:jc w:val="center"/>
        </w:trPr>
        <w:tc>
          <w:tcPr>
            <w:tcW w:w="9752" w:type="dxa"/>
            <w:gridSpan w:val="2"/>
          </w:tcPr>
          <w:p w:rsidR="00B3157A" w:rsidRPr="00F14753" w:rsidRDefault="00B3157A" w:rsidP="000427A3">
            <w:pPr>
              <w:keepNext/>
            </w:pPr>
          </w:p>
        </w:tc>
      </w:tr>
      <w:tr w:rsidR="00B3157A" w:rsidRPr="00F14753" w:rsidTr="000427A3">
        <w:trPr>
          <w:jc w:val="center"/>
        </w:trPr>
        <w:tc>
          <w:tcPr>
            <w:tcW w:w="4876" w:type="dxa"/>
            <w:hideMark/>
          </w:tcPr>
          <w:p w:rsidR="00B3157A" w:rsidRPr="00F14753" w:rsidRDefault="00B3157A" w:rsidP="000427A3">
            <w:pPr>
              <w:pStyle w:val="ColumnHeading"/>
              <w:keepNext/>
            </w:pPr>
            <w:r w:rsidRPr="00F14753">
              <w:t>Proposta di risoluzione</w:t>
            </w:r>
          </w:p>
        </w:tc>
        <w:tc>
          <w:tcPr>
            <w:tcW w:w="4876" w:type="dxa"/>
            <w:hideMark/>
          </w:tcPr>
          <w:p w:rsidR="00B3157A" w:rsidRPr="00F14753" w:rsidRDefault="00B3157A" w:rsidP="000427A3">
            <w:pPr>
              <w:pStyle w:val="ColumnHeading"/>
              <w:keepNext/>
            </w:pPr>
            <w:r w:rsidRPr="00F14753">
              <w:t>Emendamento</w:t>
            </w:r>
          </w:p>
        </w:tc>
      </w:tr>
      <w:tr w:rsidR="00B3157A" w:rsidRPr="00F14753" w:rsidTr="000427A3">
        <w:trPr>
          <w:jc w:val="center"/>
        </w:trPr>
        <w:tc>
          <w:tcPr>
            <w:tcW w:w="4876" w:type="dxa"/>
            <w:hideMark/>
          </w:tcPr>
          <w:p w:rsidR="00B3157A" w:rsidRPr="00F14753" w:rsidRDefault="00B3157A" w:rsidP="000427A3">
            <w:pPr>
              <w:pStyle w:val="Normal6"/>
            </w:pPr>
            <w:r w:rsidRPr="00F14753">
              <w:t>10.</w:t>
            </w:r>
            <w:r w:rsidRPr="00F14753">
              <w:tab/>
              <w:t>accoglie con favore la possibilità di utilizzare i finanziamenti del dispositivo per la ripresa e la resilienza per contribuire agli obiettivi della piattaforma per le tecnologie strategiche per l'Europa (STEP) sostenendo gli investimenti nelle tecnologie critiche nell'UE al fine di rafforzarne la competitività industriale;</w:t>
            </w:r>
          </w:p>
        </w:tc>
        <w:tc>
          <w:tcPr>
            <w:tcW w:w="4876" w:type="dxa"/>
            <w:hideMark/>
          </w:tcPr>
          <w:p w:rsidR="00B3157A" w:rsidRPr="00F14753" w:rsidRDefault="00B3157A" w:rsidP="000427A3">
            <w:pPr>
              <w:pStyle w:val="Normal6"/>
              <w:rPr>
                <w:szCs w:val="24"/>
              </w:rPr>
            </w:pPr>
            <w:r w:rsidRPr="00F14753">
              <w:t>10.</w:t>
            </w:r>
            <w:r w:rsidRPr="00F14753">
              <w:tab/>
              <w:t xml:space="preserve">accoglie con favore la possibilità di utilizzare i finanziamenti del dispositivo per la ripresa e la resilienza per contribuire agli obiettivi della piattaforma per le tecnologie strategiche per l'Europa (STEP) sostenendo gli investimenti nelle tecnologie critiche nell'UE </w:t>
            </w:r>
            <w:r w:rsidRPr="00F14753">
              <w:rPr>
                <w:b/>
                <w:i/>
              </w:rPr>
              <w:t xml:space="preserve">e affrontando le carenze di manodopera e di competenze essenziali per posti di lavoro di qualità in tali ambiti, in stretta collaborazione con le parti sociali, </w:t>
            </w:r>
            <w:r w:rsidRPr="00F14753">
              <w:t>al fine di rafforzarne la competitività industriale</w:t>
            </w:r>
            <w:r w:rsidRPr="00F14753">
              <w:rPr>
                <w:b/>
                <w:i/>
              </w:rPr>
              <w:t>, garantendo nel contempo i diritti dei lavoratori e riducendo le disparità di genere nel settore tecnologico</w:t>
            </w:r>
            <w:r w:rsidRPr="00F14753">
              <w:t>;</w:t>
            </w:r>
          </w:p>
        </w:tc>
      </w:tr>
    </w:tbl>
    <w:p w:rsidR="00B3157A" w:rsidRPr="00F14753" w:rsidRDefault="00B3157A" w:rsidP="00B3157A">
      <w:pPr>
        <w:rPr>
          <w:szCs w:val="24"/>
        </w:rPr>
      </w:pPr>
      <w:r w:rsidRPr="00F14753">
        <w:rPr>
          <w:rStyle w:val="HideTWBExt"/>
          <w:color w:val="auto"/>
        </w:rPr>
        <w:t>&lt;/Amend&gt;</w:t>
      </w:r>
    </w:p>
    <w:p w:rsidR="00B3157A" w:rsidRPr="00F14753" w:rsidRDefault="00B3157A" w:rsidP="00B3157A">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45</w:t>
      </w:r>
      <w:r w:rsidRPr="00F14753">
        <w:rPr>
          <w:rStyle w:val="HideTWBExt"/>
          <w:b w:val="0"/>
          <w:color w:val="auto"/>
        </w:rPr>
        <w:t>&lt;/NumAm&gt;</w:t>
      </w:r>
    </w:p>
    <w:p w:rsidR="00B3157A" w:rsidRPr="00F14753" w:rsidRDefault="00B3157A" w:rsidP="00B3157A">
      <w:pPr>
        <w:pStyle w:val="NormalBold12b"/>
        <w:keepNext/>
      </w:pPr>
      <w:r w:rsidRPr="00F14753">
        <w:rPr>
          <w:rStyle w:val="HideTWBExt"/>
          <w:b w:val="0"/>
          <w:color w:val="auto"/>
        </w:rPr>
        <w:t>&lt;DocAmend&gt;</w:t>
      </w:r>
      <w:r w:rsidRPr="00F14753">
        <w:t>Proposta di risoluzione</w:t>
      </w:r>
      <w:r w:rsidRPr="00F14753">
        <w:rPr>
          <w:rStyle w:val="HideTWBExt"/>
          <w:b w:val="0"/>
          <w:color w:val="auto"/>
        </w:rPr>
        <w:t>&lt;/DocAmend&gt;</w:t>
      </w:r>
    </w:p>
    <w:p w:rsidR="00B3157A" w:rsidRPr="00F14753" w:rsidRDefault="00B3157A" w:rsidP="00B3157A">
      <w:pPr>
        <w:pStyle w:val="NormalBold"/>
      </w:pPr>
      <w:r w:rsidRPr="00F14753">
        <w:rPr>
          <w:rStyle w:val="HideTWBExt"/>
          <w:b w:val="0"/>
          <w:color w:val="auto"/>
        </w:rPr>
        <w:t>&lt;Article&gt;</w:t>
      </w:r>
      <w:r w:rsidRPr="00F14753">
        <w:t>Paragrafo 13</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0427A3">
        <w:trPr>
          <w:jc w:val="center"/>
        </w:trPr>
        <w:tc>
          <w:tcPr>
            <w:tcW w:w="9752" w:type="dxa"/>
            <w:gridSpan w:val="2"/>
          </w:tcPr>
          <w:p w:rsidR="00B3157A" w:rsidRPr="00F14753" w:rsidRDefault="00B3157A" w:rsidP="000427A3">
            <w:pPr>
              <w:keepNext/>
            </w:pPr>
          </w:p>
        </w:tc>
      </w:tr>
      <w:tr w:rsidR="00B3157A" w:rsidRPr="00F14753" w:rsidTr="000427A3">
        <w:trPr>
          <w:jc w:val="center"/>
        </w:trPr>
        <w:tc>
          <w:tcPr>
            <w:tcW w:w="4876" w:type="dxa"/>
            <w:hideMark/>
          </w:tcPr>
          <w:p w:rsidR="00B3157A" w:rsidRPr="00F14753" w:rsidRDefault="00B3157A" w:rsidP="000427A3">
            <w:pPr>
              <w:pStyle w:val="ColumnHeading"/>
              <w:keepNext/>
            </w:pPr>
            <w:r w:rsidRPr="00F14753">
              <w:t>Proposta di risoluzione</w:t>
            </w:r>
          </w:p>
        </w:tc>
        <w:tc>
          <w:tcPr>
            <w:tcW w:w="4876" w:type="dxa"/>
            <w:hideMark/>
          </w:tcPr>
          <w:p w:rsidR="00B3157A" w:rsidRPr="00F14753" w:rsidRDefault="00B3157A" w:rsidP="000427A3">
            <w:pPr>
              <w:pStyle w:val="ColumnHeading"/>
              <w:keepNext/>
            </w:pPr>
            <w:r w:rsidRPr="00F14753">
              <w:t>Emendamento</w:t>
            </w:r>
          </w:p>
        </w:tc>
      </w:tr>
      <w:tr w:rsidR="00B3157A" w:rsidRPr="00F14753" w:rsidTr="000427A3">
        <w:trPr>
          <w:jc w:val="center"/>
        </w:trPr>
        <w:tc>
          <w:tcPr>
            <w:tcW w:w="4876" w:type="dxa"/>
            <w:hideMark/>
          </w:tcPr>
          <w:p w:rsidR="00B3157A" w:rsidRPr="00F14753" w:rsidRDefault="00B3157A" w:rsidP="000427A3">
            <w:pPr>
              <w:pStyle w:val="Normal6"/>
            </w:pPr>
            <w:r w:rsidRPr="00F14753">
              <w:t>13.</w:t>
            </w:r>
            <w:r w:rsidRPr="00F14753">
              <w:tab/>
            </w:r>
            <w:r w:rsidRPr="00F14753">
              <w:rPr>
                <w:b/>
                <w:i/>
              </w:rPr>
              <w:t>osserva</w:t>
            </w:r>
            <w:r w:rsidRPr="00F14753">
              <w:t xml:space="preserve"> che solo 13 Stati membri </w:t>
            </w:r>
            <w:r w:rsidRPr="00F14753">
              <w:rPr>
                <w:b/>
                <w:i/>
              </w:rPr>
              <w:t>hanno</w:t>
            </w:r>
            <w:r w:rsidRPr="00F14753">
              <w:t xml:space="preserve"> richiesto prestiti e che 92 dei 385,8 miliardi di EUR disponibili rimarranno inutilizzati poiché tale importo non è stato impegnato entro il termine del 31 dicembre 2023; riconosce che i prestiti sono risultati interessanti per gli Stati membri che hanno dovuto fare i conti con oneri finanziari più elevati sui mercati finanziari o che hanno tentato di </w:t>
            </w:r>
            <w:r w:rsidRPr="00F14753">
              <w:lastRenderedPageBreak/>
              <w:t>compensare un calo delle sovvenzioni a titolo del dispositivo per la ripresa e la resilienza; ricorda che il Parlamento si è espresso a favore di una quota di sovvenzioni più elevata rispetto ai prestiti e ritiene che sia necessaria una discussione politica sull'utilizzo dei fondi non spesi alla luce delle restrizioni dei bilanci pubblici;</w:t>
            </w:r>
          </w:p>
        </w:tc>
        <w:tc>
          <w:tcPr>
            <w:tcW w:w="4876" w:type="dxa"/>
            <w:hideMark/>
          </w:tcPr>
          <w:p w:rsidR="00B3157A" w:rsidRPr="00F14753" w:rsidRDefault="00B3157A" w:rsidP="000427A3">
            <w:pPr>
              <w:pStyle w:val="Normal6"/>
              <w:rPr>
                <w:szCs w:val="24"/>
              </w:rPr>
            </w:pPr>
            <w:r w:rsidRPr="00F14753">
              <w:lastRenderedPageBreak/>
              <w:t>13.</w:t>
            </w:r>
            <w:r w:rsidRPr="00F14753">
              <w:tab/>
            </w:r>
            <w:r w:rsidRPr="00F14753">
              <w:rPr>
                <w:b/>
                <w:i/>
              </w:rPr>
              <w:t>si rammarica</w:t>
            </w:r>
            <w:r w:rsidRPr="00F14753">
              <w:t xml:space="preserve"> che solo 13 Stati membri </w:t>
            </w:r>
            <w:r w:rsidRPr="00F14753">
              <w:rPr>
                <w:b/>
                <w:i/>
              </w:rPr>
              <w:t>abbiano</w:t>
            </w:r>
            <w:r w:rsidRPr="00F14753">
              <w:t xml:space="preserve"> richiesto prestiti e che 92 dei 385,8 miliardi di EUR disponibili rimarranno inutilizzati poiché tale importo non è stato impegnato entro il termine del 31 dicembre 2023; riconosce che i prestiti sono risultati interessanti per gli Stati membri che hanno dovuto fare i conti con oneri finanziari più elevati sui mercati finanziari o che hanno tentato di </w:t>
            </w:r>
            <w:r w:rsidRPr="00F14753">
              <w:lastRenderedPageBreak/>
              <w:t>compensare un calo delle sovvenzioni a titolo del dispositivo per la ripresa e la resilienza; ricorda che il Parlamento si è espresso a favore di una quota di sovvenzioni più elevata rispetto ai prestiti e ritiene che sia necessaria una discussione politica sull'utilizzo dei fondi non spesi alla luce delle restrizioni dei bilanci pubblici</w:t>
            </w:r>
            <w:r w:rsidRPr="00F14753">
              <w:rPr>
                <w:b/>
                <w:i/>
              </w:rPr>
              <w:t xml:space="preserve"> e della significativa necessità di sostegno finanziario a diversi settori, in particolare l'eliminazione della povertà, l'inclusione sociale, l'offerta di alloggi, i servizi pubblici e sociali, il rafforzamento del dialogo sociale, la creazione di posti di lavoro di qualità e le politiche in materia di competenze, comprese le competenze verdi e digitali</w:t>
            </w:r>
            <w:r w:rsidRPr="00F14753">
              <w:t>;</w:t>
            </w:r>
          </w:p>
        </w:tc>
      </w:tr>
    </w:tbl>
    <w:p w:rsidR="00B3157A" w:rsidRPr="00F14753" w:rsidRDefault="00B3157A" w:rsidP="00B3157A">
      <w:pPr>
        <w:rPr>
          <w:szCs w:val="24"/>
        </w:rPr>
      </w:pPr>
      <w:r w:rsidRPr="00F14753">
        <w:rPr>
          <w:rStyle w:val="HideTWBExt"/>
          <w:color w:val="auto"/>
        </w:rPr>
        <w:lastRenderedPageBreak/>
        <w:t>&lt;/Amend&gt;</w:t>
      </w:r>
    </w:p>
    <w:p w:rsidR="00B3157A" w:rsidRPr="00F14753" w:rsidRDefault="00B3157A" w:rsidP="00B3157A">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46</w:t>
      </w:r>
      <w:r w:rsidRPr="00F14753">
        <w:rPr>
          <w:rStyle w:val="HideTWBExt"/>
          <w:b w:val="0"/>
          <w:color w:val="auto"/>
        </w:rPr>
        <w:t>&lt;/NumAm&gt;</w:t>
      </w:r>
    </w:p>
    <w:p w:rsidR="00B3157A" w:rsidRPr="00F14753" w:rsidRDefault="00B3157A" w:rsidP="00B3157A">
      <w:pPr>
        <w:pStyle w:val="NormalBold12b"/>
        <w:keepNext/>
      </w:pPr>
      <w:r w:rsidRPr="00F14753">
        <w:rPr>
          <w:rStyle w:val="HideTWBExt"/>
          <w:b w:val="0"/>
          <w:color w:val="auto"/>
        </w:rPr>
        <w:t>&lt;DocAmend&gt;</w:t>
      </w:r>
      <w:r w:rsidRPr="00F14753">
        <w:t>Proposta di risoluzione</w:t>
      </w:r>
      <w:r w:rsidRPr="00F14753">
        <w:rPr>
          <w:rStyle w:val="HideTWBExt"/>
          <w:b w:val="0"/>
          <w:color w:val="auto"/>
        </w:rPr>
        <w:t>&lt;/DocAmend&gt;</w:t>
      </w:r>
    </w:p>
    <w:p w:rsidR="00B3157A" w:rsidRPr="00F14753" w:rsidRDefault="00B3157A" w:rsidP="00B3157A">
      <w:pPr>
        <w:pStyle w:val="NormalBold"/>
      </w:pPr>
      <w:r w:rsidRPr="00F14753">
        <w:rPr>
          <w:rStyle w:val="HideTWBExt"/>
          <w:b w:val="0"/>
          <w:color w:val="auto"/>
        </w:rPr>
        <w:t>&lt;Article&gt;</w:t>
      </w:r>
      <w:r w:rsidRPr="00F14753">
        <w:t>Paragrafo 16 bis (nuovo)</w:t>
      </w:r>
      <w:r w:rsidRPr="00F14753">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0427A3">
        <w:trPr>
          <w:jc w:val="center"/>
        </w:trPr>
        <w:tc>
          <w:tcPr>
            <w:tcW w:w="9752" w:type="dxa"/>
            <w:gridSpan w:val="2"/>
          </w:tcPr>
          <w:p w:rsidR="00B3157A" w:rsidRPr="00F14753" w:rsidRDefault="00B3157A" w:rsidP="000427A3">
            <w:pPr>
              <w:keepNext/>
            </w:pPr>
          </w:p>
        </w:tc>
      </w:tr>
      <w:tr w:rsidR="00B3157A" w:rsidRPr="00F14753" w:rsidTr="000427A3">
        <w:trPr>
          <w:jc w:val="center"/>
        </w:trPr>
        <w:tc>
          <w:tcPr>
            <w:tcW w:w="4876" w:type="dxa"/>
            <w:hideMark/>
          </w:tcPr>
          <w:p w:rsidR="00B3157A" w:rsidRPr="00F14753" w:rsidRDefault="00B3157A" w:rsidP="000427A3">
            <w:pPr>
              <w:pStyle w:val="ColumnHeading"/>
              <w:keepNext/>
            </w:pPr>
            <w:r w:rsidRPr="00F14753">
              <w:t>Proposta di risoluzione</w:t>
            </w:r>
          </w:p>
        </w:tc>
        <w:tc>
          <w:tcPr>
            <w:tcW w:w="4876" w:type="dxa"/>
            <w:hideMark/>
          </w:tcPr>
          <w:p w:rsidR="00B3157A" w:rsidRPr="00F14753" w:rsidRDefault="00B3157A" w:rsidP="000427A3">
            <w:pPr>
              <w:pStyle w:val="ColumnHeading"/>
              <w:keepNext/>
            </w:pPr>
            <w:r w:rsidRPr="00F14753">
              <w:t>Emendamento</w:t>
            </w:r>
          </w:p>
        </w:tc>
      </w:tr>
      <w:tr w:rsidR="00B3157A" w:rsidRPr="00F14753" w:rsidTr="000427A3">
        <w:trPr>
          <w:jc w:val="center"/>
        </w:trPr>
        <w:tc>
          <w:tcPr>
            <w:tcW w:w="4876" w:type="dxa"/>
          </w:tcPr>
          <w:p w:rsidR="00B3157A" w:rsidRPr="00F14753" w:rsidRDefault="00B3157A" w:rsidP="000427A3">
            <w:pPr>
              <w:pStyle w:val="Normal6"/>
            </w:pPr>
          </w:p>
        </w:tc>
        <w:tc>
          <w:tcPr>
            <w:tcW w:w="4876" w:type="dxa"/>
            <w:hideMark/>
          </w:tcPr>
          <w:p w:rsidR="00B3157A" w:rsidRPr="00F14753" w:rsidRDefault="00B3157A" w:rsidP="000427A3">
            <w:pPr>
              <w:pStyle w:val="Normal6"/>
              <w:rPr>
                <w:szCs w:val="24"/>
              </w:rPr>
            </w:pPr>
            <w:r w:rsidRPr="00F14753">
              <w:rPr>
                <w:b/>
                <w:i/>
              </w:rPr>
              <w:t>16 bis.</w:t>
            </w:r>
            <w:r w:rsidRPr="00F14753">
              <w:rPr>
                <w:b/>
                <w:i/>
              </w:rPr>
              <w:tab/>
              <w:t xml:space="preserve">ricorda che il dispositivo per la ripresa e la resilienza, in linea con l'articolo 19, paragrafo 3, lettera c), e con l'allegato V, punto 2.3, del regolamento RRF, impone alla Commissione di valutare la pertinenza, l'efficacia, l'efficienza e la coerenza dei PNRR, considerando, tra i vari criteri, se sono in grado di contribuire efficacemente a rafforzare il potenziale di crescita, la creazione di posti di lavoro e la resilienza economica, sociale e istituzionale dello Stato membro, contribuendo all'attuazione del pilastro europeo dei diritti sociali, anche tramite la promozione di politiche per l'infanzia e la gioventù, e di attenuare l'impatto economico e sociale della crisi COVID-19, migliorando in tal modo la coesione economica, sociale e territoriale e la convergenza all'interno dell'Unione; osserva che tale criterio richiede il </w:t>
            </w:r>
            <w:r w:rsidRPr="00F14753">
              <w:rPr>
                <w:b/>
                <w:i/>
              </w:rPr>
              <w:lastRenderedPageBreak/>
              <w:t>punteggio più elevato della valutazione;</w:t>
            </w:r>
          </w:p>
        </w:tc>
      </w:tr>
    </w:tbl>
    <w:p w:rsidR="00B3157A" w:rsidRPr="00F14753" w:rsidRDefault="00B3157A" w:rsidP="00B3157A">
      <w:pPr>
        <w:rPr>
          <w:szCs w:val="24"/>
        </w:rPr>
      </w:pPr>
      <w:r w:rsidRPr="00F14753">
        <w:rPr>
          <w:rStyle w:val="HideTWBExt"/>
          <w:color w:val="auto"/>
        </w:rPr>
        <w:lastRenderedPageBreak/>
        <w:t>&lt;/Amend&gt;</w:t>
      </w:r>
    </w:p>
    <w:p w:rsidR="00B3157A" w:rsidRPr="00F14753" w:rsidRDefault="00B3157A" w:rsidP="00B3157A">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47</w:t>
      </w:r>
      <w:r w:rsidRPr="00F14753">
        <w:rPr>
          <w:rStyle w:val="HideTWBExt"/>
          <w:b w:val="0"/>
          <w:color w:val="auto"/>
        </w:rPr>
        <w:t>&lt;/NumAm&gt;</w:t>
      </w:r>
    </w:p>
    <w:p w:rsidR="00B3157A" w:rsidRPr="00F14753" w:rsidRDefault="00B3157A" w:rsidP="00B3157A">
      <w:pPr>
        <w:pStyle w:val="NormalBold12b"/>
        <w:keepNext/>
      </w:pPr>
      <w:r w:rsidRPr="00F14753">
        <w:rPr>
          <w:rStyle w:val="HideTWBExt"/>
          <w:b w:val="0"/>
          <w:color w:val="auto"/>
        </w:rPr>
        <w:t>&lt;DocAmend&gt;</w:t>
      </w:r>
      <w:r w:rsidRPr="00F14753">
        <w:t>Proposta di risoluzione</w:t>
      </w:r>
      <w:r w:rsidRPr="00F14753">
        <w:rPr>
          <w:rStyle w:val="HideTWBExt"/>
          <w:b w:val="0"/>
          <w:color w:val="auto"/>
        </w:rPr>
        <w:t>&lt;/DocAmend&gt;</w:t>
      </w:r>
    </w:p>
    <w:p w:rsidR="00B3157A" w:rsidRPr="00F14753" w:rsidRDefault="00B3157A" w:rsidP="00B3157A">
      <w:pPr>
        <w:pStyle w:val="NormalBold"/>
      </w:pPr>
      <w:r w:rsidRPr="00F14753">
        <w:rPr>
          <w:rStyle w:val="HideTWBExt"/>
          <w:b w:val="0"/>
          <w:color w:val="auto"/>
        </w:rPr>
        <w:t>&lt;Article&gt;</w:t>
      </w:r>
      <w:r w:rsidRPr="00F14753">
        <w:t>Paragrafo 18</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0427A3">
        <w:trPr>
          <w:jc w:val="center"/>
        </w:trPr>
        <w:tc>
          <w:tcPr>
            <w:tcW w:w="9752" w:type="dxa"/>
            <w:gridSpan w:val="2"/>
          </w:tcPr>
          <w:p w:rsidR="00B3157A" w:rsidRPr="00F14753" w:rsidRDefault="00B3157A" w:rsidP="000427A3">
            <w:pPr>
              <w:keepNext/>
            </w:pPr>
          </w:p>
        </w:tc>
      </w:tr>
      <w:tr w:rsidR="00B3157A" w:rsidRPr="00F14753" w:rsidTr="000427A3">
        <w:trPr>
          <w:jc w:val="center"/>
        </w:trPr>
        <w:tc>
          <w:tcPr>
            <w:tcW w:w="4876" w:type="dxa"/>
            <w:hideMark/>
          </w:tcPr>
          <w:p w:rsidR="00B3157A" w:rsidRPr="00F14753" w:rsidRDefault="00B3157A" w:rsidP="000427A3">
            <w:pPr>
              <w:pStyle w:val="ColumnHeading"/>
              <w:keepNext/>
            </w:pPr>
            <w:r w:rsidRPr="00F14753">
              <w:t>Proposta di risoluzione</w:t>
            </w:r>
          </w:p>
        </w:tc>
        <w:tc>
          <w:tcPr>
            <w:tcW w:w="4876" w:type="dxa"/>
            <w:hideMark/>
          </w:tcPr>
          <w:p w:rsidR="00B3157A" w:rsidRPr="00F14753" w:rsidRDefault="00B3157A" w:rsidP="000427A3">
            <w:pPr>
              <w:pStyle w:val="ColumnHeading"/>
              <w:keepNext/>
            </w:pPr>
            <w:r w:rsidRPr="00F14753">
              <w:t>Emendamento</w:t>
            </w:r>
          </w:p>
        </w:tc>
      </w:tr>
      <w:tr w:rsidR="00B3157A" w:rsidRPr="00F14753" w:rsidTr="000427A3">
        <w:trPr>
          <w:jc w:val="center"/>
        </w:trPr>
        <w:tc>
          <w:tcPr>
            <w:tcW w:w="4876" w:type="dxa"/>
            <w:hideMark/>
          </w:tcPr>
          <w:p w:rsidR="00B3157A" w:rsidRPr="00F14753" w:rsidRDefault="00B3157A" w:rsidP="000427A3">
            <w:pPr>
              <w:pStyle w:val="Normal6"/>
            </w:pPr>
            <w:r w:rsidRPr="00F14753">
              <w:t>18.</w:t>
            </w:r>
            <w:r w:rsidRPr="00F14753">
              <w:tab/>
              <w:t>accoglie con favore il fatto che tutti gli Stati membri abbiano superato gli obiettivi per la transizione verde (37 %) e la transizione digitale (20 %), con una spesa media per il conseguimento degli obiettivi climatici e digitali del dispositivo per la ripresa e la resilienza nel suo insieme pari rispettivamente al 42 % e al 26 %; osserva che la Corte dei conti ha sollevato dubbi sul modo in cui l'attuazione delle misure del dispositivo per la ripresa e la resilienza ha contribuito alla transizione verde e ha raccomandato miglioramenti delle metodologie utilizzate per stimare l'impatto climatico; sottolinea che le stesse carenze metodologiche esistono in tutti i pilastri del dispositivo per la ripresa e la resilienza;</w:t>
            </w:r>
          </w:p>
        </w:tc>
        <w:tc>
          <w:tcPr>
            <w:tcW w:w="4876" w:type="dxa"/>
            <w:hideMark/>
          </w:tcPr>
          <w:p w:rsidR="00B3157A" w:rsidRPr="00F14753" w:rsidRDefault="00B3157A" w:rsidP="000427A3">
            <w:pPr>
              <w:pStyle w:val="Normal6"/>
              <w:rPr>
                <w:szCs w:val="24"/>
              </w:rPr>
            </w:pPr>
            <w:r w:rsidRPr="00F14753">
              <w:t>18.</w:t>
            </w:r>
            <w:r w:rsidRPr="00F14753">
              <w:tab/>
              <w:t>accoglie con favore il fatto che tutti gli Stati membri abbiano superato gli obiettivi per la transizione verde (37 %) e la transizione digitale (20 %), con una spesa media per il conseguimento degli obiettivi climatici e digitali del dispositivo per la ripresa e la resilienza nel suo insieme pari rispettivamente al 42 % e al 26 %; osserva che la Corte dei conti ha sollevato dubbi sul modo in cui l'attuazione delle misure del dispositivo per la ripresa e la resilienza ha contribuito alla transizione verde e ha raccomandato miglioramenti delle metodologie utilizzate per stimare l'impatto climatico; sottolinea che le stesse carenze metodologiche esistono in tutti i pilastri del dispositivo per la ripresa e la resilienza</w:t>
            </w:r>
            <w:r w:rsidRPr="00F14753">
              <w:rPr>
                <w:b/>
                <w:i/>
              </w:rPr>
              <w:t xml:space="preserve"> e invita la Commissione ad applicare le raccomandazioni della Corte dei conti in modo orizzontale;</w:t>
            </w:r>
            <w:r w:rsidRPr="00F14753">
              <w:t xml:space="preserve"> </w:t>
            </w:r>
            <w:r w:rsidRPr="00F14753">
              <w:rPr>
                <w:b/>
                <w:i/>
              </w:rPr>
              <w:t>sottolinea l'importanza degli indicatori relativi all'attuazione dei principi e del piano d'azione del pilastro europeo dei diritti sociali; invita la Commissione a collaborare con il Parlamento, nell'ambito del dialogo sulla ripresa e la resilienza, al fine di rivedere gli indicatori sociali in linea con la dichiarazione di Porto, e invita la Commissione a consultare le parti sociali e la società civile;</w:t>
            </w:r>
          </w:p>
        </w:tc>
      </w:tr>
    </w:tbl>
    <w:p w:rsidR="00B3157A" w:rsidRPr="00F14753" w:rsidRDefault="00B3157A" w:rsidP="00B3157A">
      <w:pPr>
        <w:rPr>
          <w:szCs w:val="24"/>
        </w:rPr>
      </w:pPr>
      <w:r w:rsidRPr="00F14753">
        <w:rPr>
          <w:rStyle w:val="HideTWBExt"/>
          <w:color w:val="auto"/>
        </w:rPr>
        <w:t>&lt;/Amend&gt;</w:t>
      </w:r>
    </w:p>
    <w:p w:rsidR="00B3157A" w:rsidRPr="00F14753" w:rsidRDefault="00B3157A" w:rsidP="00B3157A">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48</w:t>
      </w:r>
      <w:r w:rsidRPr="00F14753">
        <w:rPr>
          <w:rStyle w:val="HideTWBExt"/>
          <w:b w:val="0"/>
          <w:color w:val="auto"/>
        </w:rPr>
        <w:t>&lt;/NumAm&gt;</w:t>
      </w:r>
    </w:p>
    <w:p w:rsidR="00B3157A" w:rsidRPr="00F14753" w:rsidRDefault="00B3157A" w:rsidP="00B3157A"/>
    <w:p w:rsidR="00B3157A" w:rsidRPr="00F14753" w:rsidRDefault="00B3157A" w:rsidP="00B3157A">
      <w:pPr>
        <w:pStyle w:val="NormalBold"/>
        <w:keepNext/>
      </w:pPr>
      <w:r w:rsidRPr="00F14753">
        <w:rPr>
          <w:rStyle w:val="HideTWBExt"/>
          <w:b w:val="0"/>
          <w:color w:val="auto"/>
        </w:rPr>
        <w:t>&lt;DocAmend&gt;</w:t>
      </w:r>
      <w:r w:rsidRPr="00F14753">
        <w:t>Proposta di risoluzione</w:t>
      </w:r>
      <w:r w:rsidRPr="00F14753">
        <w:rPr>
          <w:rStyle w:val="HideTWBExt"/>
          <w:b w:val="0"/>
          <w:color w:val="auto"/>
        </w:rPr>
        <w:t>&lt;/DocAmend&gt;</w:t>
      </w:r>
    </w:p>
    <w:p w:rsidR="00B3157A" w:rsidRPr="00F14753" w:rsidRDefault="00B3157A" w:rsidP="00B3157A">
      <w:pPr>
        <w:pStyle w:val="NormalBold"/>
      </w:pPr>
      <w:r w:rsidRPr="00F14753">
        <w:rPr>
          <w:rStyle w:val="HideTWBExt"/>
          <w:b w:val="0"/>
          <w:color w:val="auto"/>
        </w:rPr>
        <w:t>&lt;Article&gt;</w:t>
      </w:r>
      <w:r w:rsidRPr="00F14753">
        <w:t>Paragrafo 19</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0427A3">
        <w:trPr>
          <w:jc w:val="center"/>
        </w:trPr>
        <w:tc>
          <w:tcPr>
            <w:tcW w:w="9752" w:type="dxa"/>
            <w:gridSpan w:val="2"/>
          </w:tcPr>
          <w:p w:rsidR="00B3157A" w:rsidRPr="00F14753" w:rsidRDefault="00B3157A" w:rsidP="000427A3">
            <w:pPr>
              <w:keepNext/>
            </w:pPr>
          </w:p>
        </w:tc>
      </w:tr>
      <w:tr w:rsidR="00B3157A" w:rsidRPr="00F14753" w:rsidTr="000427A3">
        <w:trPr>
          <w:jc w:val="center"/>
        </w:trPr>
        <w:tc>
          <w:tcPr>
            <w:tcW w:w="4876" w:type="dxa"/>
            <w:hideMark/>
          </w:tcPr>
          <w:p w:rsidR="00B3157A" w:rsidRPr="00F14753" w:rsidRDefault="00B3157A" w:rsidP="000427A3">
            <w:pPr>
              <w:pStyle w:val="ColumnHeading"/>
              <w:keepNext/>
            </w:pPr>
            <w:r w:rsidRPr="00F14753">
              <w:t>Proposta di risoluzione</w:t>
            </w:r>
          </w:p>
        </w:tc>
        <w:tc>
          <w:tcPr>
            <w:tcW w:w="4876" w:type="dxa"/>
            <w:hideMark/>
          </w:tcPr>
          <w:p w:rsidR="00B3157A" w:rsidRPr="00F14753" w:rsidRDefault="00B3157A" w:rsidP="000427A3">
            <w:pPr>
              <w:pStyle w:val="ColumnHeading"/>
              <w:keepNext/>
            </w:pPr>
            <w:r w:rsidRPr="00F14753">
              <w:t>Emendamento</w:t>
            </w:r>
          </w:p>
        </w:tc>
      </w:tr>
      <w:tr w:rsidR="00B3157A" w:rsidRPr="00F14753" w:rsidTr="000427A3">
        <w:trPr>
          <w:jc w:val="center"/>
        </w:trPr>
        <w:tc>
          <w:tcPr>
            <w:tcW w:w="4876" w:type="dxa"/>
            <w:hideMark/>
          </w:tcPr>
          <w:p w:rsidR="00B3157A" w:rsidRPr="00F14753" w:rsidRDefault="00B3157A" w:rsidP="000427A3">
            <w:pPr>
              <w:pStyle w:val="Normal6"/>
            </w:pPr>
            <w:r w:rsidRPr="00F14753">
              <w:t>19.</w:t>
            </w:r>
            <w:r w:rsidRPr="00F14753">
              <w:tab/>
              <w:t xml:space="preserve">prende atto dell'impatto tangibile che il dispositivo per la ripresa e la resilienza </w:t>
            </w:r>
            <w:r w:rsidRPr="00F14753">
              <w:rPr>
                <w:b/>
                <w:i/>
              </w:rPr>
              <w:t>potrebbe</w:t>
            </w:r>
            <w:r w:rsidRPr="00F14753">
              <w:t xml:space="preserve"> avere sugli obiettivi sociali, dal momento che gli Stati membri prevedono di spendere circa 163 miliardi di EUR</w:t>
            </w:r>
            <w:r w:rsidRPr="00F14753">
              <w:rPr>
                <w:b/>
                <w:i/>
              </w:rPr>
              <w:t>; sottolinea la necessità di accelerare gli investimenti nello sviluppo delle zone rurali e remote</w:t>
            </w:r>
            <w:r w:rsidRPr="00F14753">
              <w:t xml:space="preserve">, </w:t>
            </w:r>
            <w:r w:rsidRPr="00F14753">
              <w:rPr>
                <w:b/>
                <w:i/>
              </w:rPr>
              <w:t>nella protezione sociale e nell'integrazione dei gruppi vulnerabili nonché nell'occupazione giovanile, dove si riscontrano ritardi nella spesa; chiede una valutazione approfondita da parte della Commissione</w:t>
            </w:r>
            <w:r w:rsidRPr="00F14753">
              <w:t xml:space="preserve">, </w:t>
            </w:r>
            <w:r w:rsidRPr="00F14753">
              <w:rPr>
                <w:b/>
                <w:i/>
              </w:rPr>
              <w:t>nell'ambito del quadro di valutazione</w:t>
            </w:r>
            <w:r w:rsidRPr="00F14753">
              <w:t xml:space="preserve"> della </w:t>
            </w:r>
            <w:r w:rsidRPr="00F14753">
              <w:rPr>
                <w:b/>
                <w:i/>
              </w:rPr>
              <w:t>ripresa</w:t>
            </w:r>
            <w:r w:rsidRPr="00F14753">
              <w:t xml:space="preserve"> e </w:t>
            </w:r>
            <w:r w:rsidRPr="00F14753">
              <w:rPr>
                <w:b/>
                <w:i/>
              </w:rPr>
              <w:t>della resilienza</w:t>
            </w:r>
            <w:r w:rsidRPr="00F14753">
              <w:t xml:space="preserve">, </w:t>
            </w:r>
            <w:r w:rsidRPr="00F14753">
              <w:rPr>
                <w:b/>
                <w:i/>
              </w:rPr>
              <w:t>dei progetti</w:t>
            </w:r>
            <w:r w:rsidRPr="00F14753">
              <w:t xml:space="preserve"> e </w:t>
            </w:r>
            <w:r w:rsidRPr="00F14753">
              <w:rPr>
                <w:b/>
                <w:i/>
              </w:rPr>
              <w:t>delle riforme relativi all'istruzione</w:t>
            </w:r>
            <w:r w:rsidRPr="00F14753">
              <w:t xml:space="preserve"> e </w:t>
            </w:r>
            <w:r w:rsidRPr="00F14753">
              <w:rPr>
                <w:b/>
                <w:i/>
              </w:rPr>
              <w:t>ai giovani attuati dagli</w:t>
            </w:r>
            <w:r w:rsidRPr="00F14753">
              <w:t xml:space="preserve"> Stati membri </w:t>
            </w:r>
            <w:r w:rsidRPr="00F14753">
              <w:rPr>
                <w:b/>
                <w:i/>
              </w:rPr>
              <w:t>nell'ambito</w:t>
            </w:r>
            <w:r w:rsidRPr="00F14753">
              <w:t xml:space="preserve"> del dispositivo per la ripresa e la resilienza;</w:t>
            </w:r>
          </w:p>
        </w:tc>
        <w:tc>
          <w:tcPr>
            <w:tcW w:w="4876" w:type="dxa"/>
            <w:hideMark/>
          </w:tcPr>
          <w:p w:rsidR="00B3157A" w:rsidRPr="00F14753" w:rsidRDefault="00B3157A" w:rsidP="000427A3">
            <w:pPr>
              <w:pStyle w:val="Normal6"/>
              <w:rPr>
                <w:szCs w:val="24"/>
              </w:rPr>
            </w:pPr>
            <w:r w:rsidRPr="00F14753">
              <w:t>19.</w:t>
            </w:r>
            <w:r w:rsidRPr="00F14753">
              <w:tab/>
              <w:t xml:space="preserve">prende atto dell'impatto tangibile che il dispositivo per la ripresa e la resilienza </w:t>
            </w:r>
            <w:r w:rsidRPr="00F14753">
              <w:rPr>
                <w:b/>
                <w:i/>
              </w:rPr>
              <w:t>può</w:t>
            </w:r>
            <w:r w:rsidRPr="00F14753">
              <w:t xml:space="preserve"> avere sugli obiettivi sociali, dal momento che gli Stati membri prevedono di spendere circa 163 miliardi di EUR</w:t>
            </w:r>
            <w:r w:rsidRPr="00F14753">
              <w:rPr>
                <w:b/>
                <w:i/>
              </w:rPr>
              <w:t>, pari a circa il 25 % della spesa totale stimata, e osserva che, ad oggi</w:t>
            </w:r>
            <w:r w:rsidRPr="00F14753">
              <w:t xml:space="preserve">, </w:t>
            </w:r>
            <w:r w:rsidRPr="00F14753">
              <w:rPr>
                <w:b/>
                <w:i/>
              </w:rPr>
              <w:t>la Commissione ha erogato circa 269 miliardi di EUR nell'ambito del dispositivo per la ripresa e la resilienza in sovvenzioni, prestiti e prefinanziamenti; osserva che</w:t>
            </w:r>
            <w:r w:rsidRPr="00F14753">
              <w:t xml:space="preserve">, </w:t>
            </w:r>
            <w:r w:rsidRPr="00F14753">
              <w:rPr>
                <w:b/>
                <w:i/>
              </w:rPr>
              <w:t>a seguito delle revisioni dei PNRR, quasi il 30 %</w:t>
            </w:r>
            <w:r w:rsidRPr="00F14753">
              <w:t xml:space="preserve"> della </w:t>
            </w:r>
            <w:r w:rsidRPr="00F14753">
              <w:rPr>
                <w:b/>
                <w:i/>
              </w:rPr>
              <w:t>spesa sociale stimata è destinato rispettivamente a investimenti</w:t>
            </w:r>
            <w:r w:rsidRPr="00F14753">
              <w:t xml:space="preserve"> e </w:t>
            </w:r>
            <w:r w:rsidRPr="00F14753">
              <w:rPr>
                <w:b/>
                <w:i/>
              </w:rPr>
              <w:t>riforme nell'istruzione e nell'assistenza all'infanzia</w:t>
            </w:r>
            <w:r w:rsidRPr="00F14753">
              <w:t xml:space="preserve">, </w:t>
            </w:r>
            <w:r w:rsidRPr="00F14753">
              <w:rPr>
                <w:b/>
                <w:i/>
              </w:rPr>
              <w:t>alla sanità</w:t>
            </w:r>
            <w:r w:rsidRPr="00F14753">
              <w:t xml:space="preserve"> e </w:t>
            </w:r>
            <w:r w:rsidRPr="00F14753">
              <w:rPr>
                <w:b/>
                <w:i/>
              </w:rPr>
              <w:t>all'assistenza a lungo termine, mentre il 25 % è destinato all'occupazione</w:t>
            </w:r>
            <w:r w:rsidRPr="00F14753">
              <w:t xml:space="preserve"> e </w:t>
            </w:r>
            <w:r w:rsidRPr="00F14753">
              <w:rPr>
                <w:b/>
                <w:i/>
              </w:rPr>
              <w:t>alle competenze e il resto alle politiche sociali</w:t>
            </w:r>
            <w:r w:rsidRPr="00F14753">
              <w:rPr>
                <w:b/>
                <w:i/>
                <w:vertAlign w:val="superscript"/>
              </w:rPr>
              <w:t>1 bis</w:t>
            </w:r>
            <w:r w:rsidRPr="00F14753">
              <w:rPr>
                <w:b/>
                <w:i/>
              </w:rPr>
              <w:t>; invita gli</w:t>
            </w:r>
            <w:r w:rsidRPr="00F14753">
              <w:t xml:space="preserve"> Stati membri </w:t>
            </w:r>
            <w:r w:rsidRPr="00F14753">
              <w:rPr>
                <w:b/>
                <w:i/>
              </w:rPr>
              <w:t>a destinare almeno il 30 % della spesa</w:t>
            </w:r>
            <w:r w:rsidRPr="00F14753">
              <w:t xml:space="preserve"> del dispositivo per la ripresa e la resilienza</w:t>
            </w:r>
            <w:r w:rsidRPr="00F14753">
              <w:rPr>
                <w:b/>
                <w:i/>
              </w:rPr>
              <w:t xml:space="preserve"> a titolo dei pilastri pertinenti a favore di investimenti sociali entro la scadenza del termine di pagamento</w:t>
            </w:r>
            <w:r w:rsidRPr="00F14753">
              <w:t>;</w:t>
            </w:r>
          </w:p>
        </w:tc>
      </w:tr>
      <w:tr w:rsidR="00B3157A" w:rsidRPr="00F14753" w:rsidTr="000427A3">
        <w:trPr>
          <w:jc w:val="center"/>
        </w:trPr>
        <w:tc>
          <w:tcPr>
            <w:tcW w:w="4876" w:type="dxa"/>
          </w:tcPr>
          <w:p w:rsidR="00B3157A" w:rsidRPr="00F14753" w:rsidRDefault="00B3157A" w:rsidP="000427A3">
            <w:pPr>
              <w:pStyle w:val="Normal6"/>
            </w:pPr>
          </w:p>
        </w:tc>
        <w:tc>
          <w:tcPr>
            <w:tcW w:w="4876" w:type="dxa"/>
            <w:hideMark/>
          </w:tcPr>
          <w:p w:rsidR="00B3157A" w:rsidRPr="00F14753" w:rsidRDefault="00B3157A" w:rsidP="000427A3">
            <w:pPr>
              <w:pStyle w:val="Normal6"/>
              <w:rPr>
                <w:szCs w:val="24"/>
              </w:rPr>
            </w:pPr>
            <w:r w:rsidRPr="00F14753">
              <w:t>__________________</w:t>
            </w:r>
          </w:p>
        </w:tc>
      </w:tr>
      <w:tr w:rsidR="00B3157A" w:rsidRPr="00F14753" w:rsidTr="000427A3">
        <w:trPr>
          <w:jc w:val="center"/>
        </w:trPr>
        <w:tc>
          <w:tcPr>
            <w:tcW w:w="4876" w:type="dxa"/>
          </w:tcPr>
          <w:p w:rsidR="00B3157A" w:rsidRPr="00F14753" w:rsidRDefault="00B3157A" w:rsidP="000427A3">
            <w:pPr>
              <w:pStyle w:val="Normal6"/>
            </w:pPr>
          </w:p>
        </w:tc>
        <w:tc>
          <w:tcPr>
            <w:tcW w:w="4876" w:type="dxa"/>
          </w:tcPr>
          <w:p w:rsidR="00B3157A" w:rsidRPr="00F14753" w:rsidRDefault="00B3157A" w:rsidP="000427A3">
            <w:pPr>
              <w:pStyle w:val="Normal6"/>
              <w:rPr>
                <w:szCs w:val="24"/>
              </w:rPr>
            </w:pPr>
            <w:r w:rsidRPr="00F14753">
              <w:rPr>
                <w:b/>
                <w:bCs/>
                <w:i/>
                <w:iCs/>
                <w:vertAlign w:val="superscript"/>
              </w:rPr>
              <w:t>1 bis</w:t>
            </w:r>
            <w:r w:rsidRPr="00F14753">
              <w:rPr>
                <w:b/>
                <w:bCs/>
                <w:i/>
                <w:iCs/>
              </w:rPr>
              <w:t xml:space="preserve"> COM(2024)0474, pag. 19.</w:t>
            </w:r>
          </w:p>
        </w:tc>
      </w:tr>
      <w:tr w:rsidR="00B3157A" w:rsidRPr="00F14753" w:rsidTr="000427A3">
        <w:trPr>
          <w:jc w:val="center"/>
        </w:trPr>
        <w:tc>
          <w:tcPr>
            <w:tcW w:w="4876" w:type="dxa"/>
          </w:tcPr>
          <w:p w:rsidR="00B3157A" w:rsidRPr="00F14753" w:rsidRDefault="00B3157A" w:rsidP="000427A3">
            <w:pPr>
              <w:pStyle w:val="Normal6"/>
            </w:pPr>
          </w:p>
        </w:tc>
        <w:tc>
          <w:tcPr>
            <w:tcW w:w="4876" w:type="dxa"/>
            <w:hideMark/>
          </w:tcPr>
          <w:p w:rsidR="00B3157A" w:rsidRPr="00F14753" w:rsidRDefault="00B3157A" w:rsidP="000427A3">
            <w:pPr>
              <w:pStyle w:val="Normal6"/>
              <w:rPr>
                <w:szCs w:val="24"/>
              </w:rPr>
            </w:pPr>
          </w:p>
        </w:tc>
      </w:tr>
    </w:tbl>
    <w:p w:rsidR="00B3157A" w:rsidRPr="00F14753" w:rsidRDefault="00B3157A" w:rsidP="00B3157A">
      <w:r w:rsidRPr="00F14753">
        <w:rPr>
          <w:rStyle w:val="HideTWBExt"/>
          <w:color w:val="auto"/>
        </w:rPr>
        <w:t>&lt;/Amend&gt;</w:t>
      </w:r>
    </w:p>
    <w:p w:rsidR="00B3157A" w:rsidRPr="00F14753" w:rsidRDefault="00B3157A" w:rsidP="00B3157A">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49</w:t>
      </w:r>
      <w:r w:rsidRPr="00F14753">
        <w:rPr>
          <w:rStyle w:val="HideTWBExt"/>
          <w:b w:val="0"/>
          <w:color w:val="auto"/>
        </w:rPr>
        <w:t>&lt;/NumAm&gt;</w:t>
      </w:r>
    </w:p>
    <w:p w:rsidR="00B3157A" w:rsidRPr="00F14753" w:rsidRDefault="00B3157A" w:rsidP="00B3157A"/>
    <w:p w:rsidR="00B3157A" w:rsidRPr="00F14753" w:rsidRDefault="00B3157A" w:rsidP="00B3157A">
      <w:pPr>
        <w:pStyle w:val="NormalBold"/>
        <w:keepNext/>
      </w:pPr>
      <w:r w:rsidRPr="00F14753">
        <w:rPr>
          <w:rStyle w:val="HideTWBExt"/>
          <w:b w:val="0"/>
          <w:color w:val="auto"/>
        </w:rPr>
        <w:t>&lt;DocAmend&gt;</w:t>
      </w:r>
      <w:r w:rsidRPr="00F14753">
        <w:t>Proposta di risoluzione</w:t>
      </w:r>
      <w:r w:rsidRPr="00F14753">
        <w:rPr>
          <w:rStyle w:val="HideTWBExt"/>
          <w:b w:val="0"/>
          <w:color w:val="auto"/>
        </w:rPr>
        <w:t>&lt;/DocAmend&gt;</w:t>
      </w:r>
    </w:p>
    <w:p w:rsidR="00B3157A" w:rsidRPr="00F14753" w:rsidRDefault="00B3157A" w:rsidP="00B3157A">
      <w:pPr>
        <w:pStyle w:val="NormalBold"/>
      </w:pPr>
      <w:r w:rsidRPr="00F14753">
        <w:rPr>
          <w:rStyle w:val="HideTWBExt"/>
          <w:b w:val="0"/>
          <w:color w:val="auto"/>
        </w:rPr>
        <w:t>&lt;Article&gt;</w:t>
      </w:r>
      <w:r w:rsidRPr="00F14753">
        <w:t>Paragrafo 19 bis (nuovo)</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0427A3">
        <w:trPr>
          <w:jc w:val="center"/>
        </w:trPr>
        <w:tc>
          <w:tcPr>
            <w:tcW w:w="9752" w:type="dxa"/>
            <w:gridSpan w:val="2"/>
          </w:tcPr>
          <w:p w:rsidR="00B3157A" w:rsidRPr="00F14753" w:rsidRDefault="00B3157A" w:rsidP="000427A3">
            <w:pPr>
              <w:keepNext/>
            </w:pPr>
          </w:p>
        </w:tc>
      </w:tr>
      <w:tr w:rsidR="00B3157A" w:rsidRPr="00F14753" w:rsidTr="000427A3">
        <w:trPr>
          <w:jc w:val="center"/>
        </w:trPr>
        <w:tc>
          <w:tcPr>
            <w:tcW w:w="4876" w:type="dxa"/>
            <w:hideMark/>
          </w:tcPr>
          <w:p w:rsidR="00B3157A" w:rsidRPr="00F14753" w:rsidRDefault="00B3157A" w:rsidP="000427A3">
            <w:pPr>
              <w:pStyle w:val="ColumnHeading"/>
              <w:keepNext/>
            </w:pPr>
            <w:r w:rsidRPr="00F14753">
              <w:t>Proposta di risoluzione</w:t>
            </w:r>
          </w:p>
        </w:tc>
        <w:tc>
          <w:tcPr>
            <w:tcW w:w="4876" w:type="dxa"/>
            <w:hideMark/>
          </w:tcPr>
          <w:p w:rsidR="00B3157A" w:rsidRPr="00F14753" w:rsidRDefault="00B3157A" w:rsidP="000427A3">
            <w:pPr>
              <w:pStyle w:val="ColumnHeading"/>
              <w:keepNext/>
            </w:pPr>
            <w:r w:rsidRPr="00F14753">
              <w:t>Emendamento</w:t>
            </w:r>
          </w:p>
        </w:tc>
      </w:tr>
      <w:tr w:rsidR="00B3157A" w:rsidRPr="00F14753" w:rsidTr="000427A3">
        <w:trPr>
          <w:jc w:val="center"/>
        </w:trPr>
        <w:tc>
          <w:tcPr>
            <w:tcW w:w="4876" w:type="dxa"/>
          </w:tcPr>
          <w:p w:rsidR="00B3157A" w:rsidRPr="00F14753" w:rsidRDefault="00B3157A" w:rsidP="000427A3">
            <w:pPr>
              <w:pStyle w:val="Normal6"/>
            </w:pPr>
          </w:p>
        </w:tc>
        <w:tc>
          <w:tcPr>
            <w:tcW w:w="4876" w:type="dxa"/>
            <w:hideMark/>
          </w:tcPr>
          <w:p w:rsidR="00B3157A" w:rsidRPr="00F14753" w:rsidRDefault="00B3157A" w:rsidP="000427A3">
            <w:pPr>
              <w:pStyle w:val="Normal6"/>
              <w:rPr>
                <w:szCs w:val="24"/>
              </w:rPr>
            </w:pPr>
            <w:r w:rsidRPr="00F14753">
              <w:rPr>
                <w:b/>
                <w:i/>
              </w:rPr>
              <w:t>19 bis.</w:t>
            </w:r>
            <w:r w:rsidRPr="00F14753">
              <w:rPr>
                <w:b/>
                <w:i/>
              </w:rPr>
              <w:tab/>
              <w:t xml:space="preserve">sottolinea la necessità di accelerare gli investimenti per rafforzare la protezione sociale e i servizi sociali pubblici, pensioni adeguate, l'assistenza a lungo termine, la disponibilità e l'accessibilità economica degli alloggi, in particolare gli alloggi sociali, la lotta alla povertà e all'esclusione sociale, in </w:t>
            </w:r>
            <w:r w:rsidRPr="00F14753">
              <w:rPr>
                <w:b/>
                <w:i/>
              </w:rPr>
              <w:lastRenderedPageBreak/>
              <w:t>particolare la povertà infantile, l'educazione e la cura della prima infanzia, la formazione professionale e scolastica degli adulti e lo sviluppo delle competenze, l'inclusione di gruppi in situazioni di vulnerabilità, come donne, minori, famiglie monoparentali, disabili, migranti, rom, persone LGBTIQ, giovani e anziani, il sostegno all'occupazione giovanile, la modernizzazione delle istituzioni del mercato del lavoro, comprese le previsioni delle competenze e il dialogo sociale, e lo sviluppo delle zone rurali e remote in cui la spesa è in ritardo; chiede una valutazione da parte della Commissione, nell'ambito del quadro di valutazione della ripresa e della resilienza, per tenere traccia dell'efficacia degli investimenti sociali;</w:t>
            </w:r>
          </w:p>
        </w:tc>
      </w:tr>
    </w:tbl>
    <w:p w:rsidR="00B3157A" w:rsidRPr="00F14753" w:rsidRDefault="00B3157A" w:rsidP="00B3157A">
      <w:r w:rsidRPr="00F14753">
        <w:rPr>
          <w:rStyle w:val="HideTWBExt"/>
          <w:color w:val="auto"/>
        </w:rPr>
        <w:lastRenderedPageBreak/>
        <w:t>&lt;/Amend&gt;</w:t>
      </w:r>
    </w:p>
    <w:p w:rsidR="00B3157A" w:rsidRPr="00F14753" w:rsidRDefault="00B3157A" w:rsidP="00B3157A">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50</w:t>
      </w:r>
      <w:r w:rsidRPr="00F14753">
        <w:rPr>
          <w:rStyle w:val="HideTWBExt"/>
          <w:b w:val="0"/>
          <w:color w:val="auto"/>
        </w:rPr>
        <w:t>&lt;/NumAm&gt;</w:t>
      </w:r>
    </w:p>
    <w:p w:rsidR="00B3157A" w:rsidRPr="00F14753" w:rsidRDefault="00B3157A" w:rsidP="00B3157A"/>
    <w:p w:rsidR="00B3157A" w:rsidRPr="00F14753" w:rsidRDefault="00B3157A" w:rsidP="00B3157A">
      <w:pPr>
        <w:pStyle w:val="NormalBold"/>
        <w:keepNext/>
      </w:pPr>
      <w:r w:rsidRPr="00F14753">
        <w:rPr>
          <w:rStyle w:val="HideTWBExt"/>
          <w:b w:val="0"/>
          <w:color w:val="auto"/>
        </w:rPr>
        <w:t>&lt;DocAmend&gt;</w:t>
      </w:r>
      <w:r w:rsidRPr="00F14753">
        <w:t>Proposta di risoluzione</w:t>
      </w:r>
      <w:r w:rsidRPr="00F14753">
        <w:rPr>
          <w:rStyle w:val="HideTWBExt"/>
          <w:b w:val="0"/>
          <w:color w:val="auto"/>
        </w:rPr>
        <w:t>&lt;/DocAmend&gt;</w:t>
      </w:r>
    </w:p>
    <w:p w:rsidR="00B3157A" w:rsidRPr="00F14753" w:rsidRDefault="00B3157A" w:rsidP="00B3157A">
      <w:pPr>
        <w:pStyle w:val="NormalBold"/>
      </w:pPr>
      <w:r w:rsidRPr="00F14753">
        <w:rPr>
          <w:rStyle w:val="HideTWBExt"/>
          <w:b w:val="0"/>
          <w:color w:val="auto"/>
        </w:rPr>
        <w:t>&lt;Article&gt;</w:t>
      </w:r>
      <w:r w:rsidRPr="00F14753">
        <w:t>Paragrafo 20</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0427A3">
        <w:trPr>
          <w:jc w:val="center"/>
        </w:trPr>
        <w:tc>
          <w:tcPr>
            <w:tcW w:w="9752" w:type="dxa"/>
            <w:gridSpan w:val="2"/>
          </w:tcPr>
          <w:p w:rsidR="00B3157A" w:rsidRPr="00F14753" w:rsidRDefault="00B3157A" w:rsidP="000427A3">
            <w:pPr>
              <w:keepNext/>
            </w:pPr>
          </w:p>
        </w:tc>
      </w:tr>
      <w:tr w:rsidR="00B3157A" w:rsidRPr="00F14753" w:rsidTr="000427A3">
        <w:trPr>
          <w:jc w:val="center"/>
        </w:trPr>
        <w:tc>
          <w:tcPr>
            <w:tcW w:w="4876" w:type="dxa"/>
            <w:hideMark/>
          </w:tcPr>
          <w:p w:rsidR="00B3157A" w:rsidRPr="00F14753" w:rsidRDefault="00B3157A" w:rsidP="000427A3">
            <w:pPr>
              <w:pStyle w:val="ColumnHeading"/>
              <w:keepNext/>
            </w:pPr>
            <w:r w:rsidRPr="00F14753">
              <w:t>Proposta di risoluzione</w:t>
            </w:r>
          </w:p>
        </w:tc>
        <w:tc>
          <w:tcPr>
            <w:tcW w:w="4876" w:type="dxa"/>
            <w:hideMark/>
          </w:tcPr>
          <w:p w:rsidR="00B3157A" w:rsidRPr="00F14753" w:rsidRDefault="00B3157A" w:rsidP="000427A3">
            <w:pPr>
              <w:pStyle w:val="ColumnHeading"/>
              <w:keepNext/>
            </w:pPr>
            <w:r w:rsidRPr="00F14753">
              <w:t>Emendamento</w:t>
            </w:r>
          </w:p>
        </w:tc>
      </w:tr>
      <w:tr w:rsidR="00B3157A" w:rsidRPr="00F14753" w:rsidTr="000427A3">
        <w:trPr>
          <w:jc w:val="center"/>
        </w:trPr>
        <w:tc>
          <w:tcPr>
            <w:tcW w:w="4876" w:type="dxa"/>
            <w:hideMark/>
          </w:tcPr>
          <w:p w:rsidR="00B3157A" w:rsidRPr="00F14753" w:rsidRDefault="00B3157A" w:rsidP="000427A3">
            <w:pPr>
              <w:pStyle w:val="Normal6"/>
            </w:pPr>
            <w:r w:rsidRPr="00F14753">
              <w:t>20.</w:t>
            </w:r>
            <w:r w:rsidRPr="00F14753">
              <w:tab/>
              <w:t>accoglie con favore i contributi forniti nell'ambito del pilastro "crescita intelligente, sostenibile e inclusiva", in particolare per quanto riguarda la competitività e il sostegno alle PMI; rileva la necessità di accelerare gli investimenti nella cooperazione transnazionale, nel sostegno alle imprese e nelle modifiche normative per una crescita intelligente, sostenibile e inclusiva, che sono in ritardo;</w:t>
            </w:r>
          </w:p>
        </w:tc>
        <w:tc>
          <w:tcPr>
            <w:tcW w:w="4876" w:type="dxa"/>
            <w:hideMark/>
          </w:tcPr>
          <w:p w:rsidR="00B3157A" w:rsidRPr="00F14753" w:rsidRDefault="00B3157A" w:rsidP="000427A3">
            <w:pPr>
              <w:pStyle w:val="Normal6"/>
              <w:rPr>
                <w:szCs w:val="24"/>
              </w:rPr>
            </w:pPr>
            <w:r w:rsidRPr="00F14753">
              <w:t>20.</w:t>
            </w:r>
            <w:r w:rsidRPr="00F14753">
              <w:tab/>
              <w:t xml:space="preserve">accoglie con favore i contributi forniti nell'ambito del pilastro "crescita intelligente, sostenibile e inclusiva", in particolare per quanto riguarda la competitività e il sostegno alle PMI; rileva la necessità di accelerare gli investimenti nella cooperazione transnazionale, nel sostegno alle imprese e </w:t>
            </w:r>
            <w:r w:rsidRPr="00F14753">
              <w:rPr>
                <w:b/>
                <w:i/>
              </w:rPr>
              <w:t xml:space="preserve">ai lavoratori e </w:t>
            </w:r>
            <w:r w:rsidRPr="00F14753">
              <w:t xml:space="preserve">nelle modifiche normative per una crescita intelligente, sostenibile e inclusiva, che sono in ritardo; </w:t>
            </w:r>
            <w:r w:rsidRPr="00F14753">
              <w:rPr>
                <w:b/>
                <w:i/>
              </w:rPr>
              <w:t>sottolinea che una ripresa inclusiva dovrebbe rendere prioritaria anche l'economia sociale, in quanto motore di una crescita sostenibile ed equa;</w:t>
            </w:r>
          </w:p>
        </w:tc>
      </w:tr>
    </w:tbl>
    <w:p w:rsidR="00B3157A" w:rsidRPr="00F14753" w:rsidRDefault="00B3157A" w:rsidP="00B3157A">
      <w:r w:rsidRPr="00F14753">
        <w:rPr>
          <w:rStyle w:val="HideTWBExt"/>
          <w:color w:val="auto"/>
        </w:rPr>
        <w:t>&lt;/Amend&gt;</w:t>
      </w:r>
    </w:p>
    <w:p w:rsidR="00B3157A" w:rsidRPr="00F14753" w:rsidRDefault="00B3157A" w:rsidP="00B3157A">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51</w:t>
      </w:r>
      <w:r w:rsidRPr="00F14753">
        <w:rPr>
          <w:rStyle w:val="HideTWBExt"/>
          <w:b w:val="0"/>
          <w:color w:val="auto"/>
        </w:rPr>
        <w:t>&lt;/NumAm&gt;</w:t>
      </w:r>
    </w:p>
    <w:p w:rsidR="00B3157A" w:rsidRPr="00F14753" w:rsidRDefault="00B3157A" w:rsidP="00B3157A"/>
    <w:p w:rsidR="00B3157A" w:rsidRPr="00F14753" w:rsidRDefault="00B3157A" w:rsidP="00B3157A">
      <w:pPr>
        <w:pStyle w:val="NormalBold"/>
        <w:keepNext/>
      </w:pPr>
      <w:r w:rsidRPr="00F14753">
        <w:rPr>
          <w:rStyle w:val="HideTWBExt"/>
          <w:b w:val="0"/>
          <w:color w:val="auto"/>
        </w:rPr>
        <w:t>&lt;DocAmend&gt;</w:t>
      </w:r>
      <w:r w:rsidRPr="00F14753">
        <w:t>Proposta di risoluzione</w:t>
      </w:r>
      <w:r w:rsidRPr="00F14753">
        <w:rPr>
          <w:rStyle w:val="HideTWBExt"/>
          <w:b w:val="0"/>
          <w:color w:val="auto"/>
        </w:rPr>
        <w:t>&lt;/DocAmend&gt;</w:t>
      </w:r>
    </w:p>
    <w:p w:rsidR="00B3157A" w:rsidRPr="00F14753" w:rsidRDefault="00B3157A" w:rsidP="00B3157A">
      <w:pPr>
        <w:pStyle w:val="NormalBold"/>
      </w:pPr>
      <w:r w:rsidRPr="00F14753">
        <w:rPr>
          <w:rStyle w:val="HideTWBExt"/>
          <w:b w:val="0"/>
          <w:color w:val="auto"/>
        </w:rPr>
        <w:t>&lt;Article&gt;</w:t>
      </w:r>
      <w:r w:rsidRPr="00F14753">
        <w:t>Paragrafo 20 bis (nuovo)</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0427A3">
        <w:trPr>
          <w:jc w:val="center"/>
        </w:trPr>
        <w:tc>
          <w:tcPr>
            <w:tcW w:w="9752" w:type="dxa"/>
            <w:gridSpan w:val="2"/>
          </w:tcPr>
          <w:p w:rsidR="00B3157A" w:rsidRPr="00F14753" w:rsidRDefault="00B3157A" w:rsidP="000427A3">
            <w:pPr>
              <w:keepNext/>
            </w:pPr>
          </w:p>
        </w:tc>
      </w:tr>
      <w:tr w:rsidR="00B3157A" w:rsidRPr="00F14753" w:rsidTr="000427A3">
        <w:trPr>
          <w:jc w:val="center"/>
        </w:trPr>
        <w:tc>
          <w:tcPr>
            <w:tcW w:w="4876" w:type="dxa"/>
            <w:hideMark/>
          </w:tcPr>
          <w:p w:rsidR="00B3157A" w:rsidRPr="00F14753" w:rsidRDefault="00B3157A" w:rsidP="000427A3">
            <w:pPr>
              <w:pStyle w:val="ColumnHeading"/>
              <w:keepNext/>
            </w:pPr>
            <w:r w:rsidRPr="00F14753">
              <w:t>Proposta di risoluzione</w:t>
            </w:r>
          </w:p>
        </w:tc>
        <w:tc>
          <w:tcPr>
            <w:tcW w:w="4876" w:type="dxa"/>
            <w:hideMark/>
          </w:tcPr>
          <w:p w:rsidR="00B3157A" w:rsidRPr="00F14753" w:rsidRDefault="00B3157A" w:rsidP="000427A3">
            <w:pPr>
              <w:pStyle w:val="ColumnHeading"/>
              <w:keepNext/>
            </w:pPr>
            <w:r w:rsidRPr="00F14753">
              <w:t>Emendamento</w:t>
            </w:r>
          </w:p>
        </w:tc>
      </w:tr>
      <w:tr w:rsidR="00B3157A" w:rsidRPr="00F14753" w:rsidTr="000427A3">
        <w:trPr>
          <w:jc w:val="center"/>
        </w:trPr>
        <w:tc>
          <w:tcPr>
            <w:tcW w:w="4876" w:type="dxa"/>
          </w:tcPr>
          <w:p w:rsidR="00B3157A" w:rsidRPr="00F14753" w:rsidRDefault="00B3157A" w:rsidP="000427A3">
            <w:pPr>
              <w:pStyle w:val="Normal6"/>
            </w:pPr>
          </w:p>
        </w:tc>
        <w:tc>
          <w:tcPr>
            <w:tcW w:w="4876" w:type="dxa"/>
            <w:hideMark/>
          </w:tcPr>
          <w:p w:rsidR="00B3157A" w:rsidRPr="00F14753" w:rsidRDefault="00B3157A" w:rsidP="000427A3">
            <w:pPr>
              <w:pStyle w:val="Normal6"/>
              <w:rPr>
                <w:szCs w:val="24"/>
              </w:rPr>
            </w:pPr>
            <w:r w:rsidRPr="00F14753">
              <w:rPr>
                <w:b/>
                <w:i/>
              </w:rPr>
              <w:t>20 bis.</w:t>
            </w:r>
            <w:r w:rsidRPr="00F14753">
              <w:rPr>
                <w:b/>
                <w:i/>
              </w:rPr>
              <w:tab/>
              <w:t>ricorda che la parità tra donne e uomini è un valore fondante dell'Unione europea, come sancito dai trattati; deplora quindi che la parità di genere non sia uno dei pilastri principali del regolamento RRF; ricorda che i PNRR dovrebbero includere misure che contribuiscano alla parità di genere e alle pari opportunità per tutti, in linea con il pilastro europeo dei diritti sociali, in modo da promuovere la partecipazione delle donne al mercato del lavoro e ridurre la segmentazione di genere nel mercato del lavoro; accoglie con favore il fatto che i PNRR riveduti contengano 136 (sotto-) misure incentrate sulla parità di genere e prende atto dell'impatto positivo di altre riforme e investimenti la cui attuazione può contribuire in modo significativo alla parità di genere, come le misure volte a promuovere l'equilibrio tra vita professionale e vita privata, compreso l'accesso all'assistenza all'infanzia e alle persone non autosufficienti e lo sviluppo di competenze digitali; deplora il fatto che due Stati membri non abbiano incluso nei loro PNRR misure esplicitamente volte a contribuire alla parità di genere e che altri Stati membri ne abbiano incluso un numero relativamente basso;</w:t>
            </w:r>
          </w:p>
        </w:tc>
      </w:tr>
    </w:tbl>
    <w:p w:rsidR="00B3157A" w:rsidRPr="00F14753" w:rsidRDefault="00B3157A" w:rsidP="00B3157A">
      <w:r w:rsidRPr="00F14753">
        <w:rPr>
          <w:rStyle w:val="HideTWBExt"/>
          <w:color w:val="auto"/>
        </w:rPr>
        <w:t>&lt;/Amend&gt;</w:t>
      </w:r>
    </w:p>
    <w:p w:rsidR="00B3157A" w:rsidRPr="00F14753" w:rsidRDefault="00B3157A" w:rsidP="00B3157A">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52</w:t>
      </w:r>
      <w:r w:rsidRPr="00F14753">
        <w:rPr>
          <w:rStyle w:val="HideTWBExt"/>
          <w:b w:val="0"/>
          <w:color w:val="auto"/>
        </w:rPr>
        <w:t>&lt;/NumAm&gt;</w:t>
      </w:r>
    </w:p>
    <w:p w:rsidR="00B3157A" w:rsidRPr="00F14753" w:rsidRDefault="00B3157A" w:rsidP="00B3157A">
      <w:pPr>
        <w:pStyle w:val="NormalBold12b"/>
        <w:keepNext/>
      </w:pPr>
      <w:r w:rsidRPr="00F14753">
        <w:rPr>
          <w:rStyle w:val="HideTWBExt"/>
          <w:b w:val="0"/>
          <w:color w:val="auto"/>
        </w:rPr>
        <w:t>&lt;DocAmend&gt;</w:t>
      </w:r>
      <w:r w:rsidRPr="00F14753">
        <w:t>Proposta di risoluzione</w:t>
      </w:r>
      <w:r w:rsidRPr="00F14753">
        <w:rPr>
          <w:rStyle w:val="HideTWBExt"/>
          <w:b w:val="0"/>
          <w:color w:val="auto"/>
        </w:rPr>
        <w:t>&lt;/DocAmend&gt;</w:t>
      </w:r>
    </w:p>
    <w:p w:rsidR="00B3157A" w:rsidRPr="00F14753" w:rsidRDefault="00B3157A" w:rsidP="00B3157A">
      <w:pPr>
        <w:pStyle w:val="NormalBold"/>
      </w:pPr>
      <w:r w:rsidRPr="00F14753">
        <w:rPr>
          <w:rStyle w:val="HideTWBExt"/>
          <w:b w:val="0"/>
          <w:color w:val="auto"/>
        </w:rPr>
        <w:t>&lt;Article&gt;</w:t>
      </w:r>
      <w:r w:rsidRPr="00F14753">
        <w:t>Paragrafo 28</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0427A3">
        <w:trPr>
          <w:jc w:val="center"/>
        </w:trPr>
        <w:tc>
          <w:tcPr>
            <w:tcW w:w="9752" w:type="dxa"/>
            <w:gridSpan w:val="2"/>
          </w:tcPr>
          <w:p w:rsidR="00B3157A" w:rsidRPr="00F14753" w:rsidRDefault="00B3157A" w:rsidP="000427A3">
            <w:pPr>
              <w:keepNext/>
            </w:pPr>
          </w:p>
        </w:tc>
      </w:tr>
      <w:tr w:rsidR="00B3157A" w:rsidRPr="00F14753" w:rsidTr="000427A3">
        <w:trPr>
          <w:jc w:val="center"/>
        </w:trPr>
        <w:tc>
          <w:tcPr>
            <w:tcW w:w="4876" w:type="dxa"/>
            <w:hideMark/>
          </w:tcPr>
          <w:p w:rsidR="00B3157A" w:rsidRPr="00F14753" w:rsidRDefault="00B3157A" w:rsidP="000427A3">
            <w:pPr>
              <w:pStyle w:val="ColumnHeading"/>
              <w:keepNext/>
            </w:pPr>
            <w:r w:rsidRPr="00F14753">
              <w:t>Proposta di risoluzione</w:t>
            </w:r>
          </w:p>
        </w:tc>
        <w:tc>
          <w:tcPr>
            <w:tcW w:w="4876" w:type="dxa"/>
            <w:hideMark/>
          </w:tcPr>
          <w:p w:rsidR="00B3157A" w:rsidRPr="00F14753" w:rsidRDefault="00B3157A" w:rsidP="000427A3">
            <w:pPr>
              <w:pStyle w:val="ColumnHeading"/>
              <w:keepNext/>
            </w:pPr>
            <w:r w:rsidRPr="00F14753">
              <w:t>Emendamento</w:t>
            </w:r>
          </w:p>
        </w:tc>
      </w:tr>
      <w:tr w:rsidR="00B3157A" w:rsidRPr="00F14753" w:rsidTr="000427A3">
        <w:trPr>
          <w:jc w:val="center"/>
        </w:trPr>
        <w:tc>
          <w:tcPr>
            <w:tcW w:w="4876" w:type="dxa"/>
            <w:hideMark/>
          </w:tcPr>
          <w:p w:rsidR="00B3157A" w:rsidRPr="00F14753" w:rsidRDefault="00B3157A" w:rsidP="000427A3">
            <w:pPr>
              <w:pStyle w:val="Normal6"/>
            </w:pPr>
            <w:r w:rsidRPr="00F14753">
              <w:t>28.</w:t>
            </w:r>
            <w:r w:rsidRPr="00F14753">
              <w:tab/>
              <w:t xml:space="preserve">esorta gli Stati membri a intensificare gli sforzi per far fronte alle strozzature amministrative e fornire una capacità amministrativa sufficiente per accelerare l'attuazione del dispositivo per la ripresa e la resilienza in vista del termine del 2026 e a evitare di concentrare i </w:t>
            </w:r>
            <w:r w:rsidRPr="00F14753">
              <w:lastRenderedPageBreak/>
              <w:t xml:space="preserve">progetti del dispositivo nelle regioni e nelle capitali più sviluppate, consentendo ai fondi del dispositivo per la ripresa e la resilienza di confluire su progetti nelle regioni più vulnerabili, contribuendo in tal modo all'obiettivo del dispositivo per la ripresa e la resilienza di rafforzare la coesione sociale, territoriale ed economica dell'UE; chiede la proroga automatica di </w:t>
            </w:r>
            <w:r w:rsidRPr="00F14753">
              <w:rPr>
                <w:b/>
                <w:i/>
              </w:rPr>
              <w:t>12</w:t>
            </w:r>
            <w:r w:rsidRPr="00F14753">
              <w:t xml:space="preserve"> mesi per i progetti che hanno un tasso di attuazione almeno del 20</w:t>
            </w:r>
            <w:r w:rsidRPr="00F14753">
              <w:rPr>
                <w:b/>
                <w:i/>
              </w:rPr>
              <w:t xml:space="preserve"> </w:t>
            </w:r>
            <w:r w:rsidRPr="00F14753">
              <w:t>% prima della scadenza del 2026; accoglie con favore la possibilità di istituire un sistema di definizione delle priorità e di trasferimento dopo la scadenza del 2026, al fine di consentire il completamento dei progetti in corso attraverso altri regimi di finanziamento, tra cui il Fondo europeo per gli investimenti e un eventuale nuovo Fondo europeo per la competitività;</w:t>
            </w:r>
          </w:p>
        </w:tc>
        <w:tc>
          <w:tcPr>
            <w:tcW w:w="4876" w:type="dxa"/>
            <w:hideMark/>
          </w:tcPr>
          <w:p w:rsidR="00B3157A" w:rsidRPr="00F14753" w:rsidRDefault="00B3157A" w:rsidP="000427A3">
            <w:pPr>
              <w:pStyle w:val="Normal6"/>
              <w:rPr>
                <w:szCs w:val="24"/>
              </w:rPr>
            </w:pPr>
            <w:r w:rsidRPr="00F14753">
              <w:lastRenderedPageBreak/>
              <w:t>28.</w:t>
            </w:r>
            <w:r w:rsidRPr="00F14753">
              <w:tab/>
              <w:t xml:space="preserve">esorta gli Stati membri a intensificare gli sforzi per far fronte alle strozzature amministrative e fornire una capacità amministrativa sufficiente per accelerare l'attuazione del dispositivo per la ripresa e la resilienza in vista del termine del 2026 e a evitare di concentrare i </w:t>
            </w:r>
            <w:r w:rsidRPr="00F14753">
              <w:lastRenderedPageBreak/>
              <w:t xml:space="preserve">progetti del dispositivo nelle regioni e nelle capitali più sviluppate, consentendo ai fondi del dispositivo per la ripresa e la resilienza di confluire su progetti nelle regioni più vulnerabili, contribuendo in tal modo all'obiettivo del dispositivo per la ripresa e la resilienza di rafforzare la coesione sociale, territoriale ed economica dell'UE; chiede la proroga automatica di </w:t>
            </w:r>
            <w:r w:rsidRPr="00F14753">
              <w:rPr>
                <w:b/>
                <w:i/>
              </w:rPr>
              <w:t>18</w:t>
            </w:r>
            <w:r w:rsidRPr="00F14753">
              <w:t xml:space="preserve"> mesi per i progetti che hanno un tasso di attuazione almeno del 20</w:t>
            </w:r>
            <w:r w:rsidRPr="00F14753">
              <w:rPr>
                <w:b/>
                <w:i/>
              </w:rPr>
              <w:t> </w:t>
            </w:r>
            <w:r w:rsidRPr="00F14753">
              <w:t>% prima della scadenza del 2026; accoglie con favore la possibilità di istituire un sistema di definizione delle priorità e di trasferimento dopo la scadenza del 2026, al fine di consentire il completamento dei progetti in corso attraverso altri regimi di finanziamento, tra cui il Fondo europeo per gli investimenti e un eventuale nuovo Fondo europeo per la competitività;</w:t>
            </w:r>
          </w:p>
        </w:tc>
      </w:tr>
    </w:tbl>
    <w:p w:rsidR="00B3157A" w:rsidRPr="00F14753" w:rsidRDefault="00B3157A" w:rsidP="00B3157A">
      <w:pPr>
        <w:rPr>
          <w:szCs w:val="24"/>
        </w:rPr>
      </w:pPr>
      <w:r w:rsidRPr="00F14753">
        <w:rPr>
          <w:rStyle w:val="HideTWBExt"/>
          <w:color w:val="auto"/>
        </w:rPr>
        <w:lastRenderedPageBreak/>
        <w:t>&lt;/Amend&gt;</w:t>
      </w:r>
    </w:p>
    <w:p w:rsidR="00B3157A" w:rsidRPr="00F14753" w:rsidRDefault="00B3157A" w:rsidP="00B3157A">
      <w:pPr>
        <w:pStyle w:val="AMNumberTabs0"/>
        <w:keepNext/>
      </w:pPr>
      <w:r w:rsidRPr="00F14753">
        <w:rPr>
          <w:rStyle w:val="HideTWBExt"/>
          <w:b w:val="0"/>
          <w:color w:val="auto"/>
        </w:rPr>
        <w:t>&lt;Amend&gt;</w:t>
      </w:r>
      <w:r w:rsidRPr="00F14753">
        <w:t>Emendamento</w:t>
      </w:r>
      <w:r w:rsidRPr="00F14753">
        <w:tab/>
      </w:r>
      <w:r w:rsidRPr="00F14753">
        <w:tab/>
      </w:r>
      <w:r w:rsidRPr="00F14753">
        <w:rPr>
          <w:rStyle w:val="HideTWBExt"/>
          <w:b w:val="0"/>
          <w:color w:val="auto"/>
        </w:rPr>
        <w:t>&lt;NumAm&gt;</w:t>
      </w:r>
      <w:r w:rsidRPr="00F14753">
        <w:t>53</w:t>
      </w:r>
      <w:r w:rsidRPr="00F14753">
        <w:rPr>
          <w:rStyle w:val="HideTWBExt"/>
          <w:b w:val="0"/>
          <w:color w:val="auto"/>
        </w:rPr>
        <w:t>&lt;/NumAm&gt;</w:t>
      </w:r>
    </w:p>
    <w:p w:rsidR="00B3157A" w:rsidRPr="00F14753" w:rsidRDefault="00B3157A" w:rsidP="00B3157A"/>
    <w:p w:rsidR="00B3157A" w:rsidRPr="00F14753" w:rsidRDefault="00B3157A" w:rsidP="00B3157A">
      <w:pPr>
        <w:pStyle w:val="NormalBold"/>
        <w:keepNext/>
      </w:pPr>
      <w:r w:rsidRPr="00F14753">
        <w:rPr>
          <w:rStyle w:val="HideTWBExt"/>
          <w:b w:val="0"/>
          <w:color w:val="auto"/>
        </w:rPr>
        <w:t>&lt;DocAmend&gt;</w:t>
      </w:r>
      <w:r w:rsidRPr="00F14753">
        <w:t>Proposta di risoluzione</w:t>
      </w:r>
      <w:r w:rsidRPr="00F14753">
        <w:rPr>
          <w:rStyle w:val="HideTWBExt"/>
          <w:b w:val="0"/>
          <w:color w:val="auto"/>
        </w:rPr>
        <w:t>&lt;/DocAmend&gt;</w:t>
      </w:r>
    </w:p>
    <w:p w:rsidR="00B3157A" w:rsidRPr="00F14753" w:rsidRDefault="00B3157A" w:rsidP="00B3157A">
      <w:pPr>
        <w:pStyle w:val="NormalBold"/>
      </w:pPr>
      <w:r w:rsidRPr="00F14753">
        <w:rPr>
          <w:rStyle w:val="HideTWBExt"/>
          <w:b w:val="0"/>
          <w:color w:val="auto"/>
        </w:rPr>
        <w:t>&lt;Article&gt;</w:t>
      </w:r>
      <w:r w:rsidRPr="00F14753">
        <w:t>Paragrafo 39</w:t>
      </w:r>
      <w:r w:rsidRPr="00F1475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57A" w:rsidRPr="00F14753" w:rsidTr="000427A3">
        <w:trPr>
          <w:jc w:val="center"/>
        </w:trPr>
        <w:tc>
          <w:tcPr>
            <w:tcW w:w="9752" w:type="dxa"/>
            <w:gridSpan w:val="2"/>
          </w:tcPr>
          <w:p w:rsidR="00B3157A" w:rsidRPr="00F14753" w:rsidRDefault="00B3157A" w:rsidP="000427A3">
            <w:pPr>
              <w:keepNext/>
            </w:pPr>
          </w:p>
        </w:tc>
      </w:tr>
      <w:tr w:rsidR="00B3157A" w:rsidRPr="00F14753" w:rsidTr="000427A3">
        <w:trPr>
          <w:jc w:val="center"/>
        </w:trPr>
        <w:tc>
          <w:tcPr>
            <w:tcW w:w="4876" w:type="dxa"/>
            <w:hideMark/>
          </w:tcPr>
          <w:p w:rsidR="00B3157A" w:rsidRPr="00F14753" w:rsidRDefault="00B3157A" w:rsidP="000427A3">
            <w:pPr>
              <w:pStyle w:val="ColumnHeading"/>
              <w:keepNext/>
            </w:pPr>
            <w:r w:rsidRPr="00F14753">
              <w:t>Proposta di risoluzione</w:t>
            </w:r>
          </w:p>
        </w:tc>
        <w:tc>
          <w:tcPr>
            <w:tcW w:w="4876" w:type="dxa"/>
            <w:hideMark/>
          </w:tcPr>
          <w:p w:rsidR="00B3157A" w:rsidRPr="00F14753" w:rsidRDefault="00B3157A" w:rsidP="000427A3">
            <w:pPr>
              <w:pStyle w:val="ColumnHeading"/>
              <w:keepNext/>
            </w:pPr>
            <w:r w:rsidRPr="00F14753">
              <w:t>Emendamento</w:t>
            </w:r>
          </w:p>
        </w:tc>
      </w:tr>
      <w:tr w:rsidR="00B3157A" w:rsidRPr="00F14753" w:rsidTr="000427A3">
        <w:trPr>
          <w:jc w:val="center"/>
        </w:trPr>
        <w:tc>
          <w:tcPr>
            <w:tcW w:w="4876" w:type="dxa"/>
            <w:hideMark/>
          </w:tcPr>
          <w:p w:rsidR="00B3157A" w:rsidRPr="00F14753" w:rsidRDefault="00B3157A" w:rsidP="000427A3">
            <w:pPr>
              <w:pStyle w:val="Normal6"/>
            </w:pPr>
            <w:r w:rsidRPr="00F14753">
              <w:t>39.</w:t>
            </w:r>
            <w:r w:rsidRPr="00F14753">
              <w:tab/>
              <w:t xml:space="preserve">deplora l'insufficiente coinvolgimento degli enti locali e regionali, delle organizzazioni della società civile, delle parti sociali, dei parlamenti nazionali e di altri portatori di interessi pertinenti nell'elaborazione, nella revisione o nell'attuazione dei PNRR; ricorda che la partecipazione degli enti locali e regionali, delle autorità nazionali e dei responsabili dell'elaborazione di tali politiche è fondamentale per il successo del dispositivo per la ripresa e la resilienza, come stabilito all'articolo 28 del regolamento relativo al dispositivo; ricorda che il Parlamento ha sostenuto una disposizione vincolante nel dispositivo per la ripresa e la resilienza volta a istituire un dialogo multilivello per coinvolgere i portatori di interessi pertinenti e discutere con loro la preparazione e l'attuazione dei </w:t>
            </w:r>
            <w:r w:rsidRPr="00F14753">
              <w:lastRenderedPageBreak/>
              <w:t>PNRR, con un chiaro periodo di consultazione; chiede pertanto il massimo coinvolgimento possibile dei portatori di interessi nell'attuazione dei PNRR, conformemente al quadro giuridico nazionale e sulla base di principi chiari e trasparenti;</w:t>
            </w:r>
          </w:p>
        </w:tc>
        <w:tc>
          <w:tcPr>
            <w:tcW w:w="4876" w:type="dxa"/>
            <w:hideMark/>
          </w:tcPr>
          <w:p w:rsidR="00B3157A" w:rsidRPr="00F14753" w:rsidRDefault="00B3157A" w:rsidP="000427A3">
            <w:pPr>
              <w:pStyle w:val="Normal6"/>
              <w:rPr>
                <w:szCs w:val="24"/>
              </w:rPr>
            </w:pPr>
            <w:r w:rsidRPr="00F14753">
              <w:lastRenderedPageBreak/>
              <w:t>39.</w:t>
            </w:r>
            <w:r w:rsidRPr="00F14753">
              <w:tab/>
              <w:t>deplora l'insufficiente coinvolgimento</w:t>
            </w:r>
            <w:r w:rsidRPr="00F14753">
              <w:rPr>
                <w:b/>
                <w:i/>
              </w:rPr>
              <w:t>, in alcuni Stati membri,</w:t>
            </w:r>
            <w:r w:rsidRPr="00F14753">
              <w:t xml:space="preserve"> degli enti locali e regionali, delle organizzazioni della società civile, delle parti sociali, dei parlamenti nazionali e di altri portatori di interessi pertinenti nell'elaborazione, nella revisione o nell'attuazione dei PNRR</w:t>
            </w:r>
            <w:r w:rsidRPr="00F14753">
              <w:rPr>
                <w:b/>
                <w:i/>
              </w:rPr>
              <w:t>, come stabilito all'articolo 18, paragrafo 4, lettera q), del regolamento RRF, e sottolinea l'importanza del coinvolgimento delle parti sociali nelle politiche del lavoro e sociali</w:t>
            </w:r>
            <w:r w:rsidRPr="00F14753">
              <w:t xml:space="preserve">; ricorda che la partecipazione degli enti locali e regionali, delle autorità nazionali e dei responsabili dell'elaborazione di tali politiche è fondamentale per il successo del dispositivo per la ripresa e la resilienza, come stabilito all'articolo 28 del regolamento relativo al dispositivo; ricorda </w:t>
            </w:r>
            <w:r w:rsidRPr="00F14753">
              <w:lastRenderedPageBreak/>
              <w:t xml:space="preserve">che il Parlamento ha sostenuto una disposizione vincolante nel dispositivo per la ripresa e la resilienza volta a istituire un dialogo multilivello per coinvolgere i portatori di interessi pertinenti e discutere con loro la preparazione e l'attuazione dei PNRR, con un chiaro periodo di consultazione; chiede pertanto il massimo coinvolgimento possibile dei portatori di interessi nell'attuazione dei PNRR, </w:t>
            </w:r>
            <w:r w:rsidRPr="00F14753">
              <w:rPr>
                <w:b/>
                <w:i/>
              </w:rPr>
              <w:t xml:space="preserve">che garantisca un processo di coinvolgimento completo e trasparente </w:t>
            </w:r>
            <w:r w:rsidRPr="00F14753">
              <w:t xml:space="preserve">conformemente al quadro giuridico nazionale e sulla base di principi chiari e trasparenti; </w:t>
            </w:r>
            <w:r w:rsidRPr="00F14753">
              <w:rPr>
                <w:b/>
                <w:i/>
              </w:rPr>
              <w:t>ritiene che il coinvolgimento dei port</w:t>
            </w:r>
            <w:bookmarkStart w:id="1" w:name="_GoBack"/>
            <w:bookmarkEnd w:id="1"/>
            <w:r w:rsidRPr="00F14753">
              <w:rPr>
                <w:b/>
                <w:i/>
              </w:rPr>
              <w:t>atori di interessi debba essere sia qualitativo che quantitativo, compresa la partecipazione attiva ai processi di monitoraggio e valutazione, e ricorda che prima di autorizzare la revisione dei piani andrebbero consultati anche i portatori di interessi;</w:t>
            </w:r>
          </w:p>
        </w:tc>
      </w:tr>
    </w:tbl>
    <w:p w:rsidR="00B3157A" w:rsidRPr="00F14753" w:rsidRDefault="00B3157A" w:rsidP="00B3157A">
      <w:pPr>
        <w:pStyle w:val="AmNumberTabs"/>
        <w:keepNext/>
      </w:pPr>
      <w:r w:rsidRPr="00F14753">
        <w:rPr>
          <w:rStyle w:val="HideTWBExt"/>
          <w:color w:val="auto"/>
        </w:rPr>
        <w:lastRenderedPageBreak/>
        <w:t>&lt;/Amend&gt;</w:t>
      </w:r>
    </w:p>
    <w:p w:rsidR="00B3157A" w:rsidRPr="00F14753" w:rsidRDefault="00B3157A" w:rsidP="00B3157A">
      <w:pPr>
        <w:widowControl/>
        <w:sectPr w:rsidR="00B3157A" w:rsidRPr="00F14753" w:rsidSect="00B3157A">
          <w:headerReference w:type="even" r:id="rId14"/>
          <w:headerReference w:type="default" r:id="rId15"/>
          <w:footerReference w:type="even" r:id="rId16"/>
          <w:footerReference w:type="default" r:id="rId17"/>
          <w:headerReference w:type="first" r:id="rId18"/>
          <w:footerReference w:type="first" r:id="rId19"/>
          <w:footnotePr>
            <w:numRestart w:val="eachSect"/>
          </w:footnotePr>
          <w:endnotePr>
            <w:numFmt w:val="decimal"/>
          </w:endnotePr>
          <w:pgSz w:w="11906" w:h="16838" w:code="9"/>
          <w:pgMar w:top="1134" w:right="1418" w:bottom="1418" w:left="1418" w:header="1134" w:footer="567" w:gutter="0"/>
          <w:cols w:space="720"/>
          <w:noEndnote/>
          <w:titlePg/>
          <w:docGrid w:linePitch="326"/>
        </w:sectPr>
      </w:pPr>
      <w:r w:rsidRPr="00F14753">
        <w:rPr>
          <w:rStyle w:val="HideTWBExt"/>
          <w:color w:val="auto"/>
        </w:rPr>
        <w:t>&lt;/RepeatBlock-Amend&gt;</w:t>
      </w:r>
    </w:p>
    <w:p w:rsidR="00B3157A" w:rsidRPr="00F14753" w:rsidRDefault="00B3157A" w:rsidP="00B3157A">
      <w:pPr>
        <w:widowControl/>
      </w:pPr>
    </w:p>
    <w:p w:rsidR="00B3157A" w:rsidRPr="00F14753" w:rsidRDefault="00B3157A" w:rsidP="00B3157A">
      <w:pPr>
        <w:pStyle w:val="PageHeadingNotTOC"/>
      </w:pPr>
      <w:bookmarkStart w:id="2" w:name="FootprintPageAD"/>
      <w:r w:rsidRPr="00F14753">
        <w:t>ALLEGATO: ENTITÀ O PERSONE</w:t>
      </w:r>
      <w:r w:rsidRPr="00F14753">
        <w:br/>
        <w:t>DA CUI LA RELATRICE PER PARERE HA RICEVUTO CONTRIBUTI</w:t>
      </w:r>
    </w:p>
    <w:p w:rsidR="00B3157A" w:rsidRPr="00F14753" w:rsidRDefault="00B3157A" w:rsidP="00B3157A">
      <w:pPr>
        <w:pStyle w:val="Normal24a"/>
      </w:pPr>
      <w:r w:rsidRPr="00F14753">
        <w:rPr>
          <w:rStyle w:val="HideTWBExt"/>
          <w:color w:val="auto"/>
        </w:rPr>
        <w:t>&lt;FootprintIntro&gt;</w:t>
      </w:r>
      <w:r w:rsidRPr="00F14753">
        <w:t>La relatrice per parere dichiara, sotto la sua esclusiva responsabilità, di non aver ricevuto alcun contributo da entità o persone da menzionare nel presente allegato in virtù dell'allegato I, articolo 8, del regolamento.</w:t>
      </w:r>
      <w:r w:rsidRPr="00F14753">
        <w:rPr>
          <w:rStyle w:val="HideTWBExt"/>
          <w:color w:val="auto"/>
        </w:rPr>
        <w:t>&lt;/FootprintIntro&gt;</w:t>
      </w:r>
    </w:p>
    <w:p w:rsidR="00B3157A" w:rsidRPr="00F14753" w:rsidRDefault="00B3157A" w:rsidP="00B3157A"/>
    <w:bookmarkEnd w:id="2"/>
    <w:p w:rsidR="00B3157A" w:rsidRPr="00F14753" w:rsidRDefault="00B3157A" w:rsidP="00B3157A">
      <w:r w:rsidRPr="00F14753">
        <w:br w:type="page"/>
      </w:r>
    </w:p>
    <w:p w:rsidR="00B3157A" w:rsidRPr="00F14753" w:rsidRDefault="00B3157A" w:rsidP="00B3157A">
      <w:pPr>
        <w:pStyle w:val="PageHeadingNotTOC"/>
      </w:pPr>
      <w:bookmarkStart w:id="3" w:name="ProcPageAD"/>
      <w:r w:rsidRPr="00F14753">
        <w:lastRenderedPageBreak/>
        <w:t>INFORMAZIONI SULL’APPROVAZIONE</w:t>
      </w:r>
      <w:r w:rsidRPr="00F14753">
        <w:br/>
        <w:t>IN SEDE DI COMMISSIONE COMPETENTE PER PARERE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3157A" w:rsidRPr="00F14753" w:rsidTr="000427A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3157A" w:rsidRPr="00F14753" w:rsidRDefault="00B3157A" w:rsidP="000427A3">
            <w:pPr>
              <w:autoSpaceDE w:val="0"/>
              <w:autoSpaceDN w:val="0"/>
              <w:adjustRightInd w:val="0"/>
              <w:rPr>
                <w:b/>
                <w:bCs/>
                <w:sz w:val="20"/>
              </w:rPr>
            </w:pPr>
            <w:r w:rsidRPr="00F14753">
              <w:rPr>
                <w:b/>
                <w:sz w:val="20"/>
              </w:rPr>
              <w:t>Approvazione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3157A" w:rsidRPr="00F14753" w:rsidRDefault="00B3157A" w:rsidP="000427A3">
            <w:pPr>
              <w:autoSpaceDE w:val="0"/>
              <w:autoSpaceDN w:val="0"/>
              <w:adjustRightInd w:val="0"/>
              <w:rPr>
                <w:sz w:val="20"/>
              </w:rPr>
            </w:pPr>
            <w:r w:rsidRPr="00F14753">
              <w:rPr>
                <w:sz w:val="20"/>
              </w:rPr>
              <w:t>31.3.2025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3157A" w:rsidRPr="00F14753" w:rsidRDefault="00B3157A" w:rsidP="000427A3">
            <w:pPr>
              <w:autoSpaceDE w:val="0"/>
              <w:autoSpaceDN w:val="0"/>
              <w:adjustRightInd w:val="0"/>
              <w:rPr>
                <w:rFonts w:ascii="sans-serif" w:hAnsi="sans-serif" w:cs="sans-serif"/>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3157A" w:rsidRPr="00F14753" w:rsidRDefault="00B3157A" w:rsidP="000427A3">
            <w:pPr>
              <w:autoSpaceDE w:val="0"/>
              <w:autoSpaceDN w:val="0"/>
              <w:adjustRightInd w:val="0"/>
              <w:rPr>
                <w:rFonts w:ascii="sans-serif" w:hAnsi="sans-serif" w:cs="sans-serif"/>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3157A" w:rsidRPr="00F14753" w:rsidRDefault="00B3157A" w:rsidP="000427A3">
            <w:pPr>
              <w:autoSpaceDE w:val="0"/>
              <w:autoSpaceDN w:val="0"/>
              <w:adjustRightInd w:val="0"/>
              <w:rPr>
                <w:rFonts w:ascii="sans-serif" w:hAnsi="sans-serif" w:cs="sans-serif"/>
                <w:szCs w:val="24"/>
              </w:rPr>
            </w:pPr>
          </w:p>
        </w:tc>
      </w:tr>
      <w:tr w:rsidR="00B3157A" w:rsidRPr="00F14753" w:rsidTr="000427A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3157A" w:rsidRPr="00F14753" w:rsidRDefault="00B3157A" w:rsidP="000427A3">
            <w:pPr>
              <w:autoSpaceDE w:val="0"/>
              <w:autoSpaceDN w:val="0"/>
              <w:adjustRightInd w:val="0"/>
              <w:rPr>
                <w:b/>
                <w:bCs/>
                <w:sz w:val="20"/>
              </w:rPr>
            </w:pPr>
            <w:r w:rsidRPr="00F14753">
              <w:rPr>
                <w:b/>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3157A" w:rsidRPr="00F14753" w:rsidRDefault="00B3157A" w:rsidP="000427A3">
            <w:pPr>
              <w:autoSpaceDE w:val="0"/>
              <w:autoSpaceDN w:val="0"/>
              <w:adjustRightInd w:val="0"/>
              <w:rPr>
                <w:sz w:val="20"/>
              </w:rPr>
            </w:pPr>
            <w:r w:rsidRPr="00F14753">
              <w:rPr>
                <w:sz w:val="20"/>
              </w:rPr>
              <w:t>+:</w:t>
            </w:r>
          </w:p>
          <w:p w:rsidR="00B3157A" w:rsidRPr="00F14753" w:rsidRDefault="00B3157A" w:rsidP="000427A3">
            <w:pPr>
              <w:autoSpaceDE w:val="0"/>
              <w:autoSpaceDN w:val="0"/>
              <w:adjustRightInd w:val="0"/>
              <w:rPr>
                <w:sz w:val="20"/>
              </w:rPr>
            </w:pPr>
            <w:r w:rsidRPr="00F14753">
              <w:rPr>
                <w:sz w:val="20"/>
              </w:rPr>
              <w:t>–:</w:t>
            </w:r>
          </w:p>
          <w:p w:rsidR="00B3157A" w:rsidRPr="00F14753" w:rsidRDefault="00B3157A" w:rsidP="000427A3">
            <w:pPr>
              <w:autoSpaceDE w:val="0"/>
              <w:autoSpaceDN w:val="0"/>
              <w:adjustRightInd w:val="0"/>
              <w:rPr>
                <w:sz w:val="20"/>
              </w:rPr>
            </w:pPr>
            <w:r w:rsidRPr="00F14753">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3157A" w:rsidRPr="00F14753" w:rsidRDefault="00B3157A" w:rsidP="000427A3">
            <w:pPr>
              <w:autoSpaceDE w:val="0"/>
              <w:autoSpaceDN w:val="0"/>
              <w:adjustRightInd w:val="0"/>
              <w:rPr>
                <w:sz w:val="20"/>
              </w:rPr>
            </w:pPr>
            <w:r w:rsidRPr="00F14753">
              <w:rPr>
                <w:sz w:val="20"/>
              </w:rPr>
              <w:t>40</w:t>
            </w:r>
          </w:p>
          <w:p w:rsidR="00B3157A" w:rsidRPr="00F14753" w:rsidRDefault="00B3157A" w:rsidP="000427A3">
            <w:pPr>
              <w:autoSpaceDE w:val="0"/>
              <w:autoSpaceDN w:val="0"/>
              <w:adjustRightInd w:val="0"/>
              <w:rPr>
                <w:sz w:val="20"/>
              </w:rPr>
            </w:pPr>
            <w:r w:rsidRPr="00F14753">
              <w:rPr>
                <w:sz w:val="20"/>
              </w:rPr>
              <w:t>11</w:t>
            </w:r>
          </w:p>
          <w:p w:rsidR="00B3157A" w:rsidRPr="00F14753" w:rsidRDefault="00B3157A" w:rsidP="000427A3">
            <w:pPr>
              <w:autoSpaceDE w:val="0"/>
              <w:autoSpaceDN w:val="0"/>
              <w:adjustRightInd w:val="0"/>
              <w:rPr>
                <w:sz w:val="20"/>
              </w:rPr>
            </w:pPr>
            <w:r w:rsidRPr="00F14753">
              <w:rPr>
                <w:sz w:val="20"/>
              </w:rPr>
              <w:t>1</w:t>
            </w:r>
          </w:p>
        </w:tc>
      </w:tr>
      <w:tr w:rsidR="00B3157A" w:rsidRPr="00F14753" w:rsidTr="000427A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3157A" w:rsidRPr="00F14753" w:rsidRDefault="00B3157A" w:rsidP="000427A3">
            <w:pPr>
              <w:autoSpaceDE w:val="0"/>
              <w:autoSpaceDN w:val="0"/>
              <w:adjustRightInd w:val="0"/>
              <w:rPr>
                <w:b/>
                <w:bCs/>
                <w:sz w:val="20"/>
              </w:rPr>
            </w:pPr>
            <w:r w:rsidRPr="00F14753">
              <w:rPr>
                <w:b/>
                <w:sz w:val="20"/>
              </w:rPr>
              <w:t>Membri titolari presenti al momento della votazione finale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3157A" w:rsidRPr="00F14753" w:rsidRDefault="00B3157A" w:rsidP="000427A3">
            <w:pPr>
              <w:autoSpaceDE w:val="0"/>
              <w:autoSpaceDN w:val="0"/>
              <w:adjustRightInd w:val="0"/>
              <w:rPr>
                <w:sz w:val="20"/>
              </w:rPr>
            </w:pPr>
            <w:r w:rsidRPr="00F14753">
              <w:rPr>
                <w:sz w:val="20"/>
              </w:rPr>
              <w:t>Maravillas Abadía Jover, Grégory Allione, Nikola Bartůšek, Vilija Blinkevičiūtė, Rachel Blom, Andrzej Buła, Estelle Ceulemans, Leila Chaibi, Henrik Dahl, Johan Danielsson, Marie Dauchy, Mélanie Disdier, Elena Donazzan, Gheorghe Falcă, Chiara Gemma, Niels Geuking, Isilda Gomes, Alicia Homs Ginel, Sérgio Humberto, Irena Joveva, Martine Kemp, Katrin Langensiepen, Miriam Lexmann, Marit Maij, Idoia Mendia, Maria Ohisalo, João Oliveira, Aodhán Ó Ríordáin, Dennis Radtke, Liesbet Sommen, Villy Søvndal, Pál Szekeres, Georgiana Teodorescu, Romana Tomc, Jana Toom, Raffaele Topo, Brigitte van den Berg, Marie-Pierre Vedrenne, Mariateresa Vivaldini, Petar Volgin, Jan-Peter Warnke, Séverine Werbrouck</w:t>
            </w:r>
          </w:p>
        </w:tc>
      </w:tr>
      <w:tr w:rsidR="00B3157A" w:rsidRPr="00F14753" w:rsidTr="000427A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3157A" w:rsidRPr="00F14753" w:rsidRDefault="00B3157A" w:rsidP="000427A3">
            <w:pPr>
              <w:autoSpaceDE w:val="0"/>
              <w:autoSpaceDN w:val="0"/>
              <w:adjustRightInd w:val="0"/>
              <w:rPr>
                <w:b/>
                <w:bCs/>
                <w:sz w:val="20"/>
              </w:rPr>
            </w:pPr>
            <w:r w:rsidRPr="00F14753">
              <w:rPr>
                <w:b/>
                <w:sz w:val="20"/>
              </w:rPr>
              <w:t>Supplenti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3157A" w:rsidRPr="00F14753" w:rsidRDefault="00B3157A" w:rsidP="000427A3">
            <w:pPr>
              <w:autoSpaceDE w:val="0"/>
              <w:autoSpaceDN w:val="0"/>
              <w:adjustRightInd w:val="0"/>
              <w:rPr>
                <w:sz w:val="20"/>
              </w:rPr>
            </w:pPr>
            <w:r w:rsidRPr="00F14753">
              <w:rPr>
                <w:sz w:val="20"/>
              </w:rPr>
              <w:t>Borys Budka, Vivien Costanzo, Andi Cristea, Klára Dobrev, Estrella Galán, Rudi Kennes, Pierfrancesco Maran, Benedetta Scuderi, Andrea Wechsler, Angelika Winzig</w:t>
            </w:r>
          </w:p>
        </w:tc>
      </w:tr>
      <w:tr w:rsidR="00B3157A" w:rsidRPr="00F14753" w:rsidTr="000427A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3157A" w:rsidRPr="00F14753" w:rsidRDefault="00B3157A" w:rsidP="000427A3">
            <w:pPr>
              <w:autoSpaceDE w:val="0"/>
              <w:autoSpaceDN w:val="0"/>
              <w:adjustRightInd w:val="0"/>
              <w:rPr>
                <w:b/>
                <w:bCs/>
                <w:sz w:val="20"/>
              </w:rPr>
            </w:pPr>
            <w:r w:rsidRPr="00F14753">
              <w:rPr>
                <w:b/>
                <w:sz w:val="20"/>
              </w:rPr>
              <w:t>Deputati di cui all’art. 216, par. 7, del regolamento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3157A" w:rsidRPr="00F14753" w:rsidRDefault="00B3157A" w:rsidP="000427A3">
            <w:pPr>
              <w:autoSpaceDE w:val="0"/>
              <w:autoSpaceDN w:val="0"/>
              <w:adjustRightInd w:val="0"/>
              <w:rPr>
                <w:sz w:val="20"/>
              </w:rPr>
            </w:pPr>
            <w:r w:rsidRPr="00F14753">
              <w:rPr>
                <w:sz w:val="20"/>
              </w:rPr>
              <w:t>Salvatore De Meo</w:t>
            </w:r>
          </w:p>
        </w:tc>
      </w:tr>
    </w:tbl>
    <w:p w:rsidR="00B3157A" w:rsidRPr="00F14753" w:rsidRDefault="00B3157A" w:rsidP="00B3157A"/>
    <w:bookmarkEnd w:id="3"/>
    <w:p w:rsidR="00B3157A" w:rsidRPr="00F14753" w:rsidRDefault="00B3157A" w:rsidP="00B3157A">
      <w:pPr>
        <w:sectPr w:rsidR="00B3157A" w:rsidRPr="00F14753" w:rsidSect="000F46BF">
          <w:footnotePr>
            <w:numRestart w:val="eachSect"/>
          </w:footnotePr>
          <w:endnotePr>
            <w:numFmt w:val="decimal"/>
          </w:endnotePr>
          <w:pgSz w:w="11906" w:h="16838" w:code="9"/>
          <w:pgMar w:top="1134" w:right="1418" w:bottom="1418" w:left="1418" w:header="1134" w:footer="567" w:gutter="0"/>
          <w:cols w:space="720"/>
          <w:noEndnote/>
          <w:docGrid w:linePitch="326"/>
        </w:sectPr>
      </w:pPr>
    </w:p>
    <w:p w:rsidR="00B3157A" w:rsidRPr="00F14753" w:rsidRDefault="00B3157A" w:rsidP="00B3157A">
      <w:pPr>
        <w:pStyle w:val="PageHeadingNotTOC"/>
      </w:pPr>
      <w:r w:rsidRPr="00F14753">
        <w:lastRenderedPageBreak/>
        <w:t>VOTAZIONE FINALE PER APPELLO NOMINALE</w:t>
      </w:r>
      <w:r w:rsidRPr="00F14753">
        <w:br/>
        <w:t>DA PARTE DELLA COMMISSIONE COMPETENTE PER PARERE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B3157A" w:rsidRPr="00F14753" w:rsidTr="000427A3">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B3157A" w:rsidRPr="00F14753" w:rsidRDefault="00B3157A" w:rsidP="000427A3">
            <w:pPr>
              <w:pStyle w:val="RollCallVotes"/>
            </w:pPr>
            <w:r w:rsidRPr="00F14753">
              <w:t>40</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B3157A" w:rsidRPr="00F14753" w:rsidRDefault="00B3157A" w:rsidP="000427A3">
            <w:pPr>
              <w:pStyle w:val="RollCallSymbols14pt"/>
            </w:pPr>
            <w:r w:rsidRPr="00F14753">
              <w:t>+</w:t>
            </w:r>
          </w:p>
        </w:tc>
      </w:tr>
      <w:tr w:rsidR="00B3157A" w:rsidRPr="00F14753" w:rsidTr="000427A3">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3157A" w:rsidRPr="00F14753" w:rsidRDefault="00B3157A" w:rsidP="000427A3">
            <w:pPr>
              <w:pStyle w:val="RollCallTable"/>
            </w:pPr>
            <w:r w:rsidRPr="00F14753">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B3157A" w:rsidRPr="00F14753" w:rsidRDefault="00B3157A" w:rsidP="000427A3">
            <w:pPr>
              <w:pStyle w:val="RollCallTable"/>
            </w:pPr>
            <w:r w:rsidRPr="00F14753">
              <w:t>Jan-Peter Warnke</w:t>
            </w:r>
          </w:p>
        </w:tc>
      </w:tr>
      <w:tr w:rsidR="00B3157A" w:rsidRPr="00F14753" w:rsidTr="000427A3">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3157A" w:rsidRPr="00F14753" w:rsidRDefault="00B3157A" w:rsidP="000427A3">
            <w:pPr>
              <w:pStyle w:val="RollCallTable"/>
            </w:pPr>
            <w:r w:rsidRPr="00F14753">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B3157A" w:rsidRPr="00F14753" w:rsidRDefault="00B3157A" w:rsidP="000427A3">
            <w:pPr>
              <w:pStyle w:val="RollCallTable"/>
            </w:pPr>
            <w:r w:rsidRPr="00F14753">
              <w:t>Maravillas Abadía Jover, Borys Budka, Andrzej Buła, Salvatore De Meo, Gheorghe Falcă, Niels Geuking, Sérgio Humberto, Martine Kemp, Miriam Lexmann, Dennis Radtke, Liesbet Sommen, Romana Tomc, Andrea Wechsler, Angelika Winzig</w:t>
            </w:r>
          </w:p>
        </w:tc>
      </w:tr>
      <w:tr w:rsidR="00B3157A" w:rsidRPr="00F14753" w:rsidTr="000427A3">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3157A" w:rsidRPr="00F14753" w:rsidRDefault="00B3157A" w:rsidP="000427A3">
            <w:pPr>
              <w:pStyle w:val="RollCallTable"/>
            </w:pPr>
            <w:r w:rsidRPr="00F14753">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B3157A" w:rsidRPr="00F14753" w:rsidRDefault="00B3157A" w:rsidP="000427A3">
            <w:pPr>
              <w:pStyle w:val="RollCallTable"/>
            </w:pPr>
            <w:r w:rsidRPr="00F14753">
              <w:t>Grégory Allione, Irena Joveva, Jana Toom, Brigitte van den Berg, Marie-Pierre Vedrenne</w:t>
            </w:r>
          </w:p>
        </w:tc>
      </w:tr>
      <w:tr w:rsidR="00B3157A" w:rsidRPr="00F14753" w:rsidTr="000427A3">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3157A" w:rsidRPr="00F14753" w:rsidRDefault="00B3157A" w:rsidP="000427A3">
            <w:pPr>
              <w:pStyle w:val="RollCallTable"/>
            </w:pPr>
            <w:r w:rsidRPr="00F14753">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B3157A" w:rsidRPr="00F14753" w:rsidRDefault="00B3157A" w:rsidP="000427A3">
            <w:pPr>
              <w:pStyle w:val="RollCallTable"/>
            </w:pPr>
            <w:r w:rsidRPr="00F14753">
              <w:t>Vilija Blinkevičiūtė, Estelle Ceulemans, Andi Cristea, Johan Danielsson, Klára Dobrev, Isilda Gomes, Alicia Homs Ginel, Marit Maij, Pierfrancesco Maran, Idoia Mendia, Aodhán Ó Ríordáin, Raffaele Topo</w:t>
            </w:r>
          </w:p>
        </w:tc>
      </w:tr>
      <w:tr w:rsidR="00B3157A" w:rsidRPr="00F14753" w:rsidTr="000427A3">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3157A" w:rsidRPr="00F14753" w:rsidRDefault="00B3157A" w:rsidP="000427A3">
            <w:pPr>
              <w:pStyle w:val="RollCallTable"/>
            </w:pPr>
            <w:r w:rsidRPr="00F14753">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B3157A" w:rsidRPr="00F14753" w:rsidRDefault="00B3157A" w:rsidP="000427A3">
            <w:pPr>
              <w:pStyle w:val="RollCallTable"/>
            </w:pPr>
            <w:r w:rsidRPr="00F14753">
              <w:t>Leila Chaibi, Estrella Galán, Rudi Kennes, João Oliveira</w:t>
            </w:r>
          </w:p>
        </w:tc>
      </w:tr>
      <w:tr w:rsidR="00B3157A" w:rsidRPr="00F14753" w:rsidTr="000427A3">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B3157A" w:rsidRPr="00F14753" w:rsidRDefault="00B3157A" w:rsidP="000427A3">
            <w:pPr>
              <w:pStyle w:val="RollCallTable"/>
            </w:pPr>
            <w:r w:rsidRPr="00F14753">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B3157A" w:rsidRPr="00F14753" w:rsidRDefault="00B3157A" w:rsidP="000427A3">
            <w:pPr>
              <w:pStyle w:val="RollCallTable"/>
            </w:pPr>
            <w:r w:rsidRPr="00F14753">
              <w:t>Katrin Langensiepen, Maria Ohisalo, Benedetta Scuderi, Villy Søvndal</w:t>
            </w:r>
          </w:p>
        </w:tc>
      </w:tr>
    </w:tbl>
    <w:p w:rsidR="00B3157A" w:rsidRPr="00F14753" w:rsidRDefault="00B3157A" w:rsidP="00B3157A">
      <w:pPr>
        <w:rPr>
          <w:rFonts w:eastAsiaTheme="minorEastAsia"/>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B3157A" w:rsidRPr="00F14753" w:rsidTr="000427A3">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B3157A" w:rsidRPr="00F14753" w:rsidRDefault="00B3157A" w:rsidP="000427A3">
            <w:pPr>
              <w:pStyle w:val="RollCallVotes"/>
            </w:pPr>
            <w:r w:rsidRPr="00F14753">
              <w:t>11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B3157A" w:rsidRPr="00F14753" w:rsidRDefault="00B3157A" w:rsidP="000427A3">
            <w:pPr>
              <w:pStyle w:val="RollCallSymbols14pt"/>
            </w:pPr>
            <w:r w:rsidRPr="00F14753">
              <w:t>-</w:t>
            </w:r>
          </w:p>
        </w:tc>
      </w:tr>
      <w:tr w:rsidR="00B3157A" w:rsidRPr="00F14753" w:rsidTr="000427A3">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3157A" w:rsidRPr="00F14753" w:rsidRDefault="00B3157A" w:rsidP="000427A3">
            <w:pPr>
              <w:pStyle w:val="RollCallTable"/>
            </w:pPr>
            <w:r w:rsidRPr="00F14753">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B3157A" w:rsidRPr="00F14753" w:rsidRDefault="00B3157A" w:rsidP="000427A3">
            <w:pPr>
              <w:pStyle w:val="RollCallTable"/>
            </w:pPr>
            <w:r w:rsidRPr="00F14753">
              <w:t>Elena Donazzan, Chiara Gemma, Georgiana Teodorescu, Mariateresa Vivaldini</w:t>
            </w:r>
          </w:p>
        </w:tc>
      </w:tr>
      <w:tr w:rsidR="00B3157A" w:rsidRPr="00F14753" w:rsidTr="000427A3">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3157A" w:rsidRPr="00F14753" w:rsidRDefault="00B3157A" w:rsidP="000427A3">
            <w:pPr>
              <w:pStyle w:val="RollCallTable"/>
            </w:pPr>
            <w:r w:rsidRPr="00F14753">
              <w:t>ESN</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B3157A" w:rsidRPr="00F14753" w:rsidRDefault="00B3157A" w:rsidP="000427A3">
            <w:pPr>
              <w:pStyle w:val="RollCallTable"/>
            </w:pPr>
            <w:r w:rsidRPr="00F14753">
              <w:t>Petar Volgin</w:t>
            </w:r>
          </w:p>
        </w:tc>
      </w:tr>
      <w:tr w:rsidR="00B3157A" w:rsidRPr="00F14753" w:rsidTr="000427A3">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B3157A" w:rsidRPr="00F14753" w:rsidRDefault="00B3157A" w:rsidP="000427A3">
            <w:pPr>
              <w:pStyle w:val="RollCallTable"/>
            </w:pPr>
            <w:r w:rsidRPr="00F14753">
              <w:t>PfE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B3157A" w:rsidRPr="00F14753" w:rsidRDefault="00B3157A" w:rsidP="000427A3">
            <w:pPr>
              <w:pStyle w:val="RollCallTable"/>
            </w:pPr>
            <w:r w:rsidRPr="00F14753">
              <w:t>Nikola Bartůšek, Rachel Blom, Marie Dauchy, Mélanie Disdier, Pál Szekeres, Séverine Werbrouck</w:t>
            </w:r>
          </w:p>
        </w:tc>
      </w:tr>
    </w:tbl>
    <w:p w:rsidR="00B3157A" w:rsidRPr="00F14753" w:rsidRDefault="00B3157A" w:rsidP="00B3157A">
      <w:pPr>
        <w:rPr>
          <w:rFonts w:eastAsiaTheme="minorEastAsia"/>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B3157A" w:rsidRPr="00F14753" w:rsidTr="000427A3">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B3157A" w:rsidRPr="00F14753" w:rsidRDefault="00B3157A" w:rsidP="000427A3">
            <w:pPr>
              <w:pStyle w:val="RollCallVotes"/>
            </w:pPr>
            <w:r w:rsidRPr="00F14753">
              <w:t>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B3157A" w:rsidRPr="00F14753" w:rsidRDefault="00B3157A" w:rsidP="000427A3">
            <w:pPr>
              <w:pStyle w:val="RollCallSymbols14pt"/>
            </w:pPr>
            <w:r w:rsidRPr="00F14753">
              <w:t>0</w:t>
            </w:r>
          </w:p>
        </w:tc>
      </w:tr>
      <w:tr w:rsidR="00B3157A" w:rsidRPr="00F14753" w:rsidTr="000427A3">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B3157A" w:rsidRPr="00F14753" w:rsidRDefault="00B3157A" w:rsidP="000427A3">
            <w:pPr>
              <w:pStyle w:val="RollCallTable"/>
            </w:pPr>
            <w:r w:rsidRPr="00F14753">
              <w:t>PPE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B3157A" w:rsidRPr="00F14753" w:rsidRDefault="00B3157A" w:rsidP="000427A3">
            <w:pPr>
              <w:pStyle w:val="RollCallTable"/>
            </w:pPr>
            <w:r w:rsidRPr="00F14753">
              <w:t>Henrik Dahl</w:t>
            </w:r>
          </w:p>
        </w:tc>
      </w:tr>
    </w:tbl>
    <w:p w:rsidR="00B3157A" w:rsidRPr="00F14753" w:rsidRDefault="00B3157A" w:rsidP="00B3157A"/>
    <w:p w:rsidR="00B3157A" w:rsidRPr="00F14753" w:rsidRDefault="00B3157A" w:rsidP="00B3157A">
      <w:r w:rsidRPr="00F14753">
        <w:t>Significato dei simboli utilizzati:</w:t>
      </w:r>
    </w:p>
    <w:p w:rsidR="00B3157A" w:rsidRPr="00F14753" w:rsidRDefault="00B3157A" w:rsidP="00B3157A">
      <w:pPr>
        <w:pStyle w:val="RollCallTabs"/>
      </w:pPr>
      <w:r w:rsidRPr="00F14753">
        <w:t>+</w:t>
      </w:r>
      <w:r w:rsidRPr="00F14753">
        <w:tab/>
        <w:t>:</w:t>
      </w:r>
      <w:r w:rsidRPr="00F14753">
        <w:tab/>
        <w:t>favorevoli</w:t>
      </w:r>
    </w:p>
    <w:p w:rsidR="00B3157A" w:rsidRPr="00F14753" w:rsidRDefault="00B3157A" w:rsidP="00B3157A">
      <w:pPr>
        <w:pStyle w:val="RollCallTabs"/>
      </w:pPr>
      <w:r w:rsidRPr="00F14753">
        <w:t>-</w:t>
      </w:r>
      <w:r w:rsidRPr="00F14753">
        <w:tab/>
        <w:t>:</w:t>
      </w:r>
      <w:r w:rsidRPr="00F14753">
        <w:tab/>
        <w:t>contrari</w:t>
      </w:r>
    </w:p>
    <w:p w:rsidR="00B3157A" w:rsidRPr="00F14753" w:rsidRDefault="00B3157A" w:rsidP="00B3157A">
      <w:pPr>
        <w:pStyle w:val="RollCallTabs"/>
      </w:pPr>
      <w:r w:rsidRPr="00F14753">
        <w:t>0</w:t>
      </w:r>
      <w:r w:rsidRPr="00F14753">
        <w:tab/>
        <w:t>:</w:t>
      </w:r>
      <w:r w:rsidRPr="00F14753">
        <w:tab/>
        <w:t>astenuti</w:t>
      </w:r>
    </w:p>
    <w:p w:rsidR="00B3157A" w:rsidRPr="00F14753" w:rsidRDefault="00B3157A" w:rsidP="00B3157A"/>
    <w:p w:rsidR="00B3157A" w:rsidRPr="00F14753" w:rsidRDefault="00B3157A" w:rsidP="00B3157A"/>
    <w:p w:rsidR="00BF0AFC" w:rsidRPr="00F14753" w:rsidRDefault="00BF0AFC" w:rsidP="00133437"/>
    <w:sectPr w:rsidR="00BF0AFC" w:rsidRPr="00F14753" w:rsidSect="00B3157A">
      <w:headerReference w:type="even" r:id="rId20"/>
      <w:headerReference w:type="default" r:id="rId21"/>
      <w:headerReference w:type="first" r:id="rId22"/>
      <w:footerReference w:type="first" r:id="rId2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F14753" w:rsidRDefault="00BF22CA">
      <w:r w:rsidRPr="00F14753">
        <w:separator/>
      </w:r>
    </w:p>
  </w:endnote>
  <w:endnote w:type="continuationSeparator" w:id="0">
    <w:p w:rsidR="00000000" w:rsidRPr="00F14753" w:rsidRDefault="00BF22CA">
      <w:r w:rsidRPr="00F147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Mincho">
    <w:altName w:val="游明朝"/>
    <w:panose1 w:val="00000000000000000000"/>
    <w:charset w:val="80"/>
    <w:family w:val="roman"/>
    <w:notTrueType/>
    <w:pitch w:val="default"/>
  </w:font>
  <w:font w:name="Yu Gothic Light">
    <w:altName w:val="ąSVbN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57A" w:rsidRPr="00F14753" w:rsidRDefault="00B3157A" w:rsidP="00B3157A">
    <w:pPr>
      <w:pStyle w:val="EPFooter"/>
    </w:pPr>
    <w:r w:rsidRPr="00F14753">
      <w:t>PE</w:t>
    </w:r>
    <w:r w:rsidRPr="00F14753">
      <w:rPr>
        <w:rStyle w:val="HideTWBExt"/>
      </w:rPr>
      <w:t>&lt;NoPE&gt;</w:t>
    </w:r>
    <w:r w:rsidRPr="00F14753">
      <w:t>768.112</w:t>
    </w:r>
    <w:r w:rsidRPr="00F14753">
      <w:rPr>
        <w:rStyle w:val="HideTWBExt"/>
      </w:rPr>
      <w:t>&lt;/NoPE&gt;&lt;Version&gt;</w:t>
    </w:r>
    <w:r w:rsidRPr="00F14753">
      <w:t>v02-00</w:t>
    </w:r>
    <w:r w:rsidRPr="00F14753">
      <w:rPr>
        <w:rStyle w:val="HideTWBExt"/>
      </w:rPr>
      <w:t>&lt;/Version&gt;</w:t>
    </w:r>
    <w:r w:rsidRPr="00F14753">
      <w:tab/>
    </w:r>
    <w:r w:rsidRPr="00F14753">
      <w:fldChar w:fldCharType="begin"/>
    </w:r>
    <w:r w:rsidRPr="00F14753">
      <w:instrText xml:space="preserve"> PAGE  \* MERGEFORMAT </w:instrText>
    </w:r>
    <w:r w:rsidRPr="00F14753">
      <w:fldChar w:fldCharType="separate"/>
    </w:r>
    <w:r w:rsidR="00BF22CA">
      <w:rPr>
        <w:noProof/>
      </w:rPr>
      <w:t>38</w:t>
    </w:r>
    <w:r w:rsidRPr="00F14753">
      <w:fldChar w:fldCharType="end"/>
    </w:r>
    <w:r w:rsidRPr="00F14753">
      <w:t>/</w:t>
    </w:r>
    <w:fldSimple w:instr=" NUMPAGES  \* MERGEFORMAT ">
      <w:r w:rsidR="00BF22CA">
        <w:rPr>
          <w:noProof/>
        </w:rPr>
        <w:t>41</w:t>
      </w:r>
    </w:fldSimple>
    <w:r w:rsidRPr="00F14753">
      <w:tab/>
    </w:r>
    <w:r w:rsidRPr="00F14753">
      <w:rPr>
        <w:rStyle w:val="HideTWBExt"/>
      </w:rPr>
      <w:t>&lt;PathFdR&gt;</w:t>
    </w:r>
    <w:r w:rsidRPr="00F14753">
      <w:t>AD\1317257IT.docx</w:t>
    </w:r>
    <w:r w:rsidRPr="00F14753">
      <w:rPr>
        <w:rStyle w:val="HideTWBExt"/>
      </w:rPr>
      <w:t>&lt;/PathFdR&gt;</w:t>
    </w:r>
  </w:p>
  <w:p w:rsidR="00B3157A" w:rsidRPr="00F14753" w:rsidRDefault="00B3157A" w:rsidP="00B3157A">
    <w:pPr>
      <w:pStyle w:val="EPFooter2"/>
    </w:pPr>
    <w:r w:rsidRPr="00F14753">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57A" w:rsidRPr="00F14753" w:rsidRDefault="00B3157A" w:rsidP="00B3157A">
    <w:pPr>
      <w:pStyle w:val="EPFooter"/>
    </w:pPr>
    <w:r w:rsidRPr="00F14753">
      <w:rPr>
        <w:rStyle w:val="HideTWBExt"/>
      </w:rPr>
      <w:t>&lt;PathFdR&gt;</w:t>
    </w:r>
    <w:r w:rsidRPr="00F14753">
      <w:t>AD\1317257IT.docx</w:t>
    </w:r>
    <w:r w:rsidRPr="00F14753">
      <w:rPr>
        <w:rStyle w:val="HideTWBExt"/>
      </w:rPr>
      <w:t>&lt;/PathFdR&gt;</w:t>
    </w:r>
    <w:r w:rsidRPr="00F14753">
      <w:tab/>
    </w:r>
    <w:r w:rsidRPr="00F14753">
      <w:fldChar w:fldCharType="begin"/>
    </w:r>
    <w:r w:rsidRPr="00F14753">
      <w:instrText xml:space="preserve"> PAGE  \* MERGEFORMAT </w:instrText>
    </w:r>
    <w:r w:rsidRPr="00F14753">
      <w:fldChar w:fldCharType="separate"/>
    </w:r>
    <w:r w:rsidR="00BF22CA">
      <w:rPr>
        <w:noProof/>
      </w:rPr>
      <w:t>37</w:t>
    </w:r>
    <w:r w:rsidRPr="00F14753">
      <w:fldChar w:fldCharType="end"/>
    </w:r>
    <w:r w:rsidRPr="00F14753">
      <w:t>/</w:t>
    </w:r>
    <w:fldSimple w:instr=" NUMPAGES  \* MERGEFORMAT ">
      <w:r w:rsidR="00BF22CA">
        <w:rPr>
          <w:noProof/>
        </w:rPr>
        <w:t>41</w:t>
      </w:r>
    </w:fldSimple>
    <w:r w:rsidRPr="00F14753">
      <w:tab/>
      <w:t>PE</w:t>
    </w:r>
    <w:r w:rsidRPr="00F14753">
      <w:rPr>
        <w:rStyle w:val="HideTWBExt"/>
      </w:rPr>
      <w:t>&lt;NoPE&gt;</w:t>
    </w:r>
    <w:r w:rsidRPr="00F14753">
      <w:t>768.112</w:t>
    </w:r>
    <w:r w:rsidRPr="00F14753">
      <w:rPr>
        <w:rStyle w:val="HideTWBExt"/>
      </w:rPr>
      <w:t>&lt;/NoPE&gt;&lt;Version&gt;</w:t>
    </w:r>
    <w:r w:rsidRPr="00F14753">
      <w:t>v02-00</w:t>
    </w:r>
    <w:r w:rsidRPr="00F14753">
      <w:rPr>
        <w:rStyle w:val="HideTWBExt"/>
      </w:rPr>
      <w:t>&lt;/Version&gt;</w:t>
    </w:r>
  </w:p>
  <w:p w:rsidR="00B3157A" w:rsidRPr="00F14753" w:rsidRDefault="00B3157A" w:rsidP="00B3157A">
    <w:pPr>
      <w:pStyle w:val="EPFooter2"/>
    </w:pPr>
    <w:r w:rsidRPr="00F14753">
      <w:tab/>
    </w:r>
    <w:r w:rsidRPr="00F14753">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57A" w:rsidRPr="00F14753" w:rsidRDefault="00B3157A" w:rsidP="00B3157A">
    <w:pPr>
      <w:pStyle w:val="EPFooter"/>
    </w:pPr>
    <w:r w:rsidRPr="00F14753">
      <w:rPr>
        <w:rStyle w:val="HideTWBExt"/>
      </w:rPr>
      <w:t>&lt;PathFdR&gt;</w:t>
    </w:r>
    <w:r w:rsidRPr="00F14753">
      <w:t>AD\1317257IT.docx</w:t>
    </w:r>
    <w:r w:rsidRPr="00F14753">
      <w:rPr>
        <w:rStyle w:val="HideTWBExt"/>
      </w:rPr>
      <w:t>&lt;/PathFdR&gt;</w:t>
    </w:r>
    <w:r w:rsidRPr="00F14753">
      <w:tab/>
    </w:r>
    <w:r w:rsidRPr="00F14753">
      <w:tab/>
      <w:t>PE</w:t>
    </w:r>
    <w:r w:rsidRPr="00F14753">
      <w:rPr>
        <w:rStyle w:val="HideTWBExt"/>
      </w:rPr>
      <w:t>&lt;NoPE&gt;</w:t>
    </w:r>
    <w:r w:rsidRPr="00F14753">
      <w:t>768.112</w:t>
    </w:r>
    <w:r w:rsidRPr="00F14753">
      <w:rPr>
        <w:rStyle w:val="HideTWBExt"/>
      </w:rPr>
      <w:t>&lt;/NoPE&gt;&lt;Version&gt;</w:t>
    </w:r>
    <w:r w:rsidRPr="00F14753">
      <w:t>v02-00</w:t>
    </w:r>
    <w:r w:rsidRPr="00F14753">
      <w:rPr>
        <w:rStyle w:val="HideTWBExt"/>
      </w:rPr>
      <w:t>&lt;/Version&gt;</w:t>
    </w:r>
  </w:p>
  <w:p w:rsidR="00B3157A" w:rsidRPr="00F14753" w:rsidRDefault="00B3157A" w:rsidP="00B3157A">
    <w:pPr>
      <w:pStyle w:val="EPFooter2"/>
    </w:pPr>
    <w:r w:rsidRPr="00F14753">
      <w:t>IT</w:t>
    </w:r>
    <w:r w:rsidRPr="00F14753">
      <w:tab/>
    </w:r>
    <w:r w:rsidRPr="00F14753">
      <w:rPr>
        <w:b w:val="0"/>
        <w:i/>
        <w:color w:val="C0C0C0"/>
        <w:sz w:val="22"/>
      </w:rPr>
      <w:t>Unita nella diversità</w:t>
    </w:r>
    <w:r w:rsidRPr="00F14753">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58F6" w:rsidRPr="00F14753" w:rsidRDefault="00BF22CA" w:rsidP="009558F6">
    <w:pPr>
      <w:pStyle w:val="EPFooter"/>
    </w:pPr>
    <w:r w:rsidRPr="00F14753">
      <w:rPr>
        <w:rStyle w:val="HideTWBExt"/>
      </w:rPr>
      <w:t>&lt;PathFdR&gt;</w:t>
    </w:r>
    <w:r w:rsidR="00F14753" w:rsidRPr="00F14753">
      <w:t>AD\1317257IT.docx</w:t>
    </w:r>
    <w:r w:rsidRPr="00F14753">
      <w:rPr>
        <w:rStyle w:val="HideTWBExt"/>
      </w:rPr>
      <w:t>&lt;/PathFdR&gt;</w:t>
    </w:r>
    <w:r w:rsidRPr="00F14753">
      <w:tab/>
    </w:r>
    <w:r w:rsidRPr="00F14753">
      <w:tab/>
      <w:t>PE</w:t>
    </w:r>
    <w:r w:rsidRPr="00F14753">
      <w:rPr>
        <w:rStyle w:val="HideTWBExt"/>
      </w:rPr>
      <w:t>&lt;NoPE&gt;</w:t>
    </w:r>
    <w:r w:rsidRPr="00F14753">
      <w:t>768.112</w:t>
    </w:r>
    <w:r w:rsidRPr="00F14753">
      <w:rPr>
        <w:rStyle w:val="HideTWBExt"/>
      </w:rPr>
      <w:t>&lt;/NoPE&gt;&lt;Version&gt;</w:t>
    </w:r>
    <w:r w:rsidRPr="00F14753">
      <w:t>v02-00</w:t>
    </w:r>
    <w:r w:rsidRPr="00F14753">
      <w:rPr>
        <w:rStyle w:val="HideTWBExt"/>
      </w:rPr>
      <w:t>&lt;/Version&gt;</w:t>
    </w:r>
  </w:p>
  <w:p w:rsidR="002E2F2E" w:rsidRPr="00F14753" w:rsidRDefault="00BF22CA" w:rsidP="009558F6">
    <w:pPr>
      <w:pStyle w:val="EPFooter2"/>
    </w:pPr>
    <w:r w:rsidRPr="00F14753">
      <w:t>IT</w:t>
    </w:r>
    <w:r w:rsidRPr="00F14753">
      <w:tab/>
    </w:r>
    <w:r w:rsidRPr="00F14753">
      <w:rPr>
        <w:b w:val="0"/>
        <w:i/>
        <w:color w:val="C0C0C0"/>
        <w:sz w:val="22"/>
      </w:rPr>
      <w:t>Unita nella diversità</w:t>
    </w:r>
    <w:r w:rsidRPr="00F14753">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F14753" w:rsidRDefault="00BF22CA">
      <w:r w:rsidRPr="00F14753">
        <w:separator/>
      </w:r>
    </w:p>
  </w:footnote>
  <w:footnote w:type="continuationSeparator" w:id="0">
    <w:p w:rsidR="00000000" w:rsidRPr="00F14753" w:rsidRDefault="00BF22CA">
      <w:r w:rsidRPr="00F1475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2CA" w:rsidRDefault="00BF22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2CA" w:rsidRDefault="00BF22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2CA" w:rsidRDefault="00BF22C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57A" w:rsidRDefault="00B3157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57A" w:rsidRDefault="00B3157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57A" w:rsidRDefault="00B315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AUTHORMFMNU" w:val=" 2"/>
    <w:docVar w:name="CJMNU" w:val="1"/>
    <w:docVar w:name="CODEMNU" w:val=" 1"/>
    <w:docVar w:name="COMKEY" w:val="EMPL"/>
    <w:docVar w:name="CONTRIBUTIONMNU" w:val=" 2"/>
    <w:docVar w:name="DDATE" w:val="12/02/2025"/>
    <w:docVar w:name="FONCTIONMNU" w:val=" 2"/>
    <w:docVar w:name="LastEditedSection" w:val=" 3"/>
    <w:docVar w:name="RepeatBlock-Amend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8\fbidi \froman\fcharset238\fprq2 Times New Roman CE;}{\f339\fbidi \froman\fcharset204\fprq2 Times New Roman Cyr;}_x000d__x000a_{\f341\fbidi \froman\fcharset161\fprq2 Times New Roman Greek;}{\f342\fbidi \froman\fcharset162\fprq2 Times New Roman Tur;}{\f343\fbidi \froman\fcharset177\fprq2 Times New Roman (Hebrew);}{\f344\fbidi \froman\fcharset178\fprq2 Times New Roman (Arabic);}_x000d__x000a_{\f345\fbidi \froman\fcharset186\fprq2 Times New Roman Baltic;}{\f346\fbidi \froman\fcharset163\fprq2 Times New Roman (Vietnamese);}{\f348\fbidi \fswiss\fcharset238\fprq2 Arial CE;}{\f349\fbidi \fswiss\fcharset204\fprq2 Arial Cyr;}_x000d__x000a_{\f351\fbidi \fswiss\fcharset161\fprq2 Arial Greek;}{\f352\fbidi \fswiss\fcharset162\fprq2 Arial Tur;}{\f353\fbidi \fswiss\fcharset177\fprq2 Arial (Hebrew);}{\f354\fbidi \fswiss\fcharset178\fprq2 Arial (Arabic);}_x000d__x000a_{\f355\fbidi \fswiss\fcharset186\fprq2 Arial Baltic;}{\f356\fbidi \fswiss\fcharset163\fprq2 Arial (Vietnamese);}{\f678\fbidi \froman\fcharset238\fprq2 Cambria Math CE;}{\f679\fbidi \froman\fcharset204\fprq2 Cambria Math Cyr;}_x000d__x000a_{\f681\fbidi \froman\fcharset161\fprq2 Cambria Math Greek;}{\f682\fbidi \froman\fcharset162\fprq2 Cambria Math Tur;}{\f685\fbidi \froman\fcharset186\fprq2 Cambria Math Baltic;}{\f68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177722 HideTWBExt;}{\*\cs18 \additive \v\f1\fs20\cf15 _x000d__x000a_\spriority0 \styrsid14177722 HideTWBInt;}{\s19\ql \li0\ri0\nowidctlpar\wrapdefault\aspalpha\aspnum\faauto\adjustright\rin0\lin0\itap0 \rtlch\fcs1 \af0\afs20\alang1025 \ltrch\fcs0 \b\fs24\lang1040\langfe2057\cgrid\langnp1040\langfenp2057 _x000d__x000a_\sbasedon0 \snext19 \spriority0 \styrsid14177722 NormalBold;}{\s20\ql \li0\ri0\sa120\nowidctlpar\wrapdefault\aspalpha\aspnum\faauto\adjustright\rin0\lin0\itap0 \rtlch\fcs1 \af0\afs20\alang1025 \ltrch\fcs0 _x000d__x000a_\fs24\lang1040\langfe2057\cgrid\langnp1040\langfenp2057 \sbasedon0 \snext20 \spriority0 \styrsid14177722 Normal6a;}{\s21\qc \li0\ri0\sa240\nowidctlpar\wrapdefault\aspalpha\aspnum\faauto\adjustright\rin0\lin0\itap0 \rtlch\fcs1 \af0\afs20\alang1025 _x000d__x000a_\ltrch\fcs0 \i\fs24\lang1040\langfe2057\cgrid\langnp1040\langfenp2057 \sbasedon0 \snext21 \spriority0 \styrsid14177722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2 \spriority0 \styrsid14177722 AmNumberTabs;}{\s23\ql \li0\ri0\sb240\nowidctlpar\wrapdefault\aspalpha\aspnum\faauto\adjustright\rin0\lin0\itap0 \rtlch\fcs1 _x000d__x000a_\af0\afs20\alang1025 \ltrch\fcs0 \b\fs24\lang1040\langfe2057\cgrid\langnp1040\langfenp2057 \sbasedon0 \snext23 \spriority0 \styrsid14177722 NormalBold12b;}}{\*\rsidtbl \rsid24658\rsid223860\rsid735077\rsid1718133\rsid2892074\rsid3565327\rsid4666813_x000d__x000a_\rsid6641733\rsid7823322\rsid9636012\rsid10377208\rsid11215221\rsid11549030\rsid12154954\rsid13304480\rsid14177722\rsid14382809\rsid14424199\rsid15204470\rsid15285974\rsid15950462\rsid16324206\rsid16662270}{\mmathPr\mmathFont34\mbrkBin0\mbrkBinSub0_x000d__x000a_\msmallFrac0\mdispDef1\mlMargin0\mrMargin0\mdefJc1\mwrapIndent1440\mintLim0\mnaryLim1}{\info{\author LATERZA Angela}{\operator LATERZA Angela}{\creatim\yr2025\mo4\dy4\hr9\min25}{\revtim\yr2025\mo4\dy4\hr9\min25}{\version1}{\edmins0}{\nofpages1}_x000d__x000a_{\nofwords36}{\nofchars211}{\nofcharsws246}{\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177722\newtblstyruls\nogrowautofit\usenormstyforlist\noindnmbrts\felnbrelev\nocxsptable\indrlsweleven\noafcnsttbl\afelev\utinl\hwelev\spltpgpar\notcvasp\notbrkcnstfrctbl\notvatxbx\krnprsnet\cachedcolbal _x000d__x000a_\nouicompat \fet0{\*\wgrffmtfilter 013f}\nofeaturethrottle1\ilfomacatclnup0{\*\template C:\\Users\\alaterza\\AppData\\Local\\Temp\\Blank1.dotx}{\*\ftnsep \ltrpar \pard\plain \ltrpar_x000d__x000a_\ql \li0\ri0\widctlpar\wrapdefault\aspalpha\aspnum\faauto\adjustright\rin0\lin0\itap0 \rtlch\fcs1 \af0\afs20\alang1025 \ltrch\fcs0 \fs24\lang2057\langfe2057\cgrid\langnp2057\langfenp2057 {\rtlch\fcs1 \af0 \ltrch\fcs0 \insrsid13304480 \chftnsep _x000d__x000a_\par }}{\*\ftnsepc \ltrpar \pard\plain \ltrpar\ql \li0\ri0\widctlpar\wrapdefault\aspalpha\aspnum\faauto\adjustright\rin0\lin0\itap0 \rtlch\fcs1 \af0\afs20\alang1025 \ltrch\fcs0 \fs24\lang2057\langfe2057\cgrid\langnp2057\langfenp2057 {\rtlch\fcs1 \af0 _x000d__x000a_\ltrch\fcs0 \insrsid13304480 \chftnsepc _x000d__x000a_\par }}{\*\aftnsep \ltrpar \pard\plain \ltrpar\ql \li0\ri0\widctlpar\wrapdefault\aspalpha\aspnum\faauto\adjustright\rin0\lin0\itap0 \rtlch\fcs1 \af0\afs20\alang1025 \ltrch\fcs0 \fs24\lang2057\langfe2057\cgrid\langnp2057\langfenp2057 {\rtlch\fcs1 \af0 _x000d__x000a_\ltrch\fcs0 \insrsid13304480 \chftnsep _x000d__x000a_\par }}{\*\aftnsepc \ltrpar \pard\plain \ltrpar\ql \li0\ri0\widctlpar\wrapdefault\aspalpha\aspnum\faauto\adjustright\rin0\lin0\itap0 \rtlch\fcs1 \af0\afs20\alang1025 \ltrch\fcs0 \fs24\lang2057\langfe2057\cgrid\langnp2057\langfenp2057 {\rtlch\fcs1 \af0 _x000d__x000a_\ltrch\fcs0 \insrsid1330448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4177722 \rtlch\fcs1 _x000d__x000a_\af0\afs20\alang1025 \ltrch\fcs0 \b\fs24\lang1040\langfe2057\cgrid\langnp1040\langfenp2057 {\rtlch\fcs1 \af0 \ltrch\fcs0 \cs17\b0\v\fs20\cf9\lang1024\langfe1024\loch\af1\hich\af1\dbch\af31501\noproof\insrsid14177722\charrsid9844535 {\*\bkmkstart restart}_x000d__x000a_\hich\af1\dbch\af31501\loch\f1 &lt;Amend&gt;}{\rtlch\fcs1 \af0 \ltrch\fcs0 \insrsid14177722\charrsid9844535 Emendamento\tab \tab }{\rtlch\fcs1 \af0 \ltrch\fcs0 _x000d__x000a_\cs17\b0\v\fs20\cf9\lang1024\langfe1024\loch\af1\hich\af1\dbch\af31501\noproof\insrsid14177722\charrsid9844535 \hich\af1\dbch\af31501\loch\f1 &lt;NumAm&gt;}{\rtlch\fcs1 \af0 \ltrch\fcs0 \insrsid14177722\charrsid9844535 #}{\rtlch\fcs1 \af1 \ltrch\fcs0 _x000d__x000a_\cs18\v\f1\fs20\cf15\insrsid14177722\charrsid9844535 ENMIENDA@NRAM@}{\rtlch\fcs1 \af0 \ltrch\fcs0 \insrsid14177722\charrsid9844535 #}{\rtlch\fcs1 \af0 \ltrch\fcs0 _x000d__x000a_\cs17\b0\v\fs20\cf9\lang1024\langfe1024\loch\af1\hich\af1\dbch\af31501\noproof\insrsid14177722\charrsid9844535 \hich\af1\dbch\af31501\loch\f1 &lt;/NumAm&gt;}{\rtlch\fcs1 \af0 \ltrch\fcs0 \insrsid14177722\charrsid9844535 _x000d__x000a_\par }\pard\plain \ltrpar\s23\ql \li0\ri0\sb240\keepn\nowidctlpar\wrapdefault\aspalpha\aspnum\faauto\adjustright\rin0\lin0\itap0\pararsid14177722 \rtlch\fcs1 \af0\afs20\alang1025 \ltrch\fcs0 \b\fs24\lang1040\langfe2057\cgrid\langnp1040\langfenp2057 {_x000d__x000a_\rtlch\fcs1 \af0 \ltrch\fcs0 \cs17\b0\v\fs20\cf9\lang1024\langfe1024\loch\af1\hich\af1\dbch\af31501\noproof\insrsid14177722\charrsid9844535 \hich\af1\dbch\af31501\loch\f1 &lt;DocAmend&gt;}{\rtlch\fcs1 \af0 \ltrch\fcs0 \insrsid14177722\charrsid9844535 #}{_x000d__x000a_\rtlch\fcs1 \af1 \ltrch\fcs0 \cs18\v\f1\fs20\cf15\insrsid14177722\charrsid9844535 MNU[DOC1][DOC2][DOC3][DOC4]@CHOICE@DOCMNU}{\rtlch\fcs1 \af0 \ltrch\fcs0 \insrsid14177722\charrsid9844535 #}{\rtlch\fcs1 \af0 \ltrch\fcs0 _x000d__x000a_\cs17\b0\v\fs20\cf9\lang1024\langfe1024\loch\af1\hich\af1\dbch\af31501\noproof\insrsid14177722\charrsid9844535 \hich\af1\dbch\af31501\loch\f1 &lt;/DocAmend&gt;}{\rtlch\fcs1 \af0 \ltrch\fcs0 \insrsid14177722\charrsid9844535 _x000d__x000a_\par }\pard\plain \ltrpar\s19\ql \li0\ri0\nowidctlpar\wrapdefault\aspalpha\aspnum\faauto\adjustright\rin0\lin0\itap0\pararsid14177722 \rtlch\fcs1 \af0\afs20\alang1025 \ltrch\fcs0 \b\fs24\lang1040\langfe2057\cgrid\langnp1040\langfenp2057 {\rtlch\fcs1 \af0 _x000d__x000a_\ltrch\fcs0 \cs17\b0\v\fs20\cf9\lang1024\langfe1024\loch\af1\hich\af1\dbch\af31501\noproof\insrsid14177722\charrsid9844535 \hich\af1\dbch\af31501\loch\f1 &lt;Article&gt;}{\rtlch\fcs1 \af0 \ltrch\fcs0 \cf10\insrsid14177722\charrsid13375998 \u9668\'3f}{_x000d__x000a_\rtlch\fcs1 \af0 \ltrch\fcs0 \insrsid14177722\charrsid9844535 #}{\rtlch\fcs1 \af1 \ltrch\fcs0 \cs18\v\f1\fs20\cf15\insrsid14177722\charrsid9844535 TVTAMACTPART@AMPART@}{\rtlch\fcs1 \af0 \ltrch\fcs0 \insrsid14177722\charrsid9844535 #}{\rtlch\fcs1 \af0 _x000d__x000a_\ltrch\fcs0 \cf10\insrsid14177722\charrsid13375998 \u9658\'3f}{\rtlch\fcs1 \af0 \ltrch\fcs0 \cs17\b0\v\fs20\cf9\lang1024\langfe1024\loch\af1\hich\af1\dbch\af31501\noproof\insrsid14177722\charrsid9844535 \hich\af1\dbch\af31501\loch\f1 &lt;/Article&gt;}{_x000d__x000a_\rtlch\fcs1 \af0 \ltrch\fcs0 \insrsid14177722\charrsid9844535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lang1040\langfe2057\langnp1040\insrsid14177722\charrsid9844535 \cell }\pard \ltrpar_x000d__x000a_\ql \li0\ri0\widctlpar\intbl\wrapdefault\aspalpha\aspnum\faauto\adjustright\rin0\lin0 {\rtlch\fcs1 \af0 \ltrch\fcs0 \lang1040\langfe2057\langnp1040\insrsid14177722\charrsid9844535 \trowd \irow0\irowband0\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1040\langfe2057\cgrid\langnp1040\langfenp2057 {\rtlch\fcs1 \af0 \ltrch\fcs0 _x000d__x000a_\insrsid14177722\charrsid9844535 #}{\rtlch\fcs1 \af1 \ltrch\fcs0 \cs18\v\f1\fs20\cf15\insrsid14177722\charrsid9844535 MNU[DOC1][DOC2][DOC3][DOC4]@CHOICE@DOCMNU}{\rtlch\fcs1 \af0 \ltrch\fcs0 \insrsid14177722\charrsid9844535 #\cell Emendamento\cell _x000d__x000a_}\pard\plain \ltrpar\ql \li0\ri0\widctlpar\intbl\wrapdefault\aspalpha\aspnum\faauto\adjustright\rin0\lin0 \rtlch\fcs1 \af0\afs20\alang1025 \ltrch\fcs0 \fs24\lang2057\langfe2057\cgrid\langnp2057\langfenp2057 {\rtlch\fcs1 \af0 \ltrch\fcs0 _x000d__x000a_\lang1040\langfe2057\langnp1040\insrsid14177722\charrsid9844535 \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20\ql \li0\ri0\sa120\nowidctlpar\intbl\wrapdefault\aspalpha\aspnum\faauto\adjustright\rin0\lin0\pararsid9505846 \rtlch\fcs1 \af0\afs20\alang1025 \ltrch\fcs0 \fs24\lang1040\langfe2057\cgrid\langnp1040\langfenp2057 {\rtlch\fcs1 \af0 \ltrch\fcs0 _x000d__x000a_\insrsid14177722\charrsid9844535 #}{\rtlch\fcs1 \af1 \ltrch\fcs0 \cs18\v\f1\fs20\cf15\insrsid14177722\charrsid9844535 TESTO}{\rtlch\fcs1 \af0 \ltrch\fcs0 \insrsid14177722\charrsid9844535 #\cell #}{\rtlch\fcs1 \af1 \ltrch\fcs0 _x000d__x000a_\cs18\v\f1\fs20\cf15\insrsid14177722\charrsid9844535 TESTO}{\rtlch\fcs1 \af0 \ltrch\fcs0 \insrsid14177722\charrsid9844535 #}{\rtlch\fcs1 \af0\afs24 \ltrch\fcs0 \insrsid14177722\charrsid9844535 \cell }\pard\plain \ltrpar_x000d__x000a_\ql \li0\ri0\widctlpar\intbl\wrapdefault\aspalpha\aspnum\faauto\adjustright\rin0\lin0 \rtlch\fcs1 \af0\afs20\alang1025 \ltrch\fcs0 \fs24\lang2057\langfe2057\cgrid\langnp2057\langfenp2057 {\rtlch\fcs1 \af0 \ltrch\fcs0 _x000d__x000a_\lang1040\langfe2057\langnp1040\insrsid14177722\charrsid9844535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4177722 {\rtlch\fcs1 \af0 \ltrch\fcs0 \cs17\v\fs20\cf9\lang1024\langfe1024\loch\af1\hich\af1\dbch\af31501\noproof\langnp1040\insrsid14177722\charrsid9844535 _x000d__x000a_\hich\af1\dbch\af31501\loch\f1 &lt;/Amend&gt;}{\rtlch\fcs1 \af0 \ltrch\fcs0 \insrsid14177722\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a8_x000d__x000a_f2b832a5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8\fbidi \froman\fcharset238\fprq2 Times New Roman CE;}{\f339\fbidi \froman\fcharset204\fprq2 Times New Roman Cyr;}_x000d__x000a_{\f341\fbidi \froman\fcharset161\fprq2 Times New Roman Greek;}{\f342\fbidi \froman\fcharset162\fprq2 Times New Roman Tur;}{\f343\fbidi \froman\fcharset177\fprq2 Times New Roman (Hebrew);}{\f344\fbidi \froman\fcharset178\fprq2 Times New Roman (Arabic);}_x000d__x000a_{\f345\fbidi \froman\fcharset186\fprq2 Times New Roman Baltic;}{\f346\fbidi \froman\fcharset163\fprq2 Times New Roman (Vietnamese);}{\f348\fbidi \fswiss\fcharset238\fprq2 Arial CE;}{\f349\fbidi \fswiss\fcharset204\fprq2 Arial Cyr;}_x000d__x000a_{\f351\fbidi \fswiss\fcharset161\fprq2 Arial Greek;}{\f352\fbidi \fswiss\fcharset162\fprq2 Arial Tur;}{\f353\fbidi \fswiss\fcharset177\fprq2 Arial (Hebrew);}{\f354\fbidi \fswiss\fcharset178\fprq2 Arial (Arabic);}_x000d__x000a_{\f355\fbidi \fswiss\fcharset186\fprq2 Arial Baltic;}{\f356\fbidi \fswiss\fcharset163\fprq2 Arial (Vietnamese);}{\f678\fbidi \froman\fcharset238\fprq2 Cambria Math CE;}{\f679\fbidi \froman\fcharset204\fprq2 Cambria Math Cyr;}_x000d__x000a_{\f681\fbidi \froman\fcharset161\fprq2 Cambria Math Greek;}{\f682\fbidi \froman\fcharset162\fprq2 Cambria Math Tur;}{\f685\fbidi \froman\fcharset186\fprq2 Cambria Math Baltic;}{\f68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75136 HideTWBExt;}{_x000d__x000a_\s18\ql \li0\ri0\nowidctlpar\wrapdefault\aspalpha\aspnum\faauto\adjustright\rin0\lin0\itap0 \rtlch\fcs1 \af0\afs20\alang1025 \ltrch\fcs0 \b\fs24\lang2057\langfe2057\cgrid\langnp2057\langfenp2057 \sbasedon0 \snext18 \spriority0 \styrsid1275136 NormalBold;}_x000d__x000a_{\s19\ql \li0\ri0\sa120\nowidctlpar\wrapdefault\aspalpha\aspnum\faauto\adjustright\rin0\lin0\itap0 \rtlch\fcs1 \af0\afs20\alang1025 \ltrch\fcs0 \fs24\lang2057\langfe2057\cgrid\langnp2057\langfenp2057 \sbasedon0 \snext19 \spriority0 \styrsid1275136 _x000d__x000a_Normal6a;}{\s20\qc \li0\ri0\sa240\nowidctlpar\wrapdefault\aspalpha\aspnum\faauto\adjustright\rin0\lin0\itap0 \rtlch\fcs1 \af0\afs20\alang1025 \ltrch\fcs0 \i\fs24\lang2057\langfe2057\cgrid\langnp2057\langfenp2057 _x000d__x000a_\sbasedon0 \snext20 \spriority0 \styrsid1275136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275136 AmNumberTabs;}{\s22\ql \li0\ri0\sb240\nowidctlpar\wrapdefault\aspalpha\aspnum\faauto\adjustright\rin0\lin0\itap0 \rtlch\fcs1 _x000d__x000a_\af0\afs20\alang1025 \ltrch\fcs0 \b\fs24\lang2057\langfe2057\cgrid\langnp2057\langfenp2057 \sbasedon0 \snext22 \spriority0 \styrsid1275136 NormalBold12b;}}{\*\rsidtbl \rsid24658\rsid223860\rsid735077\rsid1275136\rsid1718133\rsid2892074\rsid3565327_x000d__x000a_\rsid4666813\rsid6641733\rsid7823322\rsid9636012\rsid10377208\rsid11215221\rsid11549030\rsid12154954\rsid14382809\rsid14424199\rsid14626186\rsid15204470\rsid15285974\rsid15950462\rsid16324206\rsid16662270}{\mmathPr\mmathFont34\mbrkBin0\mbrkBinSub0_x000d__x000a_\msmallFrac0\mdispDef1\mlMargin0\mrMargin0\mdefJc1\mwrapIndent1440\mintLim0\mnaryLim1}{\info{\author LATERZA Angela}{\operator LATERZA Angela}{\creatim\yr2025\mo4\dy4\hr9\min25}{\revtim\yr2025\mo4\dy4\hr9\min25}{\version1}{\edmins0}{\nofpages1}_x000d__x000a_{\nofwords23}{\nofchars132}{\nofcharsws15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75136\newtblstyruls\nogrowautofit\usenormstyforlist\noindnmbrts\felnbrelev\nocxsptable\indrlsweleven\noafcnsttbl\afelev\utinl\hwelev\spltpgpar\notcvasp\notbrkcnstfrctbl\notvatxbx\krnprsnet\cachedcolbal _x000d__x000a_\nouicompat \fet0{\*\wgrffmtfilter 013f}\nofeaturethrottle1\ilfomacatclnup0{\*\template C:\\Users\\alaterza\\AppData\\Local\\Temp\\Blank1.dotx}{\*\ftnsep \ltrpar \pard\plain \ltrpar_x000d__x000a_\ql \li0\ri0\widctlpar\wrapdefault\aspalpha\aspnum\faauto\adjustright\rin0\lin0\itap0 \rtlch\fcs1 \af0\afs20\alang1025 \ltrch\fcs0 \fs24\lang2057\langfe2057\cgrid\langnp2057\langfenp2057 {\rtlch\fcs1 \af0 \ltrch\fcs0 \insrsid14626186 \chftnsep _x000d__x000a_\par }}{\*\ftnsepc \ltrpar \pard\plain \ltrpar\ql \li0\ri0\widctlpar\wrapdefault\aspalpha\aspnum\faauto\adjustright\rin0\lin0\itap0 \rtlch\fcs1 \af0\afs20\alang1025 \ltrch\fcs0 \fs24\lang2057\langfe2057\cgrid\langnp2057\langfenp2057 {\rtlch\fcs1 \af0 _x000d__x000a_\ltrch\fcs0 \insrsid14626186 \chftnsepc _x000d__x000a_\par }}{\*\aftnsep \ltrpar \pard\plain \ltrpar\ql \li0\ri0\widctlpar\wrapdefault\aspalpha\aspnum\faauto\adjustright\rin0\lin0\itap0 \rtlch\fcs1 \af0\afs20\alang1025 \ltrch\fcs0 \fs24\lang2057\langfe2057\cgrid\langnp2057\langfenp2057 {\rtlch\fcs1 \af0 _x000d__x000a_\ltrch\fcs0 \insrsid14626186 \chftnsep _x000d__x000a_\par }}{\*\aftnsepc \ltrpar \pard\plain \ltrpar\ql \li0\ri0\widctlpar\wrapdefault\aspalpha\aspnum\faauto\adjustright\rin0\lin0\itap0 \rtlch\fcs1 \af0\afs20\alang1025 \ltrch\fcs0 \fs24\lang2057\langfe2057\cgrid\langnp2057\langfenp2057 {\rtlch\fcs1 \af0 _x000d__x000a_\ltrch\fcs0 \insrsid146261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275136 \rtlch\fcs1 _x000d__x000a_\af0\afs20\alang1025 \ltrch\fcs0 \b\fs24\lang2057\langfe2057\cgrid\langnp2057\langfenp2057 {\rtlch\fcs1 \af0 \ltrch\fcs0 \cs17\b0\v\fs20\cf9\lang1024\langfe1024\loch\af1\hich\af1\dbch\af31501\noproof\langnp1036\insrsid1275136\charrsid4291528 _x000d__x000a_{\*\bkmkstart restart}\hich\af1\dbch\af31501\loch\f1 &lt;Amend&gt;}{\rtlch\fcs1 \af0 \ltrch\fcs0 \lang1036\langfe2057\langnp1036\insrsid1275136\charrsid4291528 [ZAMENDMENT]\tab \tab }{\rtlch\fcs1 \af0 \ltrch\fcs0 _x000d__x000a_\cs17\b0\v\fs20\cf9\lang1024\langfe1024\loch\af1\hich\af1\dbch\af31501\noproof\langnp1036\insrsid1275136\charrsid4291528 \hich\af1\dbch\af31501\loch\f1 &lt;NumAm&gt;}{\rtlch\fcs1 \af0 \ltrch\fcs0 \lang1036\langfe2057\langnp1036\insrsid1275136\charrsid4291528 _x000d__x000a_[ZNRAM]}{\rtlch\fcs1 \af0 \ltrch\fcs0 \cs17\b0\v\fs20\cf9\lang1024\langfe1024\loch\af1\hich\af1\dbch\af31501\noproof\langnp1036\insrsid1275136\charrsid4291528 \hich\af1\dbch\af31501\loch\f1 &lt;/NumAm&gt;}{\rtlch\fcs1 \af0 \ltrch\fcs0 _x000d__x000a_\lang1036\langfe2057\langnp1036\insrsid1275136\charrsid4291528 _x000d__x000a_\par }\pard\plain \ltrpar\s22\ql \li0\ri0\sb240\keepn\nowidctlpar\wrapdefault\aspalpha\aspnum\faauto\adjustright\rin0\lin0\itap0\pararsid1275136 \rtlch\fcs1 \af0\afs20\alang1025 \ltrch\fcs0 \b\fs24\lang2057\langfe2057\cgrid\langnp2057\langfenp2057 {_x000d__x000a_\rtlch\fcs1 \af0 \ltrch\fcs0 \cs17\b0\v\fs20\cf9\lang1024\langfe1024\loch\af1\hich\af1\dbch\af31501\noproof\langnp1036\insrsid1275136\charrsid4291528 \hich\af1\dbch\af31501\loch\f1 &lt;DocAmend&gt;}{\rtlch\fcs1 \af0 \ltrch\fcs0 _x000d__x000a_\lang1036\langfe2057\langnp1036\insrsid1275136\charrsid4291528 [}{\rtlch\fcs1 \af0 \ltrch\fcs0 \lang1036\langfe2057\langnp1036\insrsid1275136\charrsid3548259 ZPROPOSAL}{\rtlch\fcs1 \af0 \ltrch\fcs0 _x000d__x000a_\lang1036\langfe2057\langnp1036\insrsid1275136\charrsid4291528 ]}{\rtlch\fcs1 \af0 \ltrch\fcs0 \cs17\b0\v\fs20\cf9\lang1024\langfe1024\loch\af1\hich\af1\dbch\af31501\noproof\langnp1036\insrsid1275136\charrsid4291528 \hich\af1\dbch\af31501\loch\f1 _x000d__x000a_&lt;/DocAmend&gt;}{\rtlch\fcs1 \af0 \ltrch\fcs0 \lang1036\langfe2057\langnp1036\insrsid1275136\charrsid4291528 _x000d__x000a_\par }\pard\plain \ltrpar\s18\ql \li0\ri0\nowidctlpar\wrapdefault\aspalpha\aspnum\faauto\adjustright\rin0\lin0\itap0\pararsid1275136 \rtlch\fcs1 \af0\afs20\alang1025 \ltrch\fcs0 \b\fs24\lang2057\langfe2057\cgrid\langnp2057\langfenp2057 {\rtlch\fcs1 \af0 _x000d__x000a_\ltrch\fcs0 \cs17\b0\v\fs20\cf9\lang1024\langfe1024\loch\af1\hich\af1\dbch\af31501\noproof\langnp1036\insrsid1275136\charrsid4291528 \hich\af1\dbch\af31501\loch\f1 &lt;Article&gt;}{\rtlch\fcs1 \af0 \ltrch\fcs0 _x000d__x000a_\lang1036\langfe2057\langnp1036\insrsid1275136\charrsid4291528 [ZAMPART]}{\rtlch\fcs1 \af0 \ltrch\fcs0 \cs17\b0\v\fs20\cf9\lang1024\langfe1024\loch\af1\hich\af1\dbch\af31501\noproof\langnp1036\insrsid1275136\charrsid4291528 \hich\af1\dbch\af31501\loch\f1 _x000d__x000a_&lt;/Article&gt;}{\rtlch\fcs1 \af0 \ltrch\fcs0 \lang1036\langfe2057\langnp1036\insrsid1275136\charrsid4291528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lang1036\langfe2057\langnp1036\insrsid1275136\charrsid4291528 \cell }\pard \ltrpar_x000d__x000a_\ql \li0\ri0\widctlpar\intbl\wrapdefault\aspalpha\aspnum\faauto\adjustright\rin0\lin0 {\rtlch\fcs1 \af0 \ltrch\fcs0 \insrsid1275136\charrsid4291528 \trowd \irow0\irowband0\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1275136\charrsid6708014 [ZLEFT]\cell [ZRIGHT]\cell }\pard\plain \ltrpar\ql \li0\ri0\widctlpar\intbl\wrapdefault\aspalpha\aspnum\faauto\adjustright\rin0\lin0 \rtlch\fcs1 \af0\afs20\alang1025 \ltrch\fcs0 _x000d__x000a_\fs24\lang2057\langfe2057\cgrid\langnp2057\langfenp2057 {\rtlch\fcs1 \af0 \ltrch\fcs0 \insrsid1275136\charrsid6708014 \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1275136\charrsid6708014 [ZTEXTL]\cell [ZTEXTR]}{\rtlch\fcs1 \af0\afs24 \ltrch\fcs0 \insrsid1275136\charrsid6708014 \cell }\pard\plain \ltrpar\ql \li0\ri0\widctlpar\intbl\wrapdefault\aspalpha\aspnum\faauto\adjustright\rin0\lin0 \rtlch\fcs1 _x000d__x000a_\af0\afs20\alang1025 \ltrch\fcs0 \fs24\lang2057\langfe2057\cgrid\langnp2057\langfenp2057 {\rtlch\fcs1 \af0 \ltrch\fcs0 \insrsid1275136\charrsid670801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275136 {\rtlch\fcs1 \af0 \ltrch\fcs0 \cs17\v\fs20\cf9\lang1024\langfe1024\loch\af1\hich\af1\dbch\af31501\noproof\insrsid1275136\charrsid6708014 _x000d__x000a_\hich\af1\dbch\af31501\loch\f1 &lt;/Amend&gt;}{\rtlch\fcs1 \af0 \ltrch\fcs0 \insrsid1275136\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7c_x000d__x000a_7cba32a5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17"/>
    <w:docVar w:name="TXTAUTHOR" w:val="Marie_x001e_Pierre Vedrenne"/>
    <w:docVar w:name="TXTLANGUE" w:val="IT"/>
    <w:docVar w:name="TXTLANGUEMIN" w:val="it"/>
    <w:docVar w:name="TXTNRPE" w:val="768.112"/>
    <w:docVar w:name="TXTNRPROC" w:val="2024/2085"/>
    <w:docVar w:name="TXTPEorAP" w:val="PE"/>
    <w:docVar w:name="TXTROUTE" w:val="AD\1317257IT.docx"/>
    <w:docVar w:name="TXTVERSION" w:val="02-00"/>
  </w:docVars>
  <w:rsids>
    <w:rsidRoot w:val="00963737"/>
    <w:rsid w:val="000200F7"/>
    <w:rsid w:val="00037518"/>
    <w:rsid w:val="000E7EBF"/>
    <w:rsid w:val="000F46BF"/>
    <w:rsid w:val="00124F60"/>
    <w:rsid w:val="00133437"/>
    <w:rsid w:val="00135121"/>
    <w:rsid w:val="00140BE6"/>
    <w:rsid w:val="00147F4E"/>
    <w:rsid w:val="0016635E"/>
    <w:rsid w:val="001746D0"/>
    <w:rsid w:val="001B7393"/>
    <w:rsid w:val="001D2ED9"/>
    <w:rsid w:val="001F21C1"/>
    <w:rsid w:val="002035CA"/>
    <w:rsid w:val="00275DBD"/>
    <w:rsid w:val="002B2C72"/>
    <w:rsid w:val="002D28A7"/>
    <w:rsid w:val="002E2F2E"/>
    <w:rsid w:val="002E4AA3"/>
    <w:rsid w:val="002E6F98"/>
    <w:rsid w:val="00325BCB"/>
    <w:rsid w:val="00331944"/>
    <w:rsid w:val="00332AD9"/>
    <w:rsid w:val="003402B9"/>
    <w:rsid w:val="00347D2C"/>
    <w:rsid w:val="00362463"/>
    <w:rsid w:val="0037356F"/>
    <w:rsid w:val="00390EB2"/>
    <w:rsid w:val="00396A0E"/>
    <w:rsid w:val="003E2402"/>
    <w:rsid w:val="004667D1"/>
    <w:rsid w:val="00481440"/>
    <w:rsid w:val="00485C5C"/>
    <w:rsid w:val="004A7980"/>
    <w:rsid w:val="004C28FB"/>
    <w:rsid w:val="004C44C0"/>
    <w:rsid w:val="0052544E"/>
    <w:rsid w:val="005940C3"/>
    <w:rsid w:val="00594C48"/>
    <w:rsid w:val="005B2F11"/>
    <w:rsid w:val="005C0BDF"/>
    <w:rsid w:val="005D60C6"/>
    <w:rsid w:val="006102E7"/>
    <w:rsid w:val="00640C1B"/>
    <w:rsid w:val="00657AFB"/>
    <w:rsid w:val="006D5BF7"/>
    <w:rsid w:val="00706AF1"/>
    <w:rsid w:val="00761711"/>
    <w:rsid w:val="00796AD4"/>
    <w:rsid w:val="008313E7"/>
    <w:rsid w:val="00854CAC"/>
    <w:rsid w:val="008A32C5"/>
    <w:rsid w:val="008C1CF9"/>
    <w:rsid w:val="008C6203"/>
    <w:rsid w:val="008D61E7"/>
    <w:rsid w:val="008F7002"/>
    <w:rsid w:val="009558F6"/>
    <w:rsid w:val="00963737"/>
    <w:rsid w:val="0099493F"/>
    <w:rsid w:val="009C0D72"/>
    <w:rsid w:val="00A16BEA"/>
    <w:rsid w:val="00A312B3"/>
    <w:rsid w:val="00A372D2"/>
    <w:rsid w:val="00A47E2F"/>
    <w:rsid w:val="00A72C35"/>
    <w:rsid w:val="00AE180F"/>
    <w:rsid w:val="00B3157A"/>
    <w:rsid w:val="00B362F7"/>
    <w:rsid w:val="00B5456B"/>
    <w:rsid w:val="00B74B53"/>
    <w:rsid w:val="00BC26E4"/>
    <w:rsid w:val="00BD1EAA"/>
    <w:rsid w:val="00BF0AFC"/>
    <w:rsid w:val="00BF22CA"/>
    <w:rsid w:val="00C52739"/>
    <w:rsid w:val="00C827FF"/>
    <w:rsid w:val="00C85D0F"/>
    <w:rsid w:val="00CD34AC"/>
    <w:rsid w:val="00D318E7"/>
    <w:rsid w:val="00D7202C"/>
    <w:rsid w:val="00DC5AA3"/>
    <w:rsid w:val="00DE19FF"/>
    <w:rsid w:val="00DF529A"/>
    <w:rsid w:val="00E81BA6"/>
    <w:rsid w:val="00E856D2"/>
    <w:rsid w:val="00E929A7"/>
    <w:rsid w:val="00EE1379"/>
    <w:rsid w:val="00F14753"/>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FAB207"/>
  <w15:chartTrackingRefBased/>
  <w15:docId w15:val="{51E66C28-3C5C-4925-92BD-42BAD092F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link w:val="NormalBoldChar"/>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link w:val="NormalBold12bChar"/>
    <w:rsid w:val="003402B9"/>
    <w:pPr>
      <w:spacing w:before="240"/>
    </w:pPr>
    <w:rPr>
      <w:b/>
    </w:rPr>
  </w:style>
  <w:style w:type="character" w:customStyle="1" w:styleId="Normal6Char">
    <w:name w:val="Normal6 Char"/>
    <w:basedOn w:val="DefaultParagraphFont"/>
    <w:link w:val="Normal6"/>
    <w:locked/>
    <w:rsid w:val="00EE1379"/>
    <w:rPr>
      <w:sz w:val="24"/>
      <w:lang w:val="it-IT"/>
    </w:rPr>
  </w:style>
  <w:style w:type="paragraph" w:customStyle="1" w:styleId="Normal6">
    <w:name w:val="Normal6"/>
    <w:basedOn w:val="Normal"/>
    <w:link w:val="Normal6Char"/>
    <w:rsid w:val="00EE1379"/>
    <w:pPr>
      <w:spacing w:after="120"/>
    </w:pPr>
  </w:style>
  <w:style w:type="character" w:customStyle="1" w:styleId="NormalBoldChar">
    <w:name w:val="NormalBold Char"/>
    <w:basedOn w:val="DefaultParagraphFont"/>
    <w:link w:val="NormalBold"/>
    <w:locked/>
    <w:rsid w:val="00EE1379"/>
    <w:rPr>
      <w:b/>
      <w:sz w:val="24"/>
      <w:lang w:val="it-IT"/>
    </w:rPr>
  </w:style>
  <w:style w:type="paragraph" w:customStyle="1" w:styleId="ColumnHeading">
    <w:name w:val="ColumnHeading"/>
    <w:basedOn w:val="Normal"/>
    <w:rsid w:val="00EE1379"/>
    <w:pPr>
      <w:spacing w:after="240"/>
      <w:jc w:val="center"/>
    </w:pPr>
    <w:rPr>
      <w:i/>
    </w:rPr>
  </w:style>
  <w:style w:type="paragraph" w:customStyle="1" w:styleId="AMNumberTabs0">
    <w:name w:val="AMNumberTabs"/>
    <w:basedOn w:val="Normal"/>
    <w:rsid w:val="00EE137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EE1379"/>
    <w:pPr>
      <w:jc w:val="right"/>
    </w:pPr>
  </w:style>
  <w:style w:type="character" w:styleId="Hyperlink">
    <w:name w:val="Hyperlink"/>
    <w:basedOn w:val="DefaultParagraphFont"/>
    <w:uiPriority w:val="99"/>
    <w:unhideWhenUsed/>
    <w:rsid w:val="00EE1379"/>
    <w:rPr>
      <w:color w:val="0000FF"/>
      <w:u w:val="single"/>
    </w:rPr>
  </w:style>
  <w:style w:type="paragraph" w:customStyle="1" w:styleId="Normal24a">
    <w:name w:val="Normal24a"/>
    <w:basedOn w:val="Normal"/>
    <w:rsid w:val="00EE1379"/>
    <w:pPr>
      <w:spacing w:after="480"/>
    </w:pPr>
    <w:rPr>
      <w:szCs w:val="24"/>
    </w:rPr>
  </w:style>
  <w:style w:type="paragraph" w:customStyle="1" w:styleId="NormalBoldCenter">
    <w:name w:val="NormalBoldCenter"/>
    <w:basedOn w:val="Normal"/>
    <w:rsid w:val="00EE1379"/>
    <w:pPr>
      <w:jc w:val="center"/>
    </w:pPr>
    <w:rPr>
      <w:b/>
      <w:szCs w:val="24"/>
    </w:rPr>
  </w:style>
  <w:style w:type="paragraph" w:customStyle="1" w:styleId="Footprint12b">
    <w:name w:val="Footprint12b"/>
    <w:basedOn w:val="Normal"/>
    <w:rsid w:val="00EE1379"/>
    <w:pPr>
      <w:spacing w:before="240"/>
    </w:pPr>
    <w:rPr>
      <w:szCs w:val="24"/>
    </w:rPr>
  </w:style>
  <w:style w:type="paragraph" w:customStyle="1" w:styleId="NormalSingle">
    <w:name w:val="NormalSingle"/>
    <w:basedOn w:val="Normal"/>
    <w:qFormat/>
    <w:rsid w:val="00EE1379"/>
    <w:rPr>
      <w:szCs w:val="24"/>
    </w:rPr>
  </w:style>
  <w:style w:type="paragraph" w:styleId="Footer">
    <w:name w:val="footer"/>
    <w:basedOn w:val="Normal"/>
    <w:link w:val="FooterChar"/>
    <w:semiHidden/>
    <w:rsid w:val="00EE1379"/>
    <w:pPr>
      <w:tabs>
        <w:tab w:val="center" w:pos="4513"/>
        <w:tab w:val="right" w:pos="9026"/>
      </w:tabs>
    </w:pPr>
  </w:style>
  <w:style w:type="character" w:customStyle="1" w:styleId="FooterChar">
    <w:name w:val="Footer Char"/>
    <w:basedOn w:val="DefaultParagraphFont"/>
    <w:link w:val="Footer"/>
    <w:semiHidden/>
    <w:rsid w:val="00EE1379"/>
    <w:rPr>
      <w:sz w:val="24"/>
      <w:lang w:val="it-IT"/>
    </w:rPr>
  </w:style>
  <w:style w:type="paragraph" w:styleId="BalloonText">
    <w:name w:val="Balloon Text"/>
    <w:basedOn w:val="Normal"/>
    <w:link w:val="BalloonTextChar"/>
    <w:semiHidden/>
    <w:unhideWhenUsed/>
    <w:rsid w:val="000F46BF"/>
    <w:rPr>
      <w:rFonts w:ascii="Segoe UI" w:hAnsi="Segoe UI" w:cs="Segoe UI"/>
      <w:sz w:val="18"/>
      <w:szCs w:val="18"/>
    </w:rPr>
  </w:style>
  <w:style w:type="character" w:customStyle="1" w:styleId="BalloonTextChar">
    <w:name w:val="Balloon Text Char"/>
    <w:basedOn w:val="DefaultParagraphFont"/>
    <w:link w:val="BalloonText"/>
    <w:semiHidden/>
    <w:rsid w:val="000F46BF"/>
    <w:rPr>
      <w:rFonts w:ascii="Segoe UI" w:hAnsi="Segoe UI" w:cs="Segoe UI"/>
      <w:sz w:val="18"/>
      <w:szCs w:val="18"/>
      <w:lang w:val="it-IT"/>
    </w:rPr>
  </w:style>
  <w:style w:type="character" w:styleId="CommentReference">
    <w:name w:val="annotation reference"/>
    <w:basedOn w:val="DefaultParagraphFont"/>
    <w:rsid w:val="000F46BF"/>
    <w:rPr>
      <w:sz w:val="16"/>
      <w:szCs w:val="16"/>
    </w:rPr>
  </w:style>
  <w:style w:type="paragraph" w:styleId="CommentText">
    <w:name w:val="annotation text"/>
    <w:basedOn w:val="Normal"/>
    <w:link w:val="CommentTextChar"/>
    <w:rsid w:val="000F46BF"/>
    <w:rPr>
      <w:sz w:val="20"/>
    </w:rPr>
  </w:style>
  <w:style w:type="character" w:customStyle="1" w:styleId="CommentTextChar">
    <w:name w:val="Comment Text Char"/>
    <w:basedOn w:val="DefaultParagraphFont"/>
    <w:link w:val="CommentText"/>
    <w:rsid w:val="000F46BF"/>
    <w:rPr>
      <w:lang w:val="it-IT"/>
    </w:rPr>
  </w:style>
  <w:style w:type="paragraph" w:styleId="CommentSubject">
    <w:name w:val="annotation subject"/>
    <w:basedOn w:val="CommentText"/>
    <w:next w:val="CommentText"/>
    <w:link w:val="CommentSubjectChar"/>
    <w:semiHidden/>
    <w:unhideWhenUsed/>
    <w:rsid w:val="000F46BF"/>
    <w:rPr>
      <w:b/>
      <w:bCs/>
    </w:rPr>
  </w:style>
  <w:style w:type="character" w:customStyle="1" w:styleId="CommentSubjectChar">
    <w:name w:val="Comment Subject Char"/>
    <w:basedOn w:val="CommentTextChar"/>
    <w:link w:val="CommentSubject"/>
    <w:semiHidden/>
    <w:rsid w:val="000F46BF"/>
    <w:rPr>
      <w:b/>
      <w:bCs/>
      <w:lang w:val="it-IT"/>
    </w:rPr>
  </w:style>
  <w:style w:type="character" w:styleId="FollowedHyperlink">
    <w:name w:val="FollowedHyperlink"/>
    <w:basedOn w:val="DefaultParagraphFont"/>
    <w:rsid w:val="000F46BF"/>
    <w:rPr>
      <w:color w:val="954F72" w:themeColor="followedHyperlink"/>
      <w:u w:val="single"/>
    </w:rPr>
  </w:style>
  <w:style w:type="character" w:customStyle="1" w:styleId="NormalHanging12aChar">
    <w:name w:val="NormalHanging12a Char"/>
    <w:basedOn w:val="DefaultParagraphFont"/>
    <w:link w:val="NormalHanging12a"/>
    <w:locked/>
    <w:rsid w:val="000F46BF"/>
    <w:rPr>
      <w:sz w:val="24"/>
    </w:rPr>
  </w:style>
  <w:style w:type="character" w:customStyle="1" w:styleId="NormalBold12bChar">
    <w:name w:val="NormalBold12b Char"/>
    <w:basedOn w:val="DefaultParagraphFont"/>
    <w:link w:val="NormalBold12b"/>
    <w:locked/>
    <w:rsid w:val="000F46BF"/>
    <w:rPr>
      <w:b/>
      <w:sz w:val="24"/>
    </w:rPr>
  </w:style>
  <w:style w:type="paragraph" w:customStyle="1" w:styleId="RollCallSymbols14pt">
    <w:name w:val="RollCallSymbols14pt"/>
    <w:basedOn w:val="Normal"/>
    <w:rsid w:val="000F46BF"/>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F46BF"/>
    <w:pPr>
      <w:tabs>
        <w:tab w:val="center" w:pos="284"/>
        <w:tab w:val="left" w:pos="426"/>
      </w:tabs>
    </w:pPr>
    <w:rPr>
      <w:snapToGrid w:val="0"/>
      <w:lang w:eastAsia="en-US"/>
    </w:rPr>
  </w:style>
  <w:style w:type="paragraph" w:customStyle="1" w:styleId="RollCallVotes">
    <w:name w:val="RollCallVotes"/>
    <w:basedOn w:val="Normal"/>
    <w:rsid w:val="000F46BF"/>
    <w:pPr>
      <w:spacing w:before="120" w:after="120"/>
      <w:jc w:val="center"/>
    </w:pPr>
    <w:rPr>
      <w:b/>
      <w:bCs/>
      <w:snapToGrid w:val="0"/>
      <w:sz w:val="16"/>
      <w:lang w:eastAsia="en-US"/>
    </w:rPr>
  </w:style>
  <w:style w:type="paragraph" w:customStyle="1" w:styleId="RollCallTable">
    <w:name w:val="RollCallTable"/>
    <w:basedOn w:val="Normal"/>
    <w:rsid w:val="000F46BF"/>
    <w:pPr>
      <w:spacing w:before="120" w:after="120"/>
    </w:pPr>
    <w:rPr>
      <w:snapToGrid w:val="0"/>
      <w:sz w:val="16"/>
      <w:lang w:eastAsia="en-US"/>
    </w:rPr>
  </w:style>
  <w:style w:type="character" w:styleId="Emphasis">
    <w:name w:val="Emphasis"/>
    <w:basedOn w:val="DefaultParagraphFont"/>
    <w:uiPriority w:val="20"/>
    <w:qFormat/>
    <w:rsid w:val="000F46BF"/>
    <w:rPr>
      <w:i/>
      <w:iCs/>
    </w:rPr>
  </w:style>
  <w:style w:type="paragraph" w:customStyle="1" w:styleId="titreobjetcp">
    <w:name w:val="titreobjet_cp"/>
    <w:basedOn w:val="Normal"/>
    <w:rsid w:val="000F46BF"/>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ata.europa.eu/eli/reco/2021/1004/oj" TargetMode="External"/><Relationship Id="rId13" Type="http://schemas.openxmlformats.org/officeDocument/2006/relationships/hyperlink" Target="https://www.europarl.europa.eu/RegData/etudes/IDAN/2025/765765/EPRS_IDA(2025)765765_EN.pdf"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eader" Target="header5.xml"/><Relationship Id="rId7" Type="http://schemas.openxmlformats.org/officeDocument/2006/relationships/image" Target="media/image1.png"/><Relationship Id="rId12" Type="http://schemas.openxmlformats.org/officeDocument/2006/relationships/hyperlink" Target="https://ec.europa.eu/eurostat/web/products-eurostat-news/-/ddn-20231215-3" TargetMode="Externa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c.europa.eu/eurostat/databrowser/view/sdg_04_70/default/table"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footer" Target="footer4.xml"/><Relationship Id="rId10" Type="http://schemas.openxmlformats.org/officeDocument/2006/relationships/hyperlink" Target="http://data.europa.eu/eli/C/2023/1389/oj"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data.europa.eu/eli/dir/2022/2041/oj" TargetMode="External"/><Relationship Id="rId14" Type="http://schemas.openxmlformats.org/officeDocument/2006/relationships/header" Target="head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10157</Words>
  <Characters>59317</Characters>
  <Application>Microsoft Office Word</Application>
  <DocSecurity>0</DocSecurity>
  <Lines>2196</Lines>
  <Paragraphs>526</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68948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2004-10-28T10:33:00Z</cp:lastPrinted>
  <dcterms:created xsi:type="dcterms:W3CDTF">2025-04-14T12:55:00Z</dcterms:created>
  <dcterms:modified xsi:type="dcterms:W3CDTF">2025-04-14T12:55:00Z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1317257</vt:lpwstr>
  </property>
  <property fmtid="{D5CDD505-2E9C-101B-9397-08002B2CF9AE}" pid="4" name="&lt;Model&gt;">
    <vt:lpwstr>PA_NonLeg</vt:lpwstr>
  </property>
  <property fmtid="{D5CDD505-2E9C-101B-9397-08002B2CF9AE}" pid="5" name="&lt;ModelCod&gt;">
    <vt:lpwstr>\\eiciLUXpr1\pdocep$\DocEP\DOCS\General\PA\PA_NonLeg\PA_NonLeg.dotx(19/06/2024 13:39:02)</vt:lpwstr>
  </property>
  <property fmtid="{D5CDD505-2E9C-101B-9397-08002B2CF9AE}" pid="6" name="&lt;ModelTra&gt;">
    <vt:lpwstr>\\eiciLUXpr1\pdocep$\DocEP\TRANSFIL\IT\PA_NonLeg.IT(25/07/2024 07:39:15)</vt:lpwstr>
  </property>
  <property fmtid="{D5CDD505-2E9C-101B-9397-08002B2CF9AE}" pid="7" name="&lt;Type&gt;">
    <vt:lpwstr>AD</vt:lpwstr>
  </property>
  <property fmtid="{D5CDD505-2E9C-101B-9397-08002B2CF9AE}" pid="8" name="Bookout">
    <vt:lpwstr>OK - 2025/04/14 14:55</vt:lpwstr>
  </property>
  <property fmtid="{D5CDD505-2E9C-101B-9397-08002B2CF9AE}" pid="9" name="Created with">
    <vt:lpwstr>10.0.1 Build [20250114]</vt:lpwstr>
  </property>
  <property fmtid="{D5CDD505-2E9C-101B-9397-08002B2CF9AE}" pid="10" name="FooterPath">
    <vt:lpwstr>AD\1317257IT.docx</vt:lpwstr>
  </property>
  <property fmtid="{D5CDD505-2E9C-101B-9397-08002B2CF9AE}" pid="11" name="LastEdited with">
    <vt:lpwstr>10.1.0 Build [20250401]</vt:lpwstr>
  </property>
  <property fmtid="{D5CDD505-2E9C-101B-9397-08002B2CF9AE}" pid="12" name="PE number">
    <vt:lpwstr>768.112</vt:lpwstr>
  </property>
  <property fmtid="{D5CDD505-2E9C-101B-9397-08002B2CF9AE}" pid="13" name="SDLStudio">
    <vt:lpwstr/>
  </property>
</Properties>
</file>