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35DE8" w:rsidRPr="009A64AE" w:rsidTr="007B04F0">
        <w:trPr>
          <w:trHeight w:hRule="exact" w:val="1418"/>
        </w:trPr>
        <w:tc>
          <w:tcPr>
            <w:tcW w:w="6804" w:type="dxa"/>
            <w:shd w:val="clear" w:color="auto" w:fill="auto"/>
            <w:vAlign w:val="center"/>
          </w:tcPr>
          <w:p w:rsidR="00854CAC" w:rsidRPr="009A64AE" w:rsidRDefault="00AB4E43" w:rsidP="007B04F0">
            <w:pPr>
              <w:pStyle w:val="EPName"/>
            </w:pPr>
            <w:bookmarkStart w:id="0" w:name="_GoBack"/>
            <w:bookmarkEnd w:id="0"/>
            <w:r w:rsidRPr="009A64AE">
              <w:t>Eiropas Parlaments</w:t>
            </w:r>
          </w:p>
          <w:p w:rsidR="00854CAC" w:rsidRPr="009A64AE" w:rsidRDefault="00AB4E43" w:rsidP="004C2269">
            <w:pPr>
              <w:pStyle w:val="EPTerm"/>
            </w:pPr>
            <w:r w:rsidRPr="009A64AE">
              <w:t>2024–2029</w:t>
            </w:r>
          </w:p>
        </w:tc>
        <w:tc>
          <w:tcPr>
            <w:tcW w:w="2268" w:type="dxa"/>
            <w:shd w:val="clear" w:color="auto" w:fill="auto"/>
          </w:tcPr>
          <w:p w:rsidR="00854CAC" w:rsidRPr="009A64AE" w:rsidRDefault="00AB4E43" w:rsidP="007B04F0">
            <w:pPr>
              <w:pStyle w:val="EPLogo"/>
            </w:pPr>
            <w:r w:rsidRPr="009A64AE">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9A64AE" w:rsidRDefault="001746D0" w:rsidP="001746D0">
      <w:pPr>
        <w:pStyle w:val="LineTop"/>
      </w:pPr>
    </w:p>
    <w:p w:rsidR="001746D0" w:rsidRPr="009A64AE" w:rsidRDefault="00AB4E43" w:rsidP="001746D0">
      <w:pPr>
        <w:pStyle w:val="EPBody"/>
      </w:pPr>
      <w:r w:rsidRPr="009A64AE">
        <w:rPr>
          <w:rStyle w:val="HideTWBExt"/>
        </w:rPr>
        <w:t>&lt;</w:t>
      </w:r>
      <w:r w:rsidRPr="009A64AE">
        <w:rPr>
          <w:rStyle w:val="HideTWBExt"/>
          <w:i w:val="0"/>
        </w:rPr>
        <w:t>Commission</w:t>
      </w:r>
      <w:r w:rsidRPr="009A64AE">
        <w:rPr>
          <w:rStyle w:val="HideTWBExt"/>
        </w:rPr>
        <w:t>&gt;</w:t>
      </w:r>
      <w:r w:rsidRPr="009A64AE">
        <w:rPr>
          <w:rStyle w:val="HideTWBInt"/>
          <w:color w:val="auto"/>
        </w:rPr>
        <w:t>{EMPL}</w:t>
      </w:r>
      <w:r w:rsidRPr="009A64AE">
        <w:t>Nodarbinātības un sociālo lietu komiteja</w:t>
      </w:r>
      <w:r w:rsidRPr="009A64AE">
        <w:rPr>
          <w:rStyle w:val="HideTWBExt"/>
        </w:rPr>
        <w:t>&lt;/</w:t>
      </w:r>
      <w:r w:rsidRPr="009A64AE">
        <w:rPr>
          <w:rStyle w:val="HideTWBExt"/>
          <w:i w:val="0"/>
        </w:rPr>
        <w:t>Commission</w:t>
      </w:r>
      <w:r w:rsidRPr="009A64AE">
        <w:rPr>
          <w:rStyle w:val="HideTWBExt"/>
        </w:rPr>
        <w:t>&gt;</w:t>
      </w:r>
    </w:p>
    <w:p w:rsidR="001746D0" w:rsidRPr="009A64AE" w:rsidRDefault="001746D0" w:rsidP="001746D0">
      <w:pPr>
        <w:pStyle w:val="LineBottom"/>
      </w:pPr>
    </w:p>
    <w:p w:rsidR="002E2F2E" w:rsidRPr="009A64AE" w:rsidRDefault="00AB4E43">
      <w:pPr>
        <w:pStyle w:val="CoverReference"/>
      </w:pPr>
      <w:r w:rsidRPr="009A64AE">
        <w:rPr>
          <w:rStyle w:val="HideTWBExt"/>
          <w:b w:val="0"/>
        </w:rPr>
        <w:t>&lt;RefProc&gt;</w:t>
      </w:r>
      <w:r w:rsidRPr="009A64AE">
        <w:t>2024/2085</w:t>
      </w:r>
      <w:r w:rsidRPr="009A64AE">
        <w:rPr>
          <w:rStyle w:val="HideTWBExt"/>
          <w:b w:val="0"/>
        </w:rPr>
        <w:t>&lt;/RefProc&gt;&lt;RefTypeProc&gt;</w:t>
      </w:r>
      <w:r w:rsidRPr="009A64AE">
        <w:t>(INI)</w:t>
      </w:r>
      <w:r w:rsidRPr="009A64AE">
        <w:rPr>
          <w:rStyle w:val="HideTWBExt"/>
          <w:b w:val="0"/>
        </w:rPr>
        <w:t>&lt;/RefTypeProc&gt;</w:t>
      </w:r>
    </w:p>
    <w:p w:rsidR="002E2F2E" w:rsidRPr="009A64AE" w:rsidRDefault="00AB4E43">
      <w:pPr>
        <w:pStyle w:val="CoverDate"/>
      </w:pPr>
      <w:r w:rsidRPr="009A64AE">
        <w:rPr>
          <w:rStyle w:val="HideTWBExt"/>
        </w:rPr>
        <w:t>&lt;Date&gt;</w:t>
      </w:r>
      <w:r w:rsidRPr="009A64AE">
        <w:rPr>
          <w:rStyle w:val="HideTWBInt"/>
          <w:color w:val="auto"/>
        </w:rPr>
        <w:t>{01/04/2025}</w:t>
      </w:r>
      <w:r w:rsidRPr="009A64AE">
        <w:t>1.4.2025.</w:t>
      </w:r>
      <w:r w:rsidRPr="009A64AE">
        <w:rPr>
          <w:rStyle w:val="HideTWBExt"/>
        </w:rPr>
        <w:t>&lt;/Date&gt;</w:t>
      </w:r>
    </w:p>
    <w:p w:rsidR="002E2F2E" w:rsidRPr="009A64AE" w:rsidRDefault="00AB4E43">
      <w:pPr>
        <w:pStyle w:val="CoverDocType24a"/>
      </w:pPr>
      <w:r w:rsidRPr="009A64AE">
        <w:rPr>
          <w:rStyle w:val="HideTWBExt"/>
          <w:b w:val="0"/>
        </w:rPr>
        <w:t>&lt;TitreType&gt;</w:t>
      </w:r>
      <w:r w:rsidRPr="009A64AE">
        <w:t>ATZINUMS</w:t>
      </w:r>
      <w:r w:rsidRPr="009A64AE">
        <w:rPr>
          <w:rStyle w:val="HideTWBExt"/>
          <w:b w:val="0"/>
        </w:rPr>
        <w:t>&lt;/TitreType&gt;</w:t>
      </w:r>
    </w:p>
    <w:p w:rsidR="002E2F2E" w:rsidRPr="009A64AE" w:rsidRDefault="00AB4E43">
      <w:pPr>
        <w:pStyle w:val="CoverNormal24a"/>
      </w:pPr>
      <w:r w:rsidRPr="009A64AE">
        <w:rPr>
          <w:rStyle w:val="HideTWBExt"/>
        </w:rPr>
        <w:t>&lt;CommissionResp&gt;</w:t>
      </w:r>
      <w:r w:rsidRPr="009A64AE">
        <w:t>Sniegusi Nodarbinātības un sociālo lietu komiteja</w:t>
      </w:r>
      <w:r w:rsidRPr="009A64AE">
        <w:rPr>
          <w:rStyle w:val="HideTWBExt"/>
        </w:rPr>
        <w:t>&lt;/CommissionResp&gt;</w:t>
      </w:r>
    </w:p>
    <w:p w:rsidR="002E2F2E" w:rsidRPr="009A64AE" w:rsidRDefault="00AB4E43">
      <w:pPr>
        <w:pStyle w:val="CoverNormal24a"/>
      </w:pPr>
      <w:r w:rsidRPr="009A64AE">
        <w:rPr>
          <w:rStyle w:val="HideTWBExt"/>
        </w:rPr>
        <w:t>&lt;CommissionInt&gt;</w:t>
      </w:r>
      <w:r w:rsidRPr="009A64AE">
        <w:t>Budžeta komitejai un Ekonomikas un monetārajai komitejai</w:t>
      </w:r>
      <w:r w:rsidRPr="009A64AE">
        <w:rPr>
          <w:rStyle w:val="HideTWBExt"/>
        </w:rPr>
        <w:t>&lt;/CommissionInt&gt;</w:t>
      </w:r>
    </w:p>
    <w:p w:rsidR="002E2F2E" w:rsidRPr="009A64AE" w:rsidRDefault="00AB4E43">
      <w:pPr>
        <w:pStyle w:val="CoverNormal"/>
      </w:pPr>
      <w:r w:rsidRPr="009A64AE">
        <w:rPr>
          <w:rStyle w:val="HideTWBExt"/>
        </w:rPr>
        <w:t>&lt;Titre&gt;</w:t>
      </w:r>
      <w:r w:rsidRPr="009A64AE">
        <w:t>par Atveseļošanas un noturības mehānisma īstenošanas ziņojumu</w:t>
      </w:r>
      <w:r w:rsidRPr="009A64AE">
        <w:rPr>
          <w:rStyle w:val="HideTWBExt"/>
        </w:rPr>
        <w:t>&lt;/Titre&gt;</w:t>
      </w:r>
    </w:p>
    <w:p w:rsidR="002E2F2E" w:rsidRPr="009A64AE" w:rsidRDefault="00AB4E43">
      <w:pPr>
        <w:pStyle w:val="CoverNormal24a"/>
      </w:pPr>
      <w:r w:rsidRPr="009A64AE">
        <w:rPr>
          <w:rStyle w:val="HideTWBExt"/>
        </w:rPr>
        <w:t>&lt;DocRef&gt;</w:t>
      </w:r>
      <w:r w:rsidRPr="009A64AE">
        <w:t>(2024/2085(INI))</w:t>
      </w:r>
      <w:r w:rsidRPr="009A64AE">
        <w:rPr>
          <w:rStyle w:val="HideTWBExt"/>
        </w:rPr>
        <w:t>&lt;/DocRef&gt;</w:t>
      </w:r>
    </w:p>
    <w:p w:rsidR="002E2F2E" w:rsidRPr="009A64AE" w:rsidRDefault="00AB4E43">
      <w:pPr>
        <w:pStyle w:val="CoverNormal24a"/>
      </w:pPr>
      <w:r w:rsidRPr="009A64AE">
        <w:t xml:space="preserve">Atzinumu sagatavoja: </w:t>
      </w:r>
      <w:r w:rsidRPr="009A64AE">
        <w:rPr>
          <w:rStyle w:val="HideTWBExt"/>
        </w:rPr>
        <w:t>&lt;Depute&gt;</w:t>
      </w:r>
      <w:r w:rsidRPr="009A64AE">
        <w:rPr>
          <w:i/>
          <w:iCs/>
        </w:rPr>
        <w:t>Marie</w:t>
      </w:r>
      <w:r w:rsidRPr="009A64AE">
        <w:rPr>
          <w:i/>
          <w:iCs/>
        </w:rPr>
        <w:noBreakHyphen/>
        <w:t>Pierre Vedrenne</w:t>
      </w:r>
      <w:r w:rsidRPr="009A64AE">
        <w:rPr>
          <w:rStyle w:val="HideTWBExt"/>
        </w:rPr>
        <w:t>&lt;/Depute&gt;</w:t>
      </w:r>
    </w:p>
    <w:p w:rsidR="00A72C35" w:rsidRPr="009A64AE" w:rsidRDefault="00A72C35" w:rsidP="00A72C35">
      <w:pPr>
        <w:pStyle w:val="CoverNormal"/>
      </w:pPr>
    </w:p>
    <w:p w:rsidR="002E2F2E" w:rsidRPr="009A64AE" w:rsidRDefault="00AB4E43" w:rsidP="00E856D2">
      <w:pPr>
        <w:widowControl/>
        <w:tabs>
          <w:tab w:val="center" w:pos="4677"/>
        </w:tabs>
      </w:pPr>
      <w:r w:rsidRPr="009A64AE">
        <w:br w:type="page"/>
      </w:r>
      <w:r w:rsidRPr="009A64AE">
        <w:lastRenderedPageBreak/>
        <w:t>PA_NonLeg</w:t>
      </w:r>
    </w:p>
    <w:p w:rsidR="002E2F2E" w:rsidRPr="009A64AE" w:rsidRDefault="00AB4E43" w:rsidP="00D318E7">
      <w:pPr>
        <w:pStyle w:val="PageHeadingNotTOC"/>
      </w:pPr>
      <w:r w:rsidRPr="009A64AE">
        <w:br w:type="page"/>
      </w:r>
      <w:r w:rsidRPr="009A64AE">
        <w:lastRenderedPageBreak/>
        <w:t>GROZĪJUMI Nr.</w:t>
      </w:r>
    </w:p>
    <w:p w:rsidR="002E2F2E" w:rsidRPr="009A64AE" w:rsidRDefault="00AB4E43" w:rsidP="008313E7">
      <w:pPr>
        <w:pStyle w:val="Normal12a"/>
      </w:pPr>
      <w:r w:rsidRPr="009A64AE">
        <w:t>Nodarbinātības un sociālo lietu komiteja iesniedz par jautājumu atbildīgajām Budžeta komitejai un Ekonomikas un mon</w:t>
      </w:r>
      <w:r>
        <w:t>etārajai komitejai tālāk minēto:</w:t>
      </w:r>
    </w:p>
    <w:p w:rsidR="00EA4087" w:rsidRPr="009A64AE" w:rsidRDefault="00AB4E43" w:rsidP="00314BB3">
      <w:pPr>
        <w:pStyle w:val="AMNumberTabs0"/>
        <w:keepNext/>
        <w:rPr>
          <w:szCs w:val="24"/>
        </w:rPr>
      </w:pPr>
      <w:r w:rsidRPr="009A64AE">
        <w:rPr>
          <w:rStyle w:val="HideTWBExt"/>
          <w:b w:val="0"/>
        </w:rPr>
        <w:t>&lt;RepeatBlock-Amend&gt;</w:t>
      </w:r>
    </w:p>
    <w:p w:rsidR="00314BB3" w:rsidRPr="009A64AE" w:rsidRDefault="00AB4E43" w:rsidP="00314BB3">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w:t>
      </w:r>
      <w:r w:rsidRPr="009A64AE">
        <w:rPr>
          <w:rStyle w:val="HideTWBExt"/>
          <w:b w:val="0"/>
        </w:rPr>
        <w:t>&lt;/NumAm&gt;</w:t>
      </w:r>
    </w:p>
    <w:p w:rsidR="00314BB3" w:rsidRPr="009A64AE" w:rsidRDefault="00314BB3" w:rsidP="00314BB3"/>
    <w:p w:rsidR="00314BB3" w:rsidRPr="009A64AE" w:rsidRDefault="00AB4E43" w:rsidP="00314BB3">
      <w:pPr>
        <w:pStyle w:val="NormalBold"/>
        <w:keepNext/>
      </w:pPr>
      <w:r w:rsidRPr="009A64AE">
        <w:rPr>
          <w:rStyle w:val="HideTWBExt"/>
          <w:b w:val="0"/>
        </w:rPr>
        <w:t>&lt;DocAmend&gt;</w:t>
      </w:r>
      <w:r w:rsidRPr="009A64AE">
        <w:t>Rezolūcijas priekšlikums</w:t>
      </w:r>
      <w:r w:rsidRPr="009A64AE">
        <w:rPr>
          <w:rStyle w:val="HideTWBExt"/>
          <w:b w:val="0"/>
        </w:rPr>
        <w:t>&lt;/DocAmend&gt;</w:t>
      </w:r>
    </w:p>
    <w:p w:rsidR="00314BB3" w:rsidRPr="009A64AE" w:rsidRDefault="00AB4E43" w:rsidP="00314BB3">
      <w:pPr>
        <w:pStyle w:val="NormalBold"/>
      </w:pPr>
      <w:r w:rsidRPr="009A64AE">
        <w:rPr>
          <w:rStyle w:val="HideTWBExt"/>
          <w:b w:val="0"/>
        </w:rPr>
        <w:t>&lt;Article&gt;</w:t>
      </w:r>
      <w:r w:rsidRPr="009A64AE">
        <w:t>8.a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314BB3">
        <w:trPr>
          <w:jc w:val="center"/>
        </w:trPr>
        <w:tc>
          <w:tcPr>
            <w:tcW w:w="9752" w:type="dxa"/>
            <w:gridSpan w:val="2"/>
          </w:tcPr>
          <w:p w:rsidR="00314BB3" w:rsidRPr="009A64AE" w:rsidRDefault="00314BB3">
            <w:pPr>
              <w:keepNext/>
            </w:pPr>
          </w:p>
        </w:tc>
      </w:tr>
      <w:tr w:rsidR="00135DE8" w:rsidRPr="009A64AE" w:rsidTr="00314BB3">
        <w:trPr>
          <w:jc w:val="center"/>
        </w:trPr>
        <w:tc>
          <w:tcPr>
            <w:tcW w:w="4876" w:type="dxa"/>
            <w:hideMark/>
          </w:tcPr>
          <w:p w:rsidR="00314BB3" w:rsidRPr="009A64AE" w:rsidRDefault="00AB4E43">
            <w:pPr>
              <w:pStyle w:val="ColumnHeading"/>
              <w:keepNext/>
            </w:pPr>
            <w:r w:rsidRPr="009A64AE">
              <w:t>Rezolūcijas priekšlikums</w:t>
            </w:r>
          </w:p>
        </w:tc>
        <w:tc>
          <w:tcPr>
            <w:tcW w:w="4876" w:type="dxa"/>
            <w:hideMark/>
          </w:tcPr>
          <w:p w:rsidR="00314BB3" w:rsidRPr="009A64AE" w:rsidRDefault="00AB4E43">
            <w:pPr>
              <w:pStyle w:val="ColumnHeading"/>
              <w:keepNext/>
            </w:pPr>
            <w:r w:rsidRPr="009A64AE">
              <w:t>Grozījums</w:t>
            </w:r>
          </w:p>
        </w:tc>
      </w:tr>
      <w:tr w:rsidR="00135DE8" w:rsidRPr="009A64AE" w:rsidTr="00314BB3">
        <w:trPr>
          <w:jc w:val="center"/>
        </w:trPr>
        <w:tc>
          <w:tcPr>
            <w:tcW w:w="4876" w:type="dxa"/>
          </w:tcPr>
          <w:p w:rsidR="00314BB3" w:rsidRPr="009A64AE" w:rsidRDefault="00314BB3">
            <w:pPr>
              <w:pStyle w:val="Normal6"/>
            </w:pPr>
          </w:p>
        </w:tc>
        <w:tc>
          <w:tcPr>
            <w:tcW w:w="4876" w:type="dxa"/>
            <w:hideMark/>
          </w:tcPr>
          <w:p w:rsidR="00314BB3" w:rsidRPr="009A64AE" w:rsidRDefault="00AB4E43" w:rsidP="00D37E93">
            <w:pPr>
              <w:pStyle w:val="Normal6"/>
              <w:rPr>
                <w:szCs w:val="24"/>
              </w:rPr>
            </w:pPr>
            <w:r w:rsidRPr="009A64AE">
              <w:rPr>
                <w:b/>
                <w:i/>
              </w:rPr>
              <w:t>–</w:t>
            </w:r>
            <w:r w:rsidRPr="009A64AE">
              <w:rPr>
                <w:b/>
                <w:i/>
              </w:rPr>
              <w:tab/>
              <w:t xml:space="preserve">ņemot vērā Eiropas sociālo tiesību pīlāru (ESTP), ko 2017. gada </w:t>
            </w:r>
            <w:r w:rsidRPr="009A64AE">
              <w:rPr>
                <w:b/>
                <w:i/>
              </w:rPr>
              <w:t>17. novembrī izsludināja un parakstīja Eiropas Parlaments, Padome un Eiropas Komisija, un tā 20 principus,</w:t>
            </w:r>
          </w:p>
        </w:tc>
      </w:tr>
    </w:tbl>
    <w:p w:rsidR="00314BB3" w:rsidRPr="009A64AE" w:rsidRDefault="00AB4E43" w:rsidP="00314BB3">
      <w:r w:rsidRPr="009A64AE">
        <w:rPr>
          <w:rStyle w:val="HideTWBExt"/>
        </w:rPr>
        <w:t>&lt;/Amend&gt;</w:t>
      </w:r>
    </w:p>
    <w:p w:rsidR="00314BB3" w:rsidRPr="009A64AE" w:rsidRDefault="00AB4E43" w:rsidP="00314BB3">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2</w:t>
      </w:r>
      <w:r w:rsidRPr="009A64AE">
        <w:rPr>
          <w:rStyle w:val="HideTWBExt"/>
          <w:b w:val="0"/>
        </w:rPr>
        <w:t>&lt;/NumAm&gt;</w:t>
      </w:r>
    </w:p>
    <w:p w:rsidR="00314BB3" w:rsidRPr="009A64AE" w:rsidRDefault="00314BB3" w:rsidP="00314BB3"/>
    <w:p w:rsidR="00314BB3" w:rsidRPr="009A64AE" w:rsidRDefault="00AB4E43" w:rsidP="00314BB3">
      <w:pPr>
        <w:pStyle w:val="NormalBold"/>
        <w:keepNext/>
      </w:pPr>
      <w:r w:rsidRPr="009A64AE">
        <w:rPr>
          <w:rStyle w:val="HideTWBExt"/>
          <w:b w:val="0"/>
        </w:rPr>
        <w:t>&lt;DocAmend&gt;</w:t>
      </w:r>
      <w:r w:rsidRPr="009A64AE">
        <w:t>Rezolūcijas priekšlikums</w:t>
      </w:r>
      <w:r w:rsidRPr="009A64AE">
        <w:rPr>
          <w:rStyle w:val="HideTWBExt"/>
          <w:b w:val="0"/>
        </w:rPr>
        <w:t>&lt;/DocAmend&gt;</w:t>
      </w:r>
    </w:p>
    <w:p w:rsidR="00314BB3" w:rsidRPr="009A64AE" w:rsidRDefault="00AB4E43" w:rsidP="00314BB3">
      <w:pPr>
        <w:pStyle w:val="NormalBold"/>
      </w:pPr>
      <w:r w:rsidRPr="009A64AE">
        <w:rPr>
          <w:rStyle w:val="HideTWBExt"/>
          <w:b w:val="0"/>
        </w:rPr>
        <w:t>&lt;Article&gt;</w:t>
      </w:r>
      <w:r w:rsidRPr="009A64AE">
        <w:t>8.b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314BB3">
        <w:trPr>
          <w:jc w:val="center"/>
        </w:trPr>
        <w:tc>
          <w:tcPr>
            <w:tcW w:w="9752" w:type="dxa"/>
            <w:gridSpan w:val="2"/>
          </w:tcPr>
          <w:p w:rsidR="00314BB3" w:rsidRPr="009A64AE" w:rsidRDefault="00314BB3">
            <w:pPr>
              <w:keepNext/>
            </w:pPr>
          </w:p>
        </w:tc>
      </w:tr>
      <w:tr w:rsidR="00135DE8" w:rsidRPr="009A64AE" w:rsidTr="00314BB3">
        <w:trPr>
          <w:jc w:val="center"/>
        </w:trPr>
        <w:tc>
          <w:tcPr>
            <w:tcW w:w="4876" w:type="dxa"/>
            <w:hideMark/>
          </w:tcPr>
          <w:p w:rsidR="00314BB3" w:rsidRPr="009A64AE" w:rsidRDefault="00AB4E43">
            <w:pPr>
              <w:pStyle w:val="ColumnHeading"/>
              <w:keepNext/>
            </w:pPr>
            <w:r w:rsidRPr="009A64AE">
              <w:t xml:space="preserve">Rezolūcijas </w:t>
            </w:r>
            <w:r w:rsidRPr="009A64AE">
              <w:t>priekšlikums</w:t>
            </w:r>
          </w:p>
        </w:tc>
        <w:tc>
          <w:tcPr>
            <w:tcW w:w="4876" w:type="dxa"/>
            <w:hideMark/>
          </w:tcPr>
          <w:p w:rsidR="00314BB3" w:rsidRPr="009A64AE" w:rsidRDefault="00AB4E43">
            <w:pPr>
              <w:pStyle w:val="ColumnHeading"/>
              <w:keepNext/>
            </w:pPr>
            <w:r w:rsidRPr="009A64AE">
              <w:t>Grozījums</w:t>
            </w:r>
          </w:p>
        </w:tc>
      </w:tr>
      <w:tr w:rsidR="00135DE8" w:rsidRPr="009A64AE" w:rsidTr="00314BB3">
        <w:trPr>
          <w:jc w:val="center"/>
        </w:trPr>
        <w:tc>
          <w:tcPr>
            <w:tcW w:w="4876" w:type="dxa"/>
          </w:tcPr>
          <w:p w:rsidR="00314BB3" w:rsidRPr="009A64AE" w:rsidRDefault="00314BB3">
            <w:pPr>
              <w:pStyle w:val="Normal6"/>
            </w:pPr>
          </w:p>
        </w:tc>
        <w:tc>
          <w:tcPr>
            <w:tcW w:w="4876" w:type="dxa"/>
            <w:hideMark/>
          </w:tcPr>
          <w:p w:rsidR="00314BB3" w:rsidRPr="009A64AE" w:rsidRDefault="00AB4E43">
            <w:pPr>
              <w:pStyle w:val="Normal6"/>
              <w:rPr>
                <w:szCs w:val="24"/>
              </w:rPr>
            </w:pPr>
            <w:r w:rsidRPr="009A64AE">
              <w:rPr>
                <w:b/>
                <w:i/>
              </w:rPr>
              <w:t>–</w:t>
            </w:r>
            <w:r w:rsidRPr="009A64AE">
              <w:rPr>
                <w:b/>
                <w:i/>
              </w:rPr>
              <w:tab/>
              <w:t>ņemot vērā Komisijas 2021. gada 4. marta paziņojumu "Eiropas sociālo tiesību pīlāra rīcības plāns" (COM(2021)0102) un tā 2030. gada pamatmērķus nodarbinātības, prasmju, apmācības un nabadzības mazināšanas jomā,</w:t>
            </w:r>
          </w:p>
        </w:tc>
      </w:tr>
    </w:tbl>
    <w:p w:rsidR="00314BB3" w:rsidRPr="009A64AE" w:rsidRDefault="00AB4E43" w:rsidP="00314BB3">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w:t>
      </w:r>
      <w:r w:rsidRPr="009A64AE">
        <w:t>rozījums Nr.</w:t>
      </w:r>
      <w:r w:rsidRPr="009A64AE">
        <w:tab/>
      </w:r>
      <w:r w:rsidRPr="009A64AE">
        <w:tab/>
      </w:r>
      <w:r w:rsidRPr="009A64AE">
        <w:rPr>
          <w:rStyle w:val="HideTWBExt"/>
          <w:b w:val="0"/>
        </w:rPr>
        <w:t>&lt;NumAm&gt;</w:t>
      </w:r>
      <w:r w:rsidRPr="009A64AE">
        <w:t>3</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8.c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pPr>
              <w:pStyle w:val="Normal6"/>
              <w:rPr>
                <w:szCs w:val="24"/>
              </w:rPr>
            </w:pPr>
            <w:r w:rsidRPr="009A64AE">
              <w:rPr>
                <w:b/>
                <w:i/>
              </w:rPr>
              <w:t>–</w:t>
            </w:r>
            <w:r w:rsidRPr="009A64AE">
              <w:rPr>
                <w:b/>
                <w:i/>
              </w:rPr>
              <w:tab/>
              <w:t>ņemot vērā ANO ilgtspējīgas attīstības mērķus, it īpaši 1., 4., 5., 8. un 10. mērķi,</w:t>
            </w:r>
          </w:p>
        </w:tc>
      </w:tr>
    </w:tbl>
    <w:p w:rsidR="00EA4087" w:rsidRPr="009A64AE" w:rsidRDefault="00AB4E43" w:rsidP="00EA4087">
      <w:pPr>
        <w:rPr>
          <w:szCs w:val="24"/>
        </w:rPr>
      </w:pPr>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8.d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pPr>
              <w:pStyle w:val="Normal6"/>
              <w:rPr>
                <w:szCs w:val="24"/>
              </w:rPr>
            </w:pPr>
            <w:r w:rsidRPr="009A64AE">
              <w:rPr>
                <w:b/>
                <w:i/>
              </w:rPr>
              <w:t>–</w:t>
            </w:r>
            <w:r w:rsidRPr="009A64AE">
              <w:rPr>
                <w:b/>
                <w:i/>
              </w:rPr>
              <w:tab/>
              <w:t>ņemot vērā Padomes Ieteikumu (ES) 2021/1004 (2021. gada 14. jūnijs), ar ko izveido Eiropas G</w:t>
            </w:r>
            <w:r w:rsidRPr="009A64AE">
              <w:rPr>
                <w:b/>
                <w:i/>
              </w:rPr>
              <w:t>arantiju bērniem</w:t>
            </w:r>
            <w:r w:rsidRPr="009A64AE">
              <w:rPr>
                <w:b/>
                <w:i/>
                <w:vertAlign w:val="superscript"/>
              </w:rPr>
              <w:t>1a</w:t>
            </w:r>
            <w:r w:rsidRPr="009A64AE">
              <w:rPr>
                <w:b/>
                <w:i/>
              </w:rPr>
              <w:t>,</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pPr>
              <w:pStyle w:val="Normal6"/>
              <w:rPr>
                <w:szCs w:val="24"/>
              </w:rPr>
            </w:pPr>
            <w:r w:rsidRPr="009A64AE">
              <w:rPr>
                <w:b/>
                <w:i/>
              </w:rPr>
              <w:t>__________________</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pPr>
              <w:pStyle w:val="Normal6"/>
              <w:rPr>
                <w:b/>
                <w:i/>
                <w:szCs w:val="24"/>
              </w:rPr>
            </w:pPr>
            <w:r w:rsidRPr="009A64AE">
              <w:rPr>
                <w:b/>
                <w:i/>
                <w:vertAlign w:val="superscript"/>
              </w:rPr>
              <w:t>1a</w:t>
            </w:r>
            <w:r w:rsidRPr="009A64AE">
              <w:rPr>
                <w:b/>
                <w:i/>
              </w:rPr>
              <w:t xml:space="preserve"> OV L 223, 22.6.2021., 14. lpp., </w:t>
            </w:r>
            <w:r w:rsidRPr="009A64AE">
              <w:rPr>
                <w:b/>
                <w:i/>
                <w:shd w:val="clear" w:color="auto" w:fill="FFFFFF"/>
              </w:rPr>
              <w:t>ELI: </w:t>
            </w:r>
            <w:hyperlink r:id="rId8" w:tooltip="Nodrošina piekļuvi šim dokumentam, izmantojot tā ELI URI." w:history="1">
              <w:r w:rsidRPr="009A64AE">
                <w:rPr>
                  <w:rStyle w:val="Hyperlink"/>
                  <w:b/>
                  <w:i/>
                  <w:color w:val="auto"/>
                  <w:shd w:val="clear" w:color="auto" w:fill="FFFFFF"/>
                </w:rPr>
                <w:t>http://data.europa.eu/eli/reco/2021/1004/oj</w:t>
              </w:r>
            </w:hyperlink>
            <w:r w:rsidRPr="009A64AE">
              <w:rPr>
                <w:b/>
                <w:i/>
              </w:rPr>
              <w:t>.</w:t>
            </w:r>
          </w:p>
        </w:tc>
      </w:tr>
    </w:tbl>
    <w:p w:rsidR="00EA4087" w:rsidRPr="009A64AE" w:rsidRDefault="00AB4E43" w:rsidP="00EA4087">
      <w:pPr>
        <w:rPr>
          <w:szCs w:val="24"/>
        </w:rPr>
      </w:pPr>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5</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8.e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pPr>
              <w:pStyle w:val="Normal6"/>
              <w:rPr>
                <w:szCs w:val="24"/>
              </w:rPr>
            </w:pPr>
            <w:r w:rsidRPr="009A64AE">
              <w:rPr>
                <w:b/>
                <w:i/>
              </w:rPr>
              <w:t>–</w:t>
            </w:r>
            <w:r w:rsidRPr="009A64AE">
              <w:rPr>
                <w:b/>
                <w:i/>
              </w:rPr>
              <w:tab/>
              <w:t xml:space="preserve">ņemot vērā Padomes 2020. gada 30. oktobra Ieteikumu "Tilts uz nodarbinātību — </w:t>
            </w:r>
            <w:r w:rsidRPr="009A64AE">
              <w:rPr>
                <w:b/>
                <w:i/>
              </w:rPr>
              <w:t>Garantijas jauniešiem pastiprināšana" un ar ko aizstāj Padomes 2013. gada 22. aprīļa Ieteikumu par garantijas jauniešiem izveidi</w:t>
            </w:r>
            <w:r w:rsidRPr="009A64AE">
              <w:rPr>
                <w:b/>
                <w:i/>
                <w:vertAlign w:val="superscript"/>
              </w:rPr>
              <w:t>1a</w:t>
            </w:r>
            <w:r w:rsidRPr="009A64AE">
              <w:rPr>
                <w:b/>
                <w:i/>
              </w:rPr>
              <w:t>,</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pPr>
              <w:pStyle w:val="Normal6"/>
              <w:rPr>
                <w:szCs w:val="24"/>
              </w:rPr>
            </w:pPr>
            <w:r w:rsidRPr="009A64AE">
              <w:rPr>
                <w:b/>
                <w:i/>
              </w:rPr>
              <w:t>__________________</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pPr>
              <w:pStyle w:val="Normal6"/>
              <w:rPr>
                <w:szCs w:val="24"/>
              </w:rPr>
            </w:pPr>
            <w:r w:rsidRPr="009A64AE">
              <w:rPr>
                <w:b/>
                <w:i/>
                <w:vertAlign w:val="superscript"/>
              </w:rPr>
              <w:t>1a</w:t>
            </w:r>
            <w:r w:rsidRPr="009A64AE">
              <w:t xml:space="preserve"> </w:t>
            </w:r>
            <w:r w:rsidRPr="009A64AE">
              <w:rPr>
                <w:b/>
                <w:i/>
              </w:rPr>
              <w:t>OV C 372, 4.11.2020, 1. lpp.</w:t>
            </w:r>
          </w:p>
        </w:tc>
      </w:tr>
    </w:tbl>
    <w:p w:rsidR="00EA4087" w:rsidRPr="009A64AE" w:rsidRDefault="00AB4E43" w:rsidP="00EA4087">
      <w:pPr>
        <w:rPr>
          <w:szCs w:val="24"/>
        </w:rPr>
      </w:pPr>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6</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w:t>
      </w:r>
      <w:r w:rsidRPr="009A64AE">
        <w:t>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12.a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rsidP="00AC23F4">
            <w:pPr>
              <w:pStyle w:val="Normal6"/>
              <w:rPr>
                <w:szCs w:val="24"/>
              </w:rPr>
            </w:pPr>
            <w:r w:rsidRPr="009A64AE">
              <w:rPr>
                <w:b/>
                <w:i/>
              </w:rPr>
              <w:t>–</w:t>
            </w:r>
            <w:r w:rsidRPr="009A64AE">
              <w:rPr>
                <w:b/>
                <w:i/>
              </w:rPr>
              <w:tab/>
              <w:t>ņemot vērā Komisijas 2024. gada 17. decembra paziņojumu "2025. gada Eiropas pusgads — rudens pakete" (COM(2024)0700),</w:t>
            </w:r>
          </w:p>
        </w:tc>
      </w:tr>
    </w:tbl>
    <w:p w:rsidR="00EA4087" w:rsidRPr="009A64AE" w:rsidRDefault="00AB4E43" w:rsidP="00EA4087">
      <w:pPr>
        <w:rPr>
          <w:szCs w:val="24"/>
        </w:rPr>
      </w:pPr>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7</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12.b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rsidP="00AC0348">
            <w:pPr>
              <w:pStyle w:val="Normal6"/>
              <w:rPr>
                <w:szCs w:val="24"/>
              </w:rPr>
            </w:pPr>
            <w:r w:rsidRPr="009A64AE">
              <w:rPr>
                <w:b/>
                <w:i/>
              </w:rPr>
              <w:t>–</w:t>
            </w:r>
            <w:r w:rsidRPr="009A64AE">
              <w:rPr>
                <w:b/>
                <w:i/>
              </w:rPr>
              <w:tab/>
              <w:t xml:space="preserve">ņemot vērā Komisijas 2024. gada 17. decembra priekšlikumu "Komisijas un Padomes priekšlikums par vienotu </w:t>
            </w:r>
            <w:r w:rsidRPr="009A64AE">
              <w:rPr>
                <w:b/>
                <w:i/>
              </w:rPr>
              <w:t>nodarbinātības ziņojumu" (COM(2024)0701) (JER),</w:t>
            </w:r>
          </w:p>
        </w:tc>
      </w:tr>
    </w:tbl>
    <w:p w:rsidR="00EA4087" w:rsidRPr="009A64AE" w:rsidRDefault="00AB4E43" w:rsidP="00EA4087">
      <w:pPr>
        <w:rPr>
          <w:szCs w:val="24"/>
        </w:rPr>
      </w:pPr>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8</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19.a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pPr>
              <w:pStyle w:val="Normal6"/>
              <w:rPr>
                <w:szCs w:val="24"/>
              </w:rPr>
            </w:pPr>
            <w:r w:rsidRPr="009A64AE">
              <w:rPr>
                <w:b/>
                <w:i/>
              </w:rPr>
              <w:t>–</w:t>
            </w:r>
            <w:r w:rsidRPr="009A64AE">
              <w:rPr>
                <w:b/>
                <w:i/>
              </w:rPr>
              <w:tab/>
              <w:t xml:space="preserve">ņemot vērā Atveseļošanas un </w:t>
            </w:r>
            <w:r w:rsidRPr="009A64AE">
              <w:rPr>
                <w:b/>
                <w:i/>
              </w:rPr>
              <w:t>noturības rezultātu pārskatu,</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9</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19.b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F56F50">
            <w:pPr>
              <w:pStyle w:val="Normal6"/>
              <w:rPr>
                <w:szCs w:val="24"/>
              </w:rPr>
            </w:pPr>
            <w:r w:rsidRPr="009A64AE">
              <w:rPr>
                <w:b/>
                <w:i/>
              </w:rPr>
              <w:t>–</w:t>
            </w:r>
            <w:r w:rsidRPr="009A64AE">
              <w:rPr>
                <w:b/>
                <w:i/>
              </w:rPr>
              <w:tab/>
              <w:t xml:space="preserve">ņemot vērā Eurofound 2024. gada 26. februāra </w:t>
            </w:r>
            <w:r w:rsidRPr="009A64AE">
              <w:rPr>
                <w:b/>
                <w:i/>
              </w:rPr>
              <w:t>ziņojumu "Atveseļošanas un noturības mehānisma sociālā pārvaldība: Valstu sociālo partneru iesaistīšana",</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10</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19.c norāde (jauna)</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 xml:space="preserve">Rezolūcijas </w:t>
            </w:r>
            <w:r w:rsidRPr="009A64AE">
              <w:t>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pPr>
              <w:pStyle w:val="Normal6"/>
              <w:rPr>
                <w:b/>
                <w:i/>
              </w:rPr>
            </w:pPr>
            <w:r w:rsidRPr="009A64AE">
              <w:rPr>
                <w:b/>
                <w:i/>
              </w:rPr>
              <w:t>–</w:t>
            </w:r>
            <w:r w:rsidRPr="009A64AE">
              <w:rPr>
                <w:b/>
                <w:i/>
              </w:rPr>
              <w:tab/>
              <w:t>ņemot vērā Eiropas Parlamenta un Padomes 2022. gada 19. oktobra Direktīvu (ES) 2022/2041 par adekvātām minimālajām algām Eiropas Savienībā</w:t>
            </w:r>
            <w:r w:rsidRPr="009A64AE">
              <w:rPr>
                <w:b/>
                <w:i/>
                <w:vertAlign w:val="superscript"/>
              </w:rPr>
              <w:t>1a</w:t>
            </w:r>
            <w:r w:rsidRPr="009A64AE">
              <w:rPr>
                <w:b/>
                <w:i/>
              </w:rPr>
              <w:t>,</w:t>
            </w:r>
          </w:p>
          <w:p w:rsidR="001534C2" w:rsidRPr="009A64AE" w:rsidRDefault="00AB4E43">
            <w:pPr>
              <w:pStyle w:val="Normal6"/>
              <w:rPr>
                <w:b/>
                <w:i/>
              </w:rPr>
            </w:pPr>
            <w:r w:rsidRPr="009A64AE">
              <w:rPr>
                <w:b/>
                <w:i/>
              </w:rPr>
              <w:t>_______________</w:t>
            </w:r>
          </w:p>
          <w:p w:rsidR="001534C2" w:rsidRPr="009A64AE" w:rsidRDefault="00AB4E43">
            <w:pPr>
              <w:pStyle w:val="Normal6"/>
              <w:rPr>
                <w:b/>
                <w:i/>
                <w:szCs w:val="24"/>
              </w:rPr>
            </w:pPr>
            <w:r w:rsidRPr="009A64AE">
              <w:rPr>
                <w:b/>
                <w:i/>
                <w:vertAlign w:val="superscript"/>
              </w:rPr>
              <w:t>1a</w:t>
            </w:r>
            <w:r w:rsidRPr="009A64AE">
              <w:rPr>
                <w:b/>
                <w:i/>
              </w:rPr>
              <w:t xml:space="preserve"> OV L 275, 25.10.2022., 33. lpp., ELI: </w:t>
            </w:r>
            <w:hyperlink r:id="rId9" w:history="1">
              <w:r w:rsidRPr="009A64AE">
                <w:rPr>
                  <w:rStyle w:val="Hyperlink"/>
                  <w:b/>
                  <w:i/>
                  <w:color w:val="auto"/>
                </w:rPr>
                <w:t>http://data.europa.eu/eli/dir/2022/2041/oj</w:t>
              </w:r>
            </w:hyperlink>
            <w:r w:rsidRPr="009A64AE">
              <w:rPr>
                <w:b/>
                <w:i/>
              </w:rPr>
              <w:t xml:space="preserve">. </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11</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-A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 xml:space="preserve">Rezolūcijas </w:t>
            </w:r>
            <w:r w:rsidRPr="009A64AE">
              <w:t>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1534C2">
            <w:pPr>
              <w:pStyle w:val="Normal6"/>
              <w:rPr>
                <w:szCs w:val="24"/>
              </w:rPr>
            </w:pPr>
            <w:r w:rsidRPr="009A64AE">
              <w:rPr>
                <w:b/>
                <w:i/>
              </w:rPr>
              <w:t>-A.</w:t>
            </w:r>
            <w:r w:rsidRPr="009A64AE">
              <w:rPr>
                <w:b/>
                <w:i/>
              </w:rPr>
              <w:tab/>
              <w:t>tā kā ES atveseļošanas sociālā dimensija ir Atveseļošanas un noturības mehānisma (ANM) horizontālais aspekts; tā kā ANM vispārīgais mērķis ir veicināt Savienības ekonomisko, sociālo un teritoriālo kohēziju, uzlabojot dalībvalst</w:t>
            </w:r>
            <w:r w:rsidRPr="009A64AE">
              <w:rPr>
                <w:b/>
                <w:i/>
              </w:rPr>
              <w:t>u noturību, gatavību krīzēm, pielāgošanās spēju un izaugsmes potenciālu, mazinot Covid-19 krīzes sociālo un ekonomisko ietekmi, veicinot ESTP īstenošanu un atbalstot zaļo un digitālo pārkārtošanos, tādējādi sekmējot augšupēju ekonomisko un sociālo konverģe</w:t>
            </w:r>
            <w:r w:rsidRPr="009A64AE">
              <w:rPr>
                <w:b/>
                <w:i/>
              </w:rPr>
              <w:t>nci, atjaunojot un veicinot ilgtspējīgu izaugsmi un atbalstot augstas kvalitātes darbvietu radīšanu;</w:t>
            </w:r>
          </w:p>
        </w:tc>
      </w:tr>
    </w:tbl>
    <w:p w:rsidR="00521F00" w:rsidRPr="009A64AE" w:rsidRDefault="00AB4E43" w:rsidP="00521F00">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12</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-Aa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7B04F0">
        <w:trPr>
          <w:jc w:val="center"/>
        </w:trPr>
        <w:tc>
          <w:tcPr>
            <w:tcW w:w="9752" w:type="dxa"/>
            <w:gridSpan w:val="2"/>
          </w:tcPr>
          <w:p w:rsidR="00EA4087" w:rsidRPr="009A64AE" w:rsidRDefault="00EA4087" w:rsidP="007B04F0">
            <w:pPr>
              <w:keepNext/>
            </w:pPr>
          </w:p>
        </w:tc>
      </w:tr>
      <w:tr w:rsidR="00135DE8" w:rsidRPr="009A64AE" w:rsidTr="007B04F0">
        <w:trPr>
          <w:jc w:val="center"/>
        </w:trPr>
        <w:tc>
          <w:tcPr>
            <w:tcW w:w="4876" w:type="dxa"/>
            <w:hideMark/>
          </w:tcPr>
          <w:p w:rsidR="00EA4087" w:rsidRPr="009A64AE" w:rsidRDefault="00AB4E43" w:rsidP="007B04F0">
            <w:pPr>
              <w:pStyle w:val="ColumnHeading"/>
              <w:keepNext/>
            </w:pPr>
            <w:r w:rsidRPr="009A64AE">
              <w:t xml:space="preserve">Rezolūcijas </w:t>
            </w:r>
            <w:r w:rsidRPr="009A64AE">
              <w:t>priekšlikums</w:t>
            </w:r>
          </w:p>
        </w:tc>
        <w:tc>
          <w:tcPr>
            <w:tcW w:w="4876" w:type="dxa"/>
            <w:hideMark/>
          </w:tcPr>
          <w:p w:rsidR="00EA4087" w:rsidRPr="009A64AE" w:rsidRDefault="00AB4E43" w:rsidP="007B04F0">
            <w:pPr>
              <w:pStyle w:val="ColumnHeading"/>
              <w:keepNext/>
            </w:pPr>
            <w:r w:rsidRPr="009A64AE">
              <w:t>Grozījums</w:t>
            </w:r>
          </w:p>
        </w:tc>
      </w:tr>
      <w:tr w:rsidR="00135DE8" w:rsidRPr="009A64AE" w:rsidTr="007B04F0">
        <w:trPr>
          <w:jc w:val="center"/>
        </w:trPr>
        <w:tc>
          <w:tcPr>
            <w:tcW w:w="4876" w:type="dxa"/>
          </w:tcPr>
          <w:p w:rsidR="00EA4087" w:rsidRPr="009A64AE" w:rsidRDefault="00EA4087" w:rsidP="007B04F0">
            <w:pPr>
              <w:pStyle w:val="Normal6"/>
            </w:pPr>
          </w:p>
        </w:tc>
        <w:tc>
          <w:tcPr>
            <w:tcW w:w="4876" w:type="dxa"/>
            <w:hideMark/>
          </w:tcPr>
          <w:p w:rsidR="00EA4087" w:rsidRPr="009A64AE" w:rsidRDefault="00AB4E43" w:rsidP="00521F00">
            <w:pPr>
              <w:pStyle w:val="Normal6"/>
              <w:rPr>
                <w:szCs w:val="24"/>
              </w:rPr>
            </w:pPr>
            <w:r w:rsidRPr="009A64AE">
              <w:rPr>
                <w:b/>
                <w:i/>
              </w:rPr>
              <w:t>–Aa.</w:t>
            </w:r>
            <w:r w:rsidRPr="009A64AE">
              <w:rPr>
                <w:b/>
                <w:i/>
              </w:rPr>
              <w:tab/>
              <w:t>tā kā ANM darbības joma attiecas uz šādiem sešiem politikas pīlāriem:</w:t>
            </w:r>
          </w:p>
        </w:tc>
      </w:tr>
      <w:tr w:rsidR="00135DE8" w:rsidRPr="009A64AE" w:rsidTr="007B04F0">
        <w:trPr>
          <w:jc w:val="center"/>
        </w:trPr>
        <w:tc>
          <w:tcPr>
            <w:tcW w:w="4876" w:type="dxa"/>
          </w:tcPr>
          <w:p w:rsidR="00EA4087" w:rsidRPr="009A64AE" w:rsidRDefault="00EA4087" w:rsidP="007B04F0">
            <w:pPr>
              <w:pStyle w:val="Normal6"/>
            </w:pPr>
          </w:p>
        </w:tc>
        <w:tc>
          <w:tcPr>
            <w:tcW w:w="4876" w:type="dxa"/>
          </w:tcPr>
          <w:p w:rsidR="00EA4087" w:rsidRPr="009A64AE" w:rsidRDefault="00AB4E43" w:rsidP="007B04F0">
            <w:pPr>
              <w:pStyle w:val="Normal6"/>
              <w:rPr>
                <w:b/>
                <w:i/>
              </w:rPr>
            </w:pPr>
            <w:r w:rsidRPr="009A64AE">
              <w:rPr>
                <w:b/>
                <w:i/>
              </w:rPr>
              <w:t>a) zaļā pārkārtošanās,</w:t>
            </w:r>
          </w:p>
        </w:tc>
      </w:tr>
      <w:tr w:rsidR="00135DE8" w:rsidRPr="009A64AE" w:rsidTr="007B04F0">
        <w:trPr>
          <w:jc w:val="center"/>
        </w:trPr>
        <w:tc>
          <w:tcPr>
            <w:tcW w:w="4876" w:type="dxa"/>
          </w:tcPr>
          <w:p w:rsidR="002763BF" w:rsidRPr="009A64AE" w:rsidRDefault="002763BF" w:rsidP="007B04F0">
            <w:pPr>
              <w:pStyle w:val="Normal6"/>
            </w:pPr>
          </w:p>
        </w:tc>
        <w:tc>
          <w:tcPr>
            <w:tcW w:w="4876" w:type="dxa"/>
          </w:tcPr>
          <w:p w:rsidR="002763BF" w:rsidRPr="009A64AE" w:rsidRDefault="00AB4E43" w:rsidP="007B04F0">
            <w:pPr>
              <w:pStyle w:val="Normal6"/>
              <w:rPr>
                <w:b/>
                <w:i/>
              </w:rPr>
            </w:pPr>
            <w:r w:rsidRPr="009A64AE">
              <w:rPr>
                <w:b/>
                <w:i/>
              </w:rPr>
              <w:t>b) digitālā pārkārtošanās,</w:t>
            </w:r>
          </w:p>
        </w:tc>
      </w:tr>
      <w:tr w:rsidR="00135DE8" w:rsidRPr="009A64AE" w:rsidTr="007B04F0">
        <w:trPr>
          <w:jc w:val="center"/>
        </w:trPr>
        <w:tc>
          <w:tcPr>
            <w:tcW w:w="4876" w:type="dxa"/>
          </w:tcPr>
          <w:p w:rsidR="002763BF" w:rsidRPr="009A64AE" w:rsidRDefault="002763BF" w:rsidP="007B04F0">
            <w:pPr>
              <w:pStyle w:val="Normal6"/>
            </w:pPr>
          </w:p>
        </w:tc>
        <w:tc>
          <w:tcPr>
            <w:tcW w:w="4876" w:type="dxa"/>
          </w:tcPr>
          <w:p w:rsidR="002763BF" w:rsidRPr="009A64AE" w:rsidRDefault="00AB4E43" w:rsidP="004C6072">
            <w:pPr>
              <w:pStyle w:val="Normal6"/>
              <w:rPr>
                <w:b/>
                <w:i/>
              </w:rPr>
            </w:pPr>
            <w:r w:rsidRPr="009A64AE">
              <w:rPr>
                <w:b/>
                <w:i/>
              </w:rPr>
              <w:t>c) gudra, ilgtspējīga un integrējoša izaugsme,</w:t>
            </w:r>
          </w:p>
        </w:tc>
      </w:tr>
      <w:tr w:rsidR="00135DE8" w:rsidRPr="009A64AE" w:rsidTr="007B04F0">
        <w:trPr>
          <w:jc w:val="center"/>
        </w:trPr>
        <w:tc>
          <w:tcPr>
            <w:tcW w:w="4876" w:type="dxa"/>
          </w:tcPr>
          <w:p w:rsidR="002763BF" w:rsidRPr="009A64AE" w:rsidRDefault="002763BF" w:rsidP="007B04F0">
            <w:pPr>
              <w:pStyle w:val="Normal6"/>
            </w:pPr>
          </w:p>
        </w:tc>
        <w:tc>
          <w:tcPr>
            <w:tcW w:w="4876" w:type="dxa"/>
          </w:tcPr>
          <w:p w:rsidR="002763BF" w:rsidRPr="009A64AE" w:rsidRDefault="00AB4E43" w:rsidP="002763BF">
            <w:pPr>
              <w:pStyle w:val="Normal6"/>
              <w:rPr>
                <w:b/>
                <w:i/>
              </w:rPr>
            </w:pPr>
            <w:r w:rsidRPr="009A64AE">
              <w:rPr>
                <w:b/>
                <w:i/>
              </w:rPr>
              <w:t xml:space="preserve">d) sociālā un teritoriālā kohēzija, </w:t>
            </w:r>
          </w:p>
        </w:tc>
      </w:tr>
      <w:tr w:rsidR="00135DE8" w:rsidRPr="009A64AE" w:rsidTr="007B04F0">
        <w:trPr>
          <w:jc w:val="center"/>
        </w:trPr>
        <w:tc>
          <w:tcPr>
            <w:tcW w:w="4876" w:type="dxa"/>
          </w:tcPr>
          <w:p w:rsidR="002763BF" w:rsidRPr="009A64AE" w:rsidRDefault="002763BF" w:rsidP="007B04F0">
            <w:pPr>
              <w:pStyle w:val="Normal6"/>
            </w:pPr>
          </w:p>
        </w:tc>
        <w:tc>
          <w:tcPr>
            <w:tcW w:w="4876" w:type="dxa"/>
          </w:tcPr>
          <w:p w:rsidR="002763BF" w:rsidRPr="009A64AE" w:rsidRDefault="00AB4E43" w:rsidP="002763BF">
            <w:pPr>
              <w:pStyle w:val="Normal6"/>
              <w:rPr>
                <w:b/>
                <w:i/>
              </w:rPr>
            </w:pPr>
            <w:r w:rsidRPr="009A64AE">
              <w:rPr>
                <w:b/>
                <w:i/>
              </w:rPr>
              <w:t xml:space="preserve">e) veselība </w:t>
            </w:r>
            <w:r w:rsidRPr="009A64AE">
              <w:rPr>
                <w:b/>
                <w:i/>
              </w:rPr>
              <w:t>un ekonomiskā, sociālā un institucionālā noturība, un</w:t>
            </w:r>
          </w:p>
        </w:tc>
      </w:tr>
      <w:tr w:rsidR="00135DE8" w:rsidRPr="009A64AE" w:rsidTr="007B04F0">
        <w:trPr>
          <w:jc w:val="center"/>
        </w:trPr>
        <w:tc>
          <w:tcPr>
            <w:tcW w:w="4876" w:type="dxa"/>
          </w:tcPr>
          <w:p w:rsidR="002763BF" w:rsidRPr="009A64AE" w:rsidRDefault="002763BF" w:rsidP="007B04F0">
            <w:pPr>
              <w:pStyle w:val="Normal6"/>
            </w:pPr>
          </w:p>
        </w:tc>
        <w:tc>
          <w:tcPr>
            <w:tcW w:w="4876" w:type="dxa"/>
          </w:tcPr>
          <w:p w:rsidR="002763BF" w:rsidRPr="009A64AE" w:rsidRDefault="00AB4E43" w:rsidP="0011438D">
            <w:pPr>
              <w:pStyle w:val="Normal6"/>
              <w:rPr>
                <w:b/>
                <w:i/>
              </w:rPr>
            </w:pPr>
            <w:r w:rsidRPr="009A64AE">
              <w:rPr>
                <w:b/>
                <w:i/>
              </w:rPr>
              <w:t>f) politikas nostādnes nākamajai paaudzei, bērniem un jauniešiem;</w:t>
            </w:r>
          </w:p>
        </w:tc>
      </w:tr>
      <w:tr w:rsidR="00135DE8" w:rsidRPr="009A64AE" w:rsidTr="007B04F0">
        <w:trPr>
          <w:jc w:val="center"/>
        </w:trPr>
        <w:tc>
          <w:tcPr>
            <w:tcW w:w="4876" w:type="dxa"/>
          </w:tcPr>
          <w:p w:rsidR="002763BF" w:rsidRPr="009A64AE" w:rsidRDefault="002763BF" w:rsidP="007B04F0">
            <w:pPr>
              <w:pStyle w:val="Normal6"/>
            </w:pPr>
          </w:p>
        </w:tc>
        <w:tc>
          <w:tcPr>
            <w:tcW w:w="4876" w:type="dxa"/>
          </w:tcPr>
          <w:p w:rsidR="002763BF" w:rsidRPr="009A64AE" w:rsidRDefault="00AB4E43" w:rsidP="007B04F0">
            <w:pPr>
              <w:pStyle w:val="Normal6"/>
              <w:rPr>
                <w:b/>
                <w:i/>
              </w:rPr>
            </w:pPr>
            <w:r w:rsidRPr="009A64AE">
              <w:rPr>
                <w:b/>
                <w:i/>
              </w:rPr>
              <w:t>tā kā, ņemot vērā to savstarpēji saistīto raksturu, ir nepieciešams nodrošināt saskaņotību un sinerģiju starp darbībām, ko veic visu</w:t>
            </w:r>
            <w:r w:rsidRPr="009A64AE">
              <w:rPr>
                <w:b/>
                <w:i/>
              </w:rPr>
              <w:t xml:space="preserve"> pīlāru ietvaros;</w:t>
            </w:r>
          </w:p>
        </w:tc>
      </w:tr>
    </w:tbl>
    <w:p w:rsidR="00EA4087" w:rsidRPr="009A64AE" w:rsidRDefault="00AB4E43" w:rsidP="00EA4087">
      <w:pPr>
        <w:rPr>
          <w:szCs w:val="24"/>
        </w:rPr>
      </w:pPr>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13</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A apsvērums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hideMark/>
          </w:tcPr>
          <w:p w:rsidR="00521F00" w:rsidRPr="009A64AE" w:rsidRDefault="00AB4E43">
            <w:pPr>
              <w:pStyle w:val="Normal6"/>
            </w:pPr>
            <w:r w:rsidRPr="009A64AE">
              <w:t>A.</w:t>
            </w:r>
            <w:r w:rsidRPr="009A64AE">
              <w:tab/>
              <w:t xml:space="preserve">tā kā </w:t>
            </w:r>
            <w:r w:rsidRPr="009A64AE">
              <w:rPr>
                <w:b/>
                <w:i/>
              </w:rPr>
              <w:t>Atveseļošanas un noturības mehānisma (</w:t>
            </w:r>
            <w:r w:rsidRPr="009A64AE">
              <w:t>ANM</w:t>
            </w:r>
            <w:r w:rsidRPr="009A64AE">
              <w:rPr>
                <w:b/>
                <w:i/>
              </w:rPr>
              <w:t>)</w:t>
            </w:r>
            <w:r w:rsidRPr="009A64AE">
              <w:t xml:space="preserve"> ietvaros veiktās reformas un investīcijas veicina ES noturību un mazina tās atkarību, dažādojot svarīgākās piegādes ķēdes un tādējādi stiprinot ES stratēģisko autonomiju; tā kā ANM ietvaros </w:t>
            </w:r>
            <w:r w:rsidRPr="009A64AE">
              <w:rPr>
                <w:b/>
                <w:i/>
              </w:rPr>
              <w:t>veiktās reformas</w:t>
            </w:r>
            <w:r w:rsidRPr="009A64AE">
              <w:t xml:space="preserve"> un </w:t>
            </w:r>
            <w:r w:rsidRPr="009A64AE">
              <w:rPr>
                <w:b/>
                <w:i/>
              </w:rPr>
              <w:t>investīcijas</w:t>
            </w:r>
            <w:r w:rsidRPr="009A64AE">
              <w:t xml:space="preserve"> arī </w:t>
            </w:r>
            <w:r w:rsidRPr="009A64AE">
              <w:rPr>
                <w:b/>
                <w:i/>
              </w:rPr>
              <w:t>rada</w:t>
            </w:r>
            <w:r w:rsidRPr="009A64AE">
              <w:t xml:space="preserve"> Eiropas </w:t>
            </w:r>
            <w:r w:rsidRPr="009A64AE">
              <w:rPr>
                <w:b/>
                <w:i/>
              </w:rPr>
              <w:t>pievienoto vērt</w:t>
            </w:r>
            <w:r w:rsidRPr="009A64AE">
              <w:rPr>
                <w:b/>
                <w:i/>
              </w:rPr>
              <w:t>ību</w:t>
            </w:r>
            <w:r w:rsidRPr="009A64AE">
              <w:t>;</w:t>
            </w:r>
          </w:p>
        </w:tc>
        <w:tc>
          <w:tcPr>
            <w:tcW w:w="4876" w:type="dxa"/>
            <w:hideMark/>
          </w:tcPr>
          <w:p w:rsidR="00521F00" w:rsidRPr="009A64AE" w:rsidRDefault="00AB4E43" w:rsidP="00D37E93">
            <w:pPr>
              <w:pStyle w:val="Normal6"/>
              <w:rPr>
                <w:szCs w:val="24"/>
              </w:rPr>
            </w:pPr>
            <w:r w:rsidRPr="009A64AE">
              <w:t>A.</w:t>
            </w:r>
            <w:r w:rsidRPr="009A64AE">
              <w:tab/>
              <w:t xml:space="preserve">tā kā </w:t>
            </w:r>
            <w:r w:rsidRPr="009A64AE">
              <w:rPr>
                <w:b/>
                <w:i/>
              </w:rPr>
              <w:t>ANM</w:t>
            </w:r>
            <w:r w:rsidRPr="009A64AE">
              <w:t xml:space="preserve"> ietvaros veiktās reformas un investīcijas veicina ES noturību un mazina tās atkarību, dažādojot svarīgākās piegādes ķēdes un tādējādi stiprinot ES stratēģisko autonomiju; tā kā ANM ietvaros </w:t>
            </w:r>
            <w:r w:rsidRPr="009A64AE">
              <w:rPr>
                <w:b/>
                <w:i/>
              </w:rPr>
              <w:t>veiktajām reformām</w:t>
            </w:r>
            <w:r w:rsidRPr="009A64AE">
              <w:t xml:space="preserve"> un </w:t>
            </w:r>
            <w:r w:rsidRPr="009A64AE">
              <w:rPr>
                <w:b/>
                <w:i/>
              </w:rPr>
              <w:t>investīcijām būtu jāpalīdz</w:t>
            </w:r>
            <w:r w:rsidRPr="009A64AE">
              <w:rPr>
                <w:b/>
                <w:i/>
              </w:rPr>
              <w:t xml:space="preserve"> īstenot ESTP, ilgtspējīgu un iekļaujošu izaugsmi, augšupēju sociālo konverģenci, būtu jāatbalsta taisnīga pārkārtošanās uz zaļāku un digitalizētāku ekonomiku, tādējādi stiprinot Eiropas konkurētspēju, vienlaikus mazinot sociālo un teritoriālo nevienlīdzīb</w:t>
            </w:r>
            <w:r w:rsidRPr="009A64AE">
              <w:rPr>
                <w:b/>
                <w:i/>
              </w:rPr>
              <w:t>u un aizsargājot neaizsargātus cilvēkus, kā</w:t>
            </w:r>
            <w:r w:rsidRPr="009A64AE">
              <w:t xml:space="preserve"> </w:t>
            </w:r>
            <w:r w:rsidRPr="009A64AE">
              <w:t>arī</w:t>
            </w:r>
            <w:r w:rsidRPr="009A64AE">
              <w:t xml:space="preserve"> </w:t>
            </w:r>
            <w:r w:rsidRPr="009A64AE">
              <w:rPr>
                <w:b/>
                <w:i/>
              </w:rPr>
              <w:t>būtu jārada</w:t>
            </w:r>
            <w:r w:rsidRPr="009A64AE">
              <w:t xml:space="preserve"> </w:t>
            </w:r>
            <w:r w:rsidRPr="009A64AE">
              <w:t>Eiropas</w:t>
            </w:r>
            <w:r w:rsidRPr="009A64AE">
              <w:t xml:space="preserve"> </w:t>
            </w:r>
            <w:r w:rsidRPr="009A64AE">
              <w:rPr>
                <w:b/>
                <w:i/>
              </w:rPr>
              <w:t>pievienotā vērtība</w:t>
            </w:r>
            <w:r w:rsidRPr="009A64AE">
              <w:t xml:space="preserve">; </w:t>
            </w:r>
            <w:r w:rsidRPr="009A64AE">
              <w:rPr>
                <w:b/>
                <w:i/>
              </w:rPr>
              <w:t>tā kā ANM ietvaros veiktajām reformām būtu arī jānodrošina sociālā iekļaušana un jāstiprina sabiedriskie un sociālie pakalpojumi un infrastruktūra;</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14</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Aa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pPr>
              <w:pStyle w:val="Normal6"/>
              <w:rPr>
                <w:szCs w:val="24"/>
              </w:rPr>
            </w:pPr>
            <w:r w:rsidRPr="009A64AE">
              <w:rPr>
                <w:b/>
                <w:i/>
              </w:rPr>
              <w:t>Aa.</w:t>
            </w:r>
            <w:r w:rsidRPr="009A64AE">
              <w:rPr>
                <w:b/>
                <w:i/>
              </w:rPr>
              <w:tab/>
              <w:t xml:space="preserve">tā kā ANM piedāvā vēl nebijušu iespēju nodrošināt godīgu un taisnīgu pārkārtošanos uz </w:t>
            </w:r>
            <w:r w:rsidRPr="009A64AE">
              <w:rPr>
                <w:b/>
                <w:i/>
              </w:rPr>
              <w:t>klimatneitralitāti, digitalizāciju un pielāgošanos demogrāfiskajām pārmaiņām; tā kā atveseļošanas procesā tam būtu jānovērš dzimumspecifiska sociālekonomiskā ietekme; tā kā ar pasākumiem būtu jārisina tādi jautājumi kā sociālā aizsardzība, kvalitatīvas dar</w:t>
            </w:r>
            <w:r w:rsidRPr="009A64AE">
              <w:rPr>
                <w:b/>
                <w:i/>
              </w:rPr>
              <w:t>bvietas, cenas ziņā pieejami mājokļi un atbalsts neaizsargātā situācijā esošu iedzīvotāju grupām, lai uzlabotu dzīves līmeni, kā paredzēts ESTP;</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15</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Ab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D37E93">
            <w:pPr>
              <w:pStyle w:val="Normal6"/>
              <w:rPr>
                <w:szCs w:val="24"/>
              </w:rPr>
            </w:pPr>
            <w:r w:rsidRPr="009A64AE">
              <w:rPr>
                <w:b/>
                <w:i/>
              </w:rPr>
              <w:t>Ab.</w:t>
            </w:r>
            <w:r w:rsidRPr="009A64AE">
              <w:rPr>
                <w:b/>
                <w:i/>
              </w:rPr>
              <w:tab/>
              <w:t xml:space="preserve">tā kā pēdējos gados ES ir pierādījusi spēcīgu noturību pret lieliem ekonomiskiem un sociāliem traucējumiem, jo īpaši pateicoties saskaņotai reakcijai un tādiem jauniem instrumentiem </w:t>
            </w:r>
            <w:r w:rsidRPr="009A64AE">
              <w:rPr>
                <w:b/>
                <w:i/>
              </w:rPr>
              <w:t>kā ANM un Eiropas pagaidu atbalsta instruments bezdarba risku mazināšanai ārkārtas situācijā (SURE); tā kā šie instrumenti ir ļoti lielā mērā palīdzējuši novērst asimetrisku atveseļošanos dalībvalstīs un saglabāt virzību uz ilgtspējīgu un iekļaujošu ekonom</w:t>
            </w:r>
            <w:r w:rsidRPr="009A64AE">
              <w:rPr>
                <w:b/>
                <w:i/>
              </w:rPr>
              <w:t>iku;</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16</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Ac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pPr>
              <w:pStyle w:val="Normal6"/>
              <w:rPr>
                <w:szCs w:val="24"/>
              </w:rPr>
            </w:pPr>
            <w:r w:rsidRPr="009A64AE">
              <w:rPr>
                <w:b/>
                <w:i/>
              </w:rPr>
              <w:t>Ac.</w:t>
            </w:r>
            <w:r w:rsidRPr="009A64AE">
              <w:rPr>
                <w:b/>
                <w:i/>
              </w:rPr>
              <w:tab/>
              <w:t xml:space="preserve">tā kā krīzēm bija nevienāda sociālā ietekme, jo īpaši skarot cilvēkus </w:t>
            </w:r>
            <w:r w:rsidRPr="009A64AE">
              <w:rPr>
                <w:b/>
                <w:i/>
              </w:rPr>
              <w:t>ar zemiem ienākumiem un neaizsargātā situācijā esošu iedzīvotāju grupas;</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17</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Ba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pPr>
              <w:pStyle w:val="Normal6"/>
              <w:rPr>
                <w:b/>
                <w:i/>
              </w:rPr>
            </w:pPr>
            <w:r w:rsidRPr="009A64AE">
              <w:rPr>
                <w:b/>
                <w:i/>
              </w:rPr>
              <w:t>Ba.</w:t>
            </w:r>
            <w:r w:rsidRPr="009A64AE">
              <w:rPr>
                <w:b/>
                <w:i/>
              </w:rPr>
              <w:tab/>
              <w:t xml:space="preserve">tā </w:t>
            </w:r>
            <w:r w:rsidRPr="009A64AE">
              <w:rPr>
                <w:b/>
                <w:i/>
              </w:rPr>
              <w:t>kā dalībvalstis savu atveseļošanas un noturības plānu (ANP) īstenošanā ir panākušas atšķirīgu progresu; tā kā Eiropas Revīzijas palātas Īpašajā ziņojumā Nr. 13/2024</w:t>
            </w:r>
            <w:r w:rsidRPr="009A64AE">
              <w:rPr>
                <w:b/>
                <w:i/>
                <w:vertAlign w:val="superscript"/>
              </w:rPr>
              <w:t>1a</w:t>
            </w:r>
            <w:r w:rsidRPr="009A64AE">
              <w:rPr>
                <w:b/>
                <w:i/>
              </w:rPr>
              <w:t xml:space="preserve"> konstatēts, ka dalībvalstīm būtu grūtības līdz 2026. gada 31. augustam apgūt visu piešķir</w:t>
            </w:r>
            <w:r w:rsidRPr="009A64AE">
              <w:rPr>
                <w:b/>
                <w:i/>
              </w:rPr>
              <w:t>to līdzekļu summu un ka ANM īstenošanas perioda otrajā pusē joprojām pastāv nopietns pasākumu nepabeigšanas risks; tā kā īstenošanu cita starpā kavē aizvien pieaugošā inflācija, problēmas saistībā ar publisko iepirkumu, piegādes deficīts un tirgus cenu svā</w:t>
            </w:r>
            <w:r w:rsidRPr="009A64AE">
              <w:rPr>
                <w:b/>
                <w:i/>
              </w:rPr>
              <w:t>rstības; tā kā, vērtējot ANM īstenošanu, ir svarīgi izmantot gūtās atziņas un atjaunināt esošās struktūras;</w:t>
            </w:r>
          </w:p>
          <w:p w:rsidR="00D44A69" w:rsidRPr="009A64AE" w:rsidRDefault="00AB4E43">
            <w:pPr>
              <w:pStyle w:val="Normal6"/>
              <w:rPr>
                <w:b/>
                <w:i/>
              </w:rPr>
            </w:pPr>
            <w:r w:rsidRPr="009A64AE">
              <w:rPr>
                <w:b/>
                <w:i/>
              </w:rPr>
              <w:t>________________</w:t>
            </w:r>
          </w:p>
          <w:p w:rsidR="00D44A69" w:rsidRPr="009A64AE" w:rsidRDefault="00AB4E43" w:rsidP="002F7792">
            <w:pPr>
              <w:pStyle w:val="Normal6"/>
              <w:rPr>
                <w:b/>
                <w:i/>
                <w:szCs w:val="24"/>
              </w:rPr>
            </w:pPr>
            <w:r w:rsidRPr="009A64AE">
              <w:rPr>
                <w:b/>
                <w:i/>
                <w:vertAlign w:val="superscript"/>
              </w:rPr>
              <w:t>1a</w:t>
            </w:r>
            <w:r w:rsidRPr="009A64AE">
              <w:rPr>
                <w:b/>
                <w:i/>
              </w:rPr>
              <w:t xml:space="preserve"> Eiropas Revīzijas palātas 2024. gada 10. septembra Īpašais ziņojums Nr. 13/2024 "Atveseļošanas un noturības mehānisma līdzekļu a</w:t>
            </w:r>
            <w:r w:rsidRPr="009A64AE">
              <w:rPr>
                <w:b/>
                <w:i/>
              </w:rPr>
              <w:t xml:space="preserve">pguve — virzība notiek ar kavēšanos un saglabājas riski saistībā ar pasākumu pabeigšanu un līdz ar to — ANM mērķu sasniegšanu". </w:t>
            </w:r>
          </w:p>
        </w:tc>
      </w:tr>
    </w:tbl>
    <w:p w:rsidR="00521F00" w:rsidRPr="009A64AE" w:rsidRDefault="00AB4E43" w:rsidP="00521F00">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18</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F apsvērums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hideMark/>
          </w:tcPr>
          <w:p w:rsidR="00EA4087" w:rsidRPr="009A64AE" w:rsidRDefault="00AB4E43">
            <w:pPr>
              <w:pStyle w:val="Normal6"/>
            </w:pPr>
            <w:r w:rsidRPr="009A64AE">
              <w:t>F.</w:t>
            </w:r>
            <w:r w:rsidRPr="009A64AE">
              <w:tab/>
              <w:t>tā kā ANM īstenošanas efektīvai demokrātiskajai kontrolei un parlamentārajai pārbaudei ir nepieciešama pilnīga Parlamenta iesaiste un visu tā ieteikumu ņemšana vērā visos posmos;</w:t>
            </w:r>
          </w:p>
        </w:tc>
        <w:tc>
          <w:tcPr>
            <w:tcW w:w="4876" w:type="dxa"/>
            <w:hideMark/>
          </w:tcPr>
          <w:p w:rsidR="00EA4087" w:rsidRPr="009A64AE" w:rsidRDefault="00AB4E43">
            <w:pPr>
              <w:pStyle w:val="Normal6"/>
              <w:rPr>
                <w:szCs w:val="24"/>
              </w:rPr>
            </w:pPr>
            <w:r w:rsidRPr="009A64AE">
              <w:t>F.</w:t>
            </w:r>
            <w:r w:rsidRPr="009A64AE">
              <w:tab/>
              <w:t>tā kā ANM īstenošanas efektīvai d</w:t>
            </w:r>
            <w:r w:rsidRPr="009A64AE">
              <w:t>emokrātiskajai kontrolei un parlamentārajai pārbaudei ir nepieciešama pilnīga Parlamenta iesaiste un visu tā ieteikumu ņemšana vērā visos posmos;</w:t>
            </w:r>
            <w:r w:rsidRPr="009A64AE">
              <w:rPr>
                <w:b/>
                <w:i/>
              </w:rPr>
              <w:t xml:space="preserve"> tā kā NANP pasākumu sagatavošanai un īstenošanai ļoti svarīga ir arī apspriešanās ar attiecīgajām ieinteresēta</w:t>
            </w:r>
            <w:r w:rsidRPr="009A64AE">
              <w:rPr>
                <w:b/>
                <w:i/>
              </w:rPr>
              <w:t>jām personām, it īpaši sociālajiem partneriem, pilsoniskās sabiedrības organizācijām, jauniešu organizācijām un vietējās un reģionālās pašpārvaldes iestādēm un tā kā šādu apspriešanos paredz ANM regula;</w:t>
            </w:r>
          </w:p>
        </w:tc>
      </w:tr>
    </w:tbl>
    <w:p w:rsidR="00EA4087" w:rsidRPr="009A64AE" w:rsidRDefault="00AB4E43" w:rsidP="00EA4087">
      <w:pPr>
        <w:rPr>
          <w:szCs w:val="24"/>
        </w:rPr>
      </w:pPr>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19</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Fa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271B69">
            <w:pPr>
              <w:rPr>
                <w:b/>
                <w:i/>
              </w:rPr>
            </w:pPr>
            <w:r w:rsidRPr="009A64AE">
              <w:rPr>
                <w:b/>
                <w:i/>
              </w:rPr>
              <w:t>Fa.</w:t>
            </w:r>
            <w:r w:rsidRPr="009A64AE">
              <w:rPr>
                <w:b/>
                <w:i/>
              </w:rPr>
              <w:tab/>
              <w:t>tā kā JER konstatēts, ka valsts sociālo partneru novērtējums par iesaisti ANM īstenošanā 2023. gadā bija nevienmērīgs; tā kā so</w:t>
            </w:r>
            <w:r w:rsidRPr="009A64AE">
              <w:rPr>
                <w:b/>
                <w:i/>
              </w:rPr>
              <w:t>ciālo partneru iesaistei piemēro atšķirīgas iestāžu sistēmas, jo dažas dalībvalstis ir izveidojušas īpašas vietas un procedūras, citas izmanto jau esošos sociālā dialoga kanālus, bet dažas dalībvalstis sociālos partnerus iesaista, izmantojot jaunas struktū</w:t>
            </w:r>
            <w:r w:rsidRPr="009A64AE">
              <w:rPr>
                <w:b/>
                <w:i/>
              </w:rPr>
              <w:t>ras vai īpašas darba grupas, kas izveidotas saistībā ar Eiropas pusgadu vai ANM īstenošanas uzraudzībai; tā kā dalībvalstīm būtu jāveicina koplīguma sarunas un sociālais dialogs, kā noteikts Padomes ieteikumā par sociālā dialoga stiprināšanu Eiropas Savien</w:t>
            </w:r>
            <w:r w:rsidRPr="009A64AE">
              <w:rPr>
                <w:b/>
                <w:i/>
              </w:rPr>
              <w:t>ībā</w:t>
            </w:r>
            <w:r w:rsidRPr="009A64AE">
              <w:rPr>
                <w:b/>
                <w:i/>
                <w:vertAlign w:val="superscript"/>
              </w:rPr>
              <w:t>1a</w:t>
            </w:r>
            <w:r w:rsidRPr="009A64AE">
              <w:rPr>
                <w:b/>
                <w:i/>
              </w:rPr>
              <w:t>, kā arī sociālie partneri savlaicīgi un pilnvērtīgi jāiesaista attiecīgās politikas veidošanā ES un valsts līmenī, tostarp saistībā ar dalībvalstu atveseļošanas un noturības plānu īstenošanu;</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pPr>
              <w:pStyle w:val="Normal6"/>
              <w:rPr>
                <w:szCs w:val="24"/>
              </w:rPr>
            </w:pPr>
            <w:r w:rsidRPr="009A64AE">
              <w:rPr>
                <w:b/>
                <w:i/>
              </w:rPr>
              <w:t>__________________</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461A62">
            <w:pPr>
              <w:pStyle w:val="Normal6"/>
              <w:rPr>
                <w:szCs w:val="24"/>
              </w:rPr>
            </w:pPr>
            <w:r w:rsidRPr="009A64AE">
              <w:rPr>
                <w:b/>
                <w:i/>
                <w:vertAlign w:val="superscript"/>
              </w:rPr>
              <w:t>1a</w:t>
            </w:r>
            <w:r w:rsidRPr="009A64AE">
              <w:t xml:space="preserve"> </w:t>
            </w:r>
            <w:r w:rsidRPr="009A64AE">
              <w:rPr>
                <w:b/>
                <w:i/>
              </w:rPr>
              <w:t xml:space="preserve">Padomes Ieteikums (2023. gada </w:t>
            </w:r>
            <w:r w:rsidRPr="009A64AE">
              <w:rPr>
                <w:b/>
                <w:i/>
              </w:rPr>
              <w:t xml:space="preserve">12. jūnijs) par sociālā dialoga stiprināšanu Eiropas Savienībā (OV C, C/2023/1389, 6.12.2023., ELI: </w:t>
            </w:r>
            <w:hyperlink r:id="rId10" w:history="1">
              <w:r w:rsidRPr="009A64AE">
                <w:rPr>
                  <w:rStyle w:val="Hyperlink"/>
                  <w:b/>
                  <w:i/>
                  <w:color w:val="auto"/>
                </w:rPr>
                <w:t>http://data.europa.eu/eli/C/2023/1389/oj</w:t>
              </w:r>
            </w:hyperlink>
            <w:r w:rsidRPr="009A64AE">
              <w:rPr>
                <w:b/>
                <w:i/>
              </w:rPr>
              <w:t>).</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20</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Fb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pPr>
              <w:pStyle w:val="Normal6"/>
              <w:rPr>
                <w:szCs w:val="24"/>
              </w:rPr>
            </w:pPr>
            <w:r w:rsidRPr="009A64AE">
              <w:rPr>
                <w:b/>
                <w:i/>
              </w:rPr>
              <w:t>Fb.</w:t>
            </w:r>
            <w:r w:rsidRPr="009A64AE">
              <w:rPr>
                <w:b/>
                <w:i/>
              </w:rPr>
              <w:tab/>
              <w:t xml:space="preserve">tā kā 2025. gada JER konstatēts, ka no 7129 atskaites punktiem un mērķrādītājiem, kas iekļauti 27 ANM, sagaidāms, ka </w:t>
            </w:r>
            <w:r w:rsidRPr="009A64AE">
              <w:rPr>
                <w:b/>
                <w:i/>
              </w:rPr>
              <w:t>2201 palīdzēs īstenot sociālās politikas nostādnes (aptuveni 31 %) un ka no 1742 atskaites punktiem un mērķrādītājiem, kas sasniegti līdz 2024. gada 14. novembrim, 505 veicina sociālās politikas nostādņu īstenošanu (aptuveni 30 %);</w:t>
            </w:r>
          </w:p>
        </w:tc>
      </w:tr>
    </w:tbl>
    <w:p w:rsidR="00521F00" w:rsidRPr="009A64AE" w:rsidRDefault="00AB4E43" w:rsidP="00521F00">
      <w:r w:rsidRPr="009A64AE">
        <w:rPr>
          <w:rStyle w:val="HideTWBExt"/>
        </w:rPr>
        <w:t>&lt;/Amend&gt;</w:t>
      </w:r>
    </w:p>
    <w:p w:rsidR="00675C68" w:rsidRPr="009A64AE" w:rsidRDefault="00AB4E43" w:rsidP="00675C68">
      <w:pPr>
        <w:pStyle w:val="AmNumberTabs"/>
      </w:pPr>
      <w:r w:rsidRPr="009A64AE">
        <w:rPr>
          <w:rStyle w:val="HideTWBExt"/>
          <w:b w:val="0"/>
        </w:rPr>
        <w:t>&lt;Amend&gt;</w:t>
      </w:r>
      <w:r w:rsidRPr="009A64AE">
        <w:t>Grozīju</w:t>
      </w:r>
      <w:r w:rsidRPr="009A64AE">
        <w:t>ms Nr.</w:t>
      </w:r>
      <w:r w:rsidRPr="009A64AE">
        <w:tab/>
      </w:r>
      <w:r w:rsidRPr="009A64AE">
        <w:tab/>
      </w:r>
      <w:r w:rsidRPr="009A64AE">
        <w:rPr>
          <w:rStyle w:val="HideTWBExt"/>
          <w:b w:val="0"/>
        </w:rPr>
        <w:t>&lt;NumAm&gt;</w:t>
      </w:r>
      <w:r w:rsidRPr="009A64AE">
        <w:t>21</w:t>
      </w:r>
      <w:r w:rsidRPr="009A64AE">
        <w:rPr>
          <w:rStyle w:val="HideTWBExt"/>
          <w:b w:val="0"/>
        </w:rPr>
        <w:t>&lt;/NumAm&gt;</w:t>
      </w:r>
    </w:p>
    <w:p w:rsidR="00675C68" w:rsidRPr="009A64AE" w:rsidRDefault="00AB4E43" w:rsidP="00675C68">
      <w:pPr>
        <w:pStyle w:val="NormalBold12b"/>
      </w:pPr>
      <w:r w:rsidRPr="009A64AE">
        <w:rPr>
          <w:rStyle w:val="HideTWBExt"/>
          <w:b w:val="0"/>
        </w:rPr>
        <w:t>&lt;DocAmend&gt;</w:t>
      </w:r>
      <w:r w:rsidRPr="009A64AE">
        <w:t>Rezolūcijas priekšlikums</w:t>
      </w:r>
      <w:r w:rsidRPr="009A64AE">
        <w:rPr>
          <w:rStyle w:val="HideTWBExt"/>
          <w:b w:val="0"/>
        </w:rPr>
        <w:t>&lt;/DocAmend&gt;</w:t>
      </w:r>
    </w:p>
    <w:p w:rsidR="00675C68" w:rsidRPr="009A64AE" w:rsidRDefault="00AB4E43" w:rsidP="00675C68">
      <w:pPr>
        <w:pStyle w:val="NormalBold"/>
      </w:pPr>
      <w:r w:rsidRPr="009A64AE">
        <w:rPr>
          <w:rStyle w:val="HideTWBExt"/>
          <w:b w:val="0"/>
        </w:rPr>
        <w:t>&lt;Article&gt;</w:t>
      </w:r>
      <w:r w:rsidRPr="009A64AE">
        <w:t>Fc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675C68">
        <w:trPr>
          <w:jc w:val="center"/>
        </w:trPr>
        <w:tc>
          <w:tcPr>
            <w:tcW w:w="9752" w:type="dxa"/>
            <w:gridSpan w:val="2"/>
          </w:tcPr>
          <w:p w:rsidR="00675C68" w:rsidRPr="009A64AE" w:rsidRDefault="00675C68">
            <w:pPr>
              <w:keepNext/>
            </w:pPr>
          </w:p>
        </w:tc>
      </w:tr>
      <w:tr w:rsidR="00135DE8" w:rsidRPr="009A64AE" w:rsidTr="00675C68">
        <w:trPr>
          <w:jc w:val="center"/>
        </w:trPr>
        <w:tc>
          <w:tcPr>
            <w:tcW w:w="4876" w:type="dxa"/>
            <w:hideMark/>
          </w:tcPr>
          <w:p w:rsidR="00675C68" w:rsidRPr="009A64AE" w:rsidRDefault="00AB4E43">
            <w:pPr>
              <w:pStyle w:val="ColumnHeading"/>
              <w:keepNext/>
            </w:pPr>
            <w:r w:rsidRPr="009A64AE">
              <w:t>Rezolūcijas priekšlikums</w:t>
            </w:r>
          </w:p>
        </w:tc>
        <w:tc>
          <w:tcPr>
            <w:tcW w:w="4876" w:type="dxa"/>
            <w:hideMark/>
          </w:tcPr>
          <w:p w:rsidR="00675C68" w:rsidRPr="009A64AE" w:rsidRDefault="00AB4E43">
            <w:pPr>
              <w:pStyle w:val="ColumnHeading"/>
              <w:keepNext/>
            </w:pPr>
            <w:r w:rsidRPr="009A64AE">
              <w:t>Grozījums</w:t>
            </w:r>
          </w:p>
        </w:tc>
      </w:tr>
      <w:tr w:rsidR="00135DE8" w:rsidRPr="009A64AE" w:rsidTr="00675C68">
        <w:trPr>
          <w:jc w:val="center"/>
        </w:trPr>
        <w:tc>
          <w:tcPr>
            <w:tcW w:w="4876" w:type="dxa"/>
          </w:tcPr>
          <w:p w:rsidR="00675C68" w:rsidRPr="009A64AE" w:rsidRDefault="00675C68">
            <w:pPr>
              <w:pStyle w:val="Normal6"/>
            </w:pPr>
          </w:p>
        </w:tc>
        <w:tc>
          <w:tcPr>
            <w:tcW w:w="4876" w:type="dxa"/>
            <w:hideMark/>
          </w:tcPr>
          <w:p w:rsidR="00675C68" w:rsidRPr="009A64AE" w:rsidRDefault="00AB4E43" w:rsidP="00EC1E8B">
            <w:pPr>
              <w:pStyle w:val="Normal6"/>
              <w:rPr>
                <w:szCs w:val="24"/>
              </w:rPr>
            </w:pPr>
            <w:r w:rsidRPr="009A64AE">
              <w:rPr>
                <w:b/>
                <w:i/>
              </w:rPr>
              <w:t>Fc.</w:t>
            </w:r>
            <w:r w:rsidRPr="009A64AE">
              <w:rPr>
                <w:b/>
                <w:i/>
              </w:rPr>
              <w:tab/>
              <w:t xml:space="preserve">tā kā ES notiek sabiedrības novecošanās, nākamajās četrās desmitgadēs prognozējot pensijas ienākumu </w:t>
            </w:r>
            <w:r w:rsidRPr="009A64AE">
              <w:rPr>
                <w:b/>
                <w:i/>
              </w:rPr>
              <w:t>aizvietojamības rādītāju samazināšanos, turklāt vienlaikus jau strauji pieaug ilgtermiņa aprūpes vajadzības; tā kā vecāku cilvēku nabadzības vai sociālās atstumtības risks joprojām ir nemainīgs un tiek prognozēts, ka vairākumā ES valstu pensijas ienākumu a</w:t>
            </w:r>
            <w:r w:rsidRPr="009A64AE">
              <w:rPr>
                <w:b/>
                <w:i/>
              </w:rPr>
              <w:t>izvietojamības rādītāji par 40 darba gadiem pazemināsies, dažos gadījumos pat par 20 procentpunktiem;</w:t>
            </w:r>
          </w:p>
        </w:tc>
      </w:tr>
    </w:tbl>
    <w:p w:rsidR="00675C68" w:rsidRPr="009A64AE" w:rsidRDefault="00AB4E43" w:rsidP="00675C68">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22</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G apsvērums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hideMark/>
          </w:tcPr>
          <w:p w:rsidR="00521F00" w:rsidRPr="009A64AE" w:rsidRDefault="00AB4E43">
            <w:pPr>
              <w:pStyle w:val="Normal6"/>
            </w:pPr>
            <w:r w:rsidRPr="009A64AE">
              <w:t>G.</w:t>
            </w:r>
            <w:r w:rsidRPr="009A64AE">
              <w:tab/>
              <w:t>tā kā Komisijai līdz 2028. gada 31. decembrim ir jāiesniedz neatkarīgs ex post izvērtēšanas ziņojums par ANM īstenošanu, kurā jāiekļauj ANM vispārējs izvērtējums un informācija par tā ietekmi ilgtermiņā,</w:t>
            </w:r>
          </w:p>
        </w:tc>
        <w:tc>
          <w:tcPr>
            <w:tcW w:w="4876" w:type="dxa"/>
            <w:hideMark/>
          </w:tcPr>
          <w:p w:rsidR="00521F00" w:rsidRPr="009A64AE" w:rsidRDefault="00AB4E43">
            <w:pPr>
              <w:pStyle w:val="Normal6"/>
              <w:rPr>
                <w:szCs w:val="24"/>
              </w:rPr>
            </w:pPr>
            <w:r w:rsidRPr="009A64AE">
              <w:t>G.</w:t>
            </w:r>
            <w:r w:rsidRPr="009A64AE">
              <w:tab/>
              <w:t xml:space="preserve">tā kā Komisijai līdz 2028. gada </w:t>
            </w:r>
            <w:r w:rsidRPr="009A64AE">
              <w:t>31. decembrim ir jāiesniedz neatkarīgs ex post izvērtēšanas ziņojums par ANM īstenošanu, kurā jāiekļauj ANM vispārējs izvērtējums un informācija par tā ietekmi ilgtermiņā</w:t>
            </w:r>
            <w:r w:rsidRPr="009A64AE">
              <w:rPr>
                <w:b/>
                <w:i/>
              </w:rPr>
              <w:t>, kā arī dati par sociālajiem rezultātiem</w:t>
            </w:r>
            <w:r w:rsidRPr="009A64AE">
              <w:t>,</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23</w:t>
      </w:r>
      <w:r w:rsidRPr="009A64AE">
        <w:rPr>
          <w:rStyle w:val="HideTWBExt"/>
          <w:b w:val="0"/>
        </w:rPr>
        <w:t>&lt;/</w:t>
      </w:r>
      <w:r w:rsidRPr="009A64AE">
        <w:rPr>
          <w:rStyle w:val="HideTWBExt"/>
          <w:b w:val="0"/>
        </w:rPr>
        <w: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Ga apsvērums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D37E93">
            <w:pPr>
              <w:pStyle w:val="Normal6"/>
              <w:rPr>
                <w:szCs w:val="24"/>
              </w:rPr>
            </w:pPr>
            <w:r w:rsidRPr="009A64AE">
              <w:rPr>
                <w:b/>
                <w:i/>
              </w:rPr>
              <w:t>Ga.</w:t>
            </w:r>
            <w:r w:rsidRPr="009A64AE">
              <w:rPr>
                <w:b/>
                <w:i/>
              </w:rPr>
              <w:tab/>
              <w:t>tā kā katrai dalībvalstij vismaz 20 % no sava</w:t>
            </w:r>
            <w:r w:rsidRPr="009A64AE">
              <w:rPr>
                <w:b/>
                <w:i/>
              </w:rPr>
              <w:t xml:space="preserve"> ANM kopējā līdzekļu piešķīruma jāatvēl pasākumiem, kas veicina digitālo pārkārtošanos vai risina radušās problēmas; tā kā vispārējās sabiedrības un darbaspēka digitālo prasmju uzlabošana, uzņēmumu digitalizācijas sekmēšana, digitālo sabiedrisko pakalpojum</w:t>
            </w:r>
            <w:r w:rsidRPr="009A64AE">
              <w:rPr>
                <w:b/>
                <w:i/>
              </w:rPr>
              <w:t>u klāsta palielināšana un vadošo e-pārvaldes projektu ātrāka ieviešana ir visi būtiski svarīgie soļi ceļā uz digitālās pārkārtošanās sasniegšanu;</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24</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Gb a</w:t>
      </w:r>
      <w:r w:rsidRPr="009A64AE">
        <w:t>psvērums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8F32B7">
            <w:pPr>
              <w:pStyle w:val="Normal6"/>
              <w:rPr>
                <w:szCs w:val="24"/>
              </w:rPr>
            </w:pPr>
            <w:r w:rsidRPr="009A64AE">
              <w:rPr>
                <w:b/>
                <w:i/>
              </w:rPr>
              <w:t>Gb.</w:t>
            </w:r>
            <w:r w:rsidRPr="009A64AE">
              <w:rPr>
                <w:b/>
                <w:i/>
              </w:rPr>
              <w:tab/>
              <w:t>tā kā tikai 55,56 % pieaugušo ir vismaz digitālās pamatprasmes</w:t>
            </w:r>
            <w:r w:rsidRPr="009A64AE">
              <w:rPr>
                <w:b/>
                <w:i/>
                <w:vertAlign w:val="superscript"/>
              </w:rPr>
              <w:t>1a</w:t>
            </w:r>
            <w:r w:rsidRPr="009A64AE">
              <w:rPr>
                <w:b/>
                <w:i/>
              </w:rPr>
              <w:t xml:space="preserve">; tā kā viens no ES digitalizācijas mērķrādītājiem paredz, ka 80 % pieaugušo līdz 2030. gadam būs vismaz digitālās </w:t>
            </w:r>
            <w:r w:rsidRPr="009A64AE">
              <w:rPr>
                <w:b/>
                <w:i/>
              </w:rPr>
              <w:t>pamatprasmes; tā kā, lai optimizētu savu cilvēkkapitālu, ES ir jāpārvar visi prasmju nepietiekamības veidi un piedāvājuma un pieprasījuma neatbilstība; tā kā, lai iegūtu vienlīdzīgas iespējas izglītības sistēmā un darba tirgū, ikvienam ir vajadzīga piekļuv</w:t>
            </w:r>
            <w:r w:rsidRPr="009A64AE">
              <w:rPr>
                <w:b/>
                <w:i/>
              </w:rPr>
              <w:t>e pienācīgai digitālajai infrastruktūrai un digitālo prasmju apmācībai; tā kā pamatprasmju apguvē, tostarp pārskatot mācību programmas, ir veiktas ievērojamas reformas un ieguldījumi, bet tomēr esošās problēmas nav pietiekami risinātas, un tādēļ visā ES va</w:t>
            </w:r>
            <w:r w:rsidRPr="009A64AE">
              <w:rPr>
                <w:b/>
                <w:i/>
              </w:rPr>
              <w:t>jadzīga aktīvāka rīcība, lai novērstu samazināšanās tendences;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pPr>
              <w:pStyle w:val="Normal6"/>
              <w:rPr>
                <w:szCs w:val="24"/>
              </w:rPr>
            </w:pPr>
            <w:r w:rsidRPr="009A64AE">
              <w:rPr>
                <w:b/>
                <w:i/>
              </w:rPr>
              <w:t>__________________</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02109D">
            <w:pPr>
              <w:pStyle w:val="Normal6"/>
              <w:rPr>
                <w:szCs w:val="24"/>
              </w:rPr>
            </w:pPr>
            <w:r w:rsidRPr="009A64AE">
              <w:rPr>
                <w:b/>
                <w:i/>
                <w:vertAlign w:val="superscript"/>
              </w:rPr>
              <w:t>1a</w:t>
            </w:r>
            <w:r w:rsidRPr="009A64AE">
              <w:t xml:space="preserve"> </w:t>
            </w:r>
            <w:r w:rsidRPr="009A64AE">
              <w:rPr>
                <w:b/>
                <w:i/>
              </w:rPr>
              <w:t xml:space="preserve">Eurostat, "Database", </w:t>
            </w:r>
            <w:hyperlink r:id="rId11" w:history="1">
              <w:r w:rsidRPr="009A64AE">
                <w:rPr>
                  <w:rStyle w:val="Hyperlink"/>
                  <w:b/>
                  <w:i/>
                  <w:color w:val="auto"/>
                </w:rPr>
                <w:t>https://ec.europa.eu/eurostat/databrowser/view/sdg_04_70/default/table</w:t>
              </w:r>
            </w:hyperlink>
            <w:r w:rsidRPr="009A64AE">
              <w:rPr>
                <w:b/>
                <w:i/>
              </w:rPr>
              <w:t xml:space="preserve">; Eurostat, "56% of EU people have basic digital skills", 2023. gada 15. decembris, </w:t>
            </w:r>
            <w:hyperlink r:id="rId12" w:history="1">
              <w:r w:rsidRPr="009A64AE">
                <w:rPr>
                  <w:rStyle w:val="Hyperlink"/>
                  <w:b/>
                  <w:i/>
                  <w:color w:val="auto"/>
                </w:rPr>
                <w:t>https://ec.e</w:t>
              </w:r>
              <w:r w:rsidRPr="009A64AE">
                <w:rPr>
                  <w:rStyle w:val="Hyperlink"/>
                  <w:b/>
                  <w:i/>
                  <w:color w:val="auto"/>
                </w:rPr>
                <w:t>uropa.eu/eurostat/web/products-eurostat-news/-/ddn-20231215-3</w:t>
              </w:r>
            </w:hyperlink>
            <w:r w:rsidRPr="009A64AE">
              <w:rPr>
                <w:b/>
                <w:i/>
              </w:rPr>
              <w:t xml:space="preserve">. </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25</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1.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hideMark/>
          </w:tcPr>
          <w:p w:rsidR="00521F00" w:rsidRPr="009A64AE" w:rsidRDefault="00AB4E43">
            <w:pPr>
              <w:pStyle w:val="Normal6"/>
            </w:pPr>
            <w:r w:rsidRPr="009A64AE">
              <w:t>1.</w:t>
            </w:r>
            <w:r w:rsidRPr="009A64AE">
              <w:tab/>
            </w:r>
            <w:r w:rsidRPr="009A64AE">
              <w:rPr>
                <w:b/>
                <w:i/>
              </w:rPr>
              <w:t>uzsver</w:t>
            </w:r>
            <w:r w:rsidRPr="009A64AE">
              <w:t xml:space="preserve">, ka ANM ir </w:t>
            </w:r>
            <w:r w:rsidRPr="009A64AE">
              <w:t>bezprecedenta solidaritātes instruments, ņemot vērā divas bezprecedenta krīzes, un NGEU instrumenta stūrakmens un ka tā darbība beigsies 2026. gadā; uzsver ANM stabilizējošo ietekmi uz dalībvalstīm lielas ekonomiskās nenoteiktības laikā, jo tas mazina nega</w:t>
            </w:r>
            <w:r w:rsidRPr="009A64AE">
              <w:t xml:space="preserve">tīvo ekonomisko un sociālo ietekmi </w:t>
            </w:r>
            <w:r w:rsidRPr="009A64AE">
              <w:rPr>
                <w:b/>
                <w:i/>
              </w:rPr>
              <w:t xml:space="preserve">un </w:t>
            </w:r>
            <w:r w:rsidRPr="009A64AE">
              <w:t>ir</w:t>
            </w:r>
            <w:r w:rsidRPr="009A64AE">
              <w:rPr>
                <w:b/>
                <w:i/>
              </w:rPr>
              <w:t xml:space="preserve"> atbalsts valdībām, veicinot</w:t>
            </w:r>
            <w:r w:rsidRPr="009A64AE">
              <w:t xml:space="preserve"> Eiropas sociālo tiesību pīlāra īstenošanu;</w:t>
            </w:r>
          </w:p>
        </w:tc>
        <w:tc>
          <w:tcPr>
            <w:tcW w:w="4876" w:type="dxa"/>
            <w:hideMark/>
          </w:tcPr>
          <w:p w:rsidR="00521F00" w:rsidRPr="009A64AE" w:rsidRDefault="00AB4E43" w:rsidP="00204278">
            <w:pPr>
              <w:pStyle w:val="Normal6"/>
              <w:rPr>
                <w:szCs w:val="24"/>
              </w:rPr>
            </w:pPr>
            <w:r w:rsidRPr="009A64AE">
              <w:t>1.</w:t>
            </w:r>
            <w:r w:rsidRPr="009A64AE">
              <w:tab/>
            </w:r>
            <w:r w:rsidRPr="009A64AE">
              <w:rPr>
                <w:b/>
                <w:i/>
              </w:rPr>
              <w:t>atzīst</w:t>
            </w:r>
            <w:r w:rsidRPr="009A64AE">
              <w:t xml:space="preserve">, ka ANM ir bezprecedenta solidaritātes instruments, ņemot vērā divas bezprecedenta krīzes, un NGEU instrumenta stūrakmens un ka tā </w:t>
            </w:r>
            <w:r w:rsidRPr="009A64AE">
              <w:t xml:space="preserve">darbība beigsies 2026. gadā; uzsver ANM stabilizējošo ietekmi uz dalībvalstīm lielas ekonomiskās nenoteiktības laikā, jo tas mazina </w:t>
            </w:r>
            <w:r w:rsidRPr="009A64AE">
              <w:rPr>
                <w:b/>
                <w:i/>
              </w:rPr>
              <w:t>krīžu</w:t>
            </w:r>
            <w:r w:rsidRPr="009A64AE">
              <w:t xml:space="preserve"> negatīvo ekonomisko un sociālo ietekmi</w:t>
            </w:r>
            <w:r w:rsidRPr="009A64AE">
              <w:rPr>
                <w:b/>
                <w:i/>
              </w:rPr>
              <w:t xml:space="preserve">; atgādina, ka ANM vispārējais mērķis </w:t>
            </w:r>
            <w:r w:rsidRPr="009A64AE">
              <w:t>ir</w:t>
            </w:r>
            <w:r w:rsidRPr="009A64AE">
              <w:rPr>
                <w:b/>
                <w:i/>
              </w:rPr>
              <w:t xml:space="preserve"> veicināt</w:t>
            </w:r>
            <w:r w:rsidRPr="009A64AE">
              <w:t xml:space="preserve"> Eiropas sociālo tiesību pīlāra</w:t>
            </w:r>
            <w:r w:rsidRPr="009A64AE">
              <w:t xml:space="preserve"> īstenošanu</w:t>
            </w:r>
            <w:r w:rsidRPr="009A64AE">
              <w:rPr>
                <w:b/>
                <w:i/>
              </w:rPr>
              <w:t>, lai veidotu spēcīgāku sociālo Eiropu un stiprinātu sociālo kohēziju, tādējādi stiprinot ES noturību ilgtermiņā</w:t>
            </w:r>
            <w:r w:rsidRPr="009A64AE">
              <w:t xml:space="preserve">; </w:t>
            </w:r>
            <w:r w:rsidRPr="009A64AE">
              <w:rPr>
                <w:b/>
                <w:i/>
              </w:rPr>
              <w:t>uzsver, ka šis mērķis būtu jāpastiprina, nodrošinot ilgtermiņa publiskos ieguldījumus augstas kvalitātes sabiedriskajos un sociālaj</w:t>
            </w:r>
            <w:r w:rsidRPr="009A64AE">
              <w:rPr>
                <w:b/>
                <w:i/>
              </w:rPr>
              <w:t>os pakalpojumos un veicinot tādu pasāku īstenošanu, kas visiem mazina nevienlīdzību;</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26</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1.a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F56F50">
            <w:pPr>
              <w:pStyle w:val="Normal6"/>
              <w:rPr>
                <w:szCs w:val="24"/>
              </w:rPr>
            </w:pPr>
            <w:r w:rsidRPr="009A64AE">
              <w:rPr>
                <w:b/>
                <w:i/>
              </w:rPr>
              <w:t>1.a</w:t>
            </w:r>
            <w:r w:rsidRPr="009A64AE">
              <w:rPr>
                <w:b/>
                <w:i/>
              </w:rPr>
              <w:tab/>
              <w:t>atgādina, ka ANM ir izšķiroša loma sociālās un teritoriālās kohēzijas veicināšanā, izskaužot nabadzību, mazinot bezdarbu un sekmējot iekļaujošu ekonomikas atveseļošanos; norāda, ka viens no Eiropas sociālo tiesību pīlāra rīcības plānā noteiktajiem p</w:t>
            </w:r>
            <w:r w:rsidRPr="009A64AE">
              <w:rPr>
                <w:b/>
                <w:i/>
              </w:rPr>
              <w:t>amatmērķiem ir Eiropas Savienībā līdz 2030. gadam sasniegt 78 % nodarbinātības līmeni; uzsver, ka, lai gan šis mērķrādītājs tiks sasniegts, visos līmeņos vajadzīgi papildu pasākumi, lai aktivizētu nepietiekami pārstāvēto grupu dalību darba tirgū un darba t</w:t>
            </w:r>
            <w:r w:rsidRPr="009A64AE">
              <w:rPr>
                <w:b/>
                <w:i/>
              </w:rPr>
              <w:t>irgum piesaistītu vairāk cilvēku; uzsver, ka ir vajadzīgas vērienīgas reformas un ieguldījumi, kas atbilst ESTP principiem, piešķir prioritāti augstas kvalitātes nodarbinātībai un neaizsargāto grupu iekļaušanai, novērš prasmju neatbilstību un atbalsta jaun</w:t>
            </w:r>
            <w:r w:rsidRPr="009A64AE">
              <w:rPr>
                <w:b/>
                <w:i/>
              </w:rPr>
              <w:t>ās tehnoloģijas, stiprina sociālo dialogu, infrastruktūru un sociālās aizsardzības sistēmas, lai risinātu tūlītējas problēmas un ilgtermiņā nodrošinātu darba tirgus noturību; norāda, ka, pamatojoties uz jaunākajiem pieejamajiem skaitļiem, vairāk nekā 16,3 </w:t>
            </w:r>
            <w:r w:rsidRPr="009A64AE">
              <w:rPr>
                <w:b/>
                <w:i/>
              </w:rPr>
              <w:t>miljoni cilvēku ir piedalījušies izglītības vai apmācības pasākumos, izmantojot atbalstu, kas saņemts no ANM, un vairāk nekā 2,1 miljons cilvēku ir vai nu atraduši darbu, vai iesaistījušies darba meklēšanas pasākumos;</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w:t>
      </w:r>
      <w:r w:rsidRPr="009A64AE">
        <w:rPr>
          <w:rStyle w:val="HideTWBExt"/>
          <w:b w:val="0"/>
        </w:rPr>
        <w:t>&gt;</w:t>
      </w:r>
      <w:r w:rsidRPr="009A64AE">
        <w:t>27</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1.b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F56F50">
            <w:pPr>
              <w:pStyle w:val="Normal6"/>
              <w:rPr>
                <w:szCs w:val="24"/>
              </w:rPr>
            </w:pPr>
            <w:r w:rsidRPr="009A64AE">
              <w:rPr>
                <w:b/>
                <w:i/>
              </w:rPr>
              <w:t>1.b</w:t>
            </w:r>
            <w:r w:rsidRPr="009A64AE">
              <w:rPr>
                <w:b/>
                <w:i/>
              </w:rPr>
              <w:tab/>
              <w:t>uzsver, ka ANM ieguldījumiem un reformām, kas vērstas uz nākamo paaudzi, jo īpaši izglītībā un attiecībā uz piekļuvi</w:t>
            </w:r>
            <w:r w:rsidRPr="009A64AE">
              <w:rPr>
                <w:b/>
                <w:i/>
              </w:rPr>
              <w:t xml:space="preserve"> kvalitatīviem sabiedriskajiem pakalpojumiem, ir izšķiroša nozīme ilgtermiņa sociālās konverģences sasniegšanā; atzīst, ka ieguldījumi bērnu labbūtībā un kvalitatīvā izglītībā ir svarīgi sociālajai kohēzijai un ekonomikas stabilitātei; uzsver, ka pasākumos</w:t>
            </w:r>
            <w:r w:rsidRPr="009A64AE">
              <w:rPr>
                <w:b/>
                <w:i/>
              </w:rPr>
              <w:t>, kas NANP vērsti uz nākamo paaudzi, bērniem un jauniešiem, galvenā uzmanība ir pievērsta agrīnai pirmsskolas izglītībai un aprūpei, izglītībai un mācībām, skolu infrastruktūras uzlabošanai, nelabvēlīgā stāvoklī esošu bērnu atbalstam un jaunatnes nodarbinā</w:t>
            </w:r>
            <w:r w:rsidRPr="009A64AE">
              <w:rPr>
                <w:b/>
                <w:i/>
              </w:rPr>
              <w:t xml:space="preserve">tībai; šajā ziņā norāda, ka NANP šim pīlāram piešķirti aptuveni 56,4 miljardi EUR un ka Komisijas gada ziņojumā norādīts, ka dalībvalstis ir panākušas jūtamu virzību, līdz 2024. gada 31. augustam sasniedzot 259 no 665 atskaites punktiem un mērķrādītājiem, </w:t>
            </w:r>
            <w:r w:rsidRPr="009A64AE">
              <w:rPr>
                <w:b/>
                <w:i/>
              </w:rPr>
              <w:t>ko dalībvalstis ziņojušas kā sasniegtus vai Komisija novērtējusi kā izpildītus; ņem vērā sasniegumu 39 % rādītāju, ieskaitot 21 % novērtētu maksājumu pieprasījumu, un pieejamos skaitļus, kas parāda, ka atbalstu ar ANM starpniecību ir saņēmuši vairāk nekā 9</w:t>
            </w:r>
            <w:r w:rsidRPr="009A64AE">
              <w:rPr>
                <w:b/>
                <w:i/>
              </w:rPr>
              <w:t>,4 miljoni 15–19 gadus vecu jauniešu; aicina dalībvalstis pastiprināt centienus saistībā ar šo pīlāru saskaņā ar mērķiem, kas izvirzīti Eiropas Garantijā bērniem, Eiropas Aprūpes stratēģijā, Padomes ieteikumos par agrīno pirmsskolas izglītību un aprūpi, un</w:t>
            </w:r>
            <w:r w:rsidRPr="009A64AE">
              <w:rPr>
                <w:b/>
                <w:i/>
              </w:rPr>
              <w:t xml:space="preserve"> nodrošināt piekļuvi cenas ziņā pieejamai, augstas kvalitātes ilgtermiņa aprūpei;</w:t>
            </w:r>
          </w:p>
        </w:tc>
      </w:tr>
    </w:tbl>
    <w:p w:rsidR="00521F00" w:rsidRPr="009A64AE" w:rsidRDefault="00AB4E43" w:rsidP="00521F00">
      <w:r w:rsidRPr="009A64AE">
        <w:rPr>
          <w:rStyle w:val="HideTWBExt"/>
        </w:rPr>
        <w:t>&lt;/Amend&gt;</w:t>
      </w:r>
    </w:p>
    <w:p w:rsidR="00521F00" w:rsidRPr="009A64AE" w:rsidRDefault="00AB4E43" w:rsidP="00521F00">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28</w:t>
      </w:r>
      <w:r w:rsidRPr="009A64AE">
        <w:rPr>
          <w:rStyle w:val="HideTWBExt"/>
          <w:b w:val="0"/>
        </w:rPr>
        <w:t>&lt;/NumAm&gt;</w:t>
      </w:r>
    </w:p>
    <w:p w:rsidR="00521F00" w:rsidRPr="009A64AE" w:rsidRDefault="00521F00" w:rsidP="00521F00"/>
    <w:p w:rsidR="00521F00" w:rsidRPr="009A64AE" w:rsidRDefault="00AB4E43" w:rsidP="00521F00">
      <w:pPr>
        <w:pStyle w:val="NormalBold"/>
        <w:keepNext/>
      </w:pPr>
      <w:r w:rsidRPr="009A64AE">
        <w:rPr>
          <w:rStyle w:val="HideTWBExt"/>
          <w:b w:val="0"/>
        </w:rPr>
        <w:t>&lt;DocAmend&gt;</w:t>
      </w:r>
      <w:r w:rsidRPr="009A64AE">
        <w:t>Rezolūcijas priekšlikums</w:t>
      </w:r>
      <w:r w:rsidRPr="009A64AE">
        <w:rPr>
          <w:rStyle w:val="HideTWBExt"/>
          <w:b w:val="0"/>
        </w:rPr>
        <w:t>&lt;/DocAmend&gt;</w:t>
      </w:r>
    </w:p>
    <w:p w:rsidR="00521F00" w:rsidRPr="009A64AE" w:rsidRDefault="00AB4E43" w:rsidP="00521F00">
      <w:pPr>
        <w:pStyle w:val="NormalBold"/>
      </w:pPr>
      <w:r w:rsidRPr="009A64AE">
        <w:rPr>
          <w:rStyle w:val="HideTWBExt"/>
          <w:b w:val="0"/>
        </w:rPr>
        <w:t>&lt;Article&gt;</w:t>
      </w:r>
      <w:r w:rsidRPr="009A64AE">
        <w:t>1.c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521F00">
        <w:trPr>
          <w:jc w:val="center"/>
        </w:trPr>
        <w:tc>
          <w:tcPr>
            <w:tcW w:w="9752" w:type="dxa"/>
            <w:gridSpan w:val="2"/>
          </w:tcPr>
          <w:p w:rsidR="00521F00" w:rsidRPr="009A64AE" w:rsidRDefault="00521F00">
            <w:pPr>
              <w:keepNext/>
            </w:pPr>
          </w:p>
        </w:tc>
      </w:tr>
      <w:tr w:rsidR="00135DE8" w:rsidRPr="009A64AE" w:rsidTr="00521F00">
        <w:trPr>
          <w:jc w:val="center"/>
        </w:trPr>
        <w:tc>
          <w:tcPr>
            <w:tcW w:w="4876" w:type="dxa"/>
            <w:hideMark/>
          </w:tcPr>
          <w:p w:rsidR="00521F00" w:rsidRPr="009A64AE" w:rsidRDefault="00AB4E43">
            <w:pPr>
              <w:pStyle w:val="ColumnHeading"/>
              <w:keepNext/>
            </w:pPr>
            <w:r w:rsidRPr="009A64AE">
              <w:t>Rezolūcijas priekšlikums</w:t>
            </w:r>
          </w:p>
        </w:tc>
        <w:tc>
          <w:tcPr>
            <w:tcW w:w="4876" w:type="dxa"/>
            <w:hideMark/>
          </w:tcPr>
          <w:p w:rsidR="00521F00" w:rsidRPr="009A64AE" w:rsidRDefault="00AB4E43">
            <w:pPr>
              <w:pStyle w:val="ColumnHeading"/>
              <w:keepNext/>
            </w:pPr>
            <w:r w:rsidRPr="009A64AE">
              <w:t>Grozījums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8F0ED2">
            <w:pPr>
              <w:pStyle w:val="Normal6"/>
              <w:rPr>
                <w:szCs w:val="24"/>
              </w:rPr>
            </w:pPr>
            <w:r w:rsidRPr="009A64AE">
              <w:rPr>
                <w:b/>
                <w:i/>
              </w:rPr>
              <w:t>1.c</w:t>
            </w:r>
            <w:r w:rsidRPr="009A64AE">
              <w:rPr>
                <w:b/>
                <w:i/>
              </w:rPr>
              <w:tab/>
              <w:t>uzsver, ka kopā ar kohēzijas politikas fondiem dalībvalstu ABM reformu īstenošana un ieguldījumi atbalsta taisnīgu, iekļaujošu un ilgtspējīgu izaugsmi, tādējādi palielinot darbvietu izveides iespējas un sekmējot finanšu stabilitāti un ieguldījumus; uzs</w:t>
            </w:r>
            <w:r w:rsidRPr="009A64AE">
              <w:rPr>
                <w:b/>
                <w:i/>
              </w:rPr>
              <w:t>ver, ka papildus atbalstam, ko sniedz Eiropas Sociālais fonds Plus, Eiropas Reģionālās attīstības fonds un Taisnīgas pārkārtošanās fonds un Tehniskā atbalsta instruments, ANM sekmē Savienības ekonomisko, sociālo un teritoriālo kohēziju, uzlabojot dalībvals</w:t>
            </w:r>
            <w:r w:rsidRPr="009A64AE">
              <w:rPr>
                <w:b/>
                <w:i/>
              </w:rPr>
              <w:t>tu konkurētspēju, noturību, krīžgatavību, pielāgošanās spēju un izaugsmes potenciālu un sekmējot augstas kvalitātes darbvietu radīšanu ar attiecīgu reformu un ieguldījumu starpniecību; norāda, ka dalībvalstis savos NANP ir iekļāvušas vairākus pasākumus soc</w:t>
            </w:r>
            <w:r w:rsidRPr="009A64AE">
              <w:rPr>
                <w:b/>
                <w:i/>
              </w:rPr>
              <w:t>iālās un teritoriālās kohēzijas atbalstam, piemēram, pasākumus, kas vērsti uz piekļuvi darba tirgum, sociālo aizsardzību un iekļaušanu, kā arī teritoriālo infrastruktūru un pakalpojumiem; norāda, ka 27 NANP šim pīlāram ir piešķirti aptuveni 261,2 miljardi </w:t>
            </w:r>
            <w:r w:rsidRPr="009A64AE">
              <w:rPr>
                <w:b/>
                <w:i/>
              </w:rPr>
              <w:t>EUR, un, kā ziņojušas dalībvalstis vai novērtējusi Komisija, ka līdz 2024. gada 31. augustam ir pabeigti un izpildīti 1064 no 2888 atskaites punktiem un mērķrādītājiem</w:t>
            </w:r>
            <w:r w:rsidRPr="009A64AE">
              <w:rPr>
                <w:b/>
                <w:i/>
                <w:vertAlign w:val="superscript"/>
              </w:rPr>
              <w:t>1a</w:t>
            </w:r>
            <w:r w:rsidRPr="009A64AE">
              <w:rPr>
                <w:b/>
                <w:i/>
              </w:rPr>
              <w:t>; uzsver, ka tas atbilst 37 % progresa rādītājam, ieskaitot 20 % novērtētus maksājumu p</w:t>
            </w:r>
            <w:r w:rsidRPr="009A64AE">
              <w:rPr>
                <w:b/>
                <w:i/>
              </w:rPr>
              <w:t>ieprasījumus;</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pPr>
              <w:pStyle w:val="Normal6"/>
              <w:rPr>
                <w:szCs w:val="24"/>
              </w:rPr>
            </w:pPr>
            <w:r w:rsidRPr="009A64AE">
              <w:rPr>
                <w:b/>
                <w:i/>
              </w:rPr>
              <w:t>__________________</w:t>
            </w:r>
          </w:p>
        </w:tc>
      </w:tr>
      <w:tr w:rsidR="00135DE8" w:rsidRPr="009A64AE" w:rsidTr="00521F00">
        <w:trPr>
          <w:jc w:val="center"/>
        </w:trPr>
        <w:tc>
          <w:tcPr>
            <w:tcW w:w="4876" w:type="dxa"/>
          </w:tcPr>
          <w:p w:rsidR="00521F00" w:rsidRPr="009A64AE" w:rsidRDefault="00521F00">
            <w:pPr>
              <w:pStyle w:val="Normal6"/>
            </w:pPr>
          </w:p>
        </w:tc>
        <w:tc>
          <w:tcPr>
            <w:tcW w:w="4876" w:type="dxa"/>
            <w:hideMark/>
          </w:tcPr>
          <w:p w:rsidR="00521F00" w:rsidRPr="009A64AE" w:rsidRDefault="00AB4E43" w:rsidP="00F56F50">
            <w:pPr>
              <w:pStyle w:val="Normal6"/>
              <w:rPr>
                <w:b/>
                <w:i/>
              </w:rPr>
            </w:pPr>
            <w:r w:rsidRPr="009A64AE">
              <w:rPr>
                <w:b/>
                <w:i/>
                <w:vertAlign w:val="superscript"/>
              </w:rPr>
              <w:t>1a</w:t>
            </w:r>
            <w:r w:rsidRPr="009A64AE">
              <w:t xml:space="preserve"> </w:t>
            </w:r>
            <w:r w:rsidRPr="009A64AE">
              <w:rPr>
                <w:b/>
                <w:i/>
              </w:rPr>
              <w:t xml:space="preserve">European Parliamentary Research Service, "Recovery and Resilience Facility: State of play and way forward", 2025. gada februāris, </w:t>
            </w:r>
            <w:hyperlink r:id="rId13" w:history="1">
              <w:r w:rsidRPr="009A64AE">
                <w:rPr>
                  <w:rStyle w:val="Hyperlink"/>
                  <w:b/>
                  <w:i/>
                  <w:color w:val="auto"/>
                </w:rPr>
                <w:t>https://www.europarl.europa.eu/RegData/etudes/IDAN/2025/765765/EPRS_IDA(2025)765765_EN.pdf</w:t>
              </w:r>
            </w:hyperlink>
            <w:r w:rsidRPr="009A64AE">
              <w:rPr>
                <w:b/>
                <w:i/>
              </w:rPr>
              <w:t xml:space="preserve">. </w:t>
            </w:r>
          </w:p>
        </w:tc>
      </w:tr>
    </w:tbl>
    <w:p w:rsidR="00521F00" w:rsidRPr="009A64AE" w:rsidRDefault="00AB4E43" w:rsidP="00521F00">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29</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2.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 xml:space="preserve">Rezolūcijas </w:t>
            </w:r>
            <w:r w:rsidRPr="009A64AE">
              <w:t>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hideMark/>
          </w:tcPr>
          <w:p w:rsidR="00EA4087" w:rsidRPr="009A64AE" w:rsidRDefault="00AB4E43">
            <w:pPr>
              <w:pStyle w:val="Normal6"/>
            </w:pPr>
            <w:r w:rsidRPr="009A64AE">
              <w:t>2.</w:t>
            </w:r>
            <w:r w:rsidRPr="009A64AE">
              <w:tab/>
              <w:t xml:space="preserve">atzinīgi vērtē to, ka ANM kopš pandēmijas ir nodrošinājis pagaidu papildu fiskālo telpu un palīdzējis novērst būtiskās atšķirības starp dalībvalstīm, </w:t>
            </w:r>
            <w:r w:rsidRPr="009A64AE">
              <w:rPr>
                <w:b/>
                <w:i/>
              </w:rPr>
              <w:t>kurām ir atšķirīga fiskālā telpā</w:t>
            </w:r>
            <w:r w:rsidRPr="009A64AE">
              <w:t>; atzīmē Komisijas konstatējumu, ka ANM ir izra</w:t>
            </w:r>
            <w:r w:rsidRPr="009A64AE">
              <w:t>isījis investīciju pastāvīgu pieaugumu visā ES un ka Komisija gaida, ka ANM būs ilgstoša ietekme visā ES arī pēc 2026. gada, ņemot vērā tā sinerģiju ar citiem ES finansējuma avotiem;</w:t>
            </w:r>
          </w:p>
        </w:tc>
        <w:tc>
          <w:tcPr>
            <w:tcW w:w="4876" w:type="dxa"/>
            <w:hideMark/>
          </w:tcPr>
          <w:p w:rsidR="00EA4087" w:rsidRPr="009A64AE" w:rsidRDefault="00AB4E43">
            <w:pPr>
              <w:pStyle w:val="Normal6"/>
              <w:rPr>
                <w:szCs w:val="24"/>
              </w:rPr>
            </w:pPr>
            <w:r w:rsidRPr="009A64AE">
              <w:t>2.</w:t>
            </w:r>
            <w:r w:rsidRPr="009A64AE">
              <w:tab/>
              <w:t>atzinīgi vērtē to, ka ANM kopš pandēmijas ir nodrošinājis pagaidu</w:t>
            </w:r>
            <w:r w:rsidRPr="009A64AE">
              <w:rPr>
                <w:b/>
                <w:i/>
              </w:rPr>
              <w:t>,</w:t>
            </w:r>
            <w:r w:rsidRPr="009A64AE">
              <w:t xml:space="preserve"> papildu </w:t>
            </w:r>
            <w:r w:rsidRPr="009A64AE">
              <w:rPr>
                <w:b/>
                <w:i/>
              </w:rPr>
              <w:t>un stabilizējošu</w:t>
            </w:r>
            <w:r w:rsidRPr="009A64AE">
              <w:t xml:space="preserve"> fiskālo telpu un palīdzējis novērst būtiskās atšķirības starp dalībvalstīm, </w:t>
            </w:r>
            <w:r w:rsidRPr="009A64AE">
              <w:rPr>
                <w:b/>
                <w:i/>
              </w:rPr>
              <w:t>nodrošinot tām ātru un tiešu atbalstu</w:t>
            </w:r>
            <w:r w:rsidRPr="009A64AE">
              <w:t>; atzīmē Komisijas konstatējumu, ka ANM ir izraisījis investīciju pastāvīgu pieaugumu visā ES un ka Komisija gaida, k</w:t>
            </w:r>
            <w:r w:rsidRPr="009A64AE">
              <w:t xml:space="preserve">a ANM būs ilgstoša ietekme visā ES arī pēc 2026. gada, ņemot vērā tā sinerģiju ar citiem ES finansējuma avotiem; </w:t>
            </w:r>
            <w:r w:rsidRPr="009A64AE">
              <w:rPr>
                <w:b/>
                <w:i/>
              </w:rPr>
              <w:t>tomēr uzsver, ka, lai nodrošinātu ilgstošu ietekmi, jo īpaši attiecībā uz mājokļiem, enerģētisko nabadzību, digitālo iekļaušanu, labi funkcionē</w:t>
            </w:r>
            <w:r w:rsidRPr="009A64AE">
              <w:rPr>
                <w:b/>
                <w:i/>
              </w:rPr>
              <w:t>jošiem darba tirgiem un visiem vienlīdzīgu piekļuvi augstas kvalitātes sabiedriskajiem pakalpojumiem, ieguldījumiem sociālajā jomā turpmāk būtu jāpiešķir augstāka prioritāte;</w:t>
            </w:r>
          </w:p>
        </w:tc>
      </w:tr>
    </w:tbl>
    <w:p w:rsidR="00EA4087" w:rsidRPr="009A64AE" w:rsidRDefault="00AB4E43" w:rsidP="00EA4087">
      <w:pPr>
        <w:rPr>
          <w:szCs w:val="24"/>
        </w:rPr>
      </w:pPr>
      <w:r w:rsidRPr="009A64AE">
        <w:rPr>
          <w:rStyle w:val="HideTWBExt"/>
        </w:rPr>
        <w:t>&lt;/Amend&gt;</w:t>
      </w:r>
    </w:p>
    <w:p w:rsidR="00D1163C" w:rsidRPr="009A64AE" w:rsidRDefault="00AB4E43" w:rsidP="00D1163C">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30</w:t>
      </w:r>
      <w:r w:rsidRPr="009A64AE">
        <w:rPr>
          <w:rStyle w:val="HideTWBExt"/>
          <w:b w:val="0"/>
        </w:rPr>
        <w:t>&lt;/NumAm&gt;</w:t>
      </w:r>
    </w:p>
    <w:p w:rsidR="00D1163C" w:rsidRPr="009A64AE" w:rsidRDefault="00D1163C" w:rsidP="00D1163C"/>
    <w:p w:rsidR="00D1163C" w:rsidRPr="009A64AE" w:rsidRDefault="00AB4E43" w:rsidP="00D1163C">
      <w:pPr>
        <w:pStyle w:val="NormalBold"/>
        <w:keepNext/>
      </w:pPr>
      <w:r w:rsidRPr="009A64AE">
        <w:rPr>
          <w:rStyle w:val="HideTWBExt"/>
          <w:b w:val="0"/>
        </w:rPr>
        <w:t>&lt;DocAmend&gt;</w:t>
      </w:r>
      <w:r w:rsidRPr="009A64AE">
        <w:t xml:space="preserve">Rezolūcijas </w:t>
      </w:r>
      <w:r w:rsidRPr="009A64AE">
        <w:t>priekšlikums</w:t>
      </w:r>
      <w:r w:rsidRPr="009A64AE">
        <w:rPr>
          <w:rStyle w:val="HideTWBExt"/>
          <w:b w:val="0"/>
        </w:rPr>
        <w:t>&lt;/DocAmend&gt;</w:t>
      </w:r>
    </w:p>
    <w:p w:rsidR="00D1163C" w:rsidRPr="009A64AE" w:rsidRDefault="00AB4E43" w:rsidP="00D1163C">
      <w:pPr>
        <w:pStyle w:val="NormalBold"/>
      </w:pPr>
      <w:r w:rsidRPr="009A64AE">
        <w:rPr>
          <w:rStyle w:val="HideTWBExt"/>
          <w:b w:val="0"/>
        </w:rPr>
        <w:t>&lt;Article&gt;</w:t>
      </w:r>
      <w:r w:rsidRPr="009A64AE">
        <w:t>2.a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D1163C">
        <w:trPr>
          <w:jc w:val="center"/>
        </w:trPr>
        <w:tc>
          <w:tcPr>
            <w:tcW w:w="9752" w:type="dxa"/>
            <w:gridSpan w:val="2"/>
          </w:tcPr>
          <w:p w:rsidR="00D1163C" w:rsidRPr="009A64AE" w:rsidRDefault="00D1163C">
            <w:pPr>
              <w:keepNext/>
            </w:pPr>
          </w:p>
        </w:tc>
      </w:tr>
      <w:tr w:rsidR="00135DE8" w:rsidRPr="009A64AE" w:rsidTr="00D1163C">
        <w:trPr>
          <w:jc w:val="center"/>
        </w:trPr>
        <w:tc>
          <w:tcPr>
            <w:tcW w:w="4876" w:type="dxa"/>
            <w:hideMark/>
          </w:tcPr>
          <w:p w:rsidR="00D1163C" w:rsidRPr="009A64AE" w:rsidRDefault="00AB4E43">
            <w:pPr>
              <w:pStyle w:val="ColumnHeading"/>
              <w:keepNext/>
            </w:pPr>
            <w:r w:rsidRPr="009A64AE">
              <w:t>Rezolūcijas priekšlikums</w:t>
            </w:r>
          </w:p>
        </w:tc>
        <w:tc>
          <w:tcPr>
            <w:tcW w:w="4876" w:type="dxa"/>
            <w:hideMark/>
          </w:tcPr>
          <w:p w:rsidR="00D1163C" w:rsidRPr="009A64AE" w:rsidRDefault="00AB4E43">
            <w:pPr>
              <w:pStyle w:val="ColumnHeading"/>
              <w:keepNext/>
            </w:pPr>
            <w:r w:rsidRPr="009A64AE">
              <w:t>Grozījums</w:t>
            </w:r>
          </w:p>
        </w:tc>
      </w:tr>
      <w:tr w:rsidR="00135DE8" w:rsidRPr="009A64AE" w:rsidTr="00D1163C">
        <w:trPr>
          <w:jc w:val="center"/>
        </w:trPr>
        <w:tc>
          <w:tcPr>
            <w:tcW w:w="4876" w:type="dxa"/>
          </w:tcPr>
          <w:p w:rsidR="00D1163C" w:rsidRPr="009A64AE" w:rsidRDefault="00D1163C">
            <w:pPr>
              <w:pStyle w:val="Normal6"/>
            </w:pPr>
          </w:p>
        </w:tc>
        <w:tc>
          <w:tcPr>
            <w:tcW w:w="4876" w:type="dxa"/>
            <w:hideMark/>
          </w:tcPr>
          <w:p w:rsidR="00D1163C" w:rsidRPr="009A64AE" w:rsidRDefault="00AB4E43" w:rsidP="00BD5A4A">
            <w:pPr>
              <w:pStyle w:val="Normal6"/>
              <w:rPr>
                <w:szCs w:val="24"/>
              </w:rPr>
            </w:pPr>
            <w:r w:rsidRPr="009A64AE">
              <w:rPr>
                <w:b/>
                <w:i/>
              </w:rPr>
              <w:t>2.a</w:t>
            </w:r>
            <w:r w:rsidRPr="009A64AE">
              <w:rPr>
                <w:b/>
                <w:i/>
              </w:rPr>
              <w:tab/>
              <w:t>norāda, ka ANM regulai, kas kopā ar Eiropas pusgadu veido satvaru valsts reformu prioritāšu apzināšanai, ir cieša saikne ar ESTP principiem; uzsver, ka</w:t>
            </w:r>
            <w:r w:rsidRPr="009A64AE">
              <w:rPr>
                <w:b/>
                <w:i/>
              </w:rPr>
              <w:t xml:space="preserve"> ANP pasākumos, kas paredzēti sociālās politikas nostādņu īstenošanas veicināšanai, nav vienādā mērā ievēroti visi ESTP principi, dažus principus ietverot tikai nenozīmīgā mērā vai nepilnīgi izmantojot to saturu; aicina Komisiju novērtēt ANP ietekmi uz EST</w:t>
            </w:r>
            <w:r w:rsidRPr="009A64AE">
              <w:rPr>
                <w:b/>
                <w:i/>
              </w:rPr>
              <w:t>P mērķrādītāju sasniegšanu un veikt atsevišķu analīzi par to, kā katrs princips ir iekļauts ANP pasākumos;</w:t>
            </w:r>
          </w:p>
        </w:tc>
      </w:tr>
    </w:tbl>
    <w:p w:rsidR="00D1163C" w:rsidRPr="009A64AE" w:rsidRDefault="00AB4E43" w:rsidP="00D1163C">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31</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2.b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 xml:space="preserve">Rezolūcijas </w:t>
            </w:r>
            <w:r w:rsidRPr="009A64AE">
              <w:t>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rsidP="00D1163C">
            <w:pPr>
              <w:pStyle w:val="Normal6"/>
              <w:rPr>
                <w:szCs w:val="24"/>
              </w:rPr>
            </w:pPr>
            <w:r w:rsidRPr="009A64AE">
              <w:rPr>
                <w:b/>
                <w:i/>
              </w:rPr>
              <w:t>2.b</w:t>
            </w:r>
            <w:r w:rsidRPr="009A64AE">
              <w:rPr>
                <w:b/>
                <w:i/>
              </w:rPr>
              <w:tab/>
              <w:t xml:space="preserve">atgādina, ka ANM, kā arī citu ES atbalsta instrumentu, tādu kā SURE, izmantošana dalībvalstīs ir palīdzējusi aizsargāt to darba tirgu no ilgtermiņa kaitējuma riska, ko rada pandēmijas un enerģētikas krīzes izraisītais </w:t>
            </w:r>
            <w:r w:rsidRPr="009A64AE">
              <w:rPr>
                <w:b/>
                <w:i/>
              </w:rPr>
              <w:t>divkāršais ekonomikas satricinājums; atzīmē, ka 2023. gada maijā nodarbinātības līmenis sasniedza rekordaugstu līmeni, savukārt bezdarbs samazinājās līdz rekordzemam līmenim — aptuveni 6 %, kas kopš tā laika ir saglabājies zems; tomēr atgādina, ka jauniešu</w:t>
            </w:r>
            <w:r w:rsidRPr="009A64AE">
              <w:rPr>
                <w:b/>
                <w:i/>
              </w:rPr>
              <w:t xml:space="preserve"> bezdarba līmenis joprojām ir nemainīgi augsts — 15 % vidēji ES un vairāk nekā 20 % vairākās dalībvalstīs; šajā ziņā uzsver saistības, kas paustas pastiprinātajā Garantijā jauniešiem un kas joprojām turpina virzīt strukturālas reformas un atbalstu jauniešu</w:t>
            </w:r>
            <w:r w:rsidRPr="009A64AE">
              <w:rPr>
                <w:b/>
                <w:i/>
              </w:rPr>
              <w:t xml:space="preserve"> nodarbinātības jomā; šajā ziņā aicina dalībvalstis savos ANP piešķirt prioritāti Garantijai jauniešiem un nākamās paaudzes pīlārā palielināt ieguldījumus izglītībā, apmācībā un atbalstā jauniešu nodarbinātībai;</w:t>
            </w:r>
          </w:p>
        </w:tc>
      </w:tr>
    </w:tbl>
    <w:p w:rsidR="00EA4087" w:rsidRPr="009A64AE" w:rsidRDefault="00AB4E43" w:rsidP="00EA4087">
      <w:pPr>
        <w:rPr>
          <w:szCs w:val="24"/>
        </w:rPr>
      </w:pPr>
      <w:r w:rsidRPr="009A64AE">
        <w:rPr>
          <w:rStyle w:val="HideTWBExt"/>
        </w:rPr>
        <w:t>&lt;/Amend&gt;</w:t>
      </w:r>
    </w:p>
    <w:p w:rsidR="0031616B" w:rsidRPr="009A64AE" w:rsidRDefault="00AB4E43" w:rsidP="0031616B">
      <w:pPr>
        <w:pStyle w:val="AmNumberTabs"/>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32</w:t>
      </w:r>
      <w:r w:rsidRPr="009A64AE">
        <w:rPr>
          <w:rStyle w:val="HideTWBExt"/>
          <w:b w:val="0"/>
        </w:rPr>
        <w:t>&lt;/NumAm&gt;</w:t>
      </w:r>
    </w:p>
    <w:p w:rsidR="0031616B" w:rsidRPr="009A64AE" w:rsidRDefault="00AB4E43" w:rsidP="0031616B">
      <w:pPr>
        <w:pStyle w:val="NormalBold12b"/>
      </w:pPr>
      <w:r w:rsidRPr="009A64AE">
        <w:rPr>
          <w:rStyle w:val="HideTWBExt"/>
          <w:b w:val="0"/>
        </w:rPr>
        <w:t>&lt;DocAmend&gt;</w:t>
      </w:r>
      <w:r w:rsidRPr="009A64AE">
        <w:t>Rezolūcijas priekšlikums</w:t>
      </w:r>
      <w:r w:rsidRPr="009A64AE">
        <w:rPr>
          <w:rStyle w:val="HideTWBExt"/>
          <w:b w:val="0"/>
        </w:rPr>
        <w:t>&lt;/DocAmend&gt;</w:t>
      </w:r>
    </w:p>
    <w:p w:rsidR="0031616B" w:rsidRPr="009A64AE" w:rsidRDefault="00AB4E43" w:rsidP="0031616B">
      <w:pPr>
        <w:pStyle w:val="NormalBold"/>
      </w:pPr>
      <w:r w:rsidRPr="009A64AE">
        <w:rPr>
          <w:rStyle w:val="HideTWBExt"/>
          <w:b w:val="0"/>
        </w:rPr>
        <w:t>&lt;Article&gt;</w:t>
      </w:r>
      <w:r w:rsidRPr="009A64AE">
        <w:t>2.c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31616B">
        <w:trPr>
          <w:jc w:val="center"/>
        </w:trPr>
        <w:tc>
          <w:tcPr>
            <w:tcW w:w="9752" w:type="dxa"/>
            <w:gridSpan w:val="2"/>
          </w:tcPr>
          <w:p w:rsidR="0031616B" w:rsidRPr="009A64AE" w:rsidRDefault="0031616B">
            <w:pPr>
              <w:keepNext/>
            </w:pPr>
          </w:p>
        </w:tc>
      </w:tr>
      <w:tr w:rsidR="00135DE8" w:rsidRPr="009A64AE" w:rsidTr="0031616B">
        <w:trPr>
          <w:jc w:val="center"/>
        </w:trPr>
        <w:tc>
          <w:tcPr>
            <w:tcW w:w="4876" w:type="dxa"/>
            <w:hideMark/>
          </w:tcPr>
          <w:p w:rsidR="0031616B" w:rsidRPr="009A64AE" w:rsidRDefault="00AB4E43">
            <w:pPr>
              <w:pStyle w:val="ColumnHeading"/>
              <w:keepNext/>
            </w:pPr>
            <w:r w:rsidRPr="009A64AE">
              <w:t>Rezolūcijas priekšlikums</w:t>
            </w:r>
          </w:p>
        </w:tc>
        <w:tc>
          <w:tcPr>
            <w:tcW w:w="4876" w:type="dxa"/>
            <w:hideMark/>
          </w:tcPr>
          <w:p w:rsidR="0031616B" w:rsidRPr="009A64AE" w:rsidRDefault="00AB4E43">
            <w:pPr>
              <w:pStyle w:val="ColumnHeading"/>
              <w:keepNext/>
            </w:pPr>
            <w:r w:rsidRPr="009A64AE">
              <w:t>Grozījums</w:t>
            </w:r>
          </w:p>
        </w:tc>
      </w:tr>
      <w:tr w:rsidR="00135DE8" w:rsidRPr="009A64AE" w:rsidTr="0031616B">
        <w:trPr>
          <w:jc w:val="center"/>
        </w:trPr>
        <w:tc>
          <w:tcPr>
            <w:tcW w:w="4876" w:type="dxa"/>
          </w:tcPr>
          <w:p w:rsidR="0031616B" w:rsidRPr="009A64AE" w:rsidRDefault="0031616B">
            <w:pPr>
              <w:pStyle w:val="Normal6"/>
            </w:pPr>
          </w:p>
        </w:tc>
        <w:tc>
          <w:tcPr>
            <w:tcW w:w="4876" w:type="dxa"/>
            <w:hideMark/>
          </w:tcPr>
          <w:p w:rsidR="0031616B" w:rsidRPr="009A64AE" w:rsidRDefault="00AB4E43" w:rsidP="008F0ED2">
            <w:pPr>
              <w:pStyle w:val="Normal6"/>
              <w:rPr>
                <w:szCs w:val="24"/>
              </w:rPr>
            </w:pPr>
            <w:r w:rsidRPr="009A64AE">
              <w:rPr>
                <w:b/>
                <w:i/>
              </w:rPr>
              <w:t>2.c</w:t>
            </w:r>
            <w:r w:rsidRPr="009A64AE">
              <w:rPr>
                <w:b/>
                <w:i/>
              </w:rPr>
              <w:tab/>
              <w:t xml:space="preserve">uzsver dažādos dalībvalstu centienus ieviest regulējuma un ar regulējumu nesaistītas reformas un ieguldījumu programmas </w:t>
            </w:r>
            <w:r w:rsidRPr="009A64AE">
              <w:rPr>
                <w:b/>
                <w:i/>
              </w:rPr>
              <w:t>sociālo mājokļu fonda palielināšanai un izmaksu ziņā pieejamu mājokļu atbalstam, piemēram, jaunu izmaksu ziņā pieejamu mājokļu un subsidētu aizdevumu programmas, sociālo mājokļu renovācijas programmas visneaizsargātākajām iedzīvotāju grupām un valdības atb</w:t>
            </w:r>
            <w:r w:rsidRPr="009A64AE">
              <w:rPr>
                <w:b/>
                <w:i/>
              </w:rPr>
              <w:t>alstu pašvaldībām jaunu mājokļu projektiem un renovācijai; aicina dalībvalstis saskaņā ar ESTP 19. principu piešķirt prioritāti piekļuves nodrošināšanai pienācīgiem un cenas ziņā pieejamiem mājokļiem vai kvalitatīvam mājokļu atbalstam cilvēkiem, kuriem tas</w:t>
            </w:r>
            <w:r w:rsidRPr="009A64AE">
              <w:rPr>
                <w:b/>
                <w:i/>
              </w:rPr>
              <w:t xml:space="preserve"> vajadzīgs; uzsver, ka ir svarīgi nodrošināt neaizsargātu cilvēku tiesības uz pienācīgu palīdzību un aizsardzību pret piespiedu izlikšanu no mājokļa, kā arī nodrošināt pienācīgu pajumti un pakalpojumus bezdarbniekiem, lai veicinātu viņu sociālo iekļaušanu;</w:t>
            </w:r>
          </w:p>
        </w:tc>
      </w:tr>
    </w:tbl>
    <w:p w:rsidR="0031616B" w:rsidRPr="009A64AE" w:rsidRDefault="00AB4E43" w:rsidP="0031616B">
      <w:r w:rsidRPr="009A64AE">
        <w:rPr>
          <w:rStyle w:val="HideTWBExt"/>
        </w:rPr>
        <w:t>&lt;/Amend&gt;</w:t>
      </w:r>
    </w:p>
    <w:p w:rsidR="00D1163C" w:rsidRPr="009A64AE" w:rsidRDefault="00AB4E43" w:rsidP="00D1163C">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33</w:t>
      </w:r>
      <w:r w:rsidRPr="009A64AE">
        <w:rPr>
          <w:rStyle w:val="HideTWBExt"/>
          <w:b w:val="0"/>
        </w:rPr>
        <w:t>&lt;/NumAm&gt;</w:t>
      </w:r>
    </w:p>
    <w:p w:rsidR="00D1163C" w:rsidRPr="009A64AE" w:rsidRDefault="00D1163C" w:rsidP="00D1163C"/>
    <w:p w:rsidR="00D1163C" w:rsidRPr="009A64AE" w:rsidRDefault="00AB4E43" w:rsidP="00D1163C">
      <w:pPr>
        <w:pStyle w:val="NormalBold"/>
        <w:keepNext/>
      </w:pPr>
      <w:r w:rsidRPr="009A64AE">
        <w:rPr>
          <w:rStyle w:val="HideTWBExt"/>
          <w:b w:val="0"/>
        </w:rPr>
        <w:t>&lt;DocAmend&gt;</w:t>
      </w:r>
      <w:r w:rsidRPr="009A64AE">
        <w:t>Rezolūcijas priekšlikums</w:t>
      </w:r>
      <w:r w:rsidRPr="009A64AE">
        <w:rPr>
          <w:rStyle w:val="HideTWBExt"/>
          <w:b w:val="0"/>
        </w:rPr>
        <w:t>&lt;/DocAmend&gt;</w:t>
      </w:r>
    </w:p>
    <w:p w:rsidR="00D1163C" w:rsidRPr="009A64AE" w:rsidRDefault="00AB4E43" w:rsidP="00D1163C">
      <w:pPr>
        <w:pStyle w:val="NormalBold"/>
      </w:pPr>
      <w:r w:rsidRPr="009A64AE">
        <w:rPr>
          <w:rStyle w:val="HideTWBExt"/>
          <w:b w:val="0"/>
        </w:rPr>
        <w:t>&lt;Article&gt;</w:t>
      </w:r>
      <w:r w:rsidRPr="009A64AE">
        <w:t>3.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D1163C">
        <w:trPr>
          <w:jc w:val="center"/>
        </w:trPr>
        <w:tc>
          <w:tcPr>
            <w:tcW w:w="9752" w:type="dxa"/>
            <w:gridSpan w:val="2"/>
          </w:tcPr>
          <w:p w:rsidR="00D1163C" w:rsidRPr="009A64AE" w:rsidRDefault="00D1163C">
            <w:pPr>
              <w:keepNext/>
            </w:pPr>
          </w:p>
        </w:tc>
      </w:tr>
      <w:tr w:rsidR="00135DE8" w:rsidRPr="009A64AE" w:rsidTr="00D1163C">
        <w:trPr>
          <w:jc w:val="center"/>
        </w:trPr>
        <w:tc>
          <w:tcPr>
            <w:tcW w:w="4876" w:type="dxa"/>
            <w:hideMark/>
          </w:tcPr>
          <w:p w:rsidR="00D1163C" w:rsidRPr="009A64AE" w:rsidRDefault="00AB4E43">
            <w:pPr>
              <w:pStyle w:val="ColumnHeading"/>
              <w:keepNext/>
            </w:pPr>
            <w:r w:rsidRPr="009A64AE">
              <w:t>Rezolūcijas priekšlikums</w:t>
            </w:r>
          </w:p>
        </w:tc>
        <w:tc>
          <w:tcPr>
            <w:tcW w:w="4876" w:type="dxa"/>
            <w:hideMark/>
          </w:tcPr>
          <w:p w:rsidR="00D1163C" w:rsidRPr="009A64AE" w:rsidRDefault="00AB4E43">
            <w:pPr>
              <w:pStyle w:val="ColumnHeading"/>
              <w:keepNext/>
            </w:pPr>
            <w:r w:rsidRPr="009A64AE">
              <w:t>Grozījums</w:t>
            </w:r>
          </w:p>
        </w:tc>
      </w:tr>
      <w:tr w:rsidR="00135DE8" w:rsidRPr="009A64AE" w:rsidTr="00D1163C">
        <w:trPr>
          <w:jc w:val="center"/>
        </w:trPr>
        <w:tc>
          <w:tcPr>
            <w:tcW w:w="4876" w:type="dxa"/>
            <w:hideMark/>
          </w:tcPr>
          <w:p w:rsidR="00D1163C" w:rsidRPr="009A64AE" w:rsidRDefault="00AB4E43">
            <w:pPr>
              <w:pStyle w:val="Normal6"/>
            </w:pPr>
            <w:r w:rsidRPr="009A64AE">
              <w:t>3.</w:t>
            </w:r>
            <w:r w:rsidRPr="009A64AE">
              <w:tab/>
              <w:t>pieņem zināšanai Komisijas 2024. gada prognozi attiecībā uz NGEU iespējamo ietekmi uz ES</w:t>
            </w:r>
            <w:r w:rsidRPr="009A64AE">
              <w:t xml:space="preserve"> reālo iekšzemes kopproduktu (IKP) līdz 2026. gadam, kas ir ievērojami zemāka nekā tās simulācija 2020. gadā (1,4 % salīdzinājumā ar 2,3 %), un aplēses, saskaņā ar kurām NGEU varētu radīt ievērojamu īslaicīgu nodarbinātības palielināšanos ES — par līdz pat</w:t>
            </w:r>
            <w:r w:rsidRPr="009A64AE">
              <w:t xml:space="preserve"> 0,8 %; ar gandarījumu atzīmē, ka ANM ilgtermiņa labvēlīgā ietekme uz IKP varētu būt trīs līdz sešas reizes lielāka nekā izmaksātie NGEU līdzekļi — atkarībā no ANM investīciju ietekmes uz ražīgumu; tomēr uzsver, ka ir grūti skaitliski precīzi izmērīt ANM s</w:t>
            </w:r>
            <w:r w:rsidRPr="009A64AE">
              <w:t xml:space="preserve">ociālo un ekonomisko ietekmi, jo reformu ietekme kļūst </w:t>
            </w:r>
            <w:r w:rsidRPr="009A64AE">
              <w:rPr>
                <w:b/>
                <w:i/>
              </w:rPr>
              <w:t>skaidra</w:t>
            </w:r>
            <w:r w:rsidRPr="009A64AE">
              <w:t xml:space="preserve"> tikai pēc zināma laika; atzīmē Komisijas konstatējumu, ka aptuveni puse no paredzamā publisko investīciju pieauguma laikposmā no 2019. līdz 2025. gadam ir saistīta ar investīcijām, ko finansē n</w:t>
            </w:r>
            <w:r w:rsidRPr="009A64AE">
              <w:t>o ES budžeta, it īpaši, izmantojot ANM;</w:t>
            </w:r>
          </w:p>
        </w:tc>
        <w:tc>
          <w:tcPr>
            <w:tcW w:w="4876" w:type="dxa"/>
            <w:hideMark/>
          </w:tcPr>
          <w:p w:rsidR="00D1163C" w:rsidRPr="009A64AE" w:rsidRDefault="00AB4E43" w:rsidP="000D3C3D">
            <w:pPr>
              <w:pStyle w:val="Normal6"/>
              <w:rPr>
                <w:szCs w:val="24"/>
              </w:rPr>
            </w:pPr>
            <w:r w:rsidRPr="009A64AE">
              <w:t>3.</w:t>
            </w:r>
            <w:r w:rsidRPr="009A64AE">
              <w:tab/>
              <w:t>pieņem zināšanai Komisijas 2024. gada prognozi attiecībā uz NGEU iespējamo ietekmi uz ES reālo iekšzemes kopproduktu (IKP) līdz 2026. gadam, kas ir ievērojami zemāka nekā tās simulācija 2020. gadā (1,4 % salīdzinā</w:t>
            </w:r>
            <w:r w:rsidRPr="009A64AE">
              <w:t>jumā ar 2,3 %), un aplēses, saskaņā ar kurām NGEU varētu radīt ievērojamu īslaicīgu nodarbinātības palielināšanos ES — par līdz pat 0,8 %; ar gandarījumu atzīmē, ka ANM ilgtermiņa labvēlīgā ietekme uz IKP varētu būt trīs līdz sešas reizes lielāka nekā izma</w:t>
            </w:r>
            <w:r w:rsidRPr="009A64AE">
              <w:t xml:space="preserve">ksātie NGEU līdzekļi — atkarībā no ANM investīciju ietekmes uz ražīgumu; tomēr uzsver, ka ir grūti skaitliski precīzi izmērīt ANM sociālo un ekonomisko ietekmi, jo reformu ietekme kļūst </w:t>
            </w:r>
            <w:r w:rsidRPr="009A64AE">
              <w:rPr>
                <w:b/>
                <w:i/>
              </w:rPr>
              <w:t>jūtama</w:t>
            </w:r>
            <w:r w:rsidRPr="009A64AE">
              <w:t xml:space="preserve"> tikai pēc zināma laika</w:t>
            </w:r>
            <w:r w:rsidRPr="009A64AE">
              <w:rPr>
                <w:b/>
                <w:i/>
              </w:rPr>
              <w:t xml:space="preserve">, un uzsver, ka ieguldījumi būtu jāvērtē </w:t>
            </w:r>
            <w:r w:rsidRPr="009A64AE">
              <w:rPr>
                <w:b/>
                <w:i/>
              </w:rPr>
              <w:t>ne tikai pēc ekonomikas izaugsmes, bet arī pēc to ietekmes uz ESTP īstenošanu, nevienlīdzības mazināšanu, darba tirgus apstākļu uzlabošanu un kvalitatīvu darbvietu radīšanu, kā arī uz taisnīgas pārkārtošanās nodrošināšanu</w:t>
            </w:r>
            <w:r w:rsidRPr="009A64AE">
              <w:t>; atzīmē Komisijas konstatējumu, ka</w:t>
            </w:r>
            <w:r w:rsidRPr="009A64AE">
              <w:t xml:space="preserve"> aptuveni puse no paredzamā publisko investīciju pieauguma laikposmā no 2019. līdz 2025. gadam ir saistīta ar investīcijām, ko finansē no ES budžeta, it īpaši, izmantojot ANM;</w:t>
            </w:r>
          </w:p>
        </w:tc>
      </w:tr>
    </w:tbl>
    <w:p w:rsidR="00D1163C" w:rsidRPr="009A64AE" w:rsidRDefault="00AB4E43" w:rsidP="00D1163C">
      <w:r w:rsidRPr="009A64AE">
        <w:rPr>
          <w:rStyle w:val="HideTWBExt"/>
        </w:rPr>
        <w:t>&lt;/Amend&gt;</w:t>
      </w:r>
    </w:p>
    <w:p w:rsidR="00D1163C" w:rsidRPr="009A64AE" w:rsidRDefault="00AB4E43" w:rsidP="00D1163C">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34</w:t>
      </w:r>
      <w:r w:rsidRPr="009A64AE">
        <w:rPr>
          <w:rStyle w:val="HideTWBExt"/>
          <w:b w:val="0"/>
        </w:rPr>
        <w:t>&lt;/NumAm&gt;</w:t>
      </w:r>
    </w:p>
    <w:p w:rsidR="00D1163C" w:rsidRPr="009A64AE" w:rsidRDefault="00D1163C" w:rsidP="00D1163C"/>
    <w:p w:rsidR="00D1163C" w:rsidRPr="009A64AE" w:rsidRDefault="00AB4E43" w:rsidP="00D1163C">
      <w:pPr>
        <w:pStyle w:val="NormalBold"/>
        <w:keepNext/>
      </w:pPr>
      <w:r w:rsidRPr="009A64AE">
        <w:rPr>
          <w:rStyle w:val="HideTWBExt"/>
          <w:b w:val="0"/>
        </w:rPr>
        <w:t>&lt;DocAmend&gt;</w:t>
      </w:r>
      <w:r w:rsidRPr="009A64AE">
        <w:t xml:space="preserve">Rezolūcijas </w:t>
      </w:r>
      <w:r w:rsidRPr="009A64AE">
        <w:t>priekšlikums</w:t>
      </w:r>
      <w:r w:rsidRPr="009A64AE">
        <w:rPr>
          <w:rStyle w:val="HideTWBExt"/>
          <w:b w:val="0"/>
        </w:rPr>
        <w:t>&lt;/DocAmend&gt;</w:t>
      </w:r>
    </w:p>
    <w:p w:rsidR="00D1163C" w:rsidRPr="009A64AE" w:rsidRDefault="00AB4E43" w:rsidP="00D1163C">
      <w:pPr>
        <w:pStyle w:val="NormalBold"/>
      </w:pPr>
      <w:r w:rsidRPr="009A64AE">
        <w:rPr>
          <w:rStyle w:val="HideTWBExt"/>
          <w:b w:val="0"/>
        </w:rPr>
        <w:t>&lt;Article&gt;</w:t>
      </w:r>
      <w:r w:rsidRPr="009A64AE">
        <w:t>3.a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D1163C">
        <w:trPr>
          <w:jc w:val="center"/>
        </w:trPr>
        <w:tc>
          <w:tcPr>
            <w:tcW w:w="9752" w:type="dxa"/>
            <w:gridSpan w:val="2"/>
          </w:tcPr>
          <w:p w:rsidR="00D1163C" w:rsidRPr="009A64AE" w:rsidRDefault="00D1163C">
            <w:pPr>
              <w:keepNext/>
            </w:pPr>
          </w:p>
        </w:tc>
      </w:tr>
      <w:tr w:rsidR="00135DE8" w:rsidRPr="009A64AE" w:rsidTr="00D1163C">
        <w:trPr>
          <w:jc w:val="center"/>
        </w:trPr>
        <w:tc>
          <w:tcPr>
            <w:tcW w:w="4876" w:type="dxa"/>
            <w:hideMark/>
          </w:tcPr>
          <w:p w:rsidR="00D1163C" w:rsidRPr="009A64AE" w:rsidRDefault="00AB4E43">
            <w:pPr>
              <w:pStyle w:val="ColumnHeading"/>
              <w:keepNext/>
            </w:pPr>
            <w:r w:rsidRPr="009A64AE">
              <w:t>Rezolūcijas priekšlikums</w:t>
            </w:r>
          </w:p>
        </w:tc>
        <w:tc>
          <w:tcPr>
            <w:tcW w:w="4876" w:type="dxa"/>
            <w:hideMark/>
          </w:tcPr>
          <w:p w:rsidR="00D1163C" w:rsidRPr="009A64AE" w:rsidRDefault="00AB4E43">
            <w:pPr>
              <w:pStyle w:val="ColumnHeading"/>
              <w:keepNext/>
            </w:pPr>
            <w:r w:rsidRPr="009A64AE">
              <w:t>Grozījums</w:t>
            </w:r>
          </w:p>
        </w:tc>
      </w:tr>
      <w:tr w:rsidR="00135DE8" w:rsidRPr="009A64AE" w:rsidTr="00D1163C">
        <w:trPr>
          <w:jc w:val="center"/>
        </w:trPr>
        <w:tc>
          <w:tcPr>
            <w:tcW w:w="4876" w:type="dxa"/>
          </w:tcPr>
          <w:p w:rsidR="00D1163C" w:rsidRPr="009A64AE" w:rsidRDefault="00D1163C">
            <w:pPr>
              <w:pStyle w:val="Normal6"/>
            </w:pPr>
          </w:p>
        </w:tc>
        <w:tc>
          <w:tcPr>
            <w:tcW w:w="4876" w:type="dxa"/>
            <w:hideMark/>
          </w:tcPr>
          <w:p w:rsidR="00D1163C" w:rsidRPr="009A64AE" w:rsidRDefault="00AB4E43" w:rsidP="00E6527C">
            <w:pPr>
              <w:pStyle w:val="Normal6"/>
              <w:rPr>
                <w:szCs w:val="24"/>
              </w:rPr>
            </w:pPr>
            <w:r w:rsidRPr="009A64AE">
              <w:rPr>
                <w:b/>
                <w:i/>
              </w:rPr>
              <w:t>3.a</w:t>
            </w:r>
            <w:r w:rsidRPr="009A64AE">
              <w:rPr>
                <w:b/>
                <w:i/>
              </w:rPr>
              <w:tab/>
              <w:t>uzsver, ka darbaspēka un prasmju trūkums nopietni kavē ES izaugsmi, konkurētspēju un zaļo un digitālo pārkārtošanos, dažādā mērā nelabvēlīgi ietekmējot</w:t>
            </w:r>
            <w:r w:rsidRPr="009A64AE">
              <w:rPr>
                <w:b/>
                <w:i/>
              </w:rPr>
              <w:t xml:space="preserve"> dažādas nozares un dalībvalstis, tādējādi negatīvi ietekmējot ES kopējo noturību, un ka pieaugušo izglītībā, kam ir ļoti svarīga nozīme, visās dalībvalstīs joprojām ir nepietiekams skaits dalībnieku; uzsver, ka ANM pasākumi var veicināt ieguldījumus darba</w:t>
            </w:r>
            <w:r w:rsidRPr="009A64AE">
              <w:rPr>
                <w:b/>
                <w:i/>
              </w:rPr>
              <w:t xml:space="preserve"> ņēmēju prasmju pilnveidē un apmācībā visā dzīves ciklā, lai izveidotu tādas izglītības un apmācības sistēmas, kas labāk reaģē uz mainīgajām prasmju vajadzībām un darba tirgū iegūtu gan darbvietu kvantitātes, gan kvalitātes ziņā labākus rezultātus; aicina </w:t>
            </w:r>
            <w:r w:rsidRPr="009A64AE">
              <w:rPr>
                <w:b/>
                <w:i/>
              </w:rPr>
              <w:t>dalībvalstis arī turpmāk atbalstīt pasākumus, kas palielina dalību pieaugušo izglītībā, īpašu uzmanību pievēršot mazprasmīgām personām, jo daudzas valstis izstrādā individuālus mācību kontus un mikrokvalifikācijas apliecinājumus un uzskata, ka šajā jomā va</w:t>
            </w:r>
            <w:r w:rsidRPr="009A64AE">
              <w:rPr>
                <w:b/>
                <w:i/>
              </w:rPr>
              <w:t xml:space="preserve">rētu būt noderīga turpmāka ANM pasākumu analīze, lai ievērojami izvērtētu to ietekmi; atgādina, ka darba ņēmēju brīva pārvietošanās ir pamatbrīvība un ka darbaspēka mobilitāte ES var ievērojami palīdzēt novērst darbaspēka un prasmju nepietiekamību; mudina </w:t>
            </w:r>
            <w:r w:rsidRPr="009A64AE">
              <w:rPr>
                <w:b/>
                <w:i/>
              </w:rPr>
              <w:t>dalībvalstis, izstrādājot un īstenojot NANP pasākumus darbaspēka un prasmju nepietiekamības novēršanai, izmantot Cedefop prasmju prognozi un tās ietekmi uz nodarbinātības nākotnes tendencēm nozarēs, darbavietās un kvalifikācijā;</w:t>
            </w:r>
          </w:p>
        </w:tc>
      </w:tr>
    </w:tbl>
    <w:p w:rsidR="00D1163C" w:rsidRPr="009A64AE" w:rsidRDefault="00AB4E43" w:rsidP="00D1163C">
      <w:r w:rsidRPr="009A64AE">
        <w:rPr>
          <w:rStyle w:val="HideTWBExt"/>
        </w:rPr>
        <w:t>&lt;/Amend&gt;</w:t>
      </w:r>
    </w:p>
    <w:p w:rsidR="00D1163C" w:rsidRPr="009A64AE" w:rsidRDefault="00AB4E43" w:rsidP="00D1163C">
      <w:pPr>
        <w:pStyle w:val="AMNumberTabs0"/>
        <w:keepNext/>
      </w:pPr>
      <w:r w:rsidRPr="009A64AE">
        <w:rPr>
          <w:rStyle w:val="HideTWBExt"/>
          <w:b w:val="0"/>
        </w:rPr>
        <w:t>&lt;Amend&gt;</w:t>
      </w:r>
      <w:r w:rsidRPr="009A64AE">
        <w:t xml:space="preserve">Grozījums </w:t>
      </w:r>
      <w:r w:rsidRPr="009A64AE">
        <w:t>Nr.</w:t>
      </w:r>
      <w:r w:rsidRPr="009A64AE">
        <w:tab/>
      </w:r>
      <w:r w:rsidRPr="009A64AE">
        <w:tab/>
      </w:r>
      <w:r w:rsidRPr="009A64AE">
        <w:rPr>
          <w:rStyle w:val="HideTWBExt"/>
          <w:b w:val="0"/>
        </w:rPr>
        <w:t>&lt;NumAm&gt;</w:t>
      </w:r>
      <w:r w:rsidRPr="009A64AE">
        <w:t>35</w:t>
      </w:r>
      <w:r w:rsidRPr="009A64AE">
        <w:rPr>
          <w:rStyle w:val="HideTWBExt"/>
          <w:b w:val="0"/>
        </w:rPr>
        <w:t>&lt;/NumAm&gt;</w:t>
      </w:r>
    </w:p>
    <w:p w:rsidR="00D1163C" w:rsidRPr="009A64AE" w:rsidRDefault="00D1163C" w:rsidP="00D1163C"/>
    <w:p w:rsidR="00D1163C" w:rsidRPr="009A64AE" w:rsidRDefault="00AB4E43" w:rsidP="00D1163C">
      <w:pPr>
        <w:pStyle w:val="NormalBold"/>
        <w:keepNext/>
      </w:pPr>
      <w:r w:rsidRPr="009A64AE">
        <w:rPr>
          <w:rStyle w:val="HideTWBExt"/>
          <w:b w:val="0"/>
        </w:rPr>
        <w:t>&lt;DocAmend&gt;</w:t>
      </w:r>
      <w:r w:rsidRPr="009A64AE">
        <w:t>Rezolūcijas priekšlikums</w:t>
      </w:r>
      <w:r w:rsidRPr="009A64AE">
        <w:rPr>
          <w:rStyle w:val="HideTWBExt"/>
          <w:b w:val="0"/>
        </w:rPr>
        <w:t>&lt;/DocAmend&gt;</w:t>
      </w:r>
    </w:p>
    <w:p w:rsidR="00D1163C" w:rsidRPr="009A64AE" w:rsidRDefault="00AB4E43" w:rsidP="00D1163C">
      <w:pPr>
        <w:pStyle w:val="NormalBold"/>
      </w:pPr>
      <w:r w:rsidRPr="009A64AE">
        <w:rPr>
          <w:rStyle w:val="HideTWBExt"/>
          <w:b w:val="0"/>
        </w:rPr>
        <w:t>&lt;Article&gt;</w:t>
      </w:r>
      <w:r w:rsidRPr="009A64AE">
        <w:t>3.b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D1163C">
        <w:trPr>
          <w:jc w:val="center"/>
        </w:trPr>
        <w:tc>
          <w:tcPr>
            <w:tcW w:w="9752" w:type="dxa"/>
            <w:gridSpan w:val="2"/>
          </w:tcPr>
          <w:p w:rsidR="00D1163C" w:rsidRPr="009A64AE" w:rsidRDefault="00D1163C">
            <w:pPr>
              <w:keepNext/>
            </w:pPr>
          </w:p>
        </w:tc>
      </w:tr>
      <w:tr w:rsidR="00135DE8" w:rsidRPr="009A64AE" w:rsidTr="00D1163C">
        <w:trPr>
          <w:jc w:val="center"/>
        </w:trPr>
        <w:tc>
          <w:tcPr>
            <w:tcW w:w="4876" w:type="dxa"/>
            <w:hideMark/>
          </w:tcPr>
          <w:p w:rsidR="00D1163C" w:rsidRPr="009A64AE" w:rsidRDefault="00AB4E43">
            <w:pPr>
              <w:pStyle w:val="ColumnHeading"/>
              <w:keepNext/>
            </w:pPr>
            <w:r w:rsidRPr="009A64AE">
              <w:t>Rezolūcijas priekšlikums</w:t>
            </w:r>
          </w:p>
        </w:tc>
        <w:tc>
          <w:tcPr>
            <w:tcW w:w="4876" w:type="dxa"/>
            <w:hideMark/>
          </w:tcPr>
          <w:p w:rsidR="00D1163C" w:rsidRPr="009A64AE" w:rsidRDefault="00AB4E43">
            <w:pPr>
              <w:pStyle w:val="ColumnHeading"/>
              <w:keepNext/>
            </w:pPr>
            <w:r w:rsidRPr="009A64AE">
              <w:t>Grozījums</w:t>
            </w:r>
          </w:p>
        </w:tc>
      </w:tr>
      <w:tr w:rsidR="00135DE8" w:rsidRPr="009A64AE" w:rsidTr="00D1163C">
        <w:trPr>
          <w:jc w:val="center"/>
        </w:trPr>
        <w:tc>
          <w:tcPr>
            <w:tcW w:w="4876" w:type="dxa"/>
          </w:tcPr>
          <w:p w:rsidR="00D1163C" w:rsidRPr="009A64AE" w:rsidRDefault="00D1163C">
            <w:pPr>
              <w:pStyle w:val="Normal6"/>
            </w:pPr>
          </w:p>
        </w:tc>
        <w:tc>
          <w:tcPr>
            <w:tcW w:w="4876" w:type="dxa"/>
            <w:hideMark/>
          </w:tcPr>
          <w:p w:rsidR="00D1163C" w:rsidRPr="009A64AE" w:rsidRDefault="00AB4E43" w:rsidP="00E6527C">
            <w:pPr>
              <w:pStyle w:val="Normal6"/>
              <w:rPr>
                <w:szCs w:val="24"/>
              </w:rPr>
            </w:pPr>
            <w:r w:rsidRPr="009A64AE">
              <w:rPr>
                <w:b/>
                <w:i/>
              </w:rPr>
              <w:t>3.b</w:t>
            </w:r>
            <w:r w:rsidRPr="009A64AE">
              <w:rPr>
                <w:b/>
                <w:i/>
              </w:rPr>
              <w:tab/>
              <w:t xml:space="preserve">norāda, ka ANM cita starpā sekmē darbvietu izveidi, pieaugušo izglītību un prasmju apguvi, darba tirgus </w:t>
            </w:r>
            <w:r w:rsidRPr="009A64AE">
              <w:rPr>
                <w:b/>
                <w:i/>
              </w:rPr>
              <w:t>iestāžu modernizāciju un kopumā — profesionālo un augstāko izglītību; uzsver, ka šo pasākumu mērķis ir risināt dažas problēmas, kas saistītas ar ES izglītības un apmācības sistēmu kvalitāti, objektivitāti un atbilstību darba tirgus prasībām, tostarp attiec</w:t>
            </w:r>
            <w:r w:rsidRPr="009A64AE">
              <w:rPr>
                <w:b/>
                <w:i/>
              </w:rPr>
              <w:t>ībā uz prasmju nepietiekamības novēršanu; aicina dalībvalstis turpināt atbalstīt kvalitatīvu augstākās izglītības modernizāciju, izmantojot pārvaldības reformas un pasākumus, kas sekmē internacionalizāciju un rada dinamisku, uz rezultātu vērstu un efektīvu</w:t>
            </w:r>
            <w:r w:rsidRPr="009A64AE">
              <w:rPr>
                <w:b/>
                <w:i/>
              </w:rPr>
              <w:t xml:space="preserve"> pētniecības un inovācijas vidi;</w:t>
            </w:r>
          </w:p>
        </w:tc>
      </w:tr>
    </w:tbl>
    <w:p w:rsidR="00D1163C" w:rsidRPr="009A64AE" w:rsidRDefault="00AB4E43" w:rsidP="00D1163C">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36</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4.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hideMark/>
          </w:tcPr>
          <w:p w:rsidR="00EA4087" w:rsidRPr="009A64AE" w:rsidRDefault="00AB4E43">
            <w:pPr>
              <w:pStyle w:val="Normal6"/>
            </w:pPr>
            <w:r w:rsidRPr="009A64AE">
              <w:t>4.</w:t>
            </w:r>
            <w:r w:rsidRPr="009A64AE">
              <w:tab/>
            </w:r>
            <w:r w:rsidRPr="009A64AE">
              <w:t xml:space="preserve">atzīmē, ka ANM ir stimulējis dažu reformu īstenošanu, kas iekļautas konkrētām valstīm adresētajos ieteikumos, kuri sniegti saistībā ar Eiropas pusgadu, </w:t>
            </w:r>
            <w:r w:rsidRPr="009A64AE">
              <w:rPr>
                <w:b/>
                <w:i/>
              </w:rPr>
              <w:t>un</w:t>
            </w:r>
            <w:r w:rsidRPr="009A64AE">
              <w:t xml:space="preserve"> ka ANM rezultātu pārskats tiek izmantots, lai uzraudzītu progresu atskaites punktu un mērķrādītāju sa</w:t>
            </w:r>
            <w:r w:rsidRPr="009A64AE">
              <w:t>sniegšanā, kā arī atbilstību horizontālajiem principiem un it īpaši sešiem pīlāriem, proti, zaļajai pārejai, digitālajai pārveidei, gudrai, ilgtspējīgai un integrējošai izaugsmei, sociālajai un teritoriālajai kohēzijai, veselībai, ekonomiskajai, sociālajai</w:t>
            </w:r>
            <w:r w:rsidRPr="009A64AE">
              <w:t xml:space="preserve"> un institucionālajai noturībai un politikām, kas attiecas uz nākamo paaudzi, bērniem un jauniešiem, tostarp izglītību;</w:t>
            </w:r>
          </w:p>
        </w:tc>
        <w:tc>
          <w:tcPr>
            <w:tcW w:w="4876" w:type="dxa"/>
            <w:hideMark/>
          </w:tcPr>
          <w:p w:rsidR="00EA4087" w:rsidRPr="009A64AE" w:rsidRDefault="00AB4E43" w:rsidP="00D1163C">
            <w:pPr>
              <w:pStyle w:val="Normal6"/>
              <w:rPr>
                <w:szCs w:val="24"/>
              </w:rPr>
            </w:pPr>
            <w:r w:rsidRPr="009A64AE">
              <w:t>4.</w:t>
            </w:r>
            <w:r w:rsidRPr="009A64AE">
              <w:tab/>
              <w:t xml:space="preserve">atzīmē, ka ANM </w:t>
            </w:r>
            <w:r w:rsidRPr="009A64AE">
              <w:rPr>
                <w:b/>
                <w:i/>
              </w:rPr>
              <w:t>paredz — VANP ir jāpievēršas visiem tiem problēmjautājumiem vai būtiskai to daļai, uz kuriem norādīts attiecīgajos kon</w:t>
            </w:r>
            <w:r w:rsidRPr="009A64AE">
              <w:rPr>
                <w:b/>
                <w:i/>
              </w:rPr>
              <w:t>krētām valstīm adresētajos ieteikumos (KVAI), un ka tas ir priekšnoteikums labvēlīgam vērtējumam; atzīst, ka ANM</w:t>
            </w:r>
            <w:r w:rsidRPr="009A64AE">
              <w:t xml:space="preserve"> ir stimulējis dažu reformu īstenošanu, kas iekļautas konkrētām valstīm adresētajos ieteikumos, kuri sniegti saistībā ar Eiropas pusgadu, </w:t>
            </w:r>
            <w:r w:rsidRPr="009A64AE">
              <w:rPr>
                <w:b/>
                <w:i/>
              </w:rPr>
              <w:t>taču R</w:t>
            </w:r>
            <w:r w:rsidRPr="009A64AE">
              <w:rPr>
                <w:b/>
                <w:i/>
              </w:rPr>
              <w:t>evīzijas palāta ir konstatējusi, ka joprojām pastāv daži trūkumi, kas attiecas uz atsevišķu KVAI elementu iekļaušanas trūkumu; atgādina</w:t>
            </w:r>
            <w:r w:rsidRPr="009A64AE">
              <w:t xml:space="preserve">, ka ANM rezultātu pārskats tiek izmantots, lai uzraudzītu progresu atskaites punktu un mērķrādītāju sasniegšanā, kā arī </w:t>
            </w:r>
            <w:r w:rsidRPr="009A64AE">
              <w:t>atbilstību horizontālajiem principiem un it īpaši sešiem pīlāriem, proti, zaļajai pārejai, digitālajai pārveidei, gudrai, ilgtspējīgai un integrējošai izaugsmei</w:t>
            </w:r>
            <w:r w:rsidRPr="009A64AE">
              <w:rPr>
                <w:i/>
              </w:rPr>
              <w:t xml:space="preserve"> — </w:t>
            </w:r>
            <w:r w:rsidRPr="009A64AE">
              <w:rPr>
                <w:b/>
                <w:bCs/>
                <w:i/>
              </w:rPr>
              <w:t>tostarp ekonomiskajai kohēzijai, darbvietām, ražīgumam, konkurētspējai, pētniecībai, attīstīb</w:t>
            </w:r>
            <w:r w:rsidRPr="009A64AE">
              <w:rPr>
                <w:b/>
                <w:bCs/>
                <w:i/>
              </w:rPr>
              <w:t>ai un inovācijai un labi funkcionējošam iekšējam tirgum ar spēcīgiem maziem un vidējiem uzņēmumiem (MVU) </w:t>
            </w:r>
            <w:r w:rsidRPr="009A64AE">
              <w:rPr>
                <w:i/>
              </w:rPr>
              <w:t>—</w:t>
            </w:r>
            <w:r w:rsidRPr="009A64AE">
              <w:t>, sociālajai un teritoriālajai kohēzijai, veselībai, ekonomiskajai, sociālajai un institucionālajai noturībai un politikām, kas attiecas uz nākamo paa</w:t>
            </w:r>
            <w:r w:rsidRPr="009A64AE">
              <w:t xml:space="preserve">udzi, bērniem un jauniešiem, tostarp izglītībai </w:t>
            </w:r>
            <w:r w:rsidRPr="009A64AE">
              <w:rPr>
                <w:b/>
                <w:i/>
              </w:rPr>
              <w:t>un prasmēm</w:t>
            </w:r>
            <w:r w:rsidRPr="009A64AE">
              <w:t xml:space="preserve">; </w:t>
            </w:r>
            <w:r w:rsidRPr="009A64AE">
              <w:rPr>
                <w:b/>
                <w:i/>
              </w:rPr>
              <w:t>aicina Komisiju saistībā ar Eiropas pusgadu turpināt uzraudzīt darbaspēka un prasmju nepietiekamību ES un saistītās problēmas, cita starpā rīkojot tematiskas diskusijas, lai dalībvalstīs veicinātu</w:t>
            </w:r>
            <w:r w:rsidRPr="009A64AE">
              <w:rPr>
                <w:b/>
                <w:i/>
              </w:rPr>
              <w:t xml:space="preserve"> zināšanu un labas prakses kopīgošanu; uzsver, ka ir svarīgi ieguldījumi, kuru mērķis ir uzlabot autonomiju cilvēkiem ar invaliditāti;</w:t>
            </w:r>
          </w:p>
        </w:tc>
      </w:tr>
    </w:tbl>
    <w:p w:rsidR="00EA4087" w:rsidRPr="009A64AE" w:rsidRDefault="00AB4E43" w:rsidP="00EA4087">
      <w:pPr>
        <w:rPr>
          <w:szCs w:val="24"/>
        </w:rPr>
      </w:pPr>
      <w:r w:rsidRPr="009A64AE">
        <w:rPr>
          <w:rStyle w:val="HideTWBExt"/>
        </w:rPr>
        <w:t>&lt;/Amend&gt;</w:t>
      </w:r>
    </w:p>
    <w:p w:rsidR="00D1163C" w:rsidRPr="009A64AE" w:rsidRDefault="00AB4E43" w:rsidP="00D1163C">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37</w:t>
      </w:r>
      <w:r w:rsidRPr="009A64AE">
        <w:rPr>
          <w:rStyle w:val="HideTWBExt"/>
          <w:b w:val="0"/>
        </w:rPr>
        <w:t>&lt;/NumAm&gt;</w:t>
      </w:r>
    </w:p>
    <w:p w:rsidR="00D1163C" w:rsidRPr="009A64AE" w:rsidRDefault="00D1163C" w:rsidP="00D1163C"/>
    <w:p w:rsidR="00D1163C" w:rsidRPr="009A64AE" w:rsidRDefault="00AB4E43" w:rsidP="00D1163C">
      <w:pPr>
        <w:pStyle w:val="NormalBold"/>
        <w:keepNext/>
      </w:pPr>
      <w:r w:rsidRPr="009A64AE">
        <w:rPr>
          <w:rStyle w:val="HideTWBExt"/>
          <w:b w:val="0"/>
        </w:rPr>
        <w:t>&lt;DocAmend&gt;</w:t>
      </w:r>
      <w:r w:rsidRPr="009A64AE">
        <w:t>Rezolūcijas priekšlikums</w:t>
      </w:r>
      <w:r w:rsidRPr="009A64AE">
        <w:rPr>
          <w:rStyle w:val="HideTWBExt"/>
          <w:b w:val="0"/>
        </w:rPr>
        <w:t>&lt;/DocAmend&gt;</w:t>
      </w:r>
    </w:p>
    <w:p w:rsidR="00D1163C" w:rsidRPr="009A64AE" w:rsidRDefault="00AB4E43" w:rsidP="00D1163C">
      <w:pPr>
        <w:pStyle w:val="NormalBold"/>
      </w:pPr>
      <w:r w:rsidRPr="009A64AE">
        <w:rPr>
          <w:rStyle w:val="HideTWBExt"/>
          <w:b w:val="0"/>
        </w:rPr>
        <w:t>&lt;Article&gt;</w:t>
      </w:r>
      <w:r w:rsidRPr="009A64AE">
        <w:t>4.a punkts (jau</w:t>
      </w:r>
      <w:r w:rsidRPr="009A64AE">
        <w:t>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D1163C">
        <w:trPr>
          <w:jc w:val="center"/>
        </w:trPr>
        <w:tc>
          <w:tcPr>
            <w:tcW w:w="9752" w:type="dxa"/>
            <w:gridSpan w:val="2"/>
          </w:tcPr>
          <w:p w:rsidR="00D1163C" w:rsidRPr="009A64AE" w:rsidRDefault="00D1163C">
            <w:pPr>
              <w:keepNext/>
            </w:pPr>
          </w:p>
        </w:tc>
      </w:tr>
      <w:tr w:rsidR="00135DE8" w:rsidRPr="009A64AE" w:rsidTr="00D1163C">
        <w:trPr>
          <w:jc w:val="center"/>
        </w:trPr>
        <w:tc>
          <w:tcPr>
            <w:tcW w:w="4876" w:type="dxa"/>
            <w:hideMark/>
          </w:tcPr>
          <w:p w:rsidR="00D1163C" w:rsidRPr="009A64AE" w:rsidRDefault="00AB4E43">
            <w:pPr>
              <w:pStyle w:val="ColumnHeading"/>
              <w:keepNext/>
            </w:pPr>
            <w:r w:rsidRPr="009A64AE">
              <w:t>Rezolūcijas priekšlikums</w:t>
            </w:r>
          </w:p>
        </w:tc>
        <w:tc>
          <w:tcPr>
            <w:tcW w:w="4876" w:type="dxa"/>
            <w:hideMark/>
          </w:tcPr>
          <w:p w:rsidR="00D1163C" w:rsidRPr="009A64AE" w:rsidRDefault="00AB4E43">
            <w:pPr>
              <w:pStyle w:val="ColumnHeading"/>
              <w:keepNext/>
            </w:pPr>
            <w:r w:rsidRPr="009A64AE">
              <w:t>Grozījums</w:t>
            </w:r>
          </w:p>
        </w:tc>
      </w:tr>
      <w:tr w:rsidR="00135DE8" w:rsidRPr="009A64AE" w:rsidTr="00D1163C">
        <w:trPr>
          <w:jc w:val="center"/>
        </w:trPr>
        <w:tc>
          <w:tcPr>
            <w:tcW w:w="4876" w:type="dxa"/>
          </w:tcPr>
          <w:p w:rsidR="00D1163C" w:rsidRPr="009A64AE" w:rsidRDefault="00D1163C">
            <w:pPr>
              <w:pStyle w:val="Normal6"/>
            </w:pPr>
          </w:p>
        </w:tc>
        <w:tc>
          <w:tcPr>
            <w:tcW w:w="4876" w:type="dxa"/>
            <w:hideMark/>
          </w:tcPr>
          <w:p w:rsidR="00D1163C" w:rsidRPr="009A64AE" w:rsidRDefault="00AB4E43" w:rsidP="00CA36E3">
            <w:pPr>
              <w:pStyle w:val="Normal6"/>
              <w:rPr>
                <w:szCs w:val="24"/>
              </w:rPr>
            </w:pPr>
            <w:r w:rsidRPr="009A64AE">
              <w:rPr>
                <w:b/>
                <w:i/>
              </w:rPr>
              <w:t>4.a</w:t>
            </w:r>
            <w:r w:rsidRPr="009A64AE">
              <w:rPr>
                <w:b/>
                <w:i/>
              </w:rPr>
              <w:tab/>
              <w:t xml:space="preserve">atgādina, ka ANM būtu jāatbalsta ES demogrāfiskā pārkārtošanās atbilstīgi ESTP, veicinot nodarbinātību un vienlīdzīgas iespējas, tostarp kvalitatīvas darbvietas vecākiem darba ņēmējiem, ieguldot </w:t>
            </w:r>
            <w:r w:rsidRPr="009A64AE">
              <w:rPr>
                <w:b/>
                <w:i/>
              </w:rPr>
              <w:t>līdzekļus mūžizglītībā, ar ilgtspējīgām un atbilstīgām pensijām nodrošinot pienācīgu dzīves līmeni vecumā un nodrošinot pietiekamus ieguldījumus ilgtermiņa aprūpē (LTC), lai atbalstītu veselīgu un ilgtspējīgu novecošanu; pauž bažas par 2025. gada JER paust</w:t>
            </w:r>
            <w:r w:rsidRPr="009A64AE">
              <w:rPr>
                <w:b/>
                <w:i/>
              </w:rPr>
              <w:t xml:space="preserve">o, ka ir sagaidāma pensijas ienākumu aizvietojamības rādītāju samazināšanās un ilgtermiņa aprūpes vajadzību palielināšanās, kas savukārt saasinās pašreizējās strukturālās problēmas saistībā ar LTC pieejamību, pieejamību cenas ziņā un kvalitāti; uzsver, ka </w:t>
            </w:r>
            <w:r w:rsidRPr="009A64AE">
              <w:rPr>
                <w:b/>
                <w:i/>
              </w:rPr>
              <w:t>sabiedrībā, kas noveco, pensiju atbilstības un fiskālās ilgtspējas nodrošināšanai vajadzīgas plašs politikas nostādņu kopums; uzskata, ka dalībvalstīm ir jādara vairāk, lai nodrošinātu pensiju adekvātumu un LTC pakalpojumu kvalitāti, arī atbilstīgi ESTP 15</w:t>
            </w:r>
            <w:r w:rsidRPr="009A64AE">
              <w:rPr>
                <w:b/>
                <w:i/>
              </w:rPr>
              <w:t>. un 18. principam izmantojot savos ANP paredzētos ieguldījumus un reformas; aicina dalībvalstis īstenot uz nākotni vērstas pensiju reformas, kas ne vien nodrošina fiskālo ilgtspēju, bet arī stiprina pensiju adekvātumu, nodrošinot visiem pienācīgu dzīves l</w:t>
            </w:r>
            <w:r w:rsidRPr="009A64AE">
              <w:rPr>
                <w:b/>
                <w:i/>
              </w:rPr>
              <w:t>īmeni;</w:t>
            </w:r>
          </w:p>
        </w:tc>
      </w:tr>
    </w:tbl>
    <w:p w:rsidR="00D1163C" w:rsidRPr="009A64AE" w:rsidRDefault="00AB4E43" w:rsidP="00D1163C">
      <w:r w:rsidRPr="009A64AE">
        <w:rPr>
          <w:rStyle w:val="HideTWBExt"/>
        </w:rPr>
        <w:t>&lt;/Amend&gt;</w:t>
      </w:r>
    </w:p>
    <w:p w:rsidR="00D1163C" w:rsidRPr="009A64AE" w:rsidRDefault="00AB4E43" w:rsidP="00D1163C">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38</w:t>
      </w:r>
      <w:r w:rsidRPr="009A64AE">
        <w:rPr>
          <w:rStyle w:val="HideTWBExt"/>
          <w:b w:val="0"/>
        </w:rPr>
        <w:t>&lt;/NumAm&gt;</w:t>
      </w:r>
    </w:p>
    <w:p w:rsidR="00D1163C" w:rsidRPr="009A64AE" w:rsidRDefault="00D1163C" w:rsidP="00D1163C"/>
    <w:p w:rsidR="00D1163C" w:rsidRPr="009A64AE" w:rsidRDefault="00AB4E43" w:rsidP="00D1163C">
      <w:pPr>
        <w:pStyle w:val="NormalBold"/>
        <w:keepNext/>
      </w:pPr>
      <w:r w:rsidRPr="009A64AE">
        <w:rPr>
          <w:rStyle w:val="HideTWBExt"/>
          <w:b w:val="0"/>
        </w:rPr>
        <w:t>&lt;DocAmend&gt;</w:t>
      </w:r>
      <w:r w:rsidRPr="009A64AE">
        <w:t>Rezolūcijas priekšlikums</w:t>
      </w:r>
      <w:r w:rsidRPr="009A64AE">
        <w:rPr>
          <w:rStyle w:val="HideTWBExt"/>
          <w:b w:val="0"/>
        </w:rPr>
        <w:t>&lt;/DocAmend&gt;</w:t>
      </w:r>
    </w:p>
    <w:p w:rsidR="00D1163C" w:rsidRPr="009A64AE" w:rsidRDefault="00AB4E43" w:rsidP="00D1163C">
      <w:pPr>
        <w:pStyle w:val="NormalBold"/>
      </w:pPr>
      <w:r w:rsidRPr="009A64AE">
        <w:rPr>
          <w:rStyle w:val="HideTWBExt"/>
          <w:b w:val="0"/>
        </w:rPr>
        <w:t>&lt;Article&gt;</w:t>
      </w:r>
      <w:r w:rsidRPr="009A64AE">
        <w:t>4.b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D1163C">
        <w:trPr>
          <w:jc w:val="center"/>
        </w:trPr>
        <w:tc>
          <w:tcPr>
            <w:tcW w:w="9752" w:type="dxa"/>
            <w:gridSpan w:val="2"/>
          </w:tcPr>
          <w:p w:rsidR="00D1163C" w:rsidRPr="009A64AE" w:rsidRDefault="00D1163C">
            <w:pPr>
              <w:keepNext/>
            </w:pPr>
          </w:p>
        </w:tc>
      </w:tr>
      <w:tr w:rsidR="00135DE8" w:rsidRPr="009A64AE" w:rsidTr="00D1163C">
        <w:trPr>
          <w:jc w:val="center"/>
        </w:trPr>
        <w:tc>
          <w:tcPr>
            <w:tcW w:w="4876" w:type="dxa"/>
            <w:hideMark/>
          </w:tcPr>
          <w:p w:rsidR="00D1163C" w:rsidRPr="009A64AE" w:rsidRDefault="00AB4E43">
            <w:pPr>
              <w:pStyle w:val="ColumnHeading"/>
              <w:keepNext/>
            </w:pPr>
            <w:r w:rsidRPr="009A64AE">
              <w:t>Rezolūcijas priekšlikums</w:t>
            </w:r>
          </w:p>
        </w:tc>
        <w:tc>
          <w:tcPr>
            <w:tcW w:w="4876" w:type="dxa"/>
            <w:hideMark/>
          </w:tcPr>
          <w:p w:rsidR="00D1163C" w:rsidRPr="009A64AE" w:rsidRDefault="00AB4E43">
            <w:pPr>
              <w:pStyle w:val="ColumnHeading"/>
              <w:keepNext/>
            </w:pPr>
            <w:r w:rsidRPr="009A64AE">
              <w:t>Grozījums</w:t>
            </w:r>
          </w:p>
        </w:tc>
      </w:tr>
      <w:tr w:rsidR="00135DE8" w:rsidRPr="009A64AE" w:rsidTr="00D1163C">
        <w:trPr>
          <w:jc w:val="center"/>
        </w:trPr>
        <w:tc>
          <w:tcPr>
            <w:tcW w:w="4876" w:type="dxa"/>
          </w:tcPr>
          <w:p w:rsidR="00D1163C" w:rsidRPr="009A64AE" w:rsidRDefault="00D1163C">
            <w:pPr>
              <w:pStyle w:val="Normal6"/>
            </w:pPr>
          </w:p>
        </w:tc>
        <w:tc>
          <w:tcPr>
            <w:tcW w:w="4876" w:type="dxa"/>
            <w:hideMark/>
          </w:tcPr>
          <w:p w:rsidR="00D1163C" w:rsidRPr="009A64AE" w:rsidRDefault="00AB4E43" w:rsidP="00425462">
            <w:pPr>
              <w:pStyle w:val="Normal6"/>
              <w:rPr>
                <w:szCs w:val="24"/>
              </w:rPr>
            </w:pPr>
            <w:r w:rsidRPr="009A64AE">
              <w:rPr>
                <w:b/>
                <w:i/>
              </w:rPr>
              <w:t>4.b</w:t>
            </w:r>
            <w:r w:rsidRPr="009A64AE">
              <w:rPr>
                <w:b/>
                <w:i/>
              </w:rPr>
              <w:tab/>
              <w:t>norāda, ka, lai gan ES ieguldījumu apjoms ir pieaudzis, faktiskās algas</w:t>
            </w:r>
            <w:r w:rsidRPr="009A64AE">
              <w:rPr>
                <w:b/>
                <w:i/>
              </w:rPr>
              <w:t xml:space="preserve"> ES un vairākumā dalībvalstu joprojām ir palikušas zemākas par pirmspandēmijas līmeni, savukārt bažas joprojām rada nestabila nodarbinātība; uzsver, ka tas, ka 2023. gadā nedaudz ir mazinājusies sociālo pabalstu (izņemot pensijas) ietekme uz nabadzības maz</w:t>
            </w:r>
            <w:r w:rsidRPr="009A64AE">
              <w:rPr>
                <w:b/>
                <w:i/>
              </w:rPr>
              <w:t>ināšanu, uzsver, ka ir svarīgi pastiprināt centienus, lai nodrošinātu atbilstīgu ienākumu atbalstu un aptvērumu saskaņā ar ESTP 14. principu; konstatē, ka vairākas dalībvalstis saistībā ar saviem ANP ir grozījušas vai plāno grozīt minimālās darba algas sis</w:t>
            </w:r>
            <w:r w:rsidRPr="009A64AE">
              <w:rPr>
                <w:b/>
                <w:i/>
              </w:rPr>
              <w:t>tēmas; uzsver, ka ir svarīgas reformas, kuru mērķis ir minimālās darba algas apmēra palielināšana, apspriežoties ar sociālajiem partneriem un pielīdzinot tās atbilstīgi Direktīvai par adekvātu minimālo algu Eiropas Savienībā, un mudina tās dalībvalstis, ku</w:t>
            </w:r>
            <w:r w:rsidRPr="009A64AE">
              <w:rPr>
                <w:b/>
                <w:i/>
              </w:rPr>
              <w:t>ras to vēl nav izdarījušas, rīkoties, lai risinātu šo jautājumu; uzsver, ka ir vajadzīgi vērienīgi ieguldījumi un reformas, lai radītu augstas kvalitātes darbvietas, veicinātu kvalitatīvu darba nosacījumu ieviešanu, izskaustu nabadzību un darba tirgus segm</w:t>
            </w:r>
            <w:r w:rsidRPr="009A64AE">
              <w:rPr>
                <w:b/>
                <w:i/>
              </w:rPr>
              <w:t>entāciju, kā arī stiprinātu sociālo dialogu un koplīguma sarunas, kā paredzēts ESTP;</w:t>
            </w:r>
          </w:p>
        </w:tc>
      </w:tr>
    </w:tbl>
    <w:p w:rsidR="00D1163C" w:rsidRPr="009A64AE" w:rsidRDefault="00AB4E43" w:rsidP="00D1163C">
      <w:r w:rsidRPr="009A64AE">
        <w:rPr>
          <w:rStyle w:val="HideTWBExt"/>
        </w:rPr>
        <w:t>&lt;/Amend&gt;</w:t>
      </w:r>
    </w:p>
    <w:p w:rsidR="00D1163C" w:rsidRPr="009A64AE" w:rsidRDefault="00AB4E43" w:rsidP="00D1163C">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39</w:t>
      </w:r>
      <w:r w:rsidRPr="009A64AE">
        <w:rPr>
          <w:rStyle w:val="HideTWBExt"/>
          <w:b w:val="0"/>
        </w:rPr>
        <w:t>&lt;/NumAm&gt;</w:t>
      </w:r>
    </w:p>
    <w:p w:rsidR="00D1163C" w:rsidRPr="009A64AE" w:rsidRDefault="00D1163C" w:rsidP="00D1163C"/>
    <w:p w:rsidR="00D1163C" w:rsidRPr="009A64AE" w:rsidRDefault="00AB4E43" w:rsidP="00D1163C">
      <w:pPr>
        <w:pStyle w:val="NormalBold"/>
        <w:keepNext/>
      </w:pPr>
      <w:r w:rsidRPr="009A64AE">
        <w:rPr>
          <w:rStyle w:val="HideTWBExt"/>
          <w:b w:val="0"/>
        </w:rPr>
        <w:t>&lt;DocAmend&gt;</w:t>
      </w:r>
      <w:r w:rsidRPr="009A64AE">
        <w:t>Rezolūcijas priekšlikums</w:t>
      </w:r>
      <w:r w:rsidRPr="009A64AE">
        <w:rPr>
          <w:rStyle w:val="HideTWBExt"/>
          <w:b w:val="0"/>
        </w:rPr>
        <w:t>&lt;/DocAmend&gt;</w:t>
      </w:r>
    </w:p>
    <w:p w:rsidR="00D1163C" w:rsidRPr="009A64AE" w:rsidRDefault="00AB4E43" w:rsidP="00D1163C">
      <w:pPr>
        <w:pStyle w:val="NormalBold"/>
      </w:pPr>
      <w:r w:rsidRPr="009A64AE">
        <w:rPr>
          <w:rStyle w:val="HideTWBExt"/>
          <w:b w:val="0"/>
        </w:rPr>
        <w:t>&lt;Article&gt;</w:t>
      </w:r>
      <w:r w:rsidRPr="009A64AE">
        <w:t>4.c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D1163C">
        <w:trPr>
          <w:jc w:val="center"/>
        </w:trPr>
        <w:tc>
          <w:tcPr>
            <w:tcW w:w="9752" w:type="dxa"/>
            <w:gridSpan w:val="2"/>
          </w:tcPr>
          <w:p w:rsidR="00D1163C" w:rsidRPr="009A64AE" w:rsidRDefault="00D1163C">
            <w:pPr>
              <w:keepNext/>
            </w:pPr>
          </w:p>
        </w:tc>
      </w:tr>
      <w:tr w:rsidR="00135DE8" w:rsidRPr="009A64AE" w:rsidTr="00D1163C">
        <w:trPr>
          <w:jc w:val="center"/>
        </w:trPr>
        <w:tc>
          <w:tcPr>
            <w:tcW w:w="4876" w:type="dxa"/>
            <w:hideMark/>
          </w:tcPr>
          <w:p w:rsidR="00D1163C" w:rsidRPr="009A64AE" w:rsidRDefault="00AB4E43">
            <w:pPr>
              <w:pStyle w:val="ColumnHeading"/>
              <w:keepNext/>
            </w:pPr>
            <w:r w:rsidRPr="009A64AE">
              <w:t>Rezolūcijas priekšlikums</w:t>
            </w:r>
          </w:p>
        </w:tc>
        <w:tc>
          <w:tcPr>
            <w:tcW w:w="4876" w:type="dxa"/>
            <w:hideMark/>
          </w:tcPr>
          <w:p w:rsidR="00D1163C" w:rsidRPr="009A64AE" w:rsidRDefault="00AB4E43">
            <w:pPr>
              <w:pStyle w:val="ColumnHeading"/>
              <w:keepNext/>
            </w:pPr>
            <w:r w:rsidRPr="009A64AE">
              <w:t>Grozījums</w:t>
            </w:r>
          </w:p>
        </w:tc>
      </w:tr>
      <w:tr w:rsidR="00135DE8" w:rsidRPr="009A64AE" w:rsidTr="00D1163C">
        <w:trPr>
          <w:jc w:val="center"/>
        </w:trPr>
        <w:tc>
          <w:tcPr>
            <w:tcW w:w="4876" w:type="dxa"/>
          </w:tcPr>
          <w:p w:rsidR="00D1163C" w:rsidRPr="009A64AE" w:rsidRDefault="00D1163C">
            <w:pPr>
              <w:pStyle w:val="Normal6"/>
            </w:pPr>
          </w:p>
        </w:tc>
        <w:tc>
          <w:tcPr>
            <w:tcW w:w="4876" w:type="dxa"/>
            <w:hideMark/>
          </w:tcPr>
          <w:p w:rsidR="00D1163C" w:rsidRPr="009A64AE" w:rsidRDefault="00AB4E43" w:rsidP="0026112C">
            <w:pPr>
              <w:pStyle w:val="Normal6"/>
              <w:rPr>
                <w:szCs w:val="24"/>
              </w:rPr>
            </w:pPr>
            <w:r w:rsidRPr="009A64AE">
              <w:rPr>
                <w:b/>
                <w:i/>
              </w:rPr>
              <w:t>4.c</w:t>
            </w:r>
            <w:r w:rsidRPr="009A64AE">
              <w:rPr>
                <w:b/>
                <w:i/>
              </w:rPr>
              <w:tab/>
              <w:t xml:space="preserve">ņem vērā dalībvalstu pastāvīgos centienus uzlabot sociālo pakalpojumu piekļūstamību un kvalitāti, piemēram, pieņemot Valsts sociālo pakalpojumu karti, laiapzinātu pakalpojumu sniegšanas nepilnības un noteiktu ieguldījumu vajadzības, kā arī ieguldot </w:t>
            </w:r>
            <w:r w:rsidRPr="009A64AE">
              <w:rPr>
                <w:b/>
                <w:i/>
              </w:rPr>
              <w:t>līdzekļus jaunās veselības aprūpes iestādēs un telemedicīnā, lai tuvinātu pakalpojumus pacientiem, valsts veselības aprūpes stratēģijās, lai uzlabotu piekļuvi veselības aprūpes pakalpojumiem starp valstīm, kā arī pasākumos, kas risinātu veselības aprūpes d</w:t>
            </w:r>
            <w:r w:rsidRPr="009A64AE">
              <w:rPr>
                <w:b/>
                <w:i/>
              </w:rPr>
              <w:t>arbinieku nepietiekamības jautājumu un ar apmācību un stimuliem uzlabotu darba ņēmēju saglabāšanu darbā; aicina dalībvalstis aktīvāk rīkoties, lai nodrošinātu vispārēju piekļuvi kvalitatīviem pamatpakalpojumiem, tostarp ūdensapgādes, sanitārajiem, transpor</w:t>
            </w:r>
            <w:r w:rsidRPr="009A64AE">
              <w:rPr>
                <w:b/>
                <w:i/>
              </w:rPr>
              <w:t>ta, finanšu pakalpojumiem un digitālajiem sakariem; uzsver, ka mentālā veselība ir nozīmīga ES sociālekonomiskās atveseļošanas daļa un arodveselības prioritāte; pauž bažas par to, ka dalībvalstis savos VANP nav iekļāvušas pietiekamus pasākumus, lai nodroši</w:t>
            </w:r>
            <w:r w:rsidRPr="009A64AE">
              <w:rPr>
                <w:b/>
                <w:i/>
              </w:rPr>
              <w:t>nātu piekļūstamu, cenas ziņā pieejamu un kvalitatīvu mentālās veselības aprūpi, un aicina dalībvalstis, veicot VANP pārskatīšanu, iekļaut tajos īpašas mentālās veselības stratēģijas;</w:t>
            </w:r>
          </w:p>
        </w:tc>
      </w:tr>
    </w:tbl>
    <w:p w:rsidR="00D1163C" w:rsidRPr="009A64AE" w:rsidRDefault="00AB4E43" w:rsidP="00D1163C">
      <w:r w:rsidRPr="009A64AE">
        <w:rPr>
          <w:rStyle w:val="HideTWBExt"/>
        </w:rPr>
        <w:t>&lt;/Amend&gt;</w:t>
      </w:r>
    </w:p>
    <w:p w:rsidR="0031616B" w:rsidRPr="009A64AE" w:rsidRDefault="00AB4E43" w:rsidP="0031616B">
      <w:pPr>
        <w:pStyle w:val="AmNumberTabs"/>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40</w:t>
      </w:r>
      <w:r w:rsidRPr="009A64AE">
        <w:rPr>
          <w:rStyle w:val="HideTWBExt"/>
          <w:b w:val="0"/>
        </w:rPr>
        <w:t>&lt;/NumAm&gt;</w:t>
      </w:r>
    </w:p>
    <w:p w:rsidR="0031616B" w:rsidRPr="009A64AE" w:rsidRDefault="00AB4E43" w:rsidP="0031616B">
      <w:pPr>
        <w:pStyle w:val="NormalBold12b"/>
      </w:pPr>
      <w:r w:rsidRPr="009A64AE">
        <w:rPr>
          <w:rStyle w:val="HideTWBExt"/>
          <w:b w:val="0"/>
        </w:rPr>
        <w:t>&lt;DocAmend&gt;</w:t>
      </w:r>
      <w:r w:rsidRPr="009A64AE">
        <w:t>Rezolūcijas p</w:t>
      </w:r>
      <w:r w:rsidRPr="009A64AE">
        <w:t>riekšlikums</w:t>
      </w:r>
      <w:r w:rsidRPr="009A64AE">
        <w:rPr>
          <w:rStyle w:val="HideTWBExt"/>
          <w:b w:val="0"/>
        </w:rPr>
        <w:t>&lt;/DocAmend&gt;</w:t>
      </w:r>
    </w:p>
    <w:p w:rsidR="0031616B" w:rsidRPr="009A64AE" w:rsidRDefault="00AB4E43" w:rsidP="0031616B">
      <w:pPr>
        <w:pStyle w:val="NormalBold"/>
      </w:pPr>
      <w:r w:rsidRPr="009A64AE">
        <w:rPr>
          <w:rStyle w:val="HideTWBExt"/>
          <w:b w:val="0"/>
        </w:rPr>
        <w:t>&lt;Article&gt;</w:t>
      </w:r>
      <w:r w:rsidRPr="009A64AE">
        <w:t>4.d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31616B">
        <w:trPr>
          <w:jc w:val="center"/>
        </w:trPr>
        <w:tc>
          <w:tcPr>
            <w:tcW w:w="9752" w:type="dxa"/>
            <w:gridSpan w:val="2"/>
          </w:tcPr>
          <w:p w:rsidR="0031616B" w:rsidRPr="009A64AE" w:rsidRDefault="0031616B">
            <w:pPr>
              <w:keepNext/>
            </w:pPr>
          </w:p>
        </w:tc>
      </w:tr>
      <w:tr w:rsidR="00135DE8" w:rsidRPr="009A64AE" w:rsidTr="0031616B">
        <w:trPr>
          <w:jc w:val="center"/>
        </w:trPr>
        <w:tc>
          <w:tcPr>
            <w:tcW w:w="4876" w:type="dxa"/>
            <w:hideMark/>
          </w:tcPr>
          <w:p w:rsidR="0031616B" w:rsidRPr="009A64AE" w:rsidRDefault="00AB4E43">
            <w:pPr>
              <w:pStyle w:val="ColumnHeading"/>
              <w:keepNext/>
            </w:pPr>
            <w:r w:rsidRPr="009A64AE">
              <w:t>Rezolūcijas priekšlikums</w:t>
            </w:r>
          </w:p>
        </w:tc>
        <w:tc>
          <w:tcPr>
            <w:tcW w:w="4876" w:type="dxa"/>
            <w:hideMark/>
          </w:tcPr>
          <w:p w:rsidR="0031616B" w:rsidRPr="009A64AE" w:rsidRDefault="00AB4E43">
            <w:pPr>
              <w:pStyle w:val="ColumnHeading"/>
              <w:keepNext/>
            </w:pPr>
            <w:r w:rsidRPr="009A64AE">
              <w:t>Grozījums</w:t>
            </w:r>
          </w:p>
        </w:tc>
      </w:tr>
      <w:tr w:rsidR="00135DE8" w:rsidRPr="009A64AE" w:rsidTr="0031616B">
        <w:trPr>
          <w:jc w:val="center"/>
        </w:trPr>
        <w:tc>
          <w:tcPr>
            <w:tcW w:w="4876" w:type="dxa"/>
          </w:tcPr>
          <w:p w:rsidR="0031616B" w:rsidRPr="009A64AE" w:rsidRDefault="0031616B">
            <w:pPr>
              <w:pStyle w:val="Normal6"/>
            </w:pPr>
          </w:p>
        </w:tc>
        <w:tc>
          <w:tcPr>
            <w:tcW w:w="4876" w:type="dxa"/>
            <w:hideMark/>
          </w:tcPr>
          <w:p w:rsidR="0031616B" w:rsidRPr="009A64AE" w:rsidRDefault="00AB4E43" w:rsidP="00E6527C">
            <w:pPr>
              <w:pStyle w:val="Normal6"/>
              <w:rPr>
                <w:szCs w:val="24"/>
              </w:rPr>
            </w:pPr>
            <w:r w:rsidRPr="009A64AE">
              <w:rPr>
                <w:b/>
                <w:i/>
              </w:rPr>
              <w:t>4.d</w:t>
            </w:r>
            <w:r w:rsidRPr="009A64AE">
              <w:rPr>
                <w:b/>
                <w:i/>
              </w:rPr>
              <w:tab/>
              <w:t xml:space="preserve">atzinīgi vērtē to, ka ANM sniedz iespēju stiprināt sabiedriskos nodarbinātības pakalpojumus un nodarbinātības veicināšanas politiku; prasa rīkot </w:t>
            </w:r>
            <w:r w:rsidRPr="009A64AE">
              <w:rPr>
                <w:b/>
                <w:i/>
              </w:rPr>
              <w:t>diskusijas par to, kā pēc ANM izbeigšanas tiks segtas jauno pakalpojumu izmaksas un to saistītās izmaksas;</w:t>
            </w:r>
          </w:p>
        </w:tc>
      </w:tr>
    </w:tbl>
    <w:p w:rsidR="0031616B" w:rsidRPr="009A64AE" w:rsidRDefault="00AB4E43" w:rsidP="0031616B">
      <w:r w:rsidRPr="009A64AE">
        <w:rPr>
          <w:rStyle w:val="HideTWBExt"/>
        </w:rPr>
        <w:t>&lt;/Amend&gt;</w:t>
      </w:r>
    </w:p>
    <w:p w:rsidR="00D1163C" w:rsidRPr="009A64AE" w:rsidRDefault="00AB4E43" w:rsidP="00D1163C">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41</w:t>
      </w:r>
      <w:r w:rsidRPr="009A64AE">
        <w:rPr>
          <w:rStyle w:val="HideTWBExt"/>
          <w:b w:val="0"/>
        </w:rPr>
        <w:t>&lt;/NumAm&gt;</w:t>
      </w:r>
    </w:p>
    <w:p w:rsidR="00D1163C" w:rsidRPr="009A64AE" w:rsidRDefault="00D1163C" w:rsidP="00D1163C"/>
    <w:p w:rsidR="00D1163C" w:rsidRPr="009A64AE" w:rsidRDefault="00AB4E43" w:rsidP="00D1163C">
      <w:pPr>
        <w:pStyle w:val="NormalBold"/>
        <w:keepNext/>
      </w:pPr>
      <w:r w:rsidRPr="009A64AE">
        <w:rPr>
          <w:rStyle w:val="HideTWBExt"/>
          <w:b w:val="0"/>
        </w:rPr>
        <w:t>&lt;DocAmend&gt;</w:t>
      </w:r>
      <w:r w:rsidRPr="009A64AE">
        <w:t>Rezolūcijas priekšlikums</w:t>
      </w:r>
      <w:r w:rsidRPr="009A64AE">
        <w:rPr>
          <w:rStyle w:val="HideTWBExt"/>
          <w:b w:val="0"/>
        </w:rPr>
        <w:t>&lt;/DocAmend&gt;</w:t>
      </w:r>
    </w:p>
    <w:p w:rsidR="00D1163C" w:rsidRPr="009A64AE" w:rsidRDefault="00AB4E43" w:rsidP="00D1163C">
      <w:pPr>
        <w:pStyle w:val="NormalBold"/>
      </w:pPr>
      <w:r w:rsidRPr="009A64AE">
        <w:rPr>
          <w:rStyle w:val="HideTWBExt"/>
          <w:b w:val="0"/>
        </w:rPr>
        <w:t>&lt;Article&gt;</w:t>
      </w:r>
      <w:r w:rsidRPr="009A64AE">
        <w:t>6.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D1163C">
        <w:trPr>
          <w:jc w:val="center"/>
        </w:trPr>
        <w:tc>
          <w:tcPr>
            <w:tcW w:w="9752" w:type="dxa"/>
            <w:gridSpan w:val="2"/>
          </w:tcPr>
          <w:p w:rsidR="00D1163C" w:rsidRPr="009A64AE" w:rsidRDefault="00D1163C">
            <w:pPr>
              <w:keepNext/>
            </w:pPr>
          </w:p>
        </w:tc>
      </w:tr>
      <w:tr w:rsidR="00135DE8" w:rsidRPr="009A64AE" w:rsidTr="00D1163C">
        <w:trPr>
          <w:jc w:val="center"/>
        </w:trPr>
        <w:tc>
          <w:tcPr>
            <w:tcW w:w="4876" w:type="dxa"/>
            <w:hideMark/>
          </w:tcPr>
          <w:p w:rsidR="00D1163C" w:rsidRPr="009A64AE" w:rsidRDefault="00AB4E43">
            <w:pPr>
              <w:pStyle w:val="ColumnHeading"/>
              <w:keepNext/>
            </w:pPr>
            <w:r w:rsidRPr="009A64AE">
              <w:t xml:space="preserve">Rezolūcijas </w:t>
            </w:r>
            <w:r w:rsidRPr="009A64AE">
              <w:t>priekšlikums</w:t>
            </w:r>
          </w:p>
        </w:tc>
        <w:tc>
          <w:tcPr>
            <w:tcW w:w="4876" w:type="dxa"/>
            <w:hideMark/>
          </w:tcPr>
          <w:p w:rsidR="00D1163C" w:rsidRPr="009A64AE" w:rsidRDefault="00AB4E43">
            <w:pPr>
              <w:pStyle w:val="ColumnHeading"/>
              <w:keepNext/>
            </w:pPr>
            <w:r w:rsidRPr="009A64AE">
              <w:t>Grozījums</w:t>
            </w:r>
          </w:p>
        </w:tc>
      </w:tr>
      <w:tr w:rsidR="00135DE8" w:rsidRPr="009A64AE" w:rsidTr="00D1163C">
        <w:trPr>
          <w:jc w:val="center"/>
        </w:trPr>
        <w:tc>
          <w:tcPr>
            <w:tcW w:w="4876" w:type="dxa"/>
            <w:hideMark/>
          </w:tcPr>
          <w:p w:rsidR="00D1163C" w:rsidRPr="009A64AE" w:rsidRDefault="00AB4E43">
            <w:pPr>
              <w:pStyle w:val="Normal6"/>
            </w:pPr>
            <w:r w:rsidRPr="009A64AE">
              <w:t>6.</w:t>
            </w:r>
            <w:r w:rsidRPr="009A64AE">
              <w:tab/>
              <w:t>atzinīgi vērtē to, ka ar ANM palīdzību tiek atbalstītas gan reformas, gan investīcijas dalībvalstīs, taču norāda, ka vēl ir daudz darāmā; pauž bažas par to, ka īsais atlikušais ANM īstenošanas periods neļaus veikt vairākas plānot</w:t>
            </w:r>
            <w:r w:rsidRPr="009A64AE">
              <w:t>as svarīgas reformas un plašas investīcijas;</w:t>
            </w:r>
          </w:p>
        </w:tc>
        <w:tc>
          <w:tcPr>
            <w:tcW w:w="4876" w:type="dxa"/>
            <w:hideMark/>
          </w:tcPr>
          <w:p w:rsidR="00D1163C" w:rsidRPr="009A64AE" w:rsidRDefault="00AB4E43">
            <w:pPr>
              <w:pStyle w:val="Normal6"/>
              <w:rPr>
                <w:szCs w:val="24"/>
              </w:rPr>
            </w:pPr>
            <w:r w:rsidRPr="009A64AE">
              <w:t>6.</w:t>
            </w:r>
            <w:r w:rsidRPr="009A64AE">
              <w:tab/>
              <w:t>atzinīgi vērtē to, ka ar ANM palīdzību tiek atbalstītas gan reformas, gan investīcijas dalībvalstīs, taču norāda, ka vēl ir daudz darāmā;</w:t>
            </w:r>
            <w:r w:rsidRPr="009A64AE">
              <w:rPr>
                <w:b/>
                <w:i/>
              </w:rPr>
              <w:t xml:space="preserve"> uzsver, ka kavēšanās un absorbcijas spējas problēmas joprojām ir ievēr</w:t>
            </w:r>
            <w:r w:rsidRPr="009A64AE">
              <w:rPr>
                <w:b/>
                <w:i/>
              </w:rPr>
              <w:t>ojami šķēršļi, kas traucē pilnībā izmantot ANM potenciālos ieguvumus</w:t>
            </w:r>
            <w:r w:rsidRPr="009A64AE">
              <w:t>; pauž bažas par to, ka īsais atlikušais ANM īstenošanas periods neļaus veikt vairākas plānotas svarīgas reformas un plašas investīcijas</w:t>
            </w:r>
            <w:r w:rsidRPr="009A64AE">
              <w:rPr>
                <w:b/>
                <w:i/>
              </w:rPr>
              <w:t>, tādējādi uzsverot, ka ir vajadzīga konkrētāka un ā</w:t>
            </w:r>
            <w:r w:rsidRPr="009A64AE">
              <w:rPr>
                <w:b/>
                <w:i/>
              </w:rPr>
              <w:t>trāka rīcība, lai nodrošinātu, ka tiek sasniegtas visas ANM piedāvātās iespējas, jo īpaši kritiski svarīgās ilgtermiņa stabilitātes, izaugsmes un sociālās kohēzijas jomās</w:t>
            </w:r>
            <w:r w:rsidRPr="009A64AE">
              <w:t xml:space="preserve">; </w:t>
            </w:r>
            <w:r w:rsidRPr="009A64AE">
              <w:rPr>
                <w:b/>
                <w:i/>
              </w:rPr>
              <w:t>aicina dalībvalstis paātrināt īstenošanu un ar Komisijas starpniecību un tehniskā at</w:t>
            </w:r>
            <w:r w:rsidRPr="009A64AE">
              <w:rPr>
                <w:b/>
                <w:i/>
              </w:rPr>
              <w:t>balsta instrumenta ietvaros vairāk izmantot tehniskos norādījumus;</w:t>
            </w:r>
          </w:p>
        </w:tc>
      </w:tr>
    </w:tbl>
    <w:p w:rsidR="00D1163C" w:rsidRPr="009A64AE" w:rsidRDefault="00AB4E43" w:rsidP="00D1163C">
      <w:r w:rsidRPr="009A64AE">
        <w:rPr>
          <w:rStyle w:val="HideTWBExt"/>
        </w:rPr>
        <w:t>&lt;/Amend&gt;</w:t>
      </w:r>
    </w:p>
    <w:p w:rsidR="00D1163C" w:rsidRPr="009A64AE" w:rsidRDefault="00AB4E43" w:rsidP="00D1163C">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42</w:t>
      </w:r>
      <w:r w:rsidRPr="009A64AE">
        <w:rPr>
          <w:rStyle w:val="HideTWBExt"/>
          <w:b w:val="0"/>
        </w:rPr>
        <w:t>&lt;/NumAm&gt;</w:t>
      </w:r>
    </w:p>
    <w:p w:rsidR="00D1163C" w:rsidRPr="009A64AE" w:rsidRDefault="00D1163C" w:rsidP="00D1163C"/>
    <w:p w:rsidR="00D1163C" w:rsidRPr="009A64AE" w:rsidRDefault="00AB4E43" w:rsidP="00D1163C">
      <w:pPr>
        <w:pStyle w:val="NormalBold"/>
        <w:keepNext/>
      </w:pPr>
      <w:r w:rsidRPr="009A64AE">
        <w:rPr>
          <w:rStyle w:val="HideTWBExt"/>
          <w:b w:val="0"/>
        </w:rPr>
        <w:t>&lt;DocAmend&gt;</w:t>
      </w:r>
      <w:r w:rsidRPr="009A64AE">
        <w:t>Rezolūcijas priekšlikums</w:t>
      </w:r>
      <w:r w:rsidRPr="009A64AE">
        <w:rPr>
          <w:rStyle w:val="HideTWBExt"/>
          <w:b w:val="0"/>
        </w:rPr>
        <w:t>&lt;/DocAmend&gt;</w:t>
      </w:r>
    </w:p>
    <w:p w:rsidR="00D1163C" w:rsidRPr="009A64AE" w:rsidRDefault="00AB4E43" w:rsidP="00D1163C">
      <w:pPr>
        <w:pStyle w:val="NormalBold"/>
      </w:pPr>
      <w:r w:rsidRPr="009A64AE">
        <w:rPr>
          <w:rStyle w:val="HideTWBExt"/>
          <w:b w:val="0"/>
        </w:rPr>
        <w:t>&lt;Article&gt;</w:t>
      </w:r>
      <w:r w:rsidRPr="009A64AE">
        <w:t>7.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D1163C">
        <w:trPr>
          <w:jc w:val="center"/>
        </w:trPr>
        <w:tc>
          <w:tcPr>
            <w:tcW w:w="9752" w:type="dxa"/>
            <w:gridSpan w:val="2"/>
          </w:tcPr>
          <w:p w:rsidR="00D1163C" w:rsidRPr="009A64AE" w:rsidRDefault="00D1163C">
            <w:pPr>
              <w:keepNext/>
            </w:pPr>
          </w:p>
        </w:tc>
      </w:tr>
      <w:tr w:rsidR="00135DE8" w:rsidRPr="009A64AE" w:rsidTr="00D1163C">
        <w:trPr>
          <w:jc w:val="center"/>
        </w:trPr>
        <w:tc>
          <w:tcPr>
            <w:tcW w:w="4876" w:type="dxa"/>
            <w:hideMark/>
          </w:tcPr>
          <w:p w:rsidR="00D1163C" w:rsidRPr="009A64AE" w:rsidRDefault="00AB4E43">
            <w:pPr>
              <w:pStyle w:val="ColumnHeading"/>
              <w:keepNext/>
            </w:pPr>
            <w:r w:rsidRPr="009A64AE">
              <w:t>Rezolūcijas priekšlikums</w:t>
            </w:r>
          </w:p>
        </w:tc>
        <w:tc>
          <w:tcPr>
            <w:tcW w:w="4876" w:type="dxa"/>
            <w:hideMark/>
          </w:tcPr>
          <w:p w:rsidR="00D1163C" w:rsidRPr="009A64AE" w:rsidRDefault="00AB4E43">
            <w:pPr>
              <w:pStyle w:val="ColumnHeading"/>
              <w:keepNext/>
            </w:pPr>
            <w:r w:rsidRPr="009A64AE">
              <w:t>Grozījums</w:t>
            </w:r>
          </w:p>
        </w:tc>
      </w:tr>
      <w:tr w:rsidR="00135DE8" w:rsidRPr="009A64AE" w:rsidTr="00D1163C">
        <w:trPr>
          <w:jc w:val="center"/>
        </w:trPr>
        <w:tc>
          <w:tcPr>
            <w:tcW w:w="4876" w:type="dxa"/>
            <w:hideMark/>
          </w:tcPr>
          <w:p w:rsidR="00D1163C" w:rsidRPr="009A64AE" w:rsidRDefault="00AB4E43">
            <w:pPr>
              <w:pStyle w:val="Normal6"/>
            </w:pPr>
            <w:r w:rsidRPr="009A64AE">
              <w:t>7.</w:t>
            </w:r>
            <w:r w:rsidRPr="009A64AE">
              <w:tab/>
              <w:t>uzsver, ka prioritātes</w:t>
            </w:r>
            <w:r w:rsidRPr="009A64AE">
              <w:t xml:space="preserve"> piešķiršana ANM īstenošanai, administratīvās spējas trūkums daudzās dalībvalstīs un globālo piegādes ķēžu radītie izaicinājumi ir veicinājuši kohēzijas politikas novēlotu īstenošanu; atgādina, ka </w:t>
            </w:r>
            <w:r w:rsidRPr="009A64AE">
              <w:rPr>
                <w:b/>
                <w:i/>
              </w:rPr>
              <w:t>ir jāievēro</w:t>
            </w:r>
            <w:r w:rsidRPr="009A64AE">
              <w:t xml:space="preserve"> papildināmības </w:t>
            </w:r>
            <w:r w:rsidRPr="009A64AE">
              <w:rPr>
                <w:b/>
                <w:i/>
              </w:rPr>
              <w:t>princips,</w:t>
            </w:r>
            <w:r w:rsidRPr="009A64AE">
              <w:t xml:space="preserve"> </w:t>
            </w:r>
            <w:r w:rsidRPr="009A64AE">
              <w:rPr>
                <w:b/>
                <w:i/>
              </w:rPr>
              <w:t>un aicina vērsties pre</w:t>
            </w:r>
            <w:r w:rsidRPr="009A64AE">
              <w:rPr>
                <w:b/>
                <w:i/>
              </w:rPr>
              <w:t>t</w:t>
            </w:r>
            <w:r w:rsidRPr="009A64AE">
              <w:t xml:space="preserve"> kohēzijas politikas </w:t>
            </w:r>
            <w:r w:rsidRPr="009A64AE">
              <w:rPr>
                <w:b/>
                <w:i/>
              </w:rPr>
              <w:t>izstumšanu</w:t>
            </w:r>
            <w:r w:rsidRPr="009A64AE">
              <w:t xml:space="preserve"> vai tās </w:t>
            </w:r>
            <w:r w:rsidRPr="009A64AE">
              <w:rPr>
                <w:b/>
                <w:i/>
              </w:rPr>
              <w:t>aizstāšanu</w:t>
            </w:r>
            <w:r w:rsidRPr="009A64AE">
              <w:t xml:space="preserve"> ar ANM vai citiem pagaidu instrumentiem;</w:t>
            </w:r>
          </w:p>
        </w:tc>
        <w:tc>
          <w:tcPr>
            <w:tcW w:w="4876" w:type="dxa"/>
            <w:hideMark/>
          </w:tcPr>
          <w:p w:rsidR="00D1163C" w:rsidRPr="009A64AE" w:rsidRDefault="00AB4E43" w:rsidP="00E6527C">
            <w:pPr>
              <w:pStyle w:val="Normal6"/>
              <w:rPr>
                <w:szCs w:val="24"/>
              </w:rPr>
            </w:pPr>
            <w:r w:rsidRPr="009A64AE">
              <w:t>7.</w:t>
            </w:r>
            <w:r w:rsidRPr="009A64AE">
              <w:tab/>
              <w:t>uzsver, ka prioritātes piešķiršana ANM īstenošanai,</w:t>
            </w:r>
            <w:r w:rsidRPr="009A64AE">
              <w:rPr>
                <w:b/>
                <w:i/>
              </w:rPr>
              <w:t xml:space="preserve"> ievērojamie papildu REACT-EU līdzekļi, kas tika darīti pieejami tam pašam laikposmam</w:t>
            </w:r>
            <w:r w:rsidRPr="009A64AE">
              <w:rPr>
                <w:b/>
                <w:bCs/>
                <w:i/>
                <w:iCs/>
              </w:rPr>
              <w:t>,</w:t>
            </w:r>
            <w:r w:rsidRPr="009A64AE">
              <w:t xml:space="preserve"> administratīvās spējas</w:t>
            </w:r>
            <w:r w:rsidRPr="009A64AE">
              <w:t xml:space="preserve"> trūkums daudzās dalībvalstīs un globālo piegādes ķēžu radītie izaicinājumi</w:t>
            </w:r>
            <w:r w:rsidRPr="009A64AE">
              <w:rPr>
                <w:b/>
                <w:i/>
              </w:rPr>
              <w:t>, kā arī 2023. gada 31. decembris kā 2014.–2020. gada kohēzijas attiecināmības perioda beigu datums</w:t>
            </w:r>
            <w:r w:rsidRPr="009A64AE">
              <w:t xml:space="preserve"> ir veicinājuši kohēzijas politikas novēlotu īstenošanu; atgādina, ka </w:t>
            </w:r>
            <w:r w:rsidRPr="009A64AE">
              <w:rPr>
                <w:b/>
                <w:i/>
              </w:rPr>
              <w:t>saskaņā ar</w:t>
            </w:r>
            <w:r w:rsidRPr="009A64AE">
              <w:t xml:space="preserve"> p</w:t>
            </w:r>
            <w:r w:rsidRPr="009A64AE">
              <w:t xml:space="preserve">apildināmības </w:t>
            </w:r>
            <w:r w:rsidRPr="009A64AE">
              <w:rPr>
                <w:b/>
                <w:i/>
              </w:rPr>
              <w:t>principu būtu jāizvairās no</w:t>
            </w:r>
            <w:r w:rsidRPr="009A64AE">
              <w:t xml:space="preserve"> kohēzijas politikas </w:t>
            </w:r>
            <w:r w:rsidRPr="009A64AE">
              <w:rPr>
                <w:b/>
                <w:i/>
              </w:rPr>
              <w:t>izstumšanas</w:t>
            </w:r>
            <w:r w:rsidRPr="009A64AE">
              <w:t xml:space="preserve"> vai tās </w:t>
            </w:r>
            <w:r w:rsidRPr="009A64AE">
              <w:rPr>
                <w:b/>
                <w:i/>
              </w:rPr>
              <w:t>aizstāšanas</w:t>
            </w:r>
            <w:r w:rsidRPr="009A64AE">
              <w:t xml:space="preserve"> ar ANM vai citiem pagaidu instrumentiem; </w:t>
            </w:r>
            <w:r w:rsidRPr="009A64AE">
              <w:rPr>
                <w:b/>
                <w:i/>
              </w:rPr>
              <w:t>šajā ziņā uzsver, ka ir svarīgi, lai Komisija veiktu analīzi par to, cik daudz pavisam jaunu sociālo ieguldījumu ir radīt</w:t>
            </w:r>
            <w:r w:rsidRPr="009A64AE">
              <w:rPr>
                <w:b/>
                <w:i/>
              </w:rPr>
              <w:t>i VANP;</w:t>
            </w:r>
          </w:p>
        </w:tc>
      </w:tr>
    </w:tbl>
    <w:p w:rsidR="00D1163C" w:rsidRPr="009A64AE" w:rsidRDefault="00AB4E43" w:rsidP="00D1163C">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43</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7.a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tcPr>
          <w:p w:rsidR="00EA4087" w:rsidRPr="009A64AE" w:rsidRDefault="00EA4087">
            <w:pPr>
              <w:pStyle w:val="Normal6"/>
            </w:pPr>
          </w:p>
        </w:tc>
        <w:tc>
          <w:tcPr>
            <w:tcW w:w="4876" w:type="dxa"/>
            <w:hideMark/>
          </w:tcPr>
          <w:p w:rsidR="00EA4087" w:rsidRPr="009A64AE" w:rsidRDefault="00AB4E43" w:rsidP="00D923EE">
            <w:pPr>
              <w:pStyle w:val="Normal6"/>
              <w:rPr>
                <w:szCs w:val="24"/>
              </w:rPr>
            </w:pPr>
            <w:r w:rsidRPr="009A64AE">
              <w:rPr>
                <w:b/>
                <w:i/>
              </w:rPr>
              <w:t>7.a</w:t>
            </w:r>
            <w:r w:rsidRPr="009A64AE">
              <w:rPr>
                <w:b/>
                <w:i/>
              </w:rPr>
              <w:tab/>
              <w:t xml:space="preserve">šajā ziņā atgādina, ka nabadzības izskaušanā būtiska nozīme ir Eiropas </w:t>
            </w:r>
            <w:r w:rsidRPr="009A64AE">
              <w:rPr>
                <w:b/>
                <w:i/>
              </w:rPr>
              <w:t>Sociālajam fondam Plus, kura mērķis ir panākt augstu nodarbinātību, taisnīgu sociālo aizsardzību, prasmīgu un noturīgu darbaspēku un iekļaujošu/saliedētu sabiedrību, un uzsver, ka ir vajadzīga sinerģija ar ANM izdevumiem attiecīgajos pīlāros; turklāt uzsve</w:t>
            </w:r>
            <w:r w:rsidRPr="009A64AE">
              <w:rPr>
                <w:b/>
                <w:i/>
              </w:rPr>
              <w:t>r, ka Komisijai būtu jānosaka veidi, kā palīdzēt dalībvalstīm paātrināt ES līdzekļu izmantošanu un uzlabot līdzekļu apguvi, vienlaikus ievērojot finanšu pareizu pārvaldību;</w:t>
            </w:r>
          </w:p>
        </w:tc>
      </w:tr>
    </w:tbl>
    <w:p w:rsidR="00EA4087" w:rsidRPr="009A64AE" w:rsidRDefault="00AB4E43" w:rsidP="00EA4087">
      <w:pPr>
        <w:rPr>
          <w:szCs w:val="24"/>
        </w:rPr>
      </w:pPr>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44</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 xml:space="preserve">Rezolūcijas </w:t>
      </w:r>
      <w:r w:rsidRPr="009A64AE">
        <w:t>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10.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hideMark/>
          </w:tcPr>
          <w:p w:rsidR="00EA4087" w:rsidRPr="009A64AE" w:rsidRDefault="00AB4E43">
            <w:pPr>
              <w:pStyle w:val="Normal6"/>
            </w:pPr>
            <w:r w:rsidRPr="009A64AE">
              <w:t>10.</w:t>
            </w:r>
            <w:r w:rsidRPr="009A64AE">
              <w:tab/>
              <w:t xml:space="preserve">atzinīgi vērtē iespēju izmantot ANM finansējumu, lai veicinātu Eiropas stratēģisko tehnoloģiju platformas (STEP) mērķu sasniegšanu, atbalstot investīcijas </w:t>
            </w:r>
            <w:r w:rsidRPr="009A64AE">
              <w:t>kritiski svarīgās tehnoloģijās ES nolūkā palielināt tās rūpniecības konkurētspēju;</w:t>
            </w:r>
          </w:p>
        </w:tc>
        <w:tc>
          <w:tcPr>
            <w:tcW w:w="4876" w:type="dxa"/>
            <w:hideMark/>
          </w:tcPr>
          <w:p w:rsidR="00EA4087" w:rsidRPr="009A64AE" w:rsidRDefault="00AB4E43" w:rsidP="004C7CEA">
            <w:pPr>
              <w:pStyle w:val="Normal6"/>
              <w:rPr>
                <w:szCs w:val="24"/>
              </w:rPr>
            </w:pPr>
            <w:r w:rsidRPr="009A64AE">
              <w:t>10.</w:t>
            </w:r>
            <w:r w:rsidRPr="009A64AE">
              <w:tab/>
              <w:t>atzinīgi vērtē iespēju izmantot ANM finansējumu, lai veicinātu Eiropas stratēģisko tehnoloģiju platformas (STEP) mērķu sasniegšanu, atbalstot investīcijas kritiski svarī</w:t>
            </w:r>
            <w:r w:rsidRPr="009A64AE">
              <w:t xml:space="preserve">gās tehnoloģijās ES </w:t>
            </w:r>
            <w:r w:rsidRPr="009A64AE">
              <w:rPr>
                <w:b/>
                <w:i/>
              </w:rPr>
              <w:t>un ciešā sadarbībā ar sociālajiem partneriem novēršot kvalitatīvu darbvietu radīšanai izšķiroši svarīga darbaspēka un prasmju trūkumu</w:t>
            </w:r>
            <w:r w:rsidRPr="009A64AE">
              <w:t xml:space="preserve"> nolūkā palielināt tās rūpniecības konkurētspēju</w:t>
            </w:r>
            <w:r w:rsidRPr="009A64AE">
              <w:rPr>
                <w:b/>
                <w:i/>
              </w:rPr>
              <w:t>, vienlaikus nodrošinot darba ņēmēju tiesības un mazino</w:t>
            </w:r>
            <w:r w:rsidRPr="009A64AE">
              <w:rPr>
                <w:b/>
                <w:i/>
              </w:rPr>
              <w:t>t nepilnības tehnoloģiju nozarē</w:t>
            </w:r>
            <w:r w:rsidRPr="009A64AE">
              <w:t>;</w:t>
            </w:r>
          </w:p>
        </w:tc>
      </w:tr>
    </w:tbl>
    <w:p w:rsidR="00EA4087" w:rsidRPr="009A64AE" w:rsidRDefault="00AB4E43" w:rsidP="00EA4087">
      <w:pPr>
        <w:rPr>
          <w:szCs w:val="24"/>
        </w:rPr>
      </w:pPr>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45</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13.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hideMark/>
          </w:tcPr>
          <w:p w:rsidR="00EA4087" w:rsidRPr="009A64AE" w:rsidRDefault="00AB4E43" w:rsidP="00DF76F5">
            <w:pPr>
              <w:pStyle w:val="Normal6"/>
            </w:pPr>
            <w:r w:rsidRPr="009A64AE">
              <w:t>13.</w:t>
            </w:r>
            <w:r w:rsidRPr="009A64AE">
              <w:tab/>
            </w:r>
            <w:r w:rsidRPr="009A64AE">
              <w:rPr>
                <w:b/>
                <w:i/>
              </w:rPr>
              <w:t>atzīmē</w:t>
            </w:r>
            <w:r w:rsidRPr="009A64AE">
              <w:t xml:space="preserve">, ka tikai 13 dalībvalstis ir pieprasījušas </w:t>
            </w:r>
            <w:r w:rsidRPr="009A64AE">
              <w:t>aizdevumu un ka 92 miljardi EUR no pieejamajiem 385,8 miljardiem EUR paliks neizmantoti, jo par šo summu saistības netika uzņemtas līdz noteiktajam termiņam — 2023. gada 31. decembrim; pieņem zināšanai to, ka aizdevumi bija pievilcīgs variants dalībvalstīm</w:t>
            </w:r>
            <w:r w:rsidRPr="009A64AE">
              <w:t>, kuras saskārās ar augstākām aizņemšanās izmaksām finanšu tirgos vai kuras centās kompensēt ANM dotāciju samazinājumu; atgādina, ka Parlaments atbalstīja lielāku dotāciju nekā aizdevumu daļu, un uzskata, ka ir nepieciešama politiska diskusija par neizliet</w:t>
            </w:r>
            <w:r w:rsidRPr="009A64AE">
              <w:t>oto līdzekļu izmantošanu, ņemot vērā ierobežotos publiskos budžeta līdzekļus;</w:t>
            </w:r>
          </w:p>
        </w:tc>
        <w:tc>
          <w:tcPr>
            <w:tcW w:w="4876" w:type="dxa"/>
            <w:hideMark/>
          </w:tcPr>
          <w:p w:rsidR="00EA4087" w:rsidRPr="009A64AE" w:rsidRDefault="00AB4E43" w:rsidP="009366BF">
            <w:pPr>
              <w:pStyle w:val="Normal6"/>
              <w:rPr>
                <w:szCs w:val="24"/>
              </w:rPr>
            </w:pPr>
            <w:r w:rsidRPr="009A64AE">
              <w:t>13.</w:t>
            </w:r>
            <w:r w:rsidRPr="009A64AE">
              <w:tab/>
            </w:r>
            <w:r w:rsidRPr="009A64AE">
              <w:rPr>
                <w:b/>
                <w:i/>
              </w:rPr>
              <w:t>pauž nožēlu par to</w:t>
            </w:r>
            <w:r w:rsidRPr="009A64AE">
              <w:t xml:space="preserve">, ka tikai 13 dalībvalstis ir pieprasījušas aizdevumu un ka 92 miljardi EUR no pieejamajiem 385,8 miljardiem EUR paliks neizmantoti, jo par šo summu </w:t>
            </w:r>
            <w:r w:rsidRPr="009A64AE">
              <w:t>saistības netika uzņemtas līdz noteiktajam termiņam — 2023. gada 31. decembrim; pieņem zināšanai to, ka aizdevumi bija pievilcīgs variants dalībvalstīm, kuras saskārās ar augstākām aizņemšanās izmaksām finanšu tirgos vai kuras centās kompensēt ANM dotāciju</w:t>
            </w:r>
            <w:r w:rsidRPr="009A64AE">
              <w:t xml:space="preserve"> samazinājumu; atgādina, ka Parlaments atbalstīja lielāku dotāciju nekā aizdevumu daļu, un uzskata, ka ir nepieciešama politiska diskusija par neizlietoto līdzekļu izmantošanu, ņemot vērā ierobežotos publiskos budžeta līdzekļus </w:t>
            </w:r>
            <w:r w:rsidRPr="009A64AE">
              <w:rPr>
                <w:b/>
                <w:i/>
              </w:rPr>
              <w:t>un būtisko nepieciešamību pē</w:t>
            </w:r>
            <w:r w:rsidRPr="009A64AE">
              <w:rPr>
                <w:b/>
                <w:i/>
              </w:rPr>
              <w:t>c finansiāla atbalsta vairākās jomās, jo īpaši nabadzības izskaušanā, sociālajā iekļaušanā, mājokļa nodrošināšanā, publiskajos un sociālajos pakalpojumos, sociālā dialoga stiprināšanā, kvalitatīvu darbvietu radīšanā un prasmju politikās, tostarp zaļo un di</w:t>
            </w:r>
            <w:r w:rsidRPr="009A64AE">
              <w:rPr>
                <w:b/>
                <w:i/>
              </w:rPr>
              <w:t>gitālo prasmju, izkopšanā</w:t>
            </w:r>
            <w:r w:rsidRPr="009A64AE">
              <w:t>;</w:t>
            </w:r>
          </w:p>
        </w:tc>
      </w:tr>
    </w:tbl>
    <w:p w:rsidR="00EA4087" w:rsidRPr="009A64AE" w:rsidRDefault="00AB4E43" w:rsidP="00EA4087">
      <w:pPr>
        <w:rPr>
          <w:szCs w:val="24"/>
        </w:rPr>
      </w:pPr>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46</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16.a punkts (jauns)</w:t>
      </w:r>
      <w:r w:rsidRPr="009A64A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271B69">
        <w:trPr>
          <w:jc w:val="center"/>
        </w:trPr>
        <w:tc>
          <w:tcPr>
            <w:tcW w:w="9752" w:type="dxa"/>
            <w:gridSpan w:val="2"/>
          </w:tcPr>
          <w:p w:rsidR="00EA4087" w:rsidRPr="009A64AE" w:rsidRDefault="00EA4087">
            <w:pPr>
              <w:keepNext/>
            </w:pPr>
          </w:p>
        </w:tc>
      </w:tr>
      <w:tr w:rsidR="00135DE8" w:rsidRPr="009A64AE" w:rsidTr="00271B69">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271B69">
        <w:trPr>
          <w:jc w:val="center"/>
        </w:trPr>
        <w:tc>
          <w:tcPr>
            <w:tcW w:w="4876" w:type="dxa"/>
          </w:tcPr>
          <w:p w:rsidR="00EA4087" w:rsidRPr="009A64AE" w:rsidRDefault="00EA4087">
            <w:pPr>
              <w:pStyle w:val="Normal6"/>
            </w:pPr>
          </w:p>
        </w:tc>
        <w:tc>
          <w:tcPr>
            <w:tcW w:w="4876" w:type="dxa"/>
            <w:hideMark/>
          </w:tcPr>
          <w:p w:rsidR="00EA4087" w:rsidRPr="009A64AE" w:rsidRDefault="00AB4E43" w:rsidP="00D923EE">
            <w:pPr>
              <w:pStyle w:val="Normal6"/>
              <w:rPr>
                <w:szCs w:val="24"/>
              </w:rPr>
            </w:pPr>
            <w:r w:rsidRPr="009A64AE">
              <w:rPr>
                <w:b/>
                <w:i/>
              </w:rPr>
              <w:t>16.a</w:t>
            </w:r>
            <w:r w:rsidRPr="009A64AE">
              <w:rPr>
                <w:b/>
                <w:i/>
              </w:rPr>
              <w:tab/>
              <w:t xml:space="preserve">atgādina, ka saskaņā ar ANM regulas 19. panta </w:t>
            </w:r>
            <w:r w:rsidRPr="009A64AE">
              <w:rPr>
                <w:b/>
                <w:i/>
              </w:rPr>
              <w:t>3. punkta c) apakšpunktu un minētās regulas V pielikumu, V pielikuma 2.3. punktu Komisijai ir jāizvērtē dalībvalstu NANP atbilstība, efektivitāte, lietderība un saskaņotība, ņemot vērā kritēriju kopumu, tostarp to devumu attiecīgās dalībvalsts izaugsmes po</w:t>
            </w:r>
            <w:r w:rsidRPr="009A64AE">
              <w:rPr>
                <w:b/>
                <w:i/>
              </w:rPr>
              <w:t>tenciāla, darbvietu radīšanas un ekonomiskās, sociālās un institucionālās noturības stiprināšanā, veicinot ESTP īstenošanu, tostarp popularizējot bērniem un jauniešiem paredzētas politikas, un Covid-19 krīzes ekonomiskās un sociālās ietekmes mazināšanā, tā</w:t>
            </w:r>
            <w:r w:rsidRPr="009A64AE">
              <w:rPr>
                <w:b/>
                <w:i/>
              </w:rPr>
              <w:t>dējādi uzlabojot ekonomisko, sociālo un teritoriālo kohēziju un konverģenci Savienībā; norāda, ka attiecībā uz šo kritēriju jāprasa visaugstākais vērtējuma punktu skaits;</w:t>
            </w:r>
          </w:p>
        </w:tc>
      </w:tr>
    </w:tbl>
    <w:p w:rsidR="00EA4087" w:rsidRPr="009A64AE" w:rsidRDefault="00AB4E43" w:rsidP="00EA4087">
      <w:pPr>
        <w:rPr>
          <w:szCs w:val="24"/>
        </w:rPr>
      </w:pPr>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47</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w:t>
      </w:r>
      <w:r w:rsidRPr="009A64AE">
        <w:rPr>
          <w:rStyle w:val="HideTWBExt"/>
          <w:b w:val="0"/>
        </w:rPr>
        <w:t>/DocAmend&gt;</w:t>
      </w:r>
    </w:p>
    <w:p w:rsidR="00EA4087" w:rsidRPr="009A64AE" w:rsidRDefault="00AB4E43" w:rsidP="00EA4087">
      <w:pPr>
        <w:pStyle w:val="NormalBold"/>
      </w:pPr>
      <w:r w:rsidRPr="009A64AE">
        <w:rPr>
          <w:rStyle w:val="HideTWBExt"/>
          <w:b w:val="0"/>
        </w:rPr>
        <w:t>&lt;Article&gt;</w:t>
      </w:r>
      <w:r w:rsidRPr="009A64AE">
        <w:t>18.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hideMark/>
          </w:tcPr>
          <w:p w:rsidR="00EA4087" w:rsidRPr="009A64AE" w:rsidRDefault="00AB4E43">
            <w:pPr>
              <w:pStyle w:val="Normal6"/>
            </w:pPr>
            <w:r w:rsidRPr="009A64AE">
              <w:t>18.</w:t>
            </w:r>
            <w:r w:rsidRPr="009A64AE">
              <w:tab/>
              <w:t xml:space="preserve">atzinīgi vērtē to, ka visas dalībvalstis ir pārsniegušas zaļās (37 %) un digitālās pārkārtošanās (20 %) mērķrādītājus un ka vidējie izdevumi ANM klimata jomas un digitālo </w:t>
            </w:r>
            <w:r w:rsidRPr="009A64AE">
              <w:t>mērķu sasniegšanai kopumā ir attiecīgi 42 % un 26 %; atzīmē, ka Revīzijas palāta ir paudusi šaubas par to, kā ANM pasākumu īstenošana ir veicinājusi zaļo pārkārtošanos, un ir ieteikusi uzlabot metodiku, ko izmanto, lai novērtētu ietekmi uz klimatu; uzsver,</w:t>
            </w:r>
            <w:r w:rsidRPr="009A64AE">
              <w:t xml:space="preserve"> ka tie paši metodoloģiskie trūkumi tika konstatēti visos ANM pīlāros;</w:t>
            </w:r>
          </w:p>
        </w:tc>
        <w:tc>
          <w:tcPr>
            <w:tcW w:w="4876" w:type="dxa"/>
            <w:hideMark/>
          </w:tcPr>
          <w:p w:rsidR="00EA4087" w:rsidRPr="009A64AE" w:rsidRDefault="00AB4E43" w:rsidP="00E6527C">
            <w:pPr>
              <w:pStyle w:val="Normal6"/>
              <w:rPr>
                <w:szCs w:val="24"/>
              </w:rPr>
            </w:pPr>
            <w:r w:rsidRPr="009A64AE">
              <w:t>18.</w:t>
            </w:r>
            <w:r w:rsidRPr="009A64AE">
              <w:tab/>
              <w:t>atzinīgi vērtē to, ka visas dalībvalstis ir pārsniegušas zaļās (37 %) un digitālās pārkārtošanās (20 %) mērķrādītājus un ka vidējie izdevumi ANM klimata jomas un digitālo mērķu sasn</w:t>
            </w:r>
            <w:r w:rsidRPr="009A64AE">
              <w:t>iegšanai kopumā ir attiecīgi 42 % un 26 %; atzīmē, ka Revīzijas palāta ir paudusi šaubas par to, kā ANM pasākumu īstenošana ir veicinājusi zaļo pārkārtošanos, un ir ieteikusi uzlabot metodiku, ko izmanto, lai novērtētu ietekmi uz klimatu; uzsver, ka tie pa</w:t>
            </w:r>
            <w:r w:rsidRPr="009A64AE">
              <w:t>ši metodoloģiskie trūkumi tika konstatēti visos ANM pīlāros</w:t>
            </w:r>
            <w:r w:rsidRPr="009A64AE">
              <w:rPr>
                <w:b/>
                <w:i/>
              </w:rPr>
              <w:t>, un aicina Komisiju Revīzijas palātas ieteikumus piemērot horizontāli</w:t>
            </w:r>
            <w:r w:rsidRPr="009A64AE">
              <w:t xml:space="preserve">; </w:t>
            </w:r>
            <w:r w:rsidRPr="009A64AE">
              <w:rPr>
                <w:b/>
                <w:i/>
              </w:rPr>
              <w:t>uzsver, ka ir svarīgi rādītāji, kas saistīti ar ESTP principu un rīcības plāna īstenošanu; aicina Komisiju sadarboties ar Par</w:t>
            </w:r>
            <w:r w:rsidRPr="009A64AE">
              <w:rPr>
                <w:b/>
                <w:i/>
              </w:rPr>
              <w:t>lamentu, uzturot dialogu par atveseļošanu un noturību, lai sociālos rādītājus pārskatītu atbilstīgi Porto deklarācijai, un aicina Komisiju apspriesties ar sociālajiem partneriem un pilsonisko sabiedrību;</w:t>
            </w:r>
          </w:p>
        </w:tc>
      </w:tr>
    </w:tbl>
    <w:p w:rsidR="00EA4087" w:rsidRPr="009A64AE" w:rsidRDefault="00AB4E43" w:rsidP="00EA4087">
      <w:pPr>
        <w:rPr>
          <w:szCs w:val="24"/>
        </w:rPr>
      </w:pPr>
      <w:r w:rsidRPr="009A64AE">
        <w:rPr>
          <w:rStyle w:val="HideTWBExt"/>
        </w:rPr>
        <w:t>&lt;/Amend&gt;</w:t>
      </w:r>
    </w:p>
    <w:p w:rsidR="00BB4507" w:rsidRPr="009A64AE" w:rsidRDefault="00AB4E43" w:rsidP="00BB450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48</w:t>
      </w:r>
      <w:r w:rsidRPr="009A64AE">
        <w:rPr>
          <w:rStyle w:val="HideTWBExt"/>
          <w:b w:val="0"/>
        </w:rPr>
        <w:t>&lt;/NumAm&gt;</w:t>
      </w:r>
    </w:p>
    <w:p w:rsidR="00BB4507" w:rsidRPr="009A64AE" w:rsidRDefault="00BB4507" w:rsidP="00BB4507"/>
    <w:p w:rsidR="00BB4507" w:rsidRPr="009A64AE" w:rsidRDefault="00AB4E43" w:rsidP="00BB4507">
      <w:pPr>
        <w:pStyle w:val="NormalBold"/>
        <w:keepNext/>
      </w:pPr>
      <w:r w:rsidRPr="009A64AE">
        <w:rPr>
          <w:rStyle w:val="HideTWBExt"/>
          <w:b w:val="0"/>
        </w:rPr>
        <w:t>&lt;</w:t>
      </w:r>
      <w:r w:rsidRPr="009A64AE">
        <w:rPr>
          <w:rStyle w:val="HideTWBExt"/>
          <w:b w:val="0"/>
        </w:rPr>
        <w:t>DocAmend&gt;</w:t>
      </w:r>
      <w:r w:rsidRPr="009A64AE">
        <w:t>Rezolūcijas priekšlikums</w:t>
      </w:r>
      <w:r w:rsidRPr="009A64AE">
        <w:rPr>
          <w:rStyle w:val="HideTWBExt"/>
          <w:b w:val="0"/>
        </w:rPr>
        <w:t>&lt;/DocAmend&gt;</w:t>
      </w:r>
    </w:p>
    <w:p w:rsidR="00BB4507" w:rsidRPr="009A64AE" w:rsidRDefault="00AB4E43" w:rsidP="00BB4507">
      <w:pPr>
        <w:pStyle w:val="NormalBold"/>
      </w:pPr>
      <w:r w:rsidRPr="009A64AE">
        <w:rPr>
          <w:rStyle w:val="HideTWBExt"/>
          <w:b w:val="0"/>
        </w:rPr>
        <w:t>&lt;Article&gt;</w:t>
      </w:r>
      <w:r w:rsidRPr="009A64AE">
        <w:t>19.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BB4507">
        <w:trPr>
          <w:jc w:val="center"/>
        </w:trPr>
        <w:tc>
          <w:tcPr>
            <w:tcW w:w="9752" w:type="dxa"/>
            <w:gridSpan w:val="2"/>
          </w:tcPr>
          <w:p w:rsidR="00BB4507" w:rsidRPr="009A64AE" w:rsidRDefault="00BB4507">
            <w:pPr>
              <w:keepNext/>
            </w:pPr>
          </w:p>
        </w:tc>
      </w:tr>
      <w:tr w:rsidR="00135DE8" w:rsidRPr="009A64AE" w:rsidTr="00BB4507">
        <w:trPr>
          <w:jc w:val="center"/>
        </w:trPr>
        <w:tc>
          <w:tcPr>
            <w:tcW w:w="4876" w:type="dxa"/>
            <w:hideMark/>
          </w:tcPr>
          <w:p w:rsidR="00BB4507" w:rsidRPr="009A64AE" w:rsidRDefault="00AB4E43">
            <w:pPr>
              <w:pStyle w:val="ColumnHeading"/>
              <w:keepNext/>
            </w:pPr>
            <w:r w:rsidRPr="009A64AE">
              <w:t>Rezolūcijas priekšlikums</w:t>
            </w:r>
          </w:p>
        </w:tc>
        <w:tc>
          <w:tcPr>
            <w:tcW w:w="4876" w:type="dxa"/>
            <w:hideMark/>
          </w:tcPr>
          <w:p w:rsidR="00BB4507" w:rsidRPr="009A64AE" w:rsidRDefault="00AB4E43">
            <w:pPr>
              <w:pStyle w:val="ColumnHeading"/>
              <w:keepNext/>
            </w:pPr>
            <w:r w:rsidRPr="009A64AE">
              <w:t>Grozījums</w:t>
            </w:r>
          </w:p>
        </w:tc>
      </w:tr>
      <w:tr w:rsidR="00135DE8" w:rsidRPr="009A64AE" w:rsidTr="00BB4507">
        <w:trPr>
          <w:jc w:val="center"/>
        </w:trPr>
        <w:tc>
          <w:tcPr>
            <w:tcW w:w="4876" w:type="dxa"/>
            <w:hideMark/>
          </w:tcPr>
          <w:p w:rsidR="00BB4507" w:rsidRPr="009A64AE" w:rsidRDefault="00AB4E43">
            <w:pPr>
              <w:pStyle w:val="Normal6"/>
            </w:pPr>
            <w:r w:rsidRPr="009A64AE">
              <w:t>19.</w:t>
            </w:r>
            <w:r w:rsidRPr="009A64AE">
              <w:tab/>
              <w:t>atzīmē ANM iespējamo reālo ietekmi uz sociālajiem mērķiem, jo dalībvalstis plāno tērēt aptuveni 163 miljardus EUR;</w:t>
            </w:r>
            <w:r w:rsidRPr="009A64AE">
              <w:rPr>
                <w:b/>
                <w:i/>
              </w:rPr>
              <w:t xml:space="preserve"> uzsver, ka ir jāpaātrina</w:t>
            </w:r>
            <w:r w:rsidRPr="009A64AE">
              <w:rPr>
                <w:b/>
                <w:i/>
              </w:rPr>
              <w:t xml:space="preserve"> investīcijas lauku apvidu un attālu reģionu attīstībā, sociālajā</w:t>
            </w:r>
            <w:r w:rsidRPr="009A64AE">
              <w:t xml:space="preserve"> </w:t>
            </w:r>
            <w:r w:rsidRPr="009A64AE">
              <w:rPr>
                <w:b/>
                <w:i/>
              </w:rPr>
              <w:t>aizsardzībā, neaizsargātu grupu iekļaušanā un jauniešu nodarbinātībā, jo šajās jomās</w:t>
            </w:r>
            <w:r w:rsidRPr="009A64AE">
              <w:t xml:space="preserve"> </w:t>
            </w:r>
            <w:r w:rsidRPr="009A64AE">
              <w:rPr>
                <w:b/>
                <w:i/>
              </w:rPr>
              <w:t>izdevumi atpaliek; prasa Komisijai saskaņā ar atveseļošanas un noturības rezultātu pārskatu padziļināti i</w:t>
            </w:r>
            <w:r w:rsidRPr="009A64AE">
              <w:rPr>
                <w:b/>
                <w:i/>
              </w:rPr>
              <w:t>zvērtēt projektus</w:t>
            </w:r>
            <w:r w:rsidRPr="009A64AE">
              <w:t xml:space="preserve"> </w:t>
            </w:r>
            <w:r w:rsidRPr="009A64AE">
              <w:rPr>
                <w:b/>
                <w:bCs/>
                <w:i/>
                <w:iCs/>
              </w:rPr>
              <w:t>un</w:t>
            </w:r>
            <w:r w:rsidRPr="009A64AE">
              <w:t xml:space="preserve"> </w:t>
            </w:r>
            <w:r w:rsidRPr="009A64AE">
              <w:rPr>
                <w:b/>
                <w:i/>
              </w:rPr>
              <w:t>reformas, kas saistīti ar izglītību</w:t>
            </w:r>
            <w:r w:rsidRPr="009A64AE">
              <w:t xml:space="preserve"> </w:t>
            </w:r>
            <w:r w:rsidRPr="009A64AE">
              <w:rPr>
                <w:b/>
                <w:bCs/>
                <w:i/>
                <w:iCs/>
              </w:rPr>
              <w:t>un</w:t>
            </w:r>
            <w:r w:rsidRPr="009A64AE">
              <w:t xml:space="preserve"> </w:t>
            </w:r>
            <w:r w:rsidRPr="009A64AE">
              <w:rPr>
                <w:b/>
                <w:i/>
              </w:rPr>
              <w:t>jauniešiem un ko</w:t>
            </w:r>
            <w:r w:rsidRPr="009A64AE">
              <w:t xml:space="preserve"> dalībvalstis </w:t>
            </w:r>
            <w:r w:rsidRPr="009A64AE">
              <w:rPr>
                <w:b/>
                <w:i/>
              </w:rPr>
              <w:t>īsteno</w:t>
            </w:r>
            <w:r w:rsidRPr="009A64AE">
              <w:t xml:space="preserve"> ANM ietvaros;</w:t>
            </w:r>
          </w:p>
        </w:tc>
        <w:tc>
          <w:tcPr>
            <w:tcW w:w="4876" w:type="dxa"/>
            <w:hideMark/>
          </w:tcPr>
          <w:p w:rsidR="00BB4507" w:rsidRPr="009A64AE" w:rsidRDefault="00AB4E43" w:rsidP="00E6527C">
            <w:pPr>
              <w:pStyle w:val="Normal6"/>
              <w:rPr>
                <w:szCs w:val="24"/>
              </w:rPr>
            </w:pPr>
            <w:r w:rsidRPr="009A64AE">
              <w:t>19.</w:t>
            </w:r>
            <w:r w:rsidRPr="009A64AE">
              <w:tab/>
              <w:t>atzīmē ANM iespējamo reālo ietekmi uz sociālajiem mērķiem, jo dalībvalstis plāno tērēt aptuveni 163 miljardus EUR</w:t>
            </w:r>
            <w:r w:rsidRPr="009A64AE">
              <w:rPr>
                <w:b/>
                <w:i/>
              </w:rPr>
              <w:t>, kas veido aptuveni 25 % no</w:t>
            </w:r>
            <w:r w:rsidRPr="009A64AE">
              <w:rPr>
                <w:b/>
                <w:i/>
              </w:rPr>
              <w:t xml:space="preserve"> aplēstajiem kopējiem izdevumiem, un norāda, ka līdz šim Komisija no ANM dotācijās, aizdevumos un priekšfinansējumā ir izmaksājusi apmēram 269 miljardus EUR</w:t>
            </w:r>
            <w:r w:rsidRPr="009A64AE">
              <w:t>;</w:t>
            </w:r>
            <w:r w:rsidRPr="009A64AE">
              <w:rPr>
                <w:b/>
                <w:i/>
              </w:rPr>
              <w:t xml:space="preserve"> norāda, ka pēc NANP pārskatīšanas gandrīz 30 % no lēstajiem sociālajiem izdevumiem ir atvēlēti inv</w:t>
            </w:r>
            <w:r w:rsidRPr="009A64AE">
              <w:rPr>
                <w:b/>
                <w:i/>
              </w:rPr>
              <w:t>estīcijām</w:t>
            </w:r>
            <w:r w:rsidRPr="009A64AE">
              <w:t xml:space="preserve"> </w:t>
            </w:r>
            <w:r w:rsidRPr="009A64AE">
              <w:rPr>
                <w:b/>
                <w:bCs/>
                <w:i/>
                <w:iCs/>
              </w:rPr>
              <w:t>un</w:t>
            </w:r>
            <w:r w:rsidRPr="009A64AE">
              <w:t xml:space="preserve"> </w:t>
            </w:r>
            <w:r w:rsidRPr="009A64AE">
              <w:rPr>
                <w:b/>
                <w:i/>
              </w:rPr>
              <w:t>reformām attiecīgi izglītībā</w:t>
            </w:r>
            <w:r w:rsidRPr="009A64AE">
              <w:t xml:space="preserve"> </w:t>
            </w:r>
            <w:r w:rsidRPr="009A64AE">
              <w:rPr>
                <w:b/>
                <w:bCs/>
                <w:i/>
                <w:iCs/>
              </w:rPr>
              <w:t>un</w:t>
            </w:r>
            <w:r w:rsidRPr="009A64AE">
              <w:t xml:space="preserve"> </w:t>
            </w:r>
            <w:r w:rsidRPr="009A64AE">
              <w:rPr>
                <w:b/>
                <w:i/>
              </w:rPr>
              <w:t>bērnu aprūpē un veselības aizsardzībā un ilgtermiņa aprūpē, 25 % ir atvēlēti nodarbinātībai un prasmēm un pārējie līdzekļi — sociālās politikas jomām</w:t>
            </w:r>
            <w:r w:rsidRPr="009A64AE">
              <w:rPr>
                <w:b/>
                <w:i/>
                <w:vertAlign w:val="superscript"/>
              </w:rPr>
              <w:t>1a</w:t>
            </w:r>
            <w:r w:rsidRPr="009A64AE">
              <w:rPr>
                <w:b/>
                <w:i/>
              </w:rPr>
              <w:t>; aicina</w:t>
            </w:r>
            <w:r w:rsidRPr="009A64AE">
              <w:t xml:space="preserve"> dalībvalstis </w:t>
            </w:r>
            <w:r w:rsidRPr="009A64AE">
              <w:rPr>
                <w:b/>
                <w:i/>
              </w:rPr>
              <w:t>līdz maksājumu veikšanas termiņam aptu</w:t>
            </w:r>
            <w:r w:rsidRPr="009A64AE">
              <w:rPr>
                <w:b/>
                <w:i/>
              </w:rPr>
              <w:t>veni 30 % no</w:t>
            </w:r>
            <w:r w:rsidRPr="009A64AE">
              <w:t xml:space="preserve"> ANM </w:t>
            </w:r>
            <w:r w:rsidRPr="009A64AE">
              <w:rPr>
                <w:b/>
                <w:i/>
              </w:rPr>
              <w:t>izdevumiem attiecīgo pīlāru</w:t>
            </w:r>
            <w:r w:rsidRPr="009A64AE">
              <w:t xml:space="preserve"> ietvaros </w:t>
            </w:r>
            <w:r w:rsidRPr="009A64AE">
              <w:rPr>
                <w:b/>
                <w:i/>
              </w:rPr>
              <w:t>novirzīt sociālajām investīcijām</w:t>
            </w:r>
            <w:r w:rsidRPr="009A64AE">
              <w:t>;</w:t>
            </w:r>
          </w:p>
        </w:tc>
      </w:tr>
      <w:tr w:rsidR="00135DE8" w:rsidRPr="009A64AE" w:rsidTr="00BB4507">
        <w:trPr>
          <w:jc w:val="center"/>
        </w:trPr>
        <w:tc>
          <w:tcPr>
            <w:tcW w:w="4876" w:type="dxa"/>
          </w:tcPr>
          <w:p w:rsidR="00BB4507" w:rsidRPr="009A64AE" w:rsidRDefault="00BB4507">
            <w:pPr>
              <w:pStyle w:val="Normal6"/>
            </w:pPr>
          </w:p>
        </w:tc>
        <w:tc>
          <w:tcPr>
            <w:tcW w:w="4876" w:type="dxa"/>
            <w:hideMark/>
          </w:tcPr>
          <w:p w:rsidR="00BB4507" w:rsidRPr="009A64AE" w:rsidRDefault="00AB4E43">
            <w:pPr>
              <w:pStyle w:val="Normal6"/>
              <w:rPr>
                <w:szCs w:val="24"/>
              </w:rPr>
            </w:pPr>
            <w:r w:rsidRPr="009A64AE">
              <w:t>__________________</w:t>
            </w:r>
          </w:p>
        </w:tc>
      </w:tr>
      <w:tr w:rsidR="00135DE8" w:rsidRPr="009A64AE" w:rsidTr="00271B69">
        <w:trPr>
          <w:jc w:val="center"/>
        </w:trPr>
        <w:tc>
          <w:tcPr>
            <w:tcW w:w="4876" w:type="dxa"/>
          </w:tcPr>
          <w:p w:rsidR="00BB4507" w:rsidRPr="009A64AE" w:rsidRDefault="00BB4507">
            <w:pPr>
              <w:pStyle w:val="Normal6"/>
            </w:pPr>
          </w:p>
        </w:tc>
        <w:tc>
          <w:tcPr>
            <w:tcW w:w="4876" w:type="dxa"/>
          </w:tcPr>
          <w:p w:rsidR="00BB4507" w:rsidRPr="009A64AE" w:rsidRDefault="00AB4E43">
            <w:pPr>
              <w:pStyle w:val="Normal6"/>
              <w:rPr>
                <w:szCs w:val="24"/>
              </w:rPr>
            </w:pPr>
            <w:r w:rsidRPr="009A64AE">
              <w:rPr>
                <w:b/>
                <w:i/>
                <w:vertAlign w:val="superscript"/>
              </w:rPr>
              <w:t>1a</w:t>
            </w:r>
            <w:r w:rsidRPr="009A64AE">
              <w:t xml:space="preserve"> </w:t>
            </w:r>
            <w:r w:rsidRPr="009A64AE">
              <w:rPr>
                <w:b/>
                <w:i/>
              </w:rPr>
              <w:t>COM(2024)0474, 19. lpp.</w:t>
            </w:r>
          </w:p>
        </w:tc>
      </w:tr>
      <w:tr w:rsidR="00135DE8" w:rsidRPr="009A64AE" w:rsidTr="00BB4507">
        <w:trPr>
          <w:jc w:val="center"/>
        </w:trPr>
        <w:tc>
          <w:tcPr>
            <w:tcW w:w="4876" w:type="dxa"/>
          </w:tcPr>
          <w:p w:rsidR="00BB4507" w:rsidRPr="009A64AE" w:rsidRDefault="00BB4507">
            <w:pPr>
              <w:pStyle w:val="Normal6"/>
            </w:pPr>
          </w:p>
        </w:tc>
        <w:tc>
          <w:tcPr>
            <w:tcW w:w="4876" w:type="dxa"/>
            <w:hideMark/>
          </w:tcPr>
          <w:p w:rsidR="00BB4507" w:rsidRPr="009A64AE" w:rsidRDefault="00BB4507">
            <w:pPr>
              <w:pStyle w:val="Normal6"/>
              <w:rPr>
                <w:szCs w:val="24"/>
              </w:rPr>
            </w:pPr>
          </w:p>
        </w:tc>
      </w:tr>
    </w:tbl>
    <w:p w:rsidR="00BB4507" w:rsidRPr="009A64AE" w:rsidRDefault="00AB4E43" w:rsidP="00BB4507">
      <w:r w:rsidRPr="009A64AE">
        <w:rPr>
          <w:rStyle w:val="HideTWBExt"/>
        </w:rPr>
        <w:t>&lt;/Amend&gt;</w:t>
      </w:r>
    </w:p>
    <w:p w:rsidR="00BB4507" w:rsidRPr="009A64AE" w:rsidRDefault="00AB4E43" w:rsidP="00BB4507">
      <w:pPr>
        <w:pStyle w:val="AMNumberTabs0"/>
        <w:keepNext/>
      </w:pPr>
      <w:r w:rsidRPr="009A64AE">
        <w:rPr>
          <w:rStyle w:val="HideTWBExt"/>
          <w:b w:val="0"/>
        </w:rPr>
        <w:t>&lt;Amend&gt;</w:t>
      </w:r>
      <w:r w:rsidRPr="009A64AE">
        <w:t>Grozījums</w:t>
      </w:r>
      <w:r w:rsidRPr="009A64AE">
        <w:tab/>
      </w:r>
      <w:r w:rsidRPr="009A64AE">
        <w:tab/>
      </w:r>
      <w:r w:rsidRPr="009A64AE">
        <w:rPr>
          <w:rStyle w:val="HideTWBExt"/>
          <w:b w:val="0"/>
        </w:rPr>
        <w:t>&lt;NumAm&gt;</w:t>
      </w:r>
      <w:r w:rsidRPr="009A64AE">
        <w:t>49</w:t>
      </w:r>
      <w:r w:rsidRPr="009A64AE">
        <w:rPr>
          <w:rStyle w:val="HideTWBExt"/>
          <w:b w:val="0"/>
        </w:rPr>
        <w:t>&lt;/NumAm&gt;</w:t>
      </w:r>
    </w:p>
    <w:p w:rsidR="00BB4507" w:rsidRPr="009A64AE" w:rsidRDefault="00BB4507" w:rsidP="00BB4507"/>
    <w:p w:rsidR="00BB4507" w:rsidRPr="009A64AE" w:rsidRDefault="00AB4E43" w:rsidP="00BB4507">
      <w:pPr>
        <w:pStyle w:val="NormalBold"/>
        <w:keepNext/>
      </w:pPr>
      <w:r w:rsidRPr="009A64AE">
        <w:rPr>
          <w:rStyle w:val="HideTWBExt"/>
          <w:b w:val="0"/>
        </w:rPr>
        <w:t>&lt;DocAmend&gt;</w:t>
      </w:r>
      <w:r w:rsidRPr="009A64AE">
        <w:t>Rezolūcijas priekšlikums</w:t>
      </w:r>
      <w:r w:rsidRPr="009A64AE">
        <w:rPr>
          <w:rStyle w:val="HideTWBExt"/>
          <w:b w:val="0"/>
        </w:rPr>
        <w:t>&lt;/DocAmend&gt;</w:t>
      </w:r>
    </w:p>
    <w:p w:rsidR="00BB4507" w:rsidRPr="009A64AE" w:rsidRDefault="00AB4E43" w:rsidP="00BB4507">
      <w:pPr>
        <w:pStyle w:val="NormalBold"/>
      </w:pPr>
      <w:r w:rsidRPr="009A64AE">
        <w:rPr>
          <w:rStyle w:val="HideTWBExt"/>
          <w:b w:val="0"/>
        </w:rPr>
        <w:t>&lt;Article&gt;</w:t>
      </w:r>
      <w:r w:rsidRPr="009A64AE">
        <w:t xml:space="preserve">19.a punkts </w:t>
      </w:r>
      <w:r w:rsidRPr="009A64AE">
        <w:t>(jauns)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BB4507">
        <w:trPr>
          <w:jc w:val="center"/>
        </w:trPr>
        <w:tc>
          <w:tcPr>
            <w:tcW w:w="9752" w:type="dxa"/>
            <w:gridSpan w:val="2"/>
          </w:tcPr>
          <w:p w:rsidR="00BB4507" w:rsidRPr="009A64AE" w:rsidRDefault="00BB4507">
            <w:pPr>
              <w:keepNext/>
            </w:pPr>
          </w:p>
        </w:tc>
      </w:tr>
      <w:tr w:rsidR="00135DE8" w:rsidRPr="009A64AE" w:rsidTr="00BB4507">
        <w:trPr>
          <w:jc w:val="center"/>
        </w:trPr>
        <w:tc>
          <w:tcPr>
            <w:tcW w:w="4876" w:type="dxa"/>
            <w:hideMark/>
          </w:tcPr>
          <w:p w:rsidR="00BB4507" w:rsidRPr="009A64AE" w:rsidRDefault="00AB4E43">
            <w:pPr>
              <w:pStyle w:val="ColumnHeading"/>
              <w:keepNext/>
            </w:pPr>
            <w:r w:rsidRPr="009A64AE">
              <w:t>Rezolūcijas priekšlikums</w:t>
            </w:r>
          </w:p>
        </w:tc>
        <w:tc>
          <w:tcPr>
            <w:tcW w:w="4876" w:type="dxa"/>
            <w:hideMark/>
          </w:tcPr>
          <w:p w:rsidR="00BB4507" w:rsidRPr="009A64AE" w:rsidRDefault="00AB4E43">
            <w:pPr>
              <w:pStyle w:val="ColumnHeading"/>
              <w:keepNext/>
            </w:pPr>
            <w:r w:rsidRPr="009A64AE">
              <w:t>Grozījums</w:t>
            </w:r>
          </w:p>
        </w:tc>
      </w:tr>
      <w:tr w:rsidR="00135DE8" w:rsidRPr="009A64AE" w:rsidTr="00BB4507">
        <w:trPr>
          <w:jc w:val="center"/>
        </w:trPr>
        <w:tc>
          <w:tcPr>
            <w:tcW w:w="4876" w:type="dxa"/>
          </w:tcPr>
          <w:p w:rsidR="00BB4507" w:rsidRPr="009A64AE" w:rsidRDefault="00BB4507">
            <w:pPr>
              <w:pStyle w:val="Normal6"/>
            </w:pPr>
          </w:p>
        </w:tc>
        <w:tc>
          <w:tcPr>
            <w:tcW w:w="4876" w:type="dxa"/>
            <w:hideMark/>
          </w:tcPr>
          <w:p w:rsidR="00BB4507" w:rsidRPr="009A64AE" w:rsidRDefault="00AB4E43" w:rsidP="009837A3">
            <w:pPr>
              <w:pStyle w:val="Normal6"/>
              <w:rPr>
                <w:szCs w:val="24"/>
              </w:rPr>
            </w:pPr>
            <w:r w:rsidRPr="009A64AE">
              <w:rPr>
                <w:b/>
                <w:i/>
              </w:rPr>
              <w:t>19.a</w:t>
            </w:r>
            <w:r w:rsidRPr="009A64AE">
              <w:rPr>
                <w:b/>
                <w:i/>
              </w:rPr>
              <w:tab/>
              <w:t xml:space="preserve">uzsver vajadzību paātrināt investīcijas sociālās aizsardzības un sabiedrisko sociālo pakalpojumu, adekvātu pensiju, ilgtermiņa aprūpes pastiprināšanā, mājokļa, it īpaši sociālā mājokļa, </w:t>
            </w:r>
            <w:r w:rsidRPr="009A64AE">
              <w:rPr>
                <w:b/>
                <w:i/>
              </w:rPr>
              <w:t>pieejamībā un pieņemamībā cenas ziņā, nabadzības un sociālās atstumtības, it īpaši bērnu nabadzības, mazināšanā, agrīnajā pirmsskolas izglītībā un aprūpē, pieaugušo profesionālajā apmācībā un izglītībā un prasmju pilnveidošanā, neaizsargātā situācijā esošu</w:t>
            </w:r>
            <w:r w:rsidRPr="009A64AE">
              <w:rPr>
                <w:b/>
                <w:i/>
              </w:rPr>
              <w:t xml:space="preserve"> grupu, piemēram, sieviešu, bērnu, viena vecāka ģimeņu, cilvēku ar invaliditāti, migrantu, romu, LGBTIQ cilvēku, jauniešu un vecāku cilvēku, iekļaušanā, jauniešu nodarbinātības atbalstīšanā, darba tirgus institūciju modernizācijā, tostarp prasmju prognozēš</w:t>
            </w:r>
            <w:r w:rsidRPr="009A64AE">
              <w:rPr>
                <w:b/>
                <w:i/>
              </w:rPr>
              <w:t>anā un sociālajā dialogā, un to lauku un attālo apgabalu attīstībā, kuros izdevumi atpaliek; prasa Komisijai, izmantojot Atveseļošanas un noturības rezultātu pārskatu, izvērtēt un izsekot sociālo ieguldījumu efektivitāti;</w:t>
            </w:r>
          </w:p>
        </w:tc>
      </w:tr>
    </w:tbl>
    <w:p w:rsidR="00BB4507" w:rsidRPr="009A64AE" w:rsidRDefault="00AB4E43" w:rsidP="00BB4507">
      <w:r w:rsidRPr="009A64AE">
        <w:rPr>
          <w:rStyle w:val="HideTWBExt"/>
        </w:rPr>
        <w:t>&lt;/Amend&gt;</w:t>
      </w:r>
    </w:p>
    <w:p w:rsidR="00BB4507" w:rsidRPr="009A64AE" w:rsidRDefault="00AB4E43" w:rsidP="00BB450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w:t>
      </w:r>
      <w:r w:rsidRPr="009A64AE">
        <w:rPr>
          <w:rStyle w:val="HideTWBExt"/>
          <w:b w:val="0"/>
        </w:rPr>
        <w:t>umAm&gt;</w:t>
      </w:r>
      <w:r w:rsidRPr="009A64AE">
        <w:t>50</w:t>
      </w:r>
      <w:r w:rsidRPr="009A64AE">
        <w:rPr>
          <w:rStyle w:val="HideTWBExt"/>
          <w:b w:val="0"/>
        </w:rPr>
        <w:t>&lt;/NumAm&gt;</w:t>
      </w:r>
    </w:p>
    <w:p w:rsidR="00BB4507" w:rsidRPr="009A64AE" w:rsidRDefault="00BB4507" w:rsidP="00BB4507"/>
    <w:p w:rsidR="00BB4507" w:rsidRPr="009A64AE" w:rsidRDefault="00AB4E43" w:rsidP="00BB4507">
      <w:pPr>
        <w:pStyle w:val="NormalBold"/>
        <w:keepNext/>
      </w:pPr>
      <w:r w:rsidRPr="009A64AE">
        <w:rPr>
          <w:rStyle w:val="HideTWBExt"/>
          <w:b w:val="0"/>
        </w:rPr>
        <w:t>&lt;DocAmend&gt;</w:t>
      </w:r>
      <w:r w:rsidRPr="009A64AE">
        <w:t>Rezolūcijas priekšlikums</w:t>
      </w:r>
      <w:r w:rsidRPr="009A64AE">
        <w:rPr>
          <w:rStyle w:val="HideTWBExt"/>
          <w:b w:val="0"/>
        </w:rPr>
        <w:t>&lt;/DocAmend&gt;</w:t>
      </w:r>
    </w:p>
    <w:p w:rsidR="00BB4507" w:rsidRPr="009A64AE" w:rsidRDefault="00AB4E43" w:rsidP="00BB4507">
      <w:pPr>
        <w:pStyle w:val="NormalBold"/>
      </w:pPr>
      <w:r w:rsidRPr="009A64AE">
        <w:rPr>
          <w:rStyle w:val="HideTWBExt"/>
          <w:b w:val="0"/>
        </w:rPr>
        <w:t>&lt;Article&gt;</w:t>
      </w:r>
      <w:r w:rsidRPr="009A64AE">
        <w:t>20.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BB4507">
        <w:trPr>
          <w:jc w:val="center"/>
        </w:trPr>
        <w:tc>
          <w:tcPr>
            <w:tcW w:w="9752" w:type="dxa"/>
            <w:gridSpan w:val="2"/>
          </w:tcPr>
          <w:p w:rsidR="00BB4507" w:rsidRPr="009A64AE" w:rsidRDefault="00BB4507">
            <w:pPr>
              <w:keepNext/>
            </w:pPr>
          </w:p>
        </w:tc>
      </w:tr>
      <w:tr w:rsidR="00135DE8" w:rsidRPr="009A64AE" w:rsidTr="00BB4507">
        <w:trPr>
          <w:jc w:val="center"/>
        </w:trPr>
        <w:tc>
          <w:tcPr>
            <w:tcW w:w="4876" w:type="dxa"/>
            <w:hideMark/>
          </w:tcPr>
          <w:p w:rsidR="00BB4507" w:rsidRPr="009A64AE" w:rsidRDefault="00AB4E43">
            <w:pPr>
              <w:pStyle w:val="ColumnHeading"/>
              <w:keepNext/>
            </w:pPr>
            <w:r w:rsidRPr="009A64AE">
              <w:t>Rezolūcijas priekšlikums</w:t>
            </w:r>
          </w:p>
        </w:tc>
        <w:tc>
          <w:tcPr>
            <w:tcW w:w="4876" w:type="dxa"/>
            <w:hideMark/>
          </w:tcPr>
          <w:p w:rsidR="00BB4507" w:rsidRPr="009A64AE" w:rsidRDefault="00AB4E43">
            <w:pPr>
              <w:pStyle w:val="ColumnHeading"/>
              <w:keepNext/>
            </w:pPr>
            <w:r w:rsidRPr="009A64AE">
              <w:t>Grozījums</w:t>
            </w:r>
          </w:p>
        </w:tc>
      </w:tr>
      <w:tr w:rsidR="00135DE8" w:rsidRPr="009A64AE" w:rsidTr="00BB4507">
        <w:trPr>
          <w:jc w:val="center"/>
        </w:trPr>
        <w:tc>
          <w:tcPr>
            <w:tcW w:w="4876" w:type="dxa"/>
            <w:hideMark/>
          </w:tcPr>
          <w:p w:rsidR="00BB4507" w:rsidRPr="009A64AE" w:rsidRDefault="00AB4E43">
            <w:pPr>
              <w:pStyle w:val="Normal6"/>
            </w:pPr>
            <w:r w:rsidRPr="009A64AE">
              <w:t>20.</w:t>
            </w:r>
            <w:r w:rsidRPr="009A64AE">
              <w:tab/>
              <w:t xml:space="preserve">atzinīgi vērtē ieguldījumu, kas veikts gudras, ilgtspējīgas un integrējošas izaugsmes pīlāra ietvaros, it īpaši, lai </w:t>
            </w:r>
            <w:r w:rsidRPr="009A64AE">
              <w:t xml:space="preserve">uzlabotu konkurētspēju un atbalstu MVU; atzīmē, ka ir jāpaātrina investīcijas transnacionālā sadarbībā, </w:t>
            </w:r>
            <w:r w:rsidRPr="009A64AE">
              <w:rPr>
                <w:b/>
                <w:i/>
              </w:rPr>
              <w:t>atbalsts</w:t>
            </w:r>
            <w:r w:rsidRPr="009A64AE">
              <w:t xml:space="preserve"> sniegšana uzņēmumiem un regulatīvas izmaiņas attiecībā uz gudru, ilgtspējīgu un integrējošu izaugsmi, jo šajās jomās progress kavējas;</w:t>
            </w:r>
          </w:p>
        </w:tc>
        <w:tc>
          <w:tcPr>
            <w:tcW w:w="4876" w:type="dxa"/>
            <w:hideMark/>
          </w:tcPr>
          <w:p w:rsidR="00BB4507" w:rsidRPr="009A64AE" w:rsidRDefault="00AB4E43">
            <w:pPr>
              <w:pStyle w:val="Normal6"/>
              <w:rPr>
                <w:szCs w:val="24"/>
              </w:rPr>
            </w:pPr>
            <w:r w:rsidRPr="009A64AE">
              <w:t>20.</w:t>
            </w:r>
            <w:r w:rsidRPr="009A64AE">
              <w:tab/>
              <w:t>atzi</w:t>
            </w:r>
            <w:r w:rsidRPr="009A64AE">
              <w:t xml:space="preserve">nīgi vērtē ieguldījumu, kas veikts gudras, ilgtspējīgas un integrējošas izaugsmes pīlāra ietvaros, it īpaši, lai uzlabotu konkurētspēju un atbalstu MVU; atzīmē, ka ir jāpaātrina investīcijas transnacionālā sadarbībā, </w:t>
            </w:r>
            <w:r w:rsidRPr="009A64AE">
              <w:rPr>
                <w:b/>
                <w:i/>
              </w:rPr>
              <w:t>atbalsta</w:t>
            </w:r>
            <w:r w:rsidRPr="009A64AE">
              <w:t xml:space="preserve"> sniegšana uzņēmumiem un </w:t>
            </w:r>
            <w:r w:rsidRPr="009A64AE">
              <w:rPr>
                <w:b/>
                <w:i/>
              </w:rPr>
              <w:t xml:space="preserve">darba </w:t>
            </w:r>
            <w:r w:rsidRPr="009A64AE">
              <w:rPr>
                <w:b/>
                <w:i/>
              </w:rPr>
              <w:t>ņēmējiem, kā arī</w:t>
            </w:r>
            <w:r w:rsidRPr="009A64AE">
              <w:t xml:space="preserve"> regulatīvas izmaiņas attiecībā uz gudru, ilgtspējīgu un integrējošu izaugsmi, jo šajās jomās progress kavējas; </w:t>
            </w:r>
            <w:r w:rsidRPr="009A64AE">
              <w:rPr>
                <w:b/>
                <w:i/>
              </w:rPr>
              <w:t>uzsver, ka iekļaujošā atveseļošanā prioritāte būtu jāpiešķir sociālajai ekonomikai, kas ir svarīgs ilgtspējīgas un taisnīgas iza</w:t>
            </w:r>
            <w:r w:rsidRPr="009A64AE">
              <w:rPr>
                <w:b/>
                <w:i/>
              </w:rPr>
              <w:t>ugsmes virzītājspēks;</w:t>
            </w:r>
          </w:p>
        </w:tc>
      </w:tr>
    </w:tbl>
    <w:p w:rsidR="00BB4507" w:rsidRPr="009A64AE" w:rsidRDefault="00AB4E43" w:rsidP="00BB4507">
      <w:r w:rsidRPr="009A64AE">
        <w:rPr>
          <w:rStyle w:val="HideTWBExt"/>
        </w:rPr>
        <w:t>&lt;/Amend&gt;</w:t>
      </w:r>
    </w:p>
    <w:p w:rsidR="00BB4507" w:rsidRPr="009A64AE" w:rsidRDefault="00AB4E43" w:rsidP="00BB450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51</w:t>
      </w:r>
      <w:r w:rsidRPr="009A64AE">
        <w:rPr>
          <w:rStyle w:val="HideTWBExt"/>
          <w:b w:val="0"/>
        </w:rPr>
        <w:t>&lt;/NumAm&gt;</w:t>
      </w:r>
    </w:p>
    <w:p w:rsidR="00BB4507" w:rsidRPr="009A64AE" w:rsidRDefault="00BB4507" w:rsidP="00BB4507"/>
    <w:p w:rsidR="00BB4507" w:rsidRPr="009A64AE" w:rsidRDefault="00AB4E43" w:rsidP="00BB4507">
      <w:pPr>
        <w:pStyle w:val="NormalBold"/>
        <w:keepNext/>
      </w:pPr>
      <w:r w:rsidRPr="009A64AE">
        <w:rPr>
          <w:rStyle w:val="HideTWBExt"/>
          <w:b w:val="0"/>
        </w:rPr>
        <w:t>&lt;DocAmend&gt;</w:t>
      </w:r>
      <w:r w:rsidRPr="009A64AE">
        <w:t>Rezolūcijas priekšlikums</w:t>
      </w:r>
      <w:r w:rsidRPr="009A64AE">
        <w:rPr>
          <w:rStyle w:val="HideTWBExt"/>
          <w:b w:val="0"/>
        </w:rPr>
        <w:t>&lt;/DocAmend&gt;</w:t>
      </w:r>
    </w:p>
    <w:p w:rsidR="00BB4507" w:rsidRPr="009A64AE" w:rsidRDefault="00AB4E43" w:rsidP="00BB4507">
      <w:pPr>
        <w:pStyle w:val="NormalBold"/>
      </w:pPr>
      <w:r w:rsidRPr="009A64AE">
        <w:rPr>
          <w:rStyle w:val="HideTWBExt"/>
          <w:b w:val="0"/>
        </w:rPr>
        <w:t>&lt;Article&gt;</w:t>
      </w:r>
      <w:r w:rsidRPr="009A64AE">
        <w:t>20.a punkts (jauns)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BB4507">
        <w:trPr>
          <w:jc w:val="center"/>
        </w:trPr>
        <w:tc>
          <w:tcPr>
            <w:tcW w:w="9752" w:type="dxa"/>
            <w:gridSpan w:val="2"/>
          </w:tcPr>
          <w:p w:rsidR="00BB4507" w:rsidRPr="009A64AE" w:rsidRDefault="00BB4507">
            <w:pPr>
              <w:keepNext/>
            </w:pPr>
          </w:p>
        </w:tc>
      </w:tr>
      <w:tr w:rsidR="00135DE8" w:rsidRPr="009A64AE" w:rsidTr="00BB4507">
        <w:trPr>
          <w:jc w:val="center"/>
        </w:trPr>
        <w:tc>
          <w:tcPr>
            <w:tcW w:w="4876" w:type="dxa"/>
            <w:hideMark/>
          </w:tcPr>
          <w:p w:rsidR="00BB4507" w:rsidRPr="009A64AE" w:rsidRDefault="00AB4E43">
            <w:pPr>
              <w:pStyle w:val="ColumnHeading"/>
              <w:keepNext/>
            </w:pPr>
            <w:r w:rsidRPr="009A64AE">
              <w:t>Rezolūcijas priekšlikums</w:t>
            </w:r>
          </w:p>
        </w:tc>
        <w:tc>
          <w:tcPr>
            <w:tcW w:w="4876" w:type="dxa"/>
            <w:hideMark/>
          </w:tcPr>
          <w:p w:rsidR="00BB4507" w:rsidRPr="009A64AE" w:rsidRDefault="00AB4E43">
            <w:pPr>
              <w:pStyle w:val="ColumnHeading"/>
              <w:keepNext/>
            </w:pPr>
            <w:r w:rsidRPr="009A64AE">
              <w:t>Grozījums</w:t>
            </w:r>
          </w:p>
        </w:tc>
      </w:tr>
      <w:tr w:rsidR="00135DE8" w:rsidRPr="009A64AE" w:rsidTr="00BB4507">
        <w:trPr>
          <w:jc w:val="center"/>
        </w:trPr>
        <w:tc>
          <w:tcPr>
            <w:tcW w:w="4876" w:type="dxa"/>
          </w:tcPr>
          <w:p w:rsidR="00BB4507" w:rsidRPr="009A64AE" w:rsidRDefault="00BB4507">
            <w:pPr>
              <w:pStyle w:val="Normal6"/>
            </w:pPr>
          </w:p>
        </w:tc>
        <w:tc>
          <w:tcPr>
            <w:tcW w:w="4876" w:type="dxa"/>
            <w:hideMark/>
          </w:tcPr>
          <w:p w:rsidR="00BB4507" w:rsidRPr="009A64AE" w:rsidRDefault="00AB4E43" w:rsidP="00E6527C">
            <w:pPr>
              <w:pStyle w:val="Normal6"/>
              <w:rPr>
                <w:szCs w:val="24"/>
              </w:rPr>
            </w:pPr>
            <w:r w:rsidRPr="009A64AE">
              <w:rPr>
                <w:b/>
                <w:i/>
              </w:rPr>
              <w:t>20.a</w:t>
            </w:r>
            <w:r w:rsidRPr="009A64AE">
              <w:rPr>
                <w:b/>
                <w:i/>
              </w:rPr>
              <w:tab/>
              <w:t xml:space="preserve">atgādina, ka sieviešu un vīriešu līdztiesība ir </w:t>
            </w:r>
            <w:r w:rsidRPr="009A64AE">
              <w:rPr>
                <w:b/>
                <w:i/>
              </w:rPr>
              <w:t>Līgumos nostiprināta ES pamatvērtība; pauž nožēlu par to, ka dzimumu līdztiesība nav viens no ANM regulas pīlāriem; atgādina, ka saskaņā ar ESTP nacionālajos atveseļošanas un noturības plānos būtu jāiekļauj pasākumi, kas veicina dzimumu līdztiesību un vien</w:t>
            </w:r>
            <w:r w:rsidRPr="009A64AE">
              <w:rPr>
                <w:b/>
                <w:i/>
              </w:rPr>
              <w:t xml:space="preserve">līdzīgas iespējas visiem, lai veicinātu sieviešu līdzdalību darba tirgū un mazinātu uz dzimumu balstītu segregāciju darba tirgū; atzinīgi vērtē to, ka pārskatītajos NANP ir iekļauti 136 (apakš)pasākumi, kuros galvenā uzmanība veltīta dzimumu līdztiesībai, </w:t>
            </w:r>
            <w:r w:rsidRPr="009A64AE">
              <w:rPr>
                <w:b/>
                <w:i/>
              </w:rPr>
              <w:t>un atzīmē labvēlīgo ietekmi, ko rada citas reformas un investīcijas, kuru īstenošana var būtiski veicināt dzimumu līdztiesību, piemēram, pasākumi, kuru mērķis ir veicināt darba un privātās dzīves līdzsvaru, tostarp bērnu aprūpes un apgādājamo personu aprūp</w:t>
            </w:r>
            <w:r w:rsidRPr="009A64AE">
              <w:rPr>
                <w:b/>
                <w:i/>
              </w:rPr>
              <w:t>es pieejamību, un digitālo prasmju attīstību; pauž nožēlu par to, ka divas dalībvalstis savos NANP nav iekļāvušas nekādus pasākumus, kuri skaidri paredzēti dzimumu līdztiesības veicināšanai, un ka vairākas citas dalībvalstis ir iekļāvušas salīdzinoši nelie</w:t>
            </w:r>
            <w:r w:rsidRPr="009A64AE">
              <w:rPr>
                <w:b/>
                <w:i/>
              </w:rPr>
              <w:t>lu skaitu šādu pasākumu;</w:t>
            </w:r>
          </w:p>
        </w:tc>
      </w:tr>
    </w:tbl>
    <w:p w:rsidR="00BB4507" w:rsidRPr="009A64AE" w:rsidRDefault="00AB4E43" w:rsidP="00BB4507">
      <w:r w:rsidRPr="009A64AE">
        <w:rPr>
          <w:rStyle w:val="HideTWBExt"/>
        </w:rPr>
        <w:t>&lt;/Amend&gt;</w:t>
      </w:r>
    </w:p>
    <w:p w:rsidR="00EA4087" w:rsidRPr="009A64AE" w:rsidRDefault="00AB4E43" w:rsidP="00EA408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52</w:t>
      </w:r>
      <w:r w:rsidRPr="009A64AE">
        <w:rPr>
          <w:rStyle w:val="HideTWBExt"/>
          <w:b w:val="0"/>
        </w:rPr>
        <w:t>&lt;/NumAm&gt;</w:t>
      </w:r>
    </w:p>
    <w:p w:rsidR="00EA4087" w:rsidRPr="009A64AE" w:rsidRDefault="00AB4E43" w:rsidP="00EA4087">
      <w:pPr>
        <w:pStyle w:val="NormalBold12b"/>
        <w:keepNext/>
      </w:pPr>
      <w:r w:rsidRPr="009A64AE">
        <w:rPr>
          <w:rStyle w:val="HideTWBExt"/>
          <w:b w:val="0"/>
        </w:rPr>
        <w:t>&lt;DocAmend&gt;</w:t>
      </w:r>
      <w:r w:rsidRPr="009A64AE">
        <w:t>Rezolūcijas priekšlikums</w:t>
      </w:r>
      <w:r w:rsidRPr="009A64AE">
        <w:rPr>
          <w:rStyle w:val="HideTWBExt"/>
          <w:b w:val="0"/>
        </w:rPr>
        <w:t>&lt;/DocAmend&gt;</w:t>
      </w:r>
    </w:p>
    <w:p w:rsidR="00EA4087" w:rsidRPr="009A64AE" w:rsidRDefault="00AB4E43" w:rsidP="00EA4087">
      <w:pPr>
        <w:pStyle w:val="NormalBold"/>
      </w:pPr>
      <w:r w:rsidRPr="009A64AE">
        <w:rPr>
          <w:rStyle w:val="HideTWBExt"/>
          <w:b w:val="0"/>
        </w:rPr>
        <w:t>&lt;Article&gt;</w:t>
      </w:r>
      <w:r w:rsidRPr="009A64AE">
        <w:t>28.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EA4087">
        <w:trPr>
          <w:jc w:val="center"/>
        </w:trPr>
        <w:tc>
          <w:tcPr>
            <w:tcW w:w="9752" w:type="dxa"/>
            <w:gridSpan w:val="2"/>
          </w:tcPr>
          <w:p w:rsidR="00EA4087" w:rsidRPr="009A64AE" w:rsidRDefault="00EA4087">
            <w:pPr>
              <w:keepNext/>
            </w:pPr>
          </w:p>
        </w:tc>
      </w:tr>
      <w:tr w:rsidR="00135DE8" w:rsidRPr="009A64AE" w:rsidTr="00EA4087">
        <w:trPr>
          <w:jc w:val="center"/>
        </w:trPr>
        <w:tc>
          <w:tcPr>
            <w:tcW w:w="4876" w:type="dxa"/>
            <w:hideMark/>
          </w:tcPr>
          <w:p w:rsidR="00EA4087" w:rsidRPr="009A64AE" w:rsidRDefault="00AB4E43">
            <w:pPr>
              <w:pStyle w:val="ColumnHeading"/>
              <w:keepNext/>
            </w:pPr>
            <w:r w:rsidRPr="009A64AE">
              <w:t>Rezolūcijas priekšlikums</w:t>
            </w:r>
          </w:p>
        </w:tc>
        <w:tc>
          <w:tcPr>
            <w:tcW w:w="4876" w:type="dxa"/>
            <w:hideMark/>
          </w:tcPr>
          <w:p w:rsidR="00EA4087" w:rsidRPr="009A64AE" w:rsidRDefault="00AB4E43">
            <w:pPr>
              <w:pStyle w:val="ColumnHeading"/>
              <w:keepNext/>
            </w:pPr>
            <w:r w:rsidRPr="009A64AE">
              <w:t>Grozījums</w:t>
            </w:r>
          </w:p>
        </w:tc>
      </w:tr>
      <w:tr w:rsidR="00135DE8" w:rsidRPr="009A64AE" w:rsidTr="00EA4087">
        <w:trPr>
          <w:jc w:val="center"/>
        </w:trPr>
        <w:tc>
          <w:tcPr>
            <w:tcW w:w="4876" w:type="dxa"/>
            <w:hideMark/>
          </w:tcPr>
          <w:p w:rsidR="00EA4087" w:rsidRPr="009A64AE" w:rsidRDefault="00AB4E43">
            <w:pPr>
              <w:pStyle w:val="Normal6"/>
            </w:pPr>
            <w:r w:rsidRPr="009A64AE">
              <w:t>28.</w:t>
            </w:r>
            <w:r w:rsidRPr="009A64AE">
              <w:tab/>
              <w:t xml:space="preserve">mudina dalībvalstis pastiprināt centienus novērst </w:t>
            </w:r>
            <w:r w:rsidRPr="009A64AE">
              <w:t>administratīvos šķēršļus un nodrošināt pietiekamu administratīvo spēju, lai paātrinātu ANM īstenošanu, ņemot vērā 2026. gada termiņu, un izvairīties no ANM projektu koncentrēšanas vairāk attīstītos reģionos un galvaspilsētās, ļaujot ANM līdzekļus ieplūdinā</w:t>
            </w:r>
            <w:r w:rsidRPr="009A64AE">
              <w:t xml:space="preserve">t visneaizsargātākajos reģionos īstenotos projektos, tādējādi palīdzot sasniegt ANM mērķi uzlabot ES sociālo, teritoriālo un ekonomisko kohēziju; prasa automātiski par </w:t>
            </w:r>
            <w:r w:rsidRPr="009A64AE">
              <w:rPr>
                <w:b/>
                <w:i/>
              </w:rPr>
              <w:t>12</w:t>
            </w:r>
            <w:r w:rsidRPr="009A64AE">
              <w:t> mēnešiem pagarināt to projektu īstenošanu, kuru izpildes līmenis pirms 2026. gada ter</w:t>
            </w:r>
            <w:r w:rsidRPr="009A64AE">
              <w:t>miņa būs vismaz 20 %; atzinīgi vērtē iespēju izveidot sistēmu prioritāšu noteikšanai un pārcelšanai pēc 2026. gada termiņa, lai varētu pabeigt iesāktos projektus, izmantojot citas finansēšanas shēmas, tostarp Eiropas Investīciju fondu un potenciālu jaunu E</w:t>
            </w:r>
            <w:r w:rsidRPr="009A64AE">
              <w:t>iropas Konkurētspējas fondu;</w:t>
            </w:r>
          </w:p>
        </w:tc>
        <w:tc>
          <w:tcPr>
            <w:tcW w:w="4876" w:type="dxa"/>
            <w:hideMark/>
          </w:tcPr>
          <w:p w:rsidR="00EA4087" w:rsidRPr="009A64AE" w:rsidRDefault="00AB4E43" w:rsidP="004C6072">
            <w:pPr>
              <w:pStyle w:val="Normal6"/>
              <w:rPr>
                <w:szCs w:val="24"/>
              </w:rPr>
            </w:pPr>
            <w:r w:rsidRPr="009A64AE">
              <w:t>28.</w:t>
            </w:r>
            <w:r w:rsidRPr="009A64AE">
              <w:tab/>
              <w:t>mudina dalībvalstis pastiprināt centienus novērst administratīvos šķēršļus un nodrošināt pietiekamu administratīvo spēju, lai paātrinātu ANM īstenošanu, ņemot vērā 2026. gada termiņu, un izvairīties no ANM projektu koncentr</w:t>
            </w:r>
            <w:r w:rsidRPr="009A64AE">
              <w:t xml:space="preserve">ēšanas vairāk attīstītos reģionos un galvaspilsētās, ļaujot ANM līdzekļus ieplūdināt visneaizsargātākajos reģionos īstenotos projektos, tādējādi palīdzot sasniegt ANM mērķi uzlabot ES sociālo, teritoriālo un ekonomisko kohēziju; prasa automātiski par </w:t>
            </w:r>
            <w:r w:rsidRPr="009A64AE">
              <w:rPr>
                <w:b/>
                <w:i/>
              </w:rPr>
              <w:t>18</w:t>
            </w:r>
            <w:r w:rsidRPr="009A64AE">
              <w:t> mē</w:t>
            </w:r>
            <w:r w:rsidRPr="009A64AE">
              <w:t>nešiem pagarināt to projektu īstenošanu, kuru izpildes līmenis pirms 2026. gada termiņa būs vismaz 20 %; atzinīgi vērtē iespēju izveidot sistēmu prioritāšu noteikšanai un pārcelšanai pēc 2026. gada termiņa, lai varētu pabeigt iesāktos projektus, izmantojot</w:t>
            </w:r>
            <w:r w:rsidRPr="009A64AE">
              <w:t xml:space="preserve"> citas finansēšanas shēmas, tostarp Eiropas Investīciju fondu un potenciālu jaunu Eiropas Konkurētspējas fondu;</w:t>
            </w:r>
          </w:p>
        </w:tc>
      </w:tr>
    </w:tbl>
    <w:p w:rsidR="00EA4087" w:rsidRPr="009A64AE" w:rsidRDefault="00AB4E43" w:rsidP="00EA4087">
      <w:pPr>
        <w:rPr>
          <w:szCs w:val="24"/>
        </w:rPr>
      </w:pPr>
      <w:r w:rsidRPr="009A64AE">
        <w:rPr>
          <w:rStyle w:val="HideTWBExt"/>
        </w:rPr>
        <w:t>&lt;/Amend&gt;</w:t>
      </w:r>
    </w:p>
    <w:p w:rsidR="00BB4507" w:rsidRPr="009A64AE" w:rsidRDefault="00AB4E43" w:rsidP="00BB4507">
      <w:pPr>
        <w:pStyle w:val="AMNumberTabs0"/>
        <w:keepNext/>
      </w:pPr>
      <w:r w:rsidRPr="009A64AE">
        <w:rPr>
          <w:rStyle w:val="HideTWBExt"/>
          <w:b w:val="0"/>
        </w:rPr>
        <w:t>&lt;Amend&gt;</w:t>
      </w:r>
      <w:r w:rsidRPr="009A64AE">
        <w:t>Grozījums Nr.</w:t>
      </w:r>
      <w:r w:rsidRPr="009A64AE">
        <w:tab/>
      </w:r>
      <w:r w:rsidRPr="009A64AE">
        <w:tab/>
      </w:r>
      <w:r w:rsidRPr="009A64AE">
        <w:rPr>
          <w:rStyle w:val="HideTWBExt"/>
          <w:b w:val="0"/>
        </w:rPr>
        <w:t>&lt;NumAm&gt;</w:t>
      </w:r>
      <w:r w:rsidRPr="009A64AE">
        <w:t>53</w:t>
      </w:r>
      <w:r w:rsidRPr="009A64AE">
        <w:rPr>
          <w:rStyle w:val="HideTWBExt"/>
          <w:b w:val="0"/>
        </w:rPr>
        <w:t>&lt;/NumAm&gt;</w:t>
      </w:r>
    </w:p>
    <w:p w:rsidR="00BB4507" w:rsidRPr="009A64AE" w:rsidRDefault="00BB4507" w:rsidP="00BB4507"/>
    <w:p w:rsidR="00BB4507" w:rsidRPr="009A64AE" w:rsidRDefault="00AB4E43" w:rsidP="00BB4507">
      <w:pPr>
        <w:pStyle w:val="NormalBold"/>
        <w:keepNext/>
      </w:pPr>
      <w:r w:rsidRPr="009A64AE">
        <w:rPr>
          <w:rStyle w:val="HideTWBExt"/>
          <w:b w:val="0"/>
        </w:rPr>
        <w:t>&lt;DocAmend&gt;</w:t>
      </w:r>
      <w:r w:rsidRPr="009A64AE">
        <w:t>Rezolūcijas priekšlikums</w:t>
      </w:r>
      <w:r w:rsidRPr="009A64AE">
        <w:rPr>
          <w:rStyle w:val="HideTWBExt"/>
          <w:b w:val="0"/>
        </w:rPr>
        <w:t>&lt;/DocAmend&gt;</w:t>
      </w:r>
    </w:p>
    <w:p w:rsidR="00BB4507" w:rsidRPr="009A64AE" w:rsidRDefault="00AB4E43" w:rsidP="00BB4507">
      <w:pPr>
        <w:pStyle w:val="NormalBold"/>
      </w:pPr>
      <w:r w:rsidRPr="009A64AE">
        <w:rPr>
          <w:rStyle w:val="HideTWBExt"/>
          <w:b w:val="0"/>
        </w:rPr>
        <w:t>&lt;Article&gt;</w:t>
      </w:r>
      <w:r w:rsidRPr="009A64AE">
        <w:t>39. punkts</w:t>
      </w:r>
      <w:r w:rsidRPr="009A64A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35DE8" w:rsidRPr="009A64AE" w:rsidTr="00BB4507">
        <w:trPr>
          <w:jc w:val="center"/>
        </w:trPr>
        <w:tc>
          <w:tcPr>
            <w:tcW w:w="9752" w:type="dxa"/>
            <w:gridSpan w:val="2"/>
          </w:tcPr>
          <w:p w:rsidR="00BB4507" w:rsidRPr="009A64AE" w:rsidRDefault="00BB4507">
            <w:pPr>
              <w:keepNext/>
            </w:pPr>
          </w:p>
        </w:tc>
      </w:tr>
      <w:tr w:rsidR="00135DE8" w:rsidRPr="009A64AE" w:rsidTr="00BB4507">
        <w:trPr>
          <w:jc w:val="center"/>
        </w:trPr>
        <w:tc>
          <w:tcPr>
            <w:tcW w:w="4876" w:type="dxa"/>
            <w:hideMark/>
          </w:tcPr>
          <w:p w:rsidR="00BB4507" w:rsidRPr="009A64AE" w:rsidRDefault="00AB4E43">
            <w:pPr>
              <w:pStyle w:val="ColumnHeading"/>
              <w:keepNext/>
            </w:pPr>
            <w:r w:rsidRPr="009A64AE">
              <w:t xml:space="preserve">Rezolūcijas </w:t>
            </w:r>
            <w:r w:rsidRPr="009A64AE">
              <w:t>priekšlikums</w:t>
            </w:r>
          </w:p>
        </w:tc>
        <w:tc>
          <w:tcPr>
            <w:tcW w:w="4876" w:type="dxa"/>
            <w:hideMark/>
          </w:tcPr>
          <w:p w:rsidR="00BB4507" w:rsidRPr="009A64AE" w:rsidRDefault="00AB4E43">
            <w:pPr>
              <w:pStyle w:val="ColumnHeading"/>
              <w:keepNext/>
            </w:pPr>
            <w:r w:rsidRPr="009A64AE">
              <w:t>Grozījums</w:t>
            </w:r>
          </w:p>
        </w:tc>
      </w:tr>
      <w:tr w:rsidR="00135DE8" w:rsidRPr="009A64AE" w:rsidTr="00BB4507">
        <w:trPr>
          <w:jc w:val="center"/>
        </w:trPr>
        <w:tc>
          <w:tcPr>
            <w:tcW w:w="4876" w:type="dxa"/>
            <w:hideMark/>
          </w:tcPr>
          <w:p w:rsidR="00BB4507" w:rsidRPr="009A64AE" w:rsidRDefault="00AB4E43">
            <w:pPr>
              <w:pStyle w:val="Normal6"/>
            </w:pPr>
            <w:r w:rsidRPr="009A64AE">
              <w:t>39.</w:t>
            </w:r>
            <w:r w:rsidRPr="009A64AE">
              <w:tab/>
              <w:t>pauž nožēlu par vietējo un reģionālo pašpārvaldes iestāžu (VRPI), pilsoniskās sabiedrības organizāciju, sociālo partneru, valstu parlamentu un citu attiecīgo ieinteresēto personu nepietiekamo iesaisti NANP izstrādē, pārskatīšanā</w:t>
            </w:r>
            <w:r w:rsidRPr="009A64AE">
              <w:t xml:space="preserve"> vai īstenošanā; atgādina, ka VRPI, valstu iestāžu un par šo politiku izstrādi atbildīgo līdzdalībai ir izšķiroša nozīme ANM veiksmes nodrošināšanā, kā noteikts ANM regulas 28. pantā; atgādina, ka Parlaments atbalstīja tādu saistošu noteikumu ANM, kas pare</w:t>
            </w:r>
            <w:r w:rsidRPr="009A64AE">
              <w:t>dzētu daudzlīmeņu dialoga izveidi, lai iesaistītu attiecīgās ieinteresētās personas un ar tām apspriestu NANP sagatavošanu un īstenošanu, kā arī skaidra apspriešanās perioda noteikšanu; tādēļ aicina NANP īstenošanā pēc iespējas vairāk iesaistīt ieinteresēt</w:t>
            </w:r>
            <w:r w:rsidRPr="009A64AE">
              <w:t>ās personas saskaņā ar attiecīgās valsts tiesisko regulējumu un pamatojoties uz skaidriem un pārredzamiem principiem;</w:t>
            </w:r>
          </w:p>
        </w:tc>
        <w:tc>
          <w:tcPr>
            <w:tcW w:w="4876" w:type="dxa"/>
            <w:hideMark/>
          </w:tcPr>
          <w:p w:rsidR="00BB4507" w:rsidRPr="009A64AE" w:rsidRDefault="00AB4E43" w:rsidP="00144327">
            <w:pPr>
              <w:pStyle w:val="Normal6"/>
              <w:rPr>
                <w:szCs w:val="24"/>
              </w:rPr>
            </w:pPr>
            <w:r w:rsidRPr="009A64AE">
              <w:t>39.</w:t>
            </w:r>
            <w:r w:rsidRPr="009A64AE">
              <w:tab/>
              <w:t xml:space="preserve">pauž nožēlu par </w:t>
            </w:r>
            <w:r w:rsidRPr="009A64AE">
              <w:rPr>
                <w:b/>
                <w:i/>
              </w:rPr>
              <w:t>dažu dalībvalstu</w:t>
            </w:r>
            <w:r w:rsidRPr="009A64AE">
              <w:t xml:space="preserve"> vietējo un reģionālo pašpārvaldes iestāžu (VRPI), pilsoniskās sabiedrības organizāciju, sociālo partn</w:t>
            </w:r>
            <w:r w:rsidRPr="009A64AE">
              <w:t>eru, valstu parlamentu un citu attiecīgo ieinteresēto personu nepietiekamo iesaisti NANP izstrādē, pārskatīšanā vai īstenošanā</w:t>
            </w:r>
            <w:r w:rsidRPr="009A64AE">
              <w:rPr>
                <w:b/>
                <w:i/>
              </w:rPr>
              <w:t>, ko paredz ANM regulas 18. panta 4. punkta q) apakšpunkts, un uzsver, ka sociālos partnerus ir svarīgi iesaistīt pasākumos, kas a</w:t>
            </w:r>
            <w:r w:rsidRPr="009A64AE">
              <w:rPr>
                <w:b/>
                <w:i/>
              </w:rPr>
              <w:t>ttiecas uz darba un sociālo politiku</w:t>
            </w:r>
            <w:r w:rsidRPr="009A64AE">
              <w:t>; atgādina, ka VRPI, valstu iestāžu un par šo politiku izstrādi atbildīgo līdzdalībai ir izšķiroša nozīme ANM veiksmes nodrošināšanā, kā noteikts ANM regulas 28. pantā; atgādina, ka Parlaments atbalstīja tādu saistošu no</w:t>
            </w:r>
            <w:r w:rsidRPr="009A64AE">
              <w:t xml:space="preserve">teikumu ANM, kas paredzētu daudzlīmeņu dialoga izveidi, lai iesaistītu attiecīgās ieinteresētās personas un ar tām apspriestu NANP sagatavošanu un īstenošanu, kā arī skaidra apspriešanās perioda noteikšanu; tādēļ aicina NANP īstenošanā pēc iespējas vairāk </w:t>
            </w:r>
            <w:r w:rsidRPr="009A64AE">
              <w:t>iesaistīt ieinteresētās personas saskaņā ar attiecīgās valsts tiesisko regulējumu un pamatojoties uz skaidriem un pārredzamiem principiem</w:t>
            </w:r>
            <w:r w:rsidRPr="009A64AE">
              <w:rPr>
                <w:b/>
                <w:i/>
              </w:rPr>
              <w:t>, tādējādi nodrošinot visaptverošu un pārredzamu līdzdalības procesu</w:t>
            </w:r>
            <w:r w:rsidRPr="009A64AE">
              <w:t xml:space="preserve">; </w:t>
            </w:r>
            <w:r w:rsidRPr="009A64AE">
              <w:rPr>
                <w:b/>
                <w:i/>
              </w:rPr>
              <w:t xml:space="preserve">uzskata, ka ieinteresēto personu iesaistei jābūt </w:t>
            </w:r>
            <w:r w:rsidRPr="009A64AE">
              <w:rPr>
                <w:b/>
                <w:i/>
              </w:rPr>
              <w:t>gan kvalitatīvai, gan kvantitatīvai, tostarp aktīvai dalībai uzraudzības un vērtēšanas procesos, un atgādina, ka pirms pārskatīto plānu apstiprināšanas arī ir jāapspriežas ar ieinteresētajām personām;</w:t>
            </w:r>
          </w:p>
        </w:tc>
      </w:tr>
    </w:tbl>
    <w:p w:rsidR="00BB4507" w:rsidRPr="009A64AE" w:rsidRDefault="00AB4E43" w:rsidP="00BB4507">
      <w:pPr>
        <w:pStyle w:val="AmNumberTabs"/>
        <w:keepNext/>
      </w:pPr>
      <w:r w:rsidRPr="009A64AE">
        <w:rPr>
          <w:rStyle w:val="HideTWBExt"/>
        </w:rPr>
        <w:t>&lt;/Amend&gt;</w:t>
      </w:r>
    </w:p>
    <w:p w:rsidR="004667D1" w:rsidRPr="009A64AE" w:rsidRDefault="00AB4E43" w:rsidP="004667D1">
      <w:r w:rsidRPr="009A64AE">
        <w:rPr>
          <w:rStyle w:val="HideTWBExt"/>
        </w:rPr>
        <w:t>&lt;/RepeatBlock-Amend&gt;</w:t>
      </w:r>
    </w:p>
    <w:p w:rsidR="002763BF" w:rsidRPr="009A64AE" w:rsidRDefault="002763BF">
      <w:pPr>
        <w:widowControl/>
        <w:sectPr w:rsidR="002763BF" w:rsidRPr="009A64AE" w:rsidSect="00AF4820">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2763BF" w:rsidRPr="009A64AE" w:rsidRDefault="002763BF">
      <w:pPr>
        <w:widowControl/>
      </w:pPr>
    </w:p>
    <w:p w:rsidR="002763BF" w:rsidRPr="009A64AE" w:rsidRDefault="00AB4E43" w:rsidP="007B04F0">
      <w:pPr>
        <w:pStyle w:val="PageHeadingNotTOC"/>
      </w:pPr>
      <w:bookmarkStart w:id="1" w:name="FootprintPageAD"/>
      <w:r w:rsidRPr="009A64AE">
        <w:t>PIELIKUMS. VIENĪBAS</w:t>
      </w:r>
      <w:r>
        <w:t xml:space="preserve"> VAI PERSONAS,</w:t>
      </w:r>
      <w:r>
        <w:br/>
      </w:r>
      <w:r w:rsidRPr="009A64AE">
        <w:t>NO KURĀM REFERENTE IR SAŅĒMUSI PIENESUMU</w:t>
      </w:r>
    </w:p>
    <w:p w:rsidR="002763BF" w:rsidRPr="009A64AE" w:rsidRDefault="00AB4E43" w:rsidP="007B04F0">
      <w:pPr>
        <w:pStyle w:val="Normal24a"/>
      </w:pPr>
      <w:r w:rsidRPr="009A64AE">
        <w:rPr>
          <w:rStyle w:val="HideTWBExt"/>
        </w:rPr>
        <w:t>&lt;FootprintIntro&gt;</w:t>
      </w:r>
      <w:r w:rsidRPr="009A64AE">
        <w:t>Atzinuma sagatavotāja, pilnībā uzņemoties visu atbildību, apliecina, ka viņa nav saņēmusi nekādu pienesumu no vienībām vai personām, kas būtu jānorāda šajā pielikumā saskaņā ar Reglame</w:t>
      </w:r>
      <w:r w:rsidRPr="009A64AE">
        <w:t>nta I pielikuma 8. pantu.</w:t>
      </w:r>
      <w:r w:rsidRPr="009A64AE">
        <w:rPr>
          <w:rStyle w:val="HideTWBExt"/>
        </w:rPr>
        <w:t>&lt;/FootprintIntro&gt;</w:t>
      </w:r>
    </w:p>
    <w:p w:rsidR="002763BF" w:rsidRPr="009A64AE" w:rsidRDefault="002763BF" w:rsidP="002763BF"/>
    <w:bookmarkEnd w:id="1"/>
    <w:p w:rsidR="0031616B" w:rsidRPr="009A64AE" w:rsidRDefault="00AB4E43" w:rsidP="0031616B">
      <w:r w:rsidRPr="009A64AE">
        <w:br w:type="page"/>
      </w:r>
    </w:p>
    <w:p w:rsidR="0031616B" w:rsidRPr="009A64AE" w:rsidRDefault="00AB4E43" w:rsidP="0031616B">
      <w:pPr>
        <w:pStyle w:val="PageHeadingNotTOC"/>
      </w:pPr>
      <w:bookmarkStart w:id="2" w:name="ProcPageAD"/>
      <w:r>
        <w:t>INFORMĀCIJA PAR PIEŅEMŠANU</w:t>
      </w:r>
      <w:r>
        <w:br/>
      </w:r>
      <w:r w:rsidRPr="009A64AE">
        <w:t>ATZINUMU SNIEDZOŠAJĀ KOMITEJĀ</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35DE8" w:rsidRPr="009A64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16B" w:rsidRPr="009A64AE" w:rsidRDefault="00AB4E43">
            <w:pPr>
              <w:autoSpaceDE w:val="0"/>
              <w:autoSpaceDN w:val="0"/>
              <w:adjustRightInd w:val="0"/>
              <w:rPr>
                <w:b/>
                <w:bCs/>
                <w:color w:val="000000"/>
                <w:sz w:val="20"/>
              </w:rPr>
            </w:pPr>
            <w:r w:rsidRPr="009A64AE">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616B" w:rsidRPr="009A64AE" w:rsidRDefault="00AB4E43">
            <w:pPr>
              <w:autoSpaceDE w:val="0"/>
              <w:autoSpaceDN w:val="0"/>
              <w:adjustRightInd w:val="0"/>
              <w:rPr>
                <w:color w:val="000000"/>
                <w:sz w:val="20"/>
              </w:rPr>
            </w:pPr>
            <w:r w:rsidRPr="009A64AE">
              <w:rPr>
                <w:color w:val="000000"/>
                <w:sz w:val="20"/>
              </w:rPr>
              <w:t>31.3.2025.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616B" w:rsidRPr="009A64AE" w:rsidRDefault="0031616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616B" w:rsidRPr="009A64AE" w:rsidRDefault="0031616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16B" w:rsidRPr="009A64AE" w:rsidRDefault="0031616B">
            <w:pPr>
              <w:autoSpaceDE w:val="0"/>
              <w:autoSpaceDN w:val="0"/>
              <w:adjustRightInd w:val="0"/>
              <w:rPr>
                <w:rFonts w:ascii="sans-serif" w:hAnsi="sans-serif" w:cs="sans-serif"/>
                <w:color w:val="000000"/>
                <w:szCs w:val="24"/>
              </w:rPr>
            </w:pPr>
          </w:p>
        </w:tc>
      </w:tr>
      <w:tr w:rsidR="00135DE8" w:rsidRPr="009A64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16B" w:rsidRPr="009A64AE" w:rsidRDefault="00AB4E43">
            <w:pPr>
              <w:autoSpaceDE w:val="0"/>
              <w:autoSpaceDN w:val="0"/>
              <w:adjustRightInd w:val="0"/>
              <w:rPr>
                <w:b/>
                <w:bCs/>
                <w:color w:val="000000"/>
                <w:sz w:val="20"/>
              </w:rPr>
            </w:pPr>
            <w:r w:rsidRPr="009A64AE">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616B" w:rsidRPr="009A64AE" w:rsidRDefault="00AB4E43">
            <w:pPr>
              <w:autoSpaceDE w:val="0"/>
              <w:autoSpaceDN w:val="0"/>
              <w:adjustRightInd w:val="0"/>
              <w:rPr>
                <w:color w:val="000000"/>
                <w:sz w:val="20"/>
              </w:rPr>
            </w:pPr>
            <w:r w:rsidRPr="009A64AE">
              <w:rPr>
                <w:color w:val="000000"/>
                <w:sz w:val="20"/>
              </w:rPr>
              <w:t>+:</w:t>
            </w:r>
          </w:p>
          <w:p w:rsidR="0031616B" w:rsidRPr="009A64AE" w:rsidRDefault="00AB4E43">
            <w:pPr>
              <w:autoSpaceDE w:val="0"/>
              <w:autoSpaceDN w:val="0"/>
              <w:adjustRightInd w:val="0"/>
              <w:rPr>
                <w:color w:val="000000"/>
                <w:sz w:val="20"/>
              </w:rPr>
            </w:pPr>
            <w:r w:rsidRPr="009A64AE">
              <w:rPr>
                <w:color w:val="000000"/>
                <w:sz w:val="20"/>
              </w:rPr>
              <w:t>–:</w:t>
            </w:r>
          </w:p>
          <w:p w:rsidR="0031616B" w:rsidRPr="009A64AE" w:rsidRDefault="00AB4E43">
            <w:pPr>
              <w:autoSpaceDE w:val="0"/>
              <w:autoSpaceDN w:val="0"/>
              <w:adjustRightInd w:val="0"/>
              <w:rPr>
                <w:color w:val="000000"/>
                <w:sz w:val="20"/>
              </w:rPr>
            </w:pPr>
            <w:r w:rsidRPr="009A64A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16B" w:rsidRPr="009A64AE" w:rsidRDefault="00AB4E43">
            <w:pPr>
              <w:autoSpaceDE w:val="0"/>
              <w:autoSpaceDN w:val="0"/>
              <w:adjustRightInd w:val="0"/>
              <w:rPr>
                <w:color w:val="000000"/>
                <w:sz w:val="20"/>
              </w:rPr>
            </w:pPr>
            <w:r w:rsidRPr="009A64AE">
              <w:rPr>
                <w:color w:val="000000"/>
                <w:sz w:val="20"/>
              </w:rPr>
              <w:t>40</w:t>
            </w:r>
          </w:p>
          <w:p w:rsidR="0031616B" w:rsidRPr="009A64AE" w:rsidRDefault="00AB4E43">
            <w:pPr>
              <w:autoSpaceDE w:val="0"/>
              <w:autoSpaceDN w:val="0"/>
              <w:adjustRightInd w:val="0"/>
              <w:rPr>
                <w:color w:val="000000"/>
                <w:sz w:val="20"/>
              </w:rPr>
            </w:pPr>
            <w:r w:rsidRPr="009A64AE">
              <w:rPr>
                <w:color w:val="000000"/>
                <w:sz w:val="20"/>
              </w:rPr>
              <w:t>11</w:t>
            </w:r>
          </w:p>
          <w:p w:rsidR="0031616B" w:rsidRPr="009A64AE" w:rsidRDefault="00AB4E43">
            <w:pPr>
              <w:autoSpaceDE w:val="0"/>
              <w:autoSpaceDN w:val="0"/>
              <w:adjustRightInd w:val="0"/>
              <w:rPr>
                <w:color w:val="000000"/>
                <w:sz w:val="20"/>
              </w:rPr>
            </w:pPr>
            <w:r w:rsidRPr="009A64AE">
              <w:rPr>
                <w:color w:val="000000"/>
                <w:sz w:val="20"/>
              </w:rPr>
              <w:t>1</w:t>
            </w:r>
          </w:p>
        </w:tc>
      </w:tr>
      <w:tr w:rsidR="00135DE8" w:rsidRPr="009A64A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16B" w:rsidRPr="009A64AE" w:rsidRDefault="00AB4E43">
            <w:pPr>
              <w:autoSpaceDE w:val="0"/>
              <w:autoSpaceDN w:val="0"/>
              <w:adjustRightInd w:val="0"/>
              <w:rPr>
                <w:b/>
                <w:bCs/>
                <w:color w:val="000000"/>
                <w:sz w:val="20"/>
              </w:rPr>
            </w:pPr>
            <w:r w:rsidRPr="009A64AE">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16B" w:rsidRPr="009A64AE" w:rsidRDefault="00AB4E43">
            <w:pPr>
              <w:autoSpaceDE w:val="0"/>
              <w:autoSpaceDN w:val="0"/>
              <w:adjustRightInd w:val="0"/>
              <w:rPr>
                <w:color w:val="000000"/>
                <w:sz w:val="20"/>
              </w:rPr>
            </w:pPr>
            <w:r w:rsidRPr="009A64AE">
              <w:rPr>
                <w:color w:val="000000"/>
                <w:sz w:val="20"/>
              </w:rPr>
              <w:t xml:space="preserve">Maravillas Abadía Jover, </w:t>
            </w:r>
            <w:r w:rsidRPr="009A64AE">
              <w:rPr>
                <w:color w:val="000000"/>
                <w:sz w:val="20"/>
              </w:rPr>
              <w:t>Grégory Allione, Nikola Bartůšek, Vilija Blinkevičiūtė, Rachel Blom, Andrzej Buła, Estelle Ceulemans, Leila Chaibi, Henrik Dahl, Johan Danielsson, Marie Dauchy, Mélanie Disdier, Elena Donazzan, Gheorghe Falcă, Chiara Gemma, Niels Geuking, Isilda Gomes, Ali</w:t>
            </w:r>
            <w:r w:rsidRPr="009A64AE">
              <w:rPr>
                <w:color w:val="000000"/>
                <w:sz w:val="20"/>
              </w:rPr>
              <w:t>cia Homs Ginel, Sérgio Humberto, Irena Joveva, Martine Kemp, Katrin Langensiepen, Miriam Lexmann, Marit Maij, Idoia Mendia, Maria Ohisalo, João Oliveira, Aodhán Ó Ríordáin, Dennis Radtke, Liesbet Sommen, Villy Søvndal, Pál Szekeres, Georgiana Teodorescu, R</w:t>
            </w:r>
            <w:r w:rsidRPr="009A64AE">
              <w:rPr>
                <w:color w:val="000000"/>
                <w:sz w:val="20"/>
              </w:rPr>
              <w:t>omana Tomc, Jana Toom, Raffaele Topo, Brigitte van den Berg, Marie-Pierre Vedrenne, Mariateresa Vivaldini, Petar Volgin, Jan-Peter Warnke, Séverine Werbrouck</w:t>
            </w:r>
          </w:p>
        </w:tc>
      </w:tr>
      <w:tr w:rsidR="00135DE8" w:rsidRPr="009A64A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616B" w:rsidRPr="009A64AE" w:rsidRDefault="00AB4E43">
            <w:pPr>
              <w:autoSpaceDE w:val="0"/>
              <w:autoSpaceDN w:val="0"/>
              <w:adjustRightInd w:val="0"/>
              <w:rPr>
                <w:b/>
                <w:bCs/>
                <w:color w:val="000000"/>
                <w:sz w:val="20"/>
              </w:rPr>
            </w:pPr>
            <w:r w:rsidRPr="009A64AE">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616B" w:rsidRPr="009A64AE" w:rsidRDefault="00AB4E43">
            <w:pPr>
              <w:autoSpaceDE w:val="0"/>
              <w:autoSpaceDN w:val="0"/>
              <w:adjustRightInd w:val="0"/>
              <w:rPr>
                <w:color w:val="000000"/>
                <w:sz w:val="20"/>
              </w:rPr>
            </w:pPr>
            <w:r w:rsidRPr="009A64AE">
              <w:rPr>
                <w:color w:val="000000"/>
                <w:sz w:val="20"/>
              </w:rPr>
              <w:t>Borys Budka, Vivien Costanzo, Andi Cristea, Klára Do</w:t>
            </w:r>
            <w:r w:rsidRPr="009A64AE">
              <w:rPr>
                <w:color w:val="000000"/>
                <w:sz w:val="20"/>
              </w:rPr>
              <w:t>brev, Estrella Galán, Rudi Kennes, Pierfrancesco Maran, Benedetta Scuderi, Andrea Wechsler, Angelika Winzig</w:t>
            </w:r>
          </w:p>
        </w:tc>
      </w:tr>
      <w:tr w:rsidR="00135DE8" w:rsidRPr="009A64A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616B" w:rsidRPr="009A64AE" w:rsidRDefault="00AB4E43">
            <w:pPr>
              <w:autoSpaceDE w:val="0"/>
              <w:autoSpaceDN w:val="0"/>
              <w:adjustRightInd w:val="0"/>
              <w:rPr>
                <w:b/>
                <w:bCs/>
                <w:color w:val="000000"/>
                <w:sz w:val="20"/>
              </w:rPr>
            </w:pPr>
            <w:r w:rsidRPr="009A64AE">
              <w:rPr>
                <w:b/>
                <w:color w:val="000000"/>
                <w:sz w:val="20"/>
              </w:rPr>
              <w:t>Reglamenta 216. panta 7. punktā minētie deputāti,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616B" w:rsidRPr="009A64AE" w:rsidRDefault="00AB4E43">
            <w:pPr>
              <w:autoSpaceDE w:val="0"/>
              <w:autoSpaceDN w:val="0"/>
              <w:adjustRightInd w:val="0"/>
              <w:rPr>
                <w:color w:val="000000"/>
                <w:sz w:val="20"/>
              </w:rPr>
            </w:pPr>
            <w:r w:rsidRPr="009A64AE">
              <w:rPr>
                <w:color w:val="000000"/>
                <w:sz w:val="20"/>
              </w:rPr>
              <w:t>Salvatore De Meo</w:t>
            </w:r>
          </w:p>
        </w:tc>
      </w:tr>
    </w:tbl>
    <w:p w:rsidR="0031616B" w:rsidRPr="009A64AE" w:rsidRDefault="0031616B" w:rsidP="0031616B"/>
    <w:bookmarkEnd w:id="2"/>
    <w:p w:rsidR="0031616B" w:rsidRPr="009A64AE" w:rsidRDefault="0031616B" w:rsidP="0031616B">
      <w:pPr>
        <w:sectPr w:rsidR="0031616B" w:rsidRPr="009A64AE" w:rsidSect="003161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1616B" w:rsidRPr="009A64AE" w:rsidRDefault="00AB4E43" w:rsidP="00F60663">
      <w:pPr>
        <w:pStyle w:val="PageHeadingNotTOC"/>
      </w:pPr>
      <w:bookmarkStart w:id="3" w:name="RollCallPageAD"/>
      <w:r w:rsidRPr="009A64AE">
        <w:t xml:space="preserve">ATZINUMU </w:t>
      </w:r>
      <w:r w:rsidRPr="009A64AE">
        <w:t>SNIEDZOŠĀS KOMITEJAS</w:t>
      </w:r>
      <w:r>
        <w:br/>
      </w:r>
      <w:r w:rsidRPr="009A64AE">
        <w:t>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35DE8" w:rsidRPr="009A64AE"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9A64AE" w:rsidRDefault="00AB4E43">
            <w:pPr>
              <w:pStyle w:val="RollCallVotes"/>
            </w:pPr>
            <w:r w:rsidRPr="009A64AE">
              <w:t>40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9A64AE" w:rsidRDefault="00AB4E43">
            <w:pPr>
              <w:pStyle w:val="RollCallSymbols14pt"/>
            </w:pPr>
            <w:r w:rsidRPr="009A64AE">
              <w:t>+</w:t>
            </w:r>
          </w:p>
        </w:tc>
      </w:tr>
      <w:tr w:rsidR="00135DE8" w:rsidRPr="009A64AE"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9A64AE" w:rsidRDefault="00AB4E43">
            <w:pPr>
              <w:pStyle w:val="RollCallTable"/>
            </w:pPr>
            <w:r w:rsidRPr="009A64AE">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9A64AE" w:rsidRDefault="00AB4E43">
            <w:pPr>
              <w:pStyle w:val="RollCallTable"/>
            </w:pPr>
            <w:r w:rsidRPr="009A64AE">
              <w:t>Jan-Peter Warnke</w:t>
            </w:r>
          </w:p>
        </w:tc>
      </w:tr>
      <w:tr w:rsidR="00135DE8" w:rsidRPr="009A64AE"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9A64AE" w:rsidRDefault="00AB4E43">
            <w:pPr>
              <w:pStyle w:val="RollCallTable"/>
            </w:pPr>
            <w:r w:rsidRPr="009A64AE">
              <w:t>EPP</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9A64AE" w:rsidRDefault="00AB4E43">
            <w:pPr>
              <w:pStyle w:val="RollCallTable"/>
            </w:pPr>
            <w:r w:rsidRPr="009A64AE">
              <w:t xml:space="preserve">Maravillas Abadía Jover, Borys Budka, Andrzej Buła, Salvatore De Meo, Gheorghe Falcă, Niels Geuking, Sérgio Humberto, Martine Kemp, Miriam Lexmann, Dennis Radtke, Liesbet </w:t>
            </w:r>
            <w:r w:rsidRPr="009A64AE">
              <w:t>Sommen, Romana Tomc, Andrea Wechsler, Angelika Winzig</w:t>
            </w:r>
          </w:p>
        </w:tc>
      </w:tr>
      <w:tr w:rsidR="00135DE8" w:rsidRPr="009A64AE"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9A64AE" w:rsidRDefault="00AB4E43">
            <w:pPr>
              <w:pStyle w:val="RollCallTable"/>
            </w:pPr>
            <w:r w:rsidRPr="009A64AE">
              <w:t>"Renew Europe"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9A64AE" w:rsidRDefault="00AB4E43">
            <w:pPr>
              <w:pStyle w:val="RollCallTable"/>
            </w:pPr>
            <w:r w:rsidRPr="009A64AE">
              <w:t>Grégory Allione, Irena Joveva, Jana Toom, Brigitte van den Berg, Marie-Pierre Vedrenne</w:t>
            </w:r>
          </w:p>
        </w:tc>
      </w:tr>
      <w:tr w:rsidR="00135DE8" w:rsidRPr="009A64AE"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9A64AE" w:rsidRDefault="00AB4E43">
            <w:pPr>
              <w:pStyle w:val="RollCallTable"/>
            </w:pPr>
            <w:r w:rsidRPr="009A64AE">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9A64AE" w:rsidRDefault="00AB4E43">
            <w:pPr>
              <w:pStyle w:val="RollCallTable"/>
            </w:pPr>
            <w:r w:rsidRPr="009A64AE">
              <w:t xml:space="preserve">Vilija Blinkevičiūtė, Estelle Ceulemans, Andi Cristea, Johan Danielsson, Klára Dobrev, Isilda </w:t>
            </w:r>
            <w:r w:rsidRPr="009A64AE">
              <w:t>Gomes, Alicia Homs Ginel, Marit Maij, Pierfrancesco Maran, Idoia Mendia, Aodhán Ó Ríordáin, Raffaele Topo</w:t>
            </w:r>
          </w:p>
        </w:tc>
      </w:tr>
      <w:tr w:rsidR="00135DE8" w:rsidRPr="009A64AE"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9A64AE" w:rsidRDefault="00AB4E43">
            <w:pPr>
              <w:pStyle w:val="RollCallTable"/>
            </w:pPr>
            <w:r w:rsidRPr="009A64AE">
              <w:t>Grupa "The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9A64AE" w:rsidRDefault="00AB4E43">
            <w:pPr>
              <w:pStyle w:val="RollCallTable"/>
            </w:pPr>
            <w:r w:rsidRPr="009A64AE">
              <w:t>Leila Chaibi, Estrella Galán, Rudi Kennes, João Oliveira</w:t>
            </w:r>
          </w:p>
        </w:tc>
      </w:tr>
      <w:tr w:rsidR="00135DE8" w:rsidRPr="009A64AE"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9A64AE" w:rsidRDefault="00AB4E43">
            <w:pPr>
              <w:pStyle w:val="RollCallTable"/>
            </w:pPr>
            <w:r w:rsidRPr="009A64AE">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9A64AE" w:rsidRDefault="00AB4E43">
            <w:pPr>
              <w:pStyle w:val="RollCallTable"/>
            </w:pPr>
            <w:r w:rsidRPr="009A64AE">
              <w:t xml:space="preserve">Katrin Langensiepen, Maria Ohisalo, Benedetta Scuderi, Villy </w:t>
            </w:r>
            <w:r w:rsidRPr="009A64AE">
              <w:t>Søvndal</w:t>
            </w:r>
          </w:p>
        </w:tc>
      </w:tr>
    </w:tbl>
    <w:p w:rsidR="0031616B" w:rsidRPr="009A64AE" w:rsidRDefault="0031616B" w:rsidP="0031616B">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35DE8" w:rsidRPr="009A64AE"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9A64AE" w:rsidRDefault="00AB4E43">
            <w:pPr>
              <w:pStyle w:val="RollCallVotes"/>
            </w:pPr>
            <w:r w:rsidRPr="009A64AE">
              <w:t>11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9A64AE" w:rsidRDefault="00AB4E43">
            <w:pPr>
              <w:pStyle w:val="RollCallSymbols14pt"/>
            </w:pPr>
            <w:r w:rsidRPr="009A64AE">
              <w:t>–</w:t>
            </w:r>
          </w:p>
        </w:tc>
      </w:tr>
      <w:tr w:rsidR="00135DE8" w:rsidRPr="009A64AE"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9A64AE" w:rsidRDefault="00AB4E43">
            <w:pPr>
              <w:pStyle w:val="RollCallTable"/>
            </w:pPr>
            <w:r w:rsidRPr="009A64AE">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9A64AE" w:rsidRDefault="00AB4E43">
            <w:pPr>
              <w:pStyle w:val="RollCallTable"/>
            </w:pPr>
            <w:r w:rsidRPr="009A64AE">
              <w:t>Elena Donazzan, Chiara Gemma, Georgiana Teodorescu, Mariateresa Vivaldini</w:t>
            </w:r>
          </w:p>
        </w:tc>
      </w:tr>
      <w:tr w:rsidR="00135DE8" w:rsidRPr="009A64AE"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9A64AE" w:rsidRDefault="00AB4E43">
            <w:pPr>
              <w:pStyle w:val="RollCallTable"/>
            </w:pPr>
            <w:r w:rsidRPr="009A64AE">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9A64AE" w:rsidRDefault="00AB4E43">
            <w:pPr>
              <w:pStyle w:val="RollCallTable"/>
            </w:pPr>
            <w:r w:rsidRPr="009A64AE">
              <w:t>Petar Volgin</w:t>
            </w:r>
          </w:p>
        </w:tc>
      </w:tr>
      <w:tr w:rsidR="00135DE8" w:rsidRPr="009A64AE"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9A64AE" w:rsidRDefault="00AB4E43">
            <w:pPr>
              <w:pStyle w:val="RollCallTable"/>
            </w:pPr>
            <w:r w:rsidRPr="009A64AE">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9A64AE" w:rsidRDefault="00AB4E43">
            <w:pPr>
              <w:pStyle w:val="RollCallTable"/>
            </w:pPr>
            <w:r w:rsidRPr="009A64AE">
              <w:t>Nikola Bartůšek, Rachel Blom, Marie Dauchy, Mélanie Disdier, Pál Szekeres, Séverine Werbrouck</w:t>
            </w:r>
          </w:p>
        </w:tc>
      </w:tr>
    </w:tbl>
    <w:p w:rsidR="0031616B" w:rsidRPr="009A64AE" w:rsidRDefault="0031616B" w:rsidP="0031616B">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135DE8" w:rsidRPr="009A64AE"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9A64AE" w:rsidRDefault="00AB4E43">
            <w:pPr>
              <w:pStyle w:val="RollCallVotes"/>
            </w:pPr>
            <w:r w:rsidRPr="009A64AE">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9A64AE" w:rsidRDefault="00AB4E43">
            <w:pPr>
              <w:pStyle w:val="RollCallSymbols14pt"/>
            </w:pPr>
            <w:r w:rsidRPr="009A64AE">
              <w:t>0</w:t>
            </w:r>
          </w:p>
        </w:tc>
      </w:tr>
      <w:tr w:rsidR="00135DE8" w:rsidRPr="009A64AE"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9A64AE" w:rsidRDefault="00AB4E43">
            <w:pPr>
              <w:pStyle w:val="RollCallTable"/>
            </w:pPr>
            <w:r w:rsidRPr="009A64AE">
              <w:t>EPP</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9A64AE" w:rsidRDefault="00AB4E43">
            <w:pPr>
              <w:pStyle w:val="RollCallTable"/>
            </w:pPr>
            <w:r w:rsidRPr="009A64AE">
              <w:t>Henrik Dahl</w:t>
            </w:r>
          </w:p>
        </w:tc>
      </w:tr>
    </w:tbl>
    <w:p w:rsidR="0031616B" w:rsidRPr="009A64AE" w:rsidRDefault="0031616B" w:rsidP="0031616B">
      <w:pPr>
        <w:pStyle w:val="Normal12a"/>
      </w:pPr>
    </w:p>
    <w:p w:rsidR="0031616B" w:rsidRPr="009A64AE" w:rsidRDefault="00AB4E43" w:rsidP="00F60663">
      <w:r w:rsidRPr="009A64AE">
        <w:t>Izmantoto apzīmējumu</w:t>
      </w:r>
      <w:r w:rsidRPr="009A64AE">
        <w:t xml:space="preserve"> skaidrojums:</w:t>
      </w:r>
    </w:p>
    <w:p w:rsidR="0031616B" w:rsidRPr="009A64AE" w:rsidRDefault="00AB4E43" w:rsidP="00F60663">
      <w:pPr>
        <w:pStyle w:val="RollCallTabs"/>
      </w:pPr>
      <w:r w:rsidRPr="009A64AE">
        <w:t>+</w:t>
      </w:r>
      <w:r w:rsidRPr="009A64AE">
        <w:tab/>
        <w:t>:</w:t>
      </w:r>
      <w:r w:rsidRPr="009A64AE">
        <w:tab/>
        <w:t>par</w:t>
      </w:r>
    </w:p>
    <w:p w:rsidR="0031616B" w:rsidRPr="009A64AE" w:rsidRDefault="00AB4E43" w:rsidP="00F60663">
      <w:pPr>
        <w:pStyle w:val="RollCallTabs"/>
      </w:pPr>
      <w:r w:rsidRPr="009A64AE">
        <w:t>–</w:t>
      </w:r>
      <w:r w:rsidRPr="009A64AE">
        <w:tab/>
        <w:t>:</w:t>
      </w:r>
      <w:r w:rsidRPr="009A64AE">
        <w:tab/>
        <w:t>pret</w:t>
      </w:r>
    </w:p>
    <w:p w:rsidR="0031616B" w:rsidRPr="009A64AE" w:rsidRDefault="00AB4E43" w:rsidP="00F60663">
      <w:pPr>
        <w:pStyle w:val="RollCallTabs"/>
      </w:pPr>
      <w:r w:rsidRPr="009A64AE">
        <w:t>0</w:t>
      </w:r>
      <w:r w:rsidRPr="009A64AE">
        <w:tab/>
        <w:t>:</w:t>
      </w:r>
      <w:r w:rsidRPr="009A64AE">
        <w:tab/>
        <w:t>atturas</w:t>
      </w:r>
    </w:p>
    <w:bookmarkEnd w:id="3"/>
    <w:p w:rsidR="00BF0AFC" w:rsidRPr="009A64AE" w:rsidRDefault="00BF0AFC" w:rsidP="0031616B"/>
    <w:sectPr w:rsidR="00BF0AFC" w:rsidRPr="009A64AE" w:rsidSect="003161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A64AE" w:rsidRDefault="00AB4E43">
      <w:r w:rsidRPr="009A64AE">
        <w:separator/>
      </w:r>
    </w:p>
  </w:endnote>
  <w:endnote w:type="continuationSeparator" w:id="0">
    <w:p w:rsidR="00000000" w:rsidRPr="009A64AE" w:rsidRDefault="00AB4E43">
      <w:r w:rsidRPr="009A64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820" w:rsidRPr="009A64AE" w:rsidRDefault="00AF4820" w:rsidP="00AF4820">
    <w:pPr>
      <w:pStyle w:val="EPFooter"/>
    </w:pPr>
    <w:r w:rsidRPr="009A64AE">
      <w:t>PE</w:t>
    </w:r>
    <w:r w:rsidRPr="009A64AE">
      <w:rPr>
        <w:rStyle w:val="HideTWBExt"/>
      </w:rPr>
      <w:t>&lt;NoPE&gt;</w:t>
    </w:r>
    <w:r w:rsidRPr="009A64AE">
      <w:t>768.112</w:t>
    </w:r>
    <w:r w:rsidRPr="009A64AE">
      <w:rPr>
        <w:rStyle w:val="HideTWBExt"/>
      </w:rPr>
      <w:t>&lt;/NoPE&gt;&lt;Version&gt;</w:t>
    </w:r>
    <w:r w:rsidRPr="009A64AE">
      <w:t>v02-00</w:t>
    </w:r>
    <w:r w:rsidRPr="009A64AE">
      <w:rPr>
        <w:rStyle w:val="HideTWBExt"/>
      </w:rPr>
      <w:t>&lt;/Version&gt;</w:t>
    </w:r>
    <w:r w:rsidRPr="009A64AE">
      <w:tab/>
    </w:r>
    <w:r w:rsidRPr="009A64AE">
      <w:fldChar w:fldCharType="begin"/>
    </w:r>
    <w:r w:rsidRPr="009A64AE">
      <w:instrText xml:space="preserve"> PAGE  \* MERGEFORMAT </w:instrText>
    </w:r>
    <w:r w:rsidRPr="009A64AE">
      <w:fldChar w:fldCharType="separate"/>
    </w:r>
    <w:r w:rsidR="00AB4E43">
      <w:rPr>
        <w:noProof/>
      </w:rPr>
      <w:t>2</w:t>
    </w:r>
    <w:r w:rsidRPr="009A64AE">
      <w:fldChar w:fldCharType="end"/>
    </w:r>
    <w:r w:rsidRPr="009A64AE">
      <w:t>/</w:t>
    </w:r>
    <w:fldSimple w:instr=" NUMPAGES  \* MERGEFORMAT ">
      <w:r w:rsidR="00AB4E43">
        <w:rPr>
          <w:noProof/>
        </w:rPr>
        <w:t>36</w:t>
      </w:r>
    </w:fldSimple>
    <w:r w:rsidRPr="009A64AE">
      <w:tab/>
    </w:r>
    <w:r w:rsidRPr="009A64AE">
      <w:rPr>
        <w:rStyle w:val="HideTWBExt"/>
      </w:rPr>
      <w:t>&lt;PathFdR&gt;</w:t>
    </w:r>
    <w:r w:rsidRPr="009A64AE">
      <w:t>AD\1317257LV.docx</w:t>
    </w:r>
    <w:r w:rsidRPr="009A64AE">
      <w:rPr>
        <w:rStyle w:val="HideTWBExt"/>
      </w:rPr>
      <w:t>&lt;/PathFdR&gt;</w:t>
    </w:r>
  </w:p>
  <w:p w:rsidR="008F0ED2" w:rsidRPr="009A64AE" w:rsidRDefault="00AF4820" w:rsidP="00AF4820">
    <w:pPr>
      <w:pStyle w:val="EPFooter2"/>
    </w:pPr>
    <w:r w:rsidRPr="009A64AE">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820" w:rsidRPr="009A64AE" w:rsidRDefault="00AF4820" w:rsidP="00AF4820">
    <w:pPr>
      <w:pStyle w:val="EPFooter"/>
    </w:pPr>
    <w:r w:rsidRPr="009A64AE">
      <w:rPr>
        <w:rStyle w:val="HideTWBExt"/>
      </w:rPr>
      <w:t>&lt;PathFdR&gt;</w:t>
    </w:r>
    <w:r w:rsidRPr="009A64AE">
      <w:t>AD\1317257LV.docx</w:t>
    </w:r>
    <w:r w:rsidRPr="009A64AE">
      <w:rPr>
        <w:rStyle w:val="HideTWBExt"/>
      </w:rPr>
      <w:t>&lt;/PathFdR&gt;</w:t>
    </w:r>
    <w:r w:rsidRPr="009A64AE">
      <w:tab/>
    </w:r>
    <w:r w:rsidRPr="009A64AE">
      <w:fldChar w:fldCharType="begin"/>
    </w:r>
    <w:r w:rsidRPr="009A64AE">
      <w:instrText xml:space="preserve"> PAGE  \* MERGEFORMAT </w:instrText>
    </w:r>
    <w:r w:rsidRPr="009A64AE">
      <w:fldChar w:fldCharType="separate"/>
    </w:r>
    <w:r w:rsidR="00AB4E43">
      <w:rPr>
        <w:noProof/>
      </w:rPr>
      <w:t>33</w:t>
    </w:r>
    <w:r w:rsidRPr="009A64AE">
      <w:fldChar w:fldCharType="end"/>
    </w:r>
    <w:r w:rsidRPr="009A64AE">
      <w:t>/</w:t>
    </w:r>
    <w:fldSimple w:instr=" NUMPAGES  \* MERGEFORMAT ">
      <w:r w:rsidR="00AB4E43">
        <w:rPr>
          <w:noProof/>
        </w:rPr>
        <w:t>37</w:t>
      </w:r>
    </w:fldSimple>
    <w:r w:rsidRPr="009A64AE">
      <w:tab/>
      <w:t>PE</w:t>
    </w:r>
    <w:r w:rsidRPr="009A64AE">
      <w:rPr>
        <w:rStyle w:val="HideTWBExt"/>
      </w:rPr>
      <w:t>&lt;NoPE&gt;</w:t>
    </w:r>
    <w:r w:rsidRPr="009A64AE">
      <w:t>768.112</w:t>
    </w:r>
    <w:r w:rsidRPr="009A64AE">
      <w:rPr>
        <w:rStyle w:val="HideTWBExt"/>
      </w:rPr>
      <w:t>&lt;/NoPE&gt;&lt;Version&gt;</w:t>
    </w:r>
    <w:r w:rsidRPr="009A64AE">
      <w:t>v02-00</w:t>
    </w:r>
    <w:r w:rsidRPr="009A64AE">
      <w:rPr>
        <w:rStyle w:val="HideTWBExt"/>
      </w:rPr>
      <w:t>&lt;/Version&gt;</w:t>
    </w:r>
  </w:p>
  <w:p w:rsidR="008F0ED2" w:rsidRPr="009A64AE" w:rsidRDefault="00AF4820" w:rsidP="00AF4820">
    <w:pPr>
      <w:pStyle w:val="EPFooter2"/>
    </w:pPr>
    <w:r w:rsidRPr="009A64AE">
      <w:tab/>
    </w:r>
    <w:r w:rsidRPr="009A64AE">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820" w:rsidRPr="009A64AE" w:rsidRDefault="00AF4820" w:rsidP="00AF4820">
    <w:pPr>
      <w:pStyle w:val="EPFooter"/>
    </w:pPr>
    <w:r w:rsidRPr="009A64AE">
      <w:rPr>
        <w:rStyle w:val="HideTWBExt"/>
      </w:rPr>
      <w:t>&lt;PathFdR&gt;</w:t>
    </w:r>
    <w:r w:rsidRPr="009A64AE">
      <w:t>AD\1317257LV.docx</w:t>
    </w:r>
    <w:r w:rsidRPr="009A64AE">
      <w:rPr>
        <w:rStyle w:val="HideTWBExt"/>
      </w:rPr>
      <w:t>&lt;/PathFdR&gt;</w:t>
    </w:r>
    <w:r w:rsidRPr="009A64AE">
      <w:tab/>
    </w:r>
    <w:r w:rsidRPr="009A64AE">
      <w:tab/>
      <w:t>PE</w:t>
    </w:r>
    <w:r w:rsidRPr="009A64AE">
      <w:rPr>
        <w:rStyle w:val="HideTWBExt"/>
      </w:rPr>
      <w:t>&lt;NoPE&gt;</w:t>
    </w:r>
    <w:r w:rsidRPr="009A64AE">
      <w:t>768.112</w:t>
    </w:r>
    <w:r w:rsidRPr="009A64AE">
      <w:rPr>
        <w:rStyle w:val="HideTWBExt"/>
      </w:rPr>
      <w:t>&lt;/NoPE&gt;&lt;Version&gt;</w:t>
    </w:r>
    <w:r w:rsidRPr="009A64AE">
      <w:t>v02-00</w:t>
    </w:r>
    <w:r w:rsidRPr="009A64AE">
      <w:rPr>
        <w:rStyle w:val="HideTWBExt"/>
      </w:rPr>
      <w:t>&lt;/Version&gt;</w:t>
    </w:r>
  </w:p>
  <w:p w:rsidR="008F0ED2" w:rsidRPr="009A64AE" w:rsidRDefault="00AF4820" w:rsidP="00AF4820">
    <w:pPr>
      <w:pStyle w:val="EPFooter2"/>
    </w:pPr>
    <w:r w:rsidRPr="009A64AE">
      <w:t>LV</w:t>
    </w:r>
    <w:r w:rsidRPr="009A64AE">
      <w:tab/>
    </w:r>
    <w:r w:rsidRPr="009A64AE">
      <w:rPr>
        <w:b w:val="0"/>
        <w:i/>
        <w:color w:val="C0C0C0"/>
        <w:sz w:val="22"/>
      </w:rPr>
      <w:t>Vienoti daudzveidībā</w:t>
    </w:r>
    <w:r w:rsidRPr="009A64AE">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A64AE" w:rsidRDefault="00AB4E43">
      <w:r w:rsidRPr="009A64AE">
        <w:separator/>
      </w:r>
    </w:p>
  </w:footnote>
  <w:footnote w:type="continuationSeparator" w:id="0">
    <w:p w:rsidR="00000000" w:rsidRPr="009A64AE" w:rsidRDefault="00AB4E43">
      <w:r w:rsidRPr="009A64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E43" w:rsidRDefault="00AB4E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E43" w:rsidRDefault="00AB4E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E43" w:rsidRDefault="00AB4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2"/>
    <w:docVar w:name="CODEMNU" w:val=" 1"/>
    <w:docVar w:name="COM2KEY" w:val="CJ16"/>
    <w:docVar w:name="COMKEY" w:val="EMPL"/>
    <w:docVar w:name="CONTRIBUTIONMNU" w:val=" 2"/>
    <w:docVar w:name="CVar" w:val="2"/>
    <w:docVar w:name="DDATE" w:val="11/02/2025"/>
    <w:docVar w:name="DOCMNU" w:val=" 1"/>
    <w:docVar w:name="DOCREFINIMNU" w:val=" 1"/>
    <w:docVar w:name="FONCTIONMNU" w:val=" 1"/>
    <w:docVar w:name="iNoAmend" w:val="2"/>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26753 HideTWBExt;}{\*\cs18 \additive \v\f1\fs20\cf15 _x000d__x000a_\spriority0 \styrsid3826753 HideTWBInt;}{\s19\ql \li0\ri0\nowidctlpar\wrapdefault\aspalpha\aspnum\faauto\adjustright\rin0\lin0\itap0 \rtlch\fcs1 \af0\afs20\alang1025 \ltrch\fcs0 \b\fs24\lang2057\langfe2057\cgrid\langnp2057\langfenp2057 _x000d__x000a_\sbasedon0 \snext19 \spriority0 \styrsid3826753 NormalBold;}{\s20\ql \li0\ri0\sa120\nowidctlpar\wrapdefault\aspalpha\aspnum\faauto\adjustright\rin0\lin0\itap0 \rtlch\fcs1 \af0\afs20\alang1025 \ltrch\fcs0 _x000d__x000a_\fs24\lang2057\langfe2057\cgrid\langnp2057\langfenp2057 \sbasedon0 \snext20 \spriority0 \styrsid3826753 Normal6a;}{\s21\qc \li0\ri0\sa240\nowidctlpar\wrapdefault\aspalpha\aspnum\faauto\adjustright\rin0\lin0\itap0 \rtlch\fcs1 \af0\afs20\alang1025 _x000d__x000a_\ltrch\fcs0 \i\fs24\lang2057\langfe2057\cgrid\langnp2057\langfenp2057 \sbasedon0 \snext21 \spriority0 \styrsid382675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26753 AmNumberTabs;}{\s23\ql \li0\ri0\sb240\nowidctlpar\wrapdefault\aspalpha\aspnum\faauto\adjustright\rin0\lin0\itap0 \rtlch\fcs1 _x000d__x000a_\af0\afs20\alang1025 \ltrch\fcs0 \b\fs24\lang2057\langfe2057\cgrid\langnp2057\langfenp2057 \sbasedon0 \snext23 \spriority0 \styrsid3826753 NormalBold12b;}}{\*\rsidtbl \rsid24658\rsid223860\rsid735077\rsid1718133\rsid2892074\rsid3565327\rsid3826753_x000d__x000a_\rsid4666813\rsid52474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35}{\nofchars198}{\nofcharsws2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26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47413 \chftnsep _x000d__x000a_\par }}{\*\ftnsepc \ltrpar \pard\plain \ltrpar\ql \li0\ri0\widctlpar\wrapdefault\aspalpha\aspnum\faauto\adjustright\rin0\lin0\itap0 \rtlch\fcs1 \af0\afs20\alang1025 \ltrch\fcs0 \fs24\lang2057\langfe2057\cgrid\langnp2057\langfenp2057 {\rtlch\fcs1 \af0 _x000d__x000a_\ltrch\fcs0 \insrsid5247413 \chftnsepc _x000d__x000a_\par }}{\*\aftnsep \ltrpar \pard\plain \ltrpar\ql \li0\ri0\widctlpar\wrapdefault\aspalpha\aspnum\faauto\adjustright\rin0\lin0\itap0 \rtlch\fcs1 \af0\afs20\alang1025 \ltrch\fcs0 \fs24\lang2057\langfe2057\cgrid\langnp2057\langfenp2057 {\rtlch\fcs1 \af0 _x000d__x000a_\ltrch\fcs0 \insrsid5247413 \chftnsep _x000d__x000a_\par }}{\*\aftnsepc \ltrpar \pard\plain \ltrpar\ql \li0\ri0\widctlpar\wrapdefault\aspalpha\aspnum\faauto\adjustright\rin0\lin0\itap0 \rtlch\fcs1 \af0\afs20\alang1025 \ltrch\fcs0 \fs24\lang2057\langfe2057\cgrid\langnp2057\langfenp2057 {\rtlch\fcs1 \af0 _x000d__x000a_\ltrch\fcs0 \insrsid52474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826753 \rtlch\fcs1 _x000d__x000a_\af0\afs20\alang1025 \ltrch\fcs0 \b\fs24\lang2057\langfe2057\cgrid\langnp2057\langfenp2057 {\rtlch\fcs1 \af0 \ltrch\fcs0 \cs17\b0\v\fs20\cf9\lang1024\langfe1024\loch\af1\hich\af1\dbch\af31501\noproof\insrsid3826753\charrsid2903824 {\*\bkmkstart restart}_x000d__x000a_\hich\af1\dbch\af31501\loch\f1 &lt;Amend&gt;}{\rtlch\fcs1 \af0 \ltrch\fcs0 \insrsid3826753\charrsid2903824 Amendment\tab \tab }{\rtlch\fcs1 \af0 \ltrch\fcs0 _x000d__x000a_\cs17\b0\v\fs20\cf9\lang1024\langfe1024\loch\af1\hich\af1\dbch\af31501\noproof\insrsid3826753\charrsid2903824 \hich\af1\dbch\af31501\loch\f1 &lt;NumAm&gt;}{\rtlch\fcs1 \af0 \ltrch\fcs0 \insrsid3826753\charrsid2903824 #}{\rtlch\fcs1 \af1 \ltrch\fcs0 _x000d__x000a_\cs18\v\f1\fs20\cf15\insrsid3826753\charrsid2903824 ENMIENDA@NRAM@}{\rtlch\fcs1 \af0 \ltrch\fcs0 \insrsid3826753\charrsid2903824 #}{\rtlch\fcs1 \af0 \ltrch\fcs0 _x000d__x000a_\cs17\b0\v\fs20\cf9\lang1024\langfe1024\loch\af1\hich\af1\dbch\af31501\noproof\insrsid3826753\charrsid2903824 \hich\af1\dbch\af31501\loch\f1 &lt;/NumAm&gt;}{\rtlch\fcs1 \af0 \ltrch\fcs0 \insrsid3826753\charrsid2903824 _x000d__x000a_\par }\pard\plain \ltrpar\s23\ql \li0\ri0\sb240\keepn\nowidctlpar\wrapdefault\aspalpha\aspnum\faauto\adjustright\rin0\lin0\itap0\pararsid3826753 \rtlch\fcs1 \af0\afs20\alang1025 \ltrch\fcs0 \b\fs24\lang2057\langfe2057\cgrid\langnp2057\langfenp2057 {_x000d__x000a_\rtlch\fcs1 \af0 \ltrch\fcs0 \cs17\b0\v\fs20\cf9\lang1024\langfe1024\loch\af1\hich\af1\dbch\af31501\noproof\insrsid3826753\charrsid2903824 \hich\af1\dbch\af31501\loch\f1 &lt;DocAmend&gt;}{\rtlch\fcs1 \af0 \ltrch\fcs0 \insrsid3826753\charrsid2903824 #}{_x000d__x000a_\rtlch\fcs1 \af1 \ltrch\fcs0 \cs18\v\f1\fs20\cf15\insrsid3826753\charrsid2903824 MNU[DOC1][DOC2][DOC3][DOC4]@CHOICE@DOCMNU}{\rtlch\fcs1 \af0 \ltrch\fcs0 \insrsid3826753\charrsid2903824 #}{\rtlch\fcs1 \af0 \ltrch\fcs0 _x000d__x000a_\cs17\b0\v\fs20\cf9\lang1024\langfe1024\loch\af1\hich\af1\dbch\af31501\noproof\insrsid3826753\charrsid2903824 \hich\af1\dbch\af31501\loch\f1 &lt;/DocAmend&gt;}{\rtlch\fcs1 \af0 \ltrch\fcs0 \insrsid3826753\charrsid2903824 _x000d__x000a_\par }\pard\plain \ltrpar\s19\ql \li0\ri0\nowidctlpar\wrapdefault\aspalpha\aspnum\faauto\adjustright\rin0\lin0\itap0\pararsid3826753 \rtlch\fcs1 \af0\afs20\alang1025 \ltrch\fcs0 \b\fs24\lang2057\langfe2057\cgrid\langnp2057\langfenp2057 {\rtlch\fcs1 \af0 _x000d__x000a_\ltrch\fcs0 \cs17\b0\v\fs20\cf9\lang1024\langfe1024\loch\af1\hich\af1\dbch\af31501\noproof\insrsid3826753\charrsid2903824 \hich\af1\dbch\af31501\loch\f1 &lt;Article&gt;}{\rtlch\fcs1 \af0 \ltrch\fcs0 \cf10\insrsid3826753\charrsid10507657 \u9668\'3f}{\rtlch\fcs1 _x000d__x000a_\af0 \ltrch\fcs0 \insrsid3826753\charrsid2903824 #}{\rtlch\fcs1 \af1 \ltrch\fcs0 \cs18\v\f1\fs20\cf15\insrsid3826753\charrsid2903824 TVTAMACTPART@AMPART@}{\rtlch\fcs1 \af0 \ltrch\fcs0 \insrsid3826753\charrsid2903824 #}{\rtlch\fcs1 \af0 \ltrch\fcs0 _x000d__x000a_\cf10\insrsid3826753\charrsid10507657 \u9658\'3f}{\rtlch\fcs1 \af0 \ltrch\fcs0 \cs17\b0\v\fs20\cf9\lang1024\langfe1024\loch\af1\hich\af1\dbch\af31501\noproof\insrsid3826753\charrsid2903824 \hich\af1\dbch\af31501\loch\f1 &lt;/Article&gt;}{\rtlch\fcs1 \af0 _x000d__x000a_\ltrch\fcs0 \insrsid3826753\charrsid2903824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826753\charrsid2903824 \cell }\pard \ltrpar\ql \li0\ri0\widctlpar\intbl\wrapdefault\aspalpha\aspnum\faauto\adjustright\rin0\lin0 {\rtlch\fcs1 \af0 _x000d__x000a_\ltrch\fcs0 \insrsid3826753\charrsid2903824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826753\charrsid2903824 #}{\rtlch\fcs1 \af1 \ltrch\fcs0 \cs18\v\f1\fs20\cf15\insrsid3826753\charrsid2903824 MNU[DOC1][DOC2][DOC3][DOC4]@CHOICE@DOCMNU}{\rtlch\fcs1 \af0 \ltrch\fcs0 \insrsid3826753\charrsid2903824 #\cell Amendment\cell _x000d__x000a_}\pard\plain \ltrpar\ql \li0\ri0\widctlpar\intbl\wrapdefault\aspalpha\aspnum\faauto\adjustright\rin0\lin0 \rtlch\fcs1 \af0\afs20\alang1025 \ltrch\fcs0 \fs24\lang2057\langfe2057\cgrid\langnp2057\langfenp2057 {\rtlch\fcs1 \af0 \ltrch\fcs0 _x000d__x000a_\insrsid3826753\charrsid2903824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826753\charrsid2903824 ##\cell ##}{\rtlch\fcs1 \af0\afs24 \ltrch\fcs0 \insrsid3826753\charrsid2903824 \cell }\pard\plain \ltrpar\ql \li0\ri0\widctlpar\intbl\wrapdefault\aspalpha\aspnum\faauto\adjustright\rin0\lin0 _x000d__x000a_\rtlch\fcs1 \af0\afs20\alang1025 \ltrch\fcs0 \fs24\lang2057\langfe2057\cgrid\langnp2057\langfenp2057 {\rtlch\fcs1 \af0 \ltrch\fcs0 \insrsid3826753\charrsid290382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826753 {\rtlch\fcs1 \af0 \ltrch\fcs0 \cs17\v\fs20\cf9\lang1024\langfe1024\loch\af1\hich\af1\dbch\af31501\noproof\insrsid3826753\charrsid2903824 _x000d__x000a_\hich\af1\dbch\af31501\loch\f1 &lt;/Amend&gt;}{\rtlch\fcs1 \af0 \ltrch\fcs0 \insrsid382675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8_x000d__x000a_2feb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84434 HideTWBExt;}{_x000d__x000a_\s18\ql \li0\ri0\nowidctlpar\wrapdefault\aspalpha\aspnum\faauto\adjustright\rin0\lin0\itap0 \rtlch\fcs1 \af0\afs20\alang1025 \ltrch\fcs0 \b\fs24\lang2057\langfe2057\cgrid\langnp2057\langfenp2057 \sbasedon0 \snext18 \spriority0 \styrsid11284434 _x000d__x000a_NormalBold;}{\s19\ql \li0\ri0\sa120\nowidctlpar\wrapdefault\aspalpha\aspnum\faauto\adjustright\rin0\lin0\itap0 \rtlch\fcs1 \af0\afs20\alang1025 \ltrch\fcs0 \fs24\lang2057\langfe2057\cgrid\langnp2057\langfenp2057 _x000d__x000a_\sbasedon0 \snext19 \spriority0 \styrsid11284434 Normal6a;}{\s20\qc \li0\ri0\sa240\nowidctlpar\wrapdefault\aspalpha\aspnum\faauto\adjustright\rin0\lin0\itap0 \rtlch\fcs1 \af0\afs20\alang1025 \ltrch\fcs0 _x000d__x000a_\i\fs24\lang2057\langfe2057\cgrid\langnp2057\langfenp2057 \sbasedon0 \snext20 \spriority0 \styrsid1128443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84434 AmNumberTabs;}{\s22\ql \li0\ri0\sb240\nowidctlpar\wrapdefault\aspalpha\aspnum\faauto\adjustright\rin0\lin0\itap0 \rtlch\fcs1 _x000d__x000a_\af0\afs20\alang1025 \ltrch\fcs0 \b\fs24\lang2057\langfe2057\cgrid\langnp2057\langfenp2057 \sbasedon0 \snext22 \spriority0 \styrsid11284434 NormalBold12b;}}{\*\rsidtbl \rsid24658\rsid223860\rsid735077\rsid1718133\rsid2892074\rsid3565327\rsid4666813_x000d__x000a_\rsid6641733\rsid7823322\rsid9636012\rsid10177867\rsid10377208\rsid11215221\rsid11284434\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23}{\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84434\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177867 \chftnsep _x000d__x000a_\par }}{\*\ftnsepc \ltrpar \pard\plain \ltrpar\ql \li0\ri0\widctlpar\wrapdefault\aspalpha\aspnum\faauto\adjustright\rin0\lin0\itap0 \rtlch\fcs1 \af0\afs20\alang1025 \ltrch\fcs0 \fs24\lang2057\langfe2057\cgrid\langnp2057\langfenp2057 {\rtlch\fcs1 \af0 _x000d__x000a_\ltrch\fcs0 \insrsid10177867 \chftnsepc _x000d__x000a_\par }}{\*\aftnsep \ltrpar \pard\plain \ltrpar\ql \li0\ri0\widctlpar\wrapdefault\aspalpha\aspnum\faauto\adjustright\rin0\lin0\itap0 \rtlch\fcs1 \af0\afs20\alang1025 \ltrch\fcs0 \fs24\lang2057\langfe2057\cgrid\langnp2057\langfenp2057 {\rtlch\fcs1 \af0 _x000d__x000a_\ltrch\fcs0 \insrsid10177867 \chftnsep _x000d__x000a_\par }}{\*\aftnsepc \ltrpar \pard\plain \ltrpar\ql \li0\ri0\widctlpar\wrapdefault\aspalpha\aspnum\faauto\adjustright\rin0\lin0\itap0 \rtlch\fcs1 \af0\afs20\alang1025 \ltrch\fcs0 \fs24\lang2057\langfe2057\cgrid\langnp2057\langfenp2057 {\rtlch\fcs1 \af0 _x000d__x000a_\ltrch\fcs0 \insrsid10177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84434 \rtlch\fcs1 _x000d__x000a_\af0\afs20\alang1025 \ltrch\fcs0 \b\fs24\lang2057\langfe2057\cgrid\langnp2057\langfenp2057 {\rtlch\fcs1 \af0 \ltrch\fcs0 \cs17\b0\v\fs20\cf9\lang1024\langfe1024\loch\af1\hich\af1\dbch\af31501\noproof\langnp1036\insrsid11284434\charrsid4291528 _x000d__x000a_{\*\bkmkstart restart}\hich\af1\dbch\af31501\loch\f1 &lt;Amend&gt;}{\rtlch\fcs1 \af0 \ltrch\fcs0 \lang1036\langfe2057\langnp1036\insrsid11284434\charrsid4291528 [ZAMENDMENT]\tab \tab }{\rtlch\fcs1 \af0 \ltrch\fcs0 _x000d__x000a_\cs17\b0\v\fs20\cf9\lang1024\langfe1024\loch\af1\hich\af1\dbch\af31501\noproof\langnp1036\insrsid11284434\charrsid4291528 \hich\af1\dbch\af31501\loch\f1 &lt;NumAm&gt;}{\rtlch\fcs1 \af0 \ltrch\fcs0 \lang1036\langfe2057\langnp1036\insrsid11284434\charrsid4291528 _x000d__x000a_[ZNRAM]}{\rtlch\fcs1 \af0 \ltrch\fcs0 \cs17\b0\v\fs20\cf9\lang1024\langfe1024\loch\af1\hich\af1\dbch\af31501\noproof\langnp1036\insrsid11284434\charrsid4291528 \hich\af1\dbch\af31501\loch\f1 &lt;/NumAm&gt;}{\rtlch\fcs1 \af0 \ltrch\fcs0 _x000d__x000a_\lang1036\langfe2057\langnp1036\insrsid11284434\charrsid4291528 _x000d__x000a_\par }\pard\plain \ltrpar\s22\ql \li0\ri0\sb240\keepn\nowidctlpar\wrapdefault\aspalpha\aspnum\faauto\adjustright\rin0\lin0\itap0\pararsid11284434 \rtlch\fcs1 \af0\afs20\alang1025 \ltrch\fcs0 \b\fs24\lang2057\langfe2057\cgrid\langnp2057\langfenp2057 {_x000d__x000a_\rtlch\fcs1 \af0 \ltrch\fcs0 \cs17\b0\v\fs20\cf9\lang1024\langfe1024\loch\af1\hich\af1\dbch\af31501\noproof\langnp1036\insrsid11284434\charrsid4291528 \hich\af1\dbch\af31501\loch\f1 &lt;DocAmend&gt;}{\rtlch\fcs1 \af0 \ltrch\fcs0 _x000d__x000a_\lang1036\langfe2057\langnp1036\insrsid11284434\charrsid4291528 [}{\rtlch\fcs1 \af0 \ltrch\fcs0 \lang1036\langfe2057\langnp1036\insrsid11284434\charrsid3548259 ZPROPOSAL}{\rtlch\fcs1 \af0 \ltrch\fcs0 _x000d__x000a_\lang1036\langfe2057\langnp1036\insrsid11284434\charrsid4291528 ]}{\rtlch\fcs1 \af0 \ltrch\fcs0 \cs17\b0\v\fs20\cf9\lang1024\langfe1024\loch\af1\hich\af1\dbch\af31501\noproof\langnp1036\insrsid11284434\charrsid4291528 \hich\af1\dbch\af31501\loch\f1 _x000d__x000a_&lt;/DocAmend&gt;}{\rtlch\fcs1 \af0 \ltrch\fcs0 \lang1036\langfe2057\langnp1036\insrsid11284434\charrsid4291528 _x000d__x000a_\par }\pard\plain \ltrpar\s18\ql \li0\ri0\nowidctlpar\wrapdefault\aspalpha\aspnum\faauto\adjustright\rin0\lin0\itap0\pararsid11284434 \rtlch\fcs1 \af0\afs20\alang1025 \ltrch\fcs0 \b\fs24\lang2057\langfe2057\cgrid\langnp2057\langfenp2057 {\rtlch\fcs1 \af0 _x000d__x000a_\ltrch\fcs0 \cs17\b0\v\fs20\cf9\lang1024\langfe1024\loch\af1\hich\af1\dbch\af31501\noproof\langnp1036\insrsid11284434\charrsid4291528 \hich\af1\dbch\af31501\loch\f1 &lt;Article&gt;}{\rtlch\fcs1 \af0 \ltrch\fcs0 _x000d__x000a_\lang1036\langfe2057\langnp1036\insrsid11284434\charrsid4291528 [ZAMPART]}{\rtlch\fcs1 \af0 \ltrch\fcs0 \cs17\b0\v\fs20\cf9\lang1024\langfe1024\loch\af1\hich\af1\dbch\af31501\noproof\langnp1036\insrsid11284434\charrsid4291528 _x000d__x000a_\hich\af1\dbch\af31501\loch\f1 &lt;/Article&gt;}{\rtlch\fcs1 \af0 \ltrch\fcs0 \lang1036\langfe2057\langnp1036\insrsid11284434\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84434\charrsid4291528 \cell }\pard \ltrpar_x000d__x000a_\ql \li0\ri0\widctlpar\intbl\wrapdefault\aspalpha\aspnum\faauto\adjustright\rin0\lin0 {\rtlch\fcs1 \af0 \ltrch\fcs0 \insrsid11284434\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84434\charrsid6708014 [ZLEFT]\cell [ZRIGHT]\cell }\pard\plain \ltrpar\ql \li0\ri0\widctlpar\intbl\wrapdefault\aspalpha\aspnum\faauto\adjustright\rin0\lin0 \rtlch\fcs1 \af0\afs20\alang1025 \ltrch\fcs0 _x000d__x000a_\fs24\lang2057\langfe2057\cgrid\langnp2057\langfenp2057 {\rtlch\fcs1 \af0 \ltrch\fcs0 \insrsid11284434\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84434\charrsid6708014 [ZTEXTL]\cell [ZTEXTR]}{\rtlch\fcs1 \af0\afs24 \ltrch\fcs0 \insrsid11284434\charrsid6708014 \cell }\pard\plain \ltrpar\ql \li0\ri0\widctlpar\intbl\wrapdefault\aspalpha\aspnum\faauto\adjustright\rin0\lin0 \rtlch\fcs1 _x000d__x000a_\af0\afs20\alang1025 \ltrch\fcs0 \fs24\lang2057\langfe2057\cgrid\langnp2057\langfenp2057 {\rtlch\fcs1 \af0 \ltrch\fcs0 \insrsid11284434\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84434 {\rtlch\fcs1 \af0 \ltrch\fcs0 \cs17\v\fs20\cf9\lang1024\langfe1024\loch\af1\hich\af1\dbch\af31501\noproof\insrsid11284434\charrsid6708014 _x000d__x000a_\hich\af1\dbch\af31501\loch\f1 &lt;/Amend&gt;}{\rtlch\fcs1 \af0 \ltrch\fcs0 \insrsid1128443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f_x000d__x000a_58ee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7"/>
    <w:docVar w:name="TITLEMNU" w:val=" 1"/>
    <w:docVar w:name="TVTAMACTPART" w:val="xxx"/>
    <w:docVar w:name="TXTAUTHOR" w:val="Marie_x001e_Pierre Vedrenne"/>
    <w:docVar w:name="TXTLANGUE" w:val="LV"/>
    <w:docVar w:name="TXTLANGUEMIN" w:val="lv"/>
    <w:docVar w:name="TXTNRFIRSTAM" w:val="1"/>
    <w:docVar w:name="TXTNRLASTAM" w:val="53"/>
    <w:docVar w:name="TXTNRPE" w:val="768.112"/>
    <w:docVar w:name="TXTNRPROC" w:val="2024/2085"/>
    <w:docVar w:name="TXTPEorAP" w:val="PE"/>
    <w:docVar w:name="TXTROUTE" w:val="AD\1317257LV.docx"/>
    <w:docVar w:name="TXTTITLE" w:val="the implementation report on the Recovery and Resilience Facility"/>
    <w:docVar w:name="TXTVERSION" w:val="02-00"/>
  </w:docVars>
  <w:rsids>
    <w:rsidRoot w:val="002C4F10"/>
    <w:rsid w:val="000173EF"/>
    <w:rsid w:val="0002109D"/>
    <w:rsid w:val="00092CD2"/>
    <w:rsid w:val="0009381D"/>
    <w:rsid w:val="000B1900"/>
    <w:rsid w:val="000D3C3D"/>
    <w:rsid w:val="000D7680"/>
    <w:rsid w:val="000E7EBF"/>
    <w:rsid w:val="000F7145"/>
    <w:rsid w:val="00101239"/>
    <w:rsid w:val="0011438D"/>
    <w:rsid w:val="00124F60"/>
    <w:rsid w:val="00135121"/>
    <w:rsid w:val="00135DE8"/>
    <w:rsid w:val="00140BE6"/>
    <w:rsid w:val="00144327"/>
    <w:rsid w:val="00147F4E"/>
    <w:rsid w:val="001534C2"/>
    <w:rsid w:val="0016306B"/>
    <w:rsid w:val="0016635E"/>
    <w:rsid w:val="001746D0"/>
    <w:rsid w:val="001B7393"/>
    <w:rsid w:val="001D2ED9"/>
    <w:rsid w:val="001F21C1"/>
    <w:rsid w:val="0020293A"/>
    <w:rsid w:val="00204278"/>
    <w:rsid w:val="0022664D"/>
    <w:rsid w:val="0026112C"/>
    <w:rsid w:val="00271B69"/>
    <w:rsid w:val="00275DBD"/>
    <w:rsid w:val="002763BF"/>
    <w:rsid w:val="002C4F10"/>
    <w:rsid w:val="002D28A7"/>
    <w:rsid w:val="002E2F2E"/>
    <w:rsid w:val="002E4AA3"/>
    <w:rsid w:val="002E6F98"/>
    <w:rsid w:val="002F7792"/>
    <w:rsid w:val="00314BB3"/>
    <w:rsid w:val="0031616B"/>
    <w:rsid w:val="00322D8B"/>
    <w:rsid w:val="00322DD9"/>
    <w:rsid w:val="00325BCB"/>
    <w:rsid w:val="00331944"/>
    <w:rsid w:val="00332AD9"/>
    <w:rsid w:val="003402B9"/>
    <w:rsid w:val="00347D2C"/>
    <w:rsid w:val="003545C2"/>
    <w:rsid w:val="00362463"/>
    <w:rsid w:val="0037356F"/>
    <w:rsid w:val="00377C8C"/>
    <w:rsid w:val="00390EB2"/>
    <w:rsid w:val="00396A0E"/>
    <w:rsid w:val="003E1404"/>
    <w:rsid w:val="003E2402"/>
    <w:rsid w:val="00400574"/>
    <w:rsid w:val="00425462"/>
    <w:rsid w:val="00461A62"/>
    <w:rsid w:val="004667D1"/>
    <w:rsid w:val="0047330F"/>
    <w:rsid w:val="00485C5C"/>
    <w:rsid w:val="004C2269"/>
    <w:rsid w:val="004C28FB"/>
    <w:rsid w:val="004C44C0"/>
    <w:rsid w:val="004C604D"/>
    <w:rsid w:val="004C6072"/>
    <w:rsid w:val="004C7CEA"/>
    <w:rsid w:val="00521F00"/>
    <w:rsid w:val="0052544E"/>
    <w:rsid w:val="005268BD"/>
    <w:rsid w:val="00554C28"/>
    <w:rsid w:val="005940C3"/>
    <w:rsid w:val="00594C48"/>
    <w:rsid w:val="005B2F11"/>
    <w:rsid w:val="005C0BDF"/>
    <w:rsid w:val="005C3DB7"/>
    <w:rsid w:val="005D60C6"/>
    <w:rsid w:val="00604FB6"/>
    <w:rsid w:val="006102E7"/>
    <w:rsid w:val="006275D0"/>
    <w:rsid w:val="00640C1B"/>
    <w:rsid w:val="00641D70"/>
    <w:rsid w:val="00651EAF"/>
    <w:rsid w:val="00657AFB"/>
    <w:rsid w:val="006661CE"/>
    <w:rsid w:val="00675C68"/>
    <w:rsid w:val="00682428"/>
    <w:rsid w:val="00691396"/>
    <w:rsid w:val="006C5A93"/>
    <w:rsid w:val="006D5BF7"/>
    <w:rsid w:val="006E4020"/>
    <w:rsid w:val="006F30C1"/>
    <w:rsid w:val="007267D5"/>
    <w:rsid w:val="00736162"/>
    <w:rsid w:val="00742C07"/>
    <w:rsid w:val="00760E52"/>
    <w:rsid w:val="00761711"/>
    <w:rsid w:val="007620C5"/>
    <w:rsid w:val="00781861"/>
    <w:rsid w:val="007B04F0"/>
    <w:rsid w:val="007E70B4"/>
    <w:rsid w:val="00815039"/>
    <w:rsid w:val="00821747"/>
    <w:rsid w:val="008313E7"/>
    <w:rsid w:val="00840B54"/>
    <w:rsid w:val="00841C2A"/>
    <w:rsid w:val="00854CAC"/>
    <w:rsid w:val="00864300"/>
    <w:rsid w:val="00892A4A"/>
    <w:rsid w:val="008A32C5"/>
    <w:rsid w:val="008B0459"/>
    <w:rsid w:val="008C6203"/>
    <w:rsid w:val="008D61E7"/>
    <w:rsid w:val="008E3F5D"/>
    <w:rsid w:val="008F0ED2"/>
    <w:rsid w:val="008F32B7"/>
    <w:rsid w:val="008F7002"/>
    <w:rsid w:val="009366BF"/>
    <w:rsid w:val="009454DD"/>
    <w:rsid w:val="00954F61"/>
    <w:rsid w:val="00977B37"/>
    <w:rsid w:val="009837A3"/>
    <w:rsid w:val="00984E00"/>
    <w:rsid w:val="0099208F"/>
    <w:rsid w:val="0099493F"/>
    <w:rsid w:val="009A64AE"/>
    <w:rsid w:val="00A05E3C"/>
    <w:rsid w:val="00A16BEA"/>
    <w:rsid w:val="00A312B3"/>
    <w:rsid w:val="00A31FCB"/>
    <w:rsid w:val="00A47463"/>
    <w:rsid w:val="00A47E2F"/>
    <w:rsid w:val="00A72C35"/>
    <w:rsid w:val="00A74944"/>
    <w:rsid w:val="00A87598"/>
    <w:rsid w:val="00A92668"/>
    <w:rsid w:val="00AA6330"/>
    <w:rsid w:val="00AA6BE1"/>
    <w:rsid w:val="00AB4E43"/>
    <w:rsid w:val="00AB70B9"/>
    <w:rsid w:val="00AC0348"/>
    <w:rsid w:val="00AC23F4"/>
    <w:rsid w:val="00AC3CFA"/>
    <w:rsid w:val="00AD58CB"/>
    <w:rsid w:val="00AE180F"/>
    <w:rsid w:val="00AE718F"/>
    <w:rsid w:val="00AF2539"/>
    <w:rsid w:val="00AF4820"/>
    <w:rsid w:val="00B10C55"/>
    <w:rsid w:val="00B11ECB"/>
    <w:rsid w:val="00B32240"/>
    <w:rsid w:val="00B362F7"/>
    <w:rsid w:val="00B4599C"/>
    <w:rsid w:val="00B5456B"/>
    <w:rsid w:val="00B678A2"/>
    <w:rsid w:val="00B74B53"/>
    <w:rsid w:val="00BA776B"/>
    <w:rsid w:val="00BB4507"/>
    <w:rsid w:val="00BC0FDD"/>
    <w:rsid w:val="00BC26E4"/>
    <w:rsid w:val="00BD1EAA"/>
    <w:rsid w:val="00BD5A4A"/>
    <w:rsid w:val="00BF0AFC"/>
    <w:rsid w:val="00C029AB"/>
    <w:rsid w:val="00C157C7"/>
    <w:rsid w:val="00C52739"/>
    <w:rsid w:val="00C80AB2"/>
    <w:rsid w:val="00C827FF"/>
    <w:rsid w:val="00CA36E3"/>
    <w:rsid w:val="00CC11D8"/>
    <w:rsid w:val="00CD34AC"/>
    <w:rsid w:val="00D1163C"/>
    <w:rsid w:val="00D16082"/>
    <w:rsid w:val="00D318E7"/>
    <w:rsid w:val="00D37E93"/>
    <w:rsid w:val="00D44A69"/>
    <w:rsid w:val="00D51006"/>
    <w:rsid w:val="00D7202C"/>
    <w:rsid w:val="00D81577"/>
    <w:rsid w:val="00D923EE"/>
    <w:rsid w:val="00DE19FF"/>
    <w:rsid w:val="00DF4E10"/>
    <w:rsid w:val="00DF529A"/>
    <w:rsid w:val="00DF76F5"/>
    <w:rsid w:val="00E13F88"/>
    <w:rsid w:val="00E14686"/>
    <w:rsid w:val="00E470F6"/>
    <w:rsid w:val="00E6527C"/>
    <w:rsid w:val="00E667E1"/>
    <w:rsid w:val="00E81BA6"/>
    <w:rsid w:val="00E85413"/>
    <w:rsid w:val="00E856D2"/>
    <w:rsid w:val="00E929A7"/>
    <w:rsid w:val="00EA4087"/>
    <w:rsid w:val="00EB2F4E"/>
    <w:rsid w:val="00EC1E8B"/>
    <w:rsid w:val="00F07ECF"/>
    <w:rsid w:val="00F131F5"/>
    <w:rsid w:val="00F26016"/>
    <w:rsid w:val="00F413BE"/>
    <w:rsid w:val="00F56F50"/>
    <w:rsid w:val="00F60663"/>
    <w:rsid w:val="00F93548"/>
    <w:rsid w:val="00FC2AD3"/>
    <w:rsid w:val="00FC6460"/>
    <w:rsid w:val="00FD0D14"/>
    <w:rsid w:val="00FD4BC4"/>
    <w:rsid w:val="00FE3FA1"/>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C5479"/>
  <w15:chartTrackingRefBased/>
  <w15:docId w15:val="{A1E2FF14-694F-473C-8DE5-BF013563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character" w:customStyle="1" w:styleId="Normal6Char">
    <w:name w:val="Normal6 Char"/>
    <w:basedOn w:val="DefaultParagraphFont"/>
    <w:link w:val="Normal6"/>
    <w:locked/>
    <w:rsid w:val="00EA4087"/>
    <w:rPr>
      <w:sz w:val="24"/>
      <w:lang w:val="lv-LV"/>
    </w:rPr>
  </w:style>
  <w:style w:type="paragraph" w:customStyle="1" w:styleId="Normal6">
    <w:name w:val="Normal6"/>
    <w:basedOn w:val="Normal"/>
    <w:link w:val="Normal6Char"/>
    <w:rsid w:val="00EA4087"/>
    <w:pPr>
      <w:spacing w:after="120"/>
    </w:pPr>
  </w:style>
  <w:style w:type="character" w:customStyle="1" w:styleId="NormalBoldChar">
    <w:name w:val="NormalBold Char"/>
    <w:basedOn w:val="DefaultParagraphFont"/>
    <w:link w:val="NormalBold"/>
    <w:locked/>
    <w:rsid w:val="00EA4087"/>
    <w:rPr>
      <w:b/>
      <w:sz w:val="24"/>
    </w:rPr>
  </w:style>
  <w:style w:type="paragraph" w:customStyle="1" w:styleId="ColumnHeading">
    <w:name w:val="ColumnHeading"/>
    <w:basedOn w:val="Normal"/>
    <w:rsid w:val="00EA4087"/>
    <w:pPr>
      <w:spacing w:after="240"/>
      <w:jc w:val="center"/>
    </w:pPr>
    <w:rPr>
      <w:i/>
    </w:rPr>
  </w:style>
  <w:style w:type="paragraph" w:customStyle="1" w:styleId="AMNumberTabs0">
    <w:name w:val="AMNumberTabs"/>
    <w:basedOn w:val="Normal"/>
    <w:rsid w:val="00EA40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A4087"/>
    <w:pPr>
      <w:jc w:val="right"/>
    </w:pPr>
  </w:style>
  <w:style w:type="paragraph" w:customStyle="1" w:styleId="Normal24a">
    <w:name w:val="Normal24a"/>
    <w:basedOn w:val="Normal"/>
    <w:rsid w:val="002763BF"/>
    <w:pPr>
      <w:spacing w:after="480"/>
    </w:pPr>
    <w:rPr>
      <w:szCs w:val="24"/>
    </w:rPr>
  </w:style>
  <w:style w:type="paragraph" w:customStyle="1" w:styleId="NormalBoldCenter">
    <w:name w:val="NormalBoldCenter"/>
    <w:basedOn w:val="Normal"/>
    <w:rsid w:val="002763BF"/>
    <w:pPr>
      <w:jc w:val="center"/>
    </w:pPr>
    <w:rPr>
      <w:b/>
      <w:szCs w:val="24"/>
    </w:rPr>
  </w:style>
  <w:style w:type="paragraph" w:customStyle="1" w:styleId="Footprint12b">
    <w:name w:val="Footprint12b"/>
    <w:basedOn w:val="Normal"/>
    <w:rsid w:val="002763BF"/>
    <w:pPr>
      <w:spacing w:before="240"/>
    </w:pPr>
    <w:rPr>
      <w:szCs w:val="24"/>
    </w:rPr>
  </w:style>
  <w:style w:type="paragraph" w:customStyle="1" w:styleId="NormalSingle">
    <w:name w:val="NormalSingle"/>
    <w:basedOn w:val="Normal"/>
    <w:qFormat/>
    <w:rsid w:val="002763BF"/>
    <w:rPr>
      <w:szCs w:val="24"/>
    </w:rPr>
  </w:style>
  <w:style w:type="paragraph" w:styleId="Footer">
    <w:name w:val="footer"/>
    <w:basedOn w:val="Normal"/>
    <w:link w:val="FooterChar"/>
    <w:semiHidden/>
    <w:rsid w:val="00AA6330"/>
    <w:pPr>
      <w:tabs>
        <w:tab w:val="center" w:pos="4513"/>
        <w:tab w:val="right" w:pos="9026"/>
      </w:tabs>
    </w:pPr>
  </w:style>
  <w:style w:type="character" w:customStyle="1" w:styleId="FooterChar">
    <w:name w:val="Footer Char"/>
    <w:basedOn w:val="DefaultParagraphFont"/>
    <w:link w:val="Footer"/>
    <w:semiHidden/>
    <w:rsid w:val="00AA6330"/>
    <w:rPr>
      <w:sz w:val="24"/>
    </w:rPr>
  </w:style>
  <w:style w:type="paragraph" w:styleId="BalloonText">
    <w:name w:val="Balloon Text"/>
    <w:basedOn w:val="Normal"/>
    <w:link w:val="BalloonTextChar"/>
    <w:semiHidden/>
    <w:unhideWhenUsed/>
    <w:rsid w:val="00892A4A"/>
    <w:rPr>
      <w:rFonts w:ascii="Segoe UI" w:hAnsi="Segoe UI" w:cs="Segoe UI"/>
      <w:sz w:val="18"/>
      <w:szCs w:val="18"/>
    </w:rPr>
  </w:style>
  <w:style w:type="character" w:customStyle="1" w:styleId="BalloonTextChar">
    <w:name w:val="Balloon Text Char"/>
    <w:basedOn w:val="DefaultParagraphFont"/>
    <w:link w:val="BalloonText"/>
    <w:semiHidden/>
    <w:rsid w:val="00892A4A"/>
    <w:rPr>
      <w:rFonts w:ascii="Segoe UI" w:hAnsi="Segoe UI" w:cs="Segoe UI"/>
      <w:sz w:val="18"/>
      <w:szCs w:val="18"/>
    </w:rPr>
  </w:style>
  <w:style w:type="character" w:styleId="Hyperlink">
    <w:name w:val="Hyperlink"/>
    <w:basedOn w:val="DefaultParagraphFont"/>
    <w:uiPriority w:val="99"/>
    <w:unhideWhenUsed/>
    <w:rsid w:val="00892A4A"/>
    <w:rPr>
      <w:color w:val="0000FF"/>
      <w:u w:val="single"/>
    </w:rPr>
  </w:style>
  <w:style w:type="character" w:styleId="CommentReference">
    <w:name w:val="annotation reference"/>
    <w:basedOn w:val="DefaultParagraphFont"/>
    <w:rsid w:val="0011438D"/>
    <w:rPr>
      <w:sz w:val="16"/>
      <w:szCs w:val="16"/>
    </w:rPr>
  </w:style>
  <w:style w:type="paragraph" w:styleId="CommentText">
    <w:name w:val="annotation text"/>
    <w:basedOn w:val="Normal"/>
    <w:link w:val="CommentTextChar"/>
    <w:rsid w:val="0011438D"/>
    <w:rPr>
      <w:sz w:val="20"/>
    </w:rPr>
  </w:style>
  <w:style w:type="character" w:customStyle="1" w:styleId="CommentTextChar">
    <w:name w:val="Comment Text Char"/>
    <w:basedOn w:val="DefaultParagraphFont"/>
    <w:link w:val="CommentText"/>
    <w:rsid w:val="0011438D"/>
  </w:style>
  <w:style w:type="paragraph" w:styleId="CommentSubject">
    <w:name w:val="annotation subject"/>
    <w:basedOn w:val="CommentText"/>
    <w:next w:val="CommentText"/>
    <w:link w:val="CommentSubjectChar"/>
    <w:semiHidden/>
    <w:unhideWhenUsed/>
    <w:rsid w:val="0011438D"/>
    <w:rPr>
      <w:b/>
      <w:bCs/>
    </w:rPr>
  </w:style>
  <w:style w:type="character" w:customStyle="1" w:styleId="CommentSubjectChar">
    <w:name w:val="Comment Subject Char"/>
    <w:basedOn w:val="CommentTextChar"/>
    <w:link w:val="CommentSubject"/>
    <w:semiHidden/>
    <w:rsid w:val="0011438D"/>
    <w:rPr>
      <w:b/>
      <w:bCs/>
    </w:rPr>
  </w:style>
  <w:style w:type="character" w:styleId="FollowedHyperlink">
    <w:name w:val="FollowedHyperlink"/>
    <w:basedOn w:val="DefaultParagraphFont"/>
    <w:rsid w:val="00604FB6"/>
    <w:rPr>
      <w:color w:val="954F72" w:themeColor="followedHyperlink"/>
      <w:u w:val="single"/>
    </w:rPr>
  </w:style>
  <w:style w:type="character" w:customStyle="1" w:styleId="NormalHanging12aChar">
    <w:name w:val="NormalHanging12a Char"/>
    <w:basedOn w:val="DefaultParagraphFont"/>
    <w:link w:val="NormalHanging12a"/>
    <w:locked/>
    <w:rsid w:val="00314BB3"/>
    <w:rPr>
      <w:sz w:val="24"/>
    </w:rPr>
  </w:style>
  <w:style w:type="character" w:customStyle="1" w:styleId="NormalBold12bChar">
    <w:name w:val="NormalBold12b Char"/>
    <w:basedOn w:val="DefaultParagraphFont"/>
    <w:link w:val="NormalBold12b"/>
    <w:locked/>
    <w:rsid w:val="00675C68"/>
    <w:rPr>
      <w:b/>
      <w:sz w:val="24"/>
    </w:rPr>
  </w:style>
  <w:style w:type="paragraph" w:customStyle="1" w:styleId="RollCallSymbols14pt">
    <w:name w:val="RollCallSymbols14pt"/>
    <w:basedOn w:val="Normal"/>
    <w:rsid w:val="0031616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1616B"/>
    <w:pPr>
      <w:tabs>
        <w:tab w:val="center" w:pos="284"/>
        <w:tab w:val="left" w:pos="426"/>
      </w:tabs>
    </w:pPr>
    <w:rPr>
      <w:snapToGrid w:val="0"/>
      <w:lang w:eastAsia="en-US"/>
    </w:rPr>
  </w:style>
  <w:style w:type="paragraph" w:customStyle="1" w:styleId="RollCallVotes">
    <w:name w:val="RollCallVotes"/>
    <w:basedOn w:val="Normal"/>
    <w:rsid w:val="0031616B"/>
    <w:pPr>
      <w:spacing w:before="120" w:after="120"/>
      <w:jc w:val="center"/>
    </w:pPr>
    <w:rPr>
      <w:b/>
      <w:bCs/>
      <w:snapToGrid w:val="0"/>
      <w:sz w:val="16"/>
      <w:lang w:eastAsia="en-US"/>
    </w:rPr>
  </w:style>
  <w:style w:type="paragraph" w:customStyle="1" w:styleId="RollCallTable">
    <w:name w:val="RollCallTable"/>
    <w:basedOn w:val="Normal"/>
    <w:rsid w:val="0031616B"/>
    <w:pPr>
      <w:spacing w:before="120" w:after="120"/>
    </w:pPr>
    <w:rPr>
      <w:snapToGrid w:val="0"/>
      <w:sz w:val="16"/>
      <w:lang w:eastAsia="en-US"/>
    </w:rPr>
  </w:style>
  <w:style w:type="character" w:styleId="Emphasis">
    <w:name w:val="Emphasis"/>
    <w:basedOn w:val="DefaultParagraphFont"/>
    <w:uiPriority w:val="20"/>
    <w:qFormat/>
    <w:rsid w:val="002F7792"/>
    <w:rPr>
      <w:i/>
      <w:iCs/>
    </w:rPr>
  </w:style>
  <w:style w:type="paragraph" w:customStyle="1" w:styleId="titreobjetcp">
    <w:name w:val="titreobjet_cp"/>
    <w:basedOn w:val="Normal"/>
    <w:rsid w:val="009837A3"/>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co/2021/1004/oj" TargetMode="External"/><Relationship Id="rId13" Type="http://schemas.openxmlformats.org/officeDocument/2006/relationships/hyperlink" Target="https://www.europarl.europa.eu/RegData/etudes/IDAN/2025/765765/EPRS_IDA(2025)765765_EN.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ec.europa.eu/eurostat/web/products-eurostat-news/-/ddn-20231215-3"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eurostat/databrowser/view/sdg_04_70/default/tabl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data.europa.eu/eli/C/2023/1389/oj"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data.europa.eu/eli/dir/2022/2041/oj"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7379</Words>
  <Characters>50255</Characters>
  <Application>Microsoft Office Word</Application>
  <DocSecurity>0</DocSecurity>
  <Lines>2010</Lines>
  <Paragraphs>523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57111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2025-04-03T11:14:00Z</cp:lastPrinted>
  <dcterms:created xsi:type="dcterms:W3CDTF">2025-04-14T14:46:00Z</dcterms:created>
  <dcterms:modified xsi:type="dcterms:W3CDTF">2025-04-14T14:46:00Z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1317257</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\\eiciBRUpr1\pdocep$\DocEP\TRANSFIL\EN\PA_NonLeg.EN(25/07/2024 07:40:11)</vt:lpwstr>
  </property>
  <property fmtid="{D5CDD505-2E9C-101B-9397-08002B2CF9AE}" pid="7" name="&lt;Type&gt;">
    <vt:lpwstr>AD</vt:lpwstr>
  </property>
  <property fmtid="{D5CDD505-2E9C-101B-9397-08002B2CF9AE}" pid="8" name="Bookout">
    <vt:lpwstr>OK(HDG) - 2025/04/14 17:46</vt:lpwstr>
  </property>
  <property fmtid="{D5CDD505-2E9C-101B-9397-08002B2CF9AE}" pid="9" name="Created with">
    <vt:lpwstr>10.0.0 Build [20241202]</vt:lpwstr>
  </property>
  <property fmtid="{D5CDD505-2E9C-101B-9397-08002B2CF9AE}" pid="10" name="FooterPath">
    <vt:lpwstr>AD\1317257LV.docx</vt:lpwstr>
  </property>
  <property fmtid="{D5CDD505-2E9C-101B-9397-08002B2CF9AE}" pid="11" name="LastEdited with">
    <vt:lpwstr>10.0.1 Build [20250114]</vt:lpwstr>
  </property>
  <property fmtid="{D5CDD505-2E9C-101B-9397-08002B2CF9AE}" pid="12" name="PE number">
    <vt:lpwstr>768.112</vt:lpwstr>
  </property>
  <property fmtid="{D5CDD505-2E9C-101B-9397-08002B2CF9AE}" pid="13" name="SDLStudio">
    <vt:lpwstr/>
  </property>
  <property fmtid="{D5CDD505-2E9C-101B-9397-08002B2CF9AE}" pid="14" name="SendToEpades">
    <vt:lpwstr>OK - 2025/04/01 09:57</vt:lpwstr>
  </property>
</Properties>
</file>