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C2CD8" w:rsidTr="007B04F0">
        <w:trPr>
          <w:trHeight w:hRule="exact" w:val="1418"/>
        </w:trPr>
        <w:tc>
          <w:tcPr>
            <w:tcW w:w="6804" w:type="dxa"/>
            <w:shd w:val="clear" w:color="auto" w:fill="auto"/>
            <w:vAlign w:val="center"/>
          </w:tcPr>
          <w:p w:rsidR="00854CAC" w:rsidRPr="00781861" w:rsidRDefault="00FE1F10" w:rsidP="007B04F0">
            <w:pPr>
              <w:pStyle w:val="EPName"/>
            </w:pPr>
            <w:r>
              <w:t>Parlamento Europeu</w:t>
            </w:r>
          </w:p>
          <w:p w:rsidR="00854CAC" w:rsidRPr="00781861" w:rsidRDefault="00FE1F10" w:rsidP="004C2269">
            <w:pPr>
              <w:pStyle w:val="EPTerm"/>
            </w:pPr>
            <w:r>
              <w:t>2024</w:t>
            </w:r>
            <w:r>
              <w:noBreakHyphen/>
            </w:r>
            <w:r>
              <w:t>2029</w:t>
            </w:r>
          </w:p>
        </w:tc>
        <w:tc>
          <w:tcPr>
            <w:tcW w:w="2268" w:type="dxa"/>
            <w:shd w:val="clear" w:color="auto" w:fill="auto"/>
          </w:tcPr>
          <w:p w:rsidR="00854CAC" w:rsidRPr="00781861" w:rsidRDefault="00FE1F10" w:rsidP="007B04F0">
            <w:pPr>
              <w:pStyle w:val="EPLogo"/>
            </w:pPr>
            <w:r w:rsidRPr="0078186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6D0" w:rsidRPr="00781861" w:rsidRDefault="001746D0" w:rsidP="001746D0">
      <w:pPr>
        <w:pStyle w:val="LineTop"/>
      </w:pPr>
    </w:p>
    <w:p w:rsidR="001746D0" w:rsidRPr="00781861" w:rsidRDefault="00FE1F10" w:rsidP="001746D0">
      <w:pPr>
        <w:pStyle w:val="EPBody"/>
      </w:pPr>
      <w:r>
        <w:rPr>
          <w:rStyle w:val="HideTWBExt"/>
        </w:rPr>
        <w:t>&lt;</w:t>
      </w:r>
      <w:r>
        <w:rPr>
          <w:rStyle w:val="HideTWBExt"/>
          <w:i w:val="0"/>
        </w:rPr>
        <w:t>Commission</w:t>
      </w:r>
      <w:r>
        <w:rPr>
          <w:rStyle w:val="HideTWBExt"/>
        </w:rPr>
        <w:t>&gt;</w:t>
      </w:r>
      <w:r>
        <w:rPr>
          <w:rStyle w:val="HideTWBInt"/>
          <w:color w:val="auto"/>
        </w:rPr>
        <w:t>{EMPL}</w:t>
      </w:r>
      <w:r>
        <w:t>Comissão do Emprego e dos Assuntos Sociais</w:t>
      </w:r>
      <w:r>
        <w:rPr>
          <w:rStyle w:val="HideTWBExt"/>
        </w:rPr>
        <w:t>&lt;/</w:t>
      </w:r>
      <w:r>
        <w:rPr>
          <w:rStyle w:val="HideTWBExt"/>
          <w:i w:val="0"/>
        </w:rPr>
        <w:t>Commission</w:t>
      </w:r>
      <w:r>
        <w:rPr>
          <w:rStyle w:val="HideTWBExt"/>
        </w:rPr>
        <w:t>&gt;</w:t>
      </w:r>
    </w:p>
    <w:p w:rsidR="001746D0" w:rsidRPr="00781861" w:rsidRDefault="001746D0" w:rsidP="001746D0">
      <w:pPr>
        <w:pStyle w:val="LineBottom"/>
      </w:pPr>
    </w:p>
    <w:p w:rsidR="002E2F2E" w:rsidRPr="00781861" w:rsidRDefault="00FE1F10">
      <w:pPr>
        <w:pStyle w:val="CoverReference"/>
      </w:pPr>
      <w:r>
        <w:rPr>
          <w:rStyle w:val="HideTWBExt"/>
          <w:b w:val="0"/>
        </w:rPr>
        <w:t>&lt;RefProc&gt;</w:t>
      </w:r>
      <w:r>
        <w:t>2024/2085</w:t>
      </w:r>
      <w:r>
        <w:rPr>
          <w:rStyle w:val="HideTWBExt"/>
          <w:b w:val="0"/>
        </w:rPr>
        <w:t>&lt;/RefProc&gt;&lt;RefTypeProc&gt;</w:t>
      </w:r>
      <w:r>
        <w:t>(INI)</w:t>
      </w:r>
      <w:r>
        <w:rPr>
          <w:rStyle w:val="HideTWBExt"/>
          <w:b w:val="0"/>
        </w:rPr>
        <w:t>&lt;/RefTypeProc&gt;</w:t>
      </w:r>
    </w:p>
    <w:p w:rsidR="002E2F2E" w:rsidRPr="00781861" w:rsidRDefault="00FE1F10">
      <w:pPr>
        <w:pStyle w:val="CoverDate"/>
      </w:pPr>
      <w:r>
        <w:rPr>
          <w:rStyle w:val="HideTWBExt"/>
        </w:rPr>
        <w:t>&lt;Date&gt;</w:t>
      </w:r>
      <w:r>
        <w:rPr>
          <w:rStyle w:val="HideTWBInt"/>
          <w:color w:val="auto"/>
        </w:rPr>
        <w:t>{01/04/2025}</w:t>
      </w:r>
      <w:r>
        <w:t>1.4.2025</w:t>
      </w:r>
      <w:r>
        <w:rPr>
          <w:rStyle w:val="HideTWBExt"/>
        </w:rPr>
        <w:t>&lt;/Date&gt;</w:t>
      </w:r>
    </w:p>
    <w:p w:rsidR="002E2F2E" w:rsidRPr="00781861" w:rsidRDefault="00FE1F10">
      <w:pPr>
        <w:pStyle w:val="CoverDocType24a"/>
      </w:pPr>
      <w:r>
        <w:rPr>
          <w:rStyle w:val="HideTWBExt"/>
          <w:b w:val="0"/>
        </w:rPr>
        <w:t>&lt;TitreType&gt;</w:t>
      </w:r>
      <w:r>
        <w:t>PARECER</w:t>
      </w:r>
      <w:r>
        <w:rPr>
          <w:rStyle w:val="HideTWBExt"/>
          <w:b w:val="0"/>
        </w:rPr>
        <w:t>&lt;/TitreType&gt;</w:t>
      </w:r>
    </w:p>
    <w:p w:rsidR="002E2F2E" w:rsidRPr="00781861" w:rsidRDefault="00FE1F10">
      <w:pPr>
        <w:pStyle w:val="CoverNormal24a"/>
      </w:pPr>
      <w:r>
        <w:rPr>
          <w:rStyle w:val="HideTWBExt"/>
        </w:rPr>
        <w:t>&lt;CommissionResp&gt;</w:t>
      </w:r>
      <w:r>
        <w:t xml:space="preserve">da </w:t>
      </w:r>
      <w:r>
        <w:t>Comissão do Emprego e dos Assuntos Sociais</w:t>
      </w:r>
      <w:r>
        <w:rPr>
          <w:rStyle w:val="HideTWBExt"/>
        </w:rPr>
        <w:t>&lt;/CommissionResp&gt;</w:t>
      </w:r>
    </w:p>
    <w:p w:rsidR="002E2F2E" w:rsidRPr="00781861" w:rsidRDefault="00FE1F10">
      <w:pPr>
        <w:pStyle w:val="CoverNormal24a"/>
      </w:pPr>
      <w:r>
        <w:rPr>
          <w:rStyle w:val="HideTWBExt"/>
        </w:rPr>
        <w:t>&lt;CommissionInt&gt;</w:t>
      </w:r>
      <w:r>
        <w:t>dirigido à Comissão dos Orçamentos e à Comissão dos Assuntos Económicos e Monetários</w:t>
      </w:r>
      <w:r>
        <w:rPr>
          <w:rStyle w:val="HideTWBExt"/>
        </w:rPr>
        <w:t>&lt;/CommissionInt&gt;</w:t>
      </w:r>
    </w:p>
    <w:p w:rsidR="002E2F2E" w:rsidRPr="00781861" w:rsidRDefault="00FE1F10">
      <w:pPr>
        <w:pStyle w:val="CoverNormal"/>
      </w:pPr>
      <w:r>
        <w:rPr>
          <w:rStyle w:val="HideTWBExt"/>
        </w:rPr>
        <w:t>&lt;Titre&gt;</w:t>
      </w:r>
      <w:r>
        <w:t>sobre o relatório sobre a execução do Mecanismo de Recuperação e Resiliên</w:t>
      </w:r>
      <w:r>
        <w:t>cia</w:t>
      </w:r>
      <w:r>
        <w:rPr>
          <w:rStyle w:val="HideTWBExt"/>
        </w:rPr>
        <w:t>&lt;/Titre&gt;</w:t>
      </w:r>
    </w:p>
    <w:p w:rsidR="002E2F2E" w:rsidRPr="00FE1F10" w:rsidRDefault="00FE1F10">
      <w:pPr>
        <w:pStyle w:val="CoverNormal24a"/>
        <w:rPr>
          <w:lang w:val="fr-FR"/>
        </w:rPr>
      </w:pPr>
      <w:r>
        <w:rPr>
          <w:rStyle w:val="HideTWBExt"/>
          <w:lang w:val="fr-FR"/>
        </w:rPr>
        <w:t>&lt;DocRef&gt;</w:t>
      </w:r>
      <w:r w:rsidRPr="00FE1F10">
        <w:rPr>
          <w:lang w:val="fr-FR"/>
        </w:rPr>
        <w:t>(2024/2085(INI))</w:t>
      </w:r>
      <w:r>
        <w:rPr>
          <w:rStyle w:val="HideTWBExt"/>
          <w:lang w:val="fr-FR"/>
        </w:rPr>
        <w:t>&lt;/DocRef&gt;</w:t>
      </w:r>
    </w:p>
    <w:p w:rsidR="002E2F2E" w:rsidRPr="00FE1F10" w:rsidRDefault="00FE1F10">
      <w:pPr>
        <w:pStyle w:val="CoverNormal24a"/>
        <w:rPr>
          <w:lang w:val="fr-FR"/>
        </w:rPr>
      </w:pPr>
      <w:r w:rsidRPr="00FE1F10">
        <w:rPr>
          <w:lang w:val="fr-FR"/>
        </w:rPr>
        <w:t xml:space="preserve">Relatora de parecer: </w:t>
      </w:r>
      <w:r>
        <w:rPr>
          <w:rStyle w:val="HideTWBExt"/>
          <w:lang w:val="fr-FR"/>
        </w:rPr>
        <w:t>&lt;Depute&gt;</w:t>
      </w:r>
      <w:r w:rsidRPr="00FE1F10">
        <w:rPr>
          <w:lang w:val="fr-FR"/>
        </w:rPr>
        <w:t>Marie</w:t>
      </w:r>
      <w:r>
        <w:rPr>
          <w:lang w:val="fr-FR"/>
        </w:rPr>
        <w:noBreakHyphen/>
      </w:r>
      <w:r w:rsidRPr="00FE1F10">
        <w:rPr>
          <w:lang w:val="fr-FR"/>
        </w:rPr>
        <w:t>Pierre Vedrenne</w:t>
      </w:r>
      <w:r>
        <w:rPr>
          <w:rStyle w:val="HideTWBExt"/>
          <w:lang w:val="fr-FR"/>
        </w:rPr>
        <w:t>&lt;/Depute&gt;</w:t>
      </w:r>
    </w:p>
    <w:p w:rsidR="00A72C35" w:rsidRPr="00781861" w:rsidRDefault="00A72C35" w:rsidP="00A72C35">
      <w:pPr>
        <w:pStyle w:val="CoverNormal"/>
        <w:rPr>
          <w:lang w:val="fr-FR"/>
        </w:rPr>
      </w:pPr>
    </w:p>
    <w:p w:rsidR="002E2F2E" w:rsidRPr="00781861" w:rsidRDefault="00FE1F10" w:rsidP="00E856D2">
      <w:pPr>
        <w:widowControl/>
        <w:tabs>
          <w:tab w:val="center" w:pos="4677"/>
        </w:tabs>
      </w:pPr>
      <w:r w:rsidRPr="00FE1F10">
        <w:rPr>
          <w:lang w:val="fr-FR"/>
        </w:rPr>
        <w:br w:type="page"/>
      </w:r>
      <w:r>
        <w:lastRenderedPageBreak/>
        <w:t>PA_NonLeg</w:t>
      </w:r>
    </w:p>
    <w:p w:rsidR="002E2F2E" w:rsidRPr="00781861" w:rsidRDefault="00FE1F10" w:rsidP="00D318E7">
      <w:pPr>
        <w:pStyle w:val="PageHeadingNotTOC"/>
      </w:pPr>
      <w:r>
        <w:br w:type="page"/>
      </w:r>
      <w:r>
        <w:lastRenderedPageBreak/>
        <w:t>ALTERAÇÕES</w:t>
      </w:r>
    </w:p>
    <w:p w:rsidR="002E2F2E" w:rsidRPr="00781861" w:rsidRDefault="00FE1F10" w:rsidP="008313E7">
      <w:pPr>
        <w:pStyle w:val="Normal12a"/>
      </w:pPr>
      <w:r>
        <w:t xml:space="preserve">A Comissão do Emprego e dos Assuntos Sociais apresenta à Comissão dos Orçamentos e à Comissão dos Assuntos Económicos e </w:t>
      </w:r>
      <w:r>
        <w:t>Monetários, competentes quanto à matéria de fundo, o seguinte:</w:t>
      </w:r>
    </w:p>
    <w:p w:rsidR="00EA4087" w:rsidRPr="00781861" w:rsidRDefault="00FE1F10" w:rsidP="00314BB3">
      <w:pPr>
        <w:pStyle w:val="AMNumberTabs0"/>
        <w:keepNext/>
        <w:rPr>
          <w:szCs w:val="24"/>
        </w:rPr>
      </w:pPr>
      <w:r w:rsidRPr="00FE1F10">
        <w:rPr>
          <w:rStyle w:val="HideTWBExt"/>
          <w:b w:val="0"/>
        </w:rPr>
        <w:t>&lt;RepeatBlock-Amend&gt;</w:t>
      </w:r>
    </w:p>
    <w:p w:rsidR="00314BB3" w:rsidRPr="00781861" w:rsidRDefault="00FE1F10" w:rsidP="00314BB3">
      <w:pPr>
        <w:pStyle w:val="AMNumberTabs0"/>
        <w:keepNext/>
      </w:pPr>
      <w:r w:rsidRPr="00FE1F10">
        <w:rPr>
          <w:rStyle w:val="HideTWBExt"/>
          <w:b w:val="0"/>
        </w:rPr>
        <w:t>&lt;Amend&gt;</w:t>
      </w:r>
      <w:r>
        <w:t>Alteração</w:t>
      </w:r>
      <w:r>
        <w:tab/>
      </w:r>
      <w:r>
        <w:tab/>
      </w:r>
      <w:r w:rsidRPr="00FE1F10">
        <w:rPr>
          <w:rStyle w:val="HideTWBExt"/>
          <w:b w:val="0"/>
        </w:rPr>
        <w:t>&lt;NumAm&gt;</w:t>
      </w:r>
      <w:r>
        <w:t>1</w:t>
      </w:r>
      <w:r w:rsidRPr="00FE1F10">
        <w:rPr>
          <w:rStyle w:val="HideTWBExt"/>
          <w:b w:val="0"/>
        </w:rPr>
        <w:t>&lt;/NumAm&gt;</w:t>
      </w:r>
    </w:p>
    <w:p w:rsidR="00314BB3" w:rsidRPr="00781861" w:rsidRDefault="00314BB3" w:rsidP="00314BB3"/>
    <w:p w:rsidR="00314BB3" w:rsidRPr="00781861" w:rsidRDefault="00FE1F10" w:rsidP="00314BB3">
      <w:pPr>
        <w:pStyle w:val="NormalBold"/>
        <w:keepNext/>
      </w:pPr>
      <w:r>
        <w:rPr>
          <w:rStyle w:val="HideTWBExt"/>
          <w:b w:val="0"/>
        </w:rPr>
        <w:t>&lt;DocAmend&gt;</w:t>
      </w:r>
      <w:r>
        <w:t>Proposta de resolução</w:t>
      </w:r>
      <w:r>
        <w:rPr>
          <w:rStyle w:val="HideTWBExt"/>
          <w:b w:val="0"/>
        </w:rPr>
        <w:t>&lt;/DocAmend&gt;</w:t>
      </w:r>
    </w:p>
    <w:p w:rsidR="00314BB3" w:rsidRPr="00781861" w:rsidRDefault="00FE1F10" w:rsidP="00314BB3">
      <w:pPr>
        <w:pStyle w:val="NormalBold"/>
      </w:pPr>
      <w:r w:rsidRPr="00FE1F10">
        <w:rPr>
          <w:rStyle w:val="HideTWBExt"/>
          <w:b w:val="0"/>
        </w:rPr>
        <w:t>&lt;Article&gt;</w:t>
      </w:r>
      <w:r>
        <w:t>Citação 8‑A (nova)</w:t>
      </w:r>
      <w:r w:rsidRPr="00FE1F1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2CD8" w:rsidTr="00314BB3">
        <w:trPr>
          <w:jc w:val="center"/>
        </w:trPr>
        <w:tc>
          <w:tcPr>
            <w:tcW w:w="9752" w:type="dxa"/>
            <w:gridSpan w:val="2"/>
          </w:tcPr>
          <w:p w:rsidR="00314BB3" w:rsidRPr="00FE1F10" w:rsidRDefault="00314BB3">
            <w:pPr>
              <w:keepNext/>
            </w:pPr>
          </w:p>
        </w:tc>
      </w:tr>
      <w:tr w:rsidR="007C2CD8" w:rsidTr="00314BB3">
        <w:trPr>
          <w:jc w:val="center"/>
        </w:trPr>
        <w:tc>
          <w:tcPr>
            <w:tcW w:w="4876" w:type="dxa"/>
            <w:hideMark/>
          </w:tcPr>
          <w:p w:rsidR="00314BB3" w:rsidRPr="00781861" w:rsidRDefault="00FE1F10">
            <w:pPr>
              <w:pStyle w:val="ColumnHeading"/>
              <w:keepNext/>
            </w:pPr>
            <w:r>
              <w:t>Proposta de resolução</w:t>
            </w:r>
          </w:p>
        </w:tc>
        <w:tc>
          <w:tcPr>
            <w:tcW w:w="4876" w:type="dxa"/>
            <w:hideMark/>
          </w:tcPr>
          <w:p w:rsidR="00314BB3" w:rsidRPr="00781861" w:rsidRDefault="00FE1F10">
            <w:pPr>
              <w:pStyle w:val="ColumnHeading"/>
              <w:keepNext/>
            </w:pPr>
            <w:r>
              <w:t>Alteração</w:t>
            </w:r>
          </w:p>
        </w:tc>
      </w:tr>
      <w:tr w:rsidR="007C2CD8" w:rsidTr="00314BB3">
        <w:trPr>
          <w:jc w:val="center"/>
        </w:trPr>
        <w:tc>
          <w:tcPr>
            <w:tcW w:w="4876" w:type="dxa"/>
          </w:tcPr>
          <w:p w:rsidR="00314BB3" w:rsidRPr="00781861" w:rsidRDefault="00314BB3">
            <w:pPr>
              <w:pStyle w:val="Normal6"/>
              <w:rPr>
                <w:lang w:val="en-GB"/>
              </w:rPr>
            </w:pPr>
          </w:p>
        </w:tc>
        <w:tc>
          <w:tcPr>
            <w:tcW w:w="4876" w:type="dxa"/>
            <w:hideMark/>
          </w:tcPr>
          <w:p w:rsidR="00314BB3" w:rsidRPr="00781861" w:rsidRDefault="00FE1F10" w:rsidP="00D37E93">
            <w:pPr>
              <w:pStyle w:val="Normal6"/>
              <w:rPr>
                <w:szCs w:val="24"/>
              </w:rPr>
            </w:pPr>
            <w:r>
              <w:rPr>
                <w:b/>
                <w:i/>
              </w:rPr>
              <w:t>–</w:t>
            </w:r>
            <w:r>
              <w:rPr>
                <w:b/>
                <w:i/>
              </w:rPr>
              <w:tab/>
              <w:t xml:space="preserve">Tendo em conta o </w:t>
            </w:r>
            <w:r>
              <w:rPr>
                <w:b/>
                <w:i/>
              </w:rPr>
              <w:t>Pilar Europeu dos Direitos Sociais (PEDS), proclamado e assinado pelo Conselho, pelo Parlamento e pela Comissão em 17 de novembro de 2017, e os seus 20 princípios,</w:t>
            </w:r>
          </w:p>
        </w:tc>
      </w:tr>
    </w:tbl>
    <w:p w:rsidR="00314BB3" w:rsidRPr="00781861" w:rsidRDefault="00FE1F10" w:rsidP="00314BB3">
      <w:r>
        <w:rPr>
          <w:rStyle w:val="HideTWBExt"/>
        </w:rPr>
        <w:t>&lt;/Amend&gt;</w:t>
      </w:r>
    </w:p>
    <w:p w:rsidR="00314BB3" w:rsidRPr="00781861" w:rsidRDefault="00FE1F10" w:rsidP="00314BB3">
      <w:pPr>
        <w:pStyle w:val="AMNumberTabs0"/>
        <w:keepNext/>
      </w:pPr>
      <w:r w:rsidRPr="00FE1F10">
        <w:rPr>
          <w:rStyle w:val="HideTWBExt"/>
          <w:b w:val="0"/>
        </w:rPr>
        <w:t>&lt;Amend&gt;</w:t>
      </w:r>
      <w:r>
        <w:t>Alteração</w:t>
      </w:r>
      <w:r>
        <w:tab/>
      </w:r>
      <w:r>
        <w:tab/>
      </w:r>
      <w:r w:rsidRPr="00FE1F10">
        <w:rPr>
          <w:rStyle w:val="HideTWBExt"/>
          <w:b w:val="0"/>
        </w:rPr>
        <w:t>&lt;NumAm&gt;</w:t>
      </w:r>
      <w:r>
        <w:t>2</w:t>
      </w:r>
      <w:r w:rsidRPr="00FE1F10">
        <w:rPr>
          <w:rStyle w:val="HideTWBExt"/>
          <w:b w:val="0"/>
        </w:rPr>
        <w:t>&lt;/NumAm&gt;</w:t>
      </w:r>
    </w:p>
    <w:p w:rsidR="00314BB3" w:rsidRPr="00781861" w:rsidRDefault="00314BB3" w:rsidP="00314BB3"/>
    <w:p w:rsidR="00314BB3" w:rsidRPr="00781861" w:rsidRDefault="00FE1F10" w:rsidP="00314BB3">
      <w:pPr>
        <w:pStyle w:val="NormalBold"/>
        <w:keepNext/>
      </w:pPr>
      <w:r>
        <w:rPr>
          <w:rStyle w:val="HideTWBExt"/>
          <w:b w:val="0"/>
        </w:rPr>
        <w:t>&lt;DocAmend&gt;</w:t>
      </w:r>
      <w:r>
        <w:t>Proposta de resolução</w:t>
      </w:r>
      <w:r>
        <w:rPr>
          <w:rStyle w:val="HideTWBExt"/>
          <w:b w:val="0"/>
        </w:rPr>
        <w:t>&lt;/DocAmend&gt;</w:t>
      </w:r>
    </w:p>
    <w:p w:rsidR="00314BB3" w:rsidRPr="00781861" w:rsidRDefault="00FE1F10" w:rsidP="00314BB3">
      <w:pPr>
        <w:pStyle w:val="NormalBold"/>
      </w:pPr>
      <w:r>
        <w:rPr>
          <w:rStyle w:val="HideTWBExt"/>
          <w:b w:val="0"/>
        </w:rPr>
        <w:t>&lt;Ar</w:t>
      </w:r>
      <w:r>
        <w:rPr>
          <w:rStyle w:val="HideTWBExt"/>
          <w:b w:val="0"/>
        </w:rPr>
        <w:t>ticle&gt;</w:t>
      </w:r>
      <w:r>
        <w:t>Citação 8</w:t>
      </w:r>
      <w:r>
        <w:noBreakHyphen/>
      </w:r>
      <w:r>
        <w:t>B (nova)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2CD8" w:rsidTr="00314BB3">
        <w:trPr>
          <w:jc w:val="center"/>
        </w:trPr>
        <w:tc>
          <w:tcPr>
            <w:tcW w:w="9752" w:type="dxa"/>
            <w:gridSpan w:val="2"/>
          </w:tcPr>
          <w:p w:rsidR="00314BB3" w:rsidRPr="00781861" w:rsidRDefault="00314BB3">
            <w:pPr>
              <w:keepNext/>
            </w:pPr>
          </w:p>
        </w:tc>
      </w:tr>
      <w:tr w:rsidR="007C2CD8" w:rsidTr="00314BB3">
        <w:trPr>
          <w:jc w:val="center"/>
        </w:trPr>
        <w:tc>
          <w:tcPr>
            <w:tcW w:w="4876" w:type="dxa"/>
            <w:hideMark/>
          </w:tcPr>
          <w:p w:rsidR="00314BB3" w:rsidRPr="00781861" w:rsidRDefault="00FE1F10">
            <w:pPr>
              <w:pStyle w:val="ColumnHeading"/>
              <w:keepNext/>
            </w:pPr>
            <w:r>
              <w:t>Proposta de resolução</w:t>
            </w:r>
          </w:p>
        </w:tc>
        <w:tc>
          <w:tcPr>
            <w:tcW w:w="4876" w:type="dxa"/>
            <w:hideMark/>
          </w:tcPr>
          <w:p w:rsidR="00314BB3" w:rsidRPr="00781861" w:rsidRDefault="00FE1F10">
            <w:pPr>
              <w:pStyle w:val="ColumnHeading"/>
              <w:keepNext/>
            </w:pPr>
            <w:r>
              <w:t>Alteração</w:t>
            </w:r>
          </w:p>
        </w:tc>
      </w:tr>
      <w:tr w:rsidR="007C2CD8" w:rsidTr="00314BB3">
        <w:trPr>
          <w:jc w:val="center"/>
        </w:trPr>
        <w:tc>
          <w:tcPr>
            <w:tcW w:w="4876" w:type="dxa"/>
          </w:tcPr>
          <w:p w:rsidR="00314BB3" w:rsidRPr="00781861" w:rsidRDefault="00314BB3">
            <w:pPr>
              <w:pStyle w:val="Normal6"/>
              <w:rPr>
                <w:lang w:val="en-GB"/>
              </w:rPr>
            </w:pPr>
          </w:p>
        </w:tc>
        <w:tc>
          <w:tcPr>
            <w:tcW w:w="4876" w:type="dxa"/>
            <w:hideMark/>
          </w:tcPr>
          <w:p w:rsidR="00314BB3" w:rsidRPr="00781861" w:rsidRDefault="00FE1F10">
            <w:pPr>
              <w:pStyle w:val="Normal6"/>
              <w:rPr>
                <w:szCs w:val="24"/>
              </w:rPr>
            </w:pPr>
            <w:r>
              <w:rPr>
                <w:b/>
                <w:i/>
              </w:rPr>
              <w:t>–</w:t>
            </w:r>
            <w:r>
              <w:rPr>
                <w:b/>
                <w:i/>
              </w:rPr>
              <w:tab/>
              <w:t xml:space="preserve">Tendo em conta a Comunicação da Comissão, de 4 de março de 2021, intitulada «Plano de Ação sobre o Pilar Europeu dos Direitos Sociais» (COM(2021)0102) e as grandes metas nela </w:t>
            </w:r>
            <w:r>
              <w:rPr>
                <w:b/>
                <w:i/>
              </w:rPr>
              <w:t>estabelecidas para 2030 em matéria de emprego, competências e formação, e redução da pobreza,</w:t>
            </w:r>
          </w:p>
        </w:tc>
      </w:tr>
    </w:tbl>
    <w:p w:rsidR="00314BB3" w:rsidRPr="00781861" w:rsidRDefault="00FE1F10" w:rsidP="00314BB3">
      <w:r>
        <w:rPr>
          <w:rStyle w:val="HideTWBExt"/>
        </w:rPr>
        <w:t>&lt;/Amend&gt;</w:t>
      </w:r>
    </w:p>
    <w:p w:rsidR="00EA4087" w:rsidRPr="00781861" w:rsidRDefault="00FE1F10" w:rsidP="00EA4087">
      <w:pPr>
        <w:pStyle w:val="AMNumberTabs0"/>
        <w:keepNext/>
      </w:pPr>
      <w:r w:rsidRPr="00FE1F10">
        <w:rPr>
          <w:rStyle w:val="HideTWBExt"/>
          <w:b w:val="0"/>
        </w:rPr>
        <w:t>&lt;Amend&gt;</w:t>
      </w:r>
      <w:r>
        <w:t>Alteração</w:t>
      </w:r>
      <w:r>
        <w:tab/>
      </w:r>
      <w:r>
        <w:tab/>
      </w:r>
      <w:r w:rsidRPr="00FE1F10">
        <w:rPr>
          <w:rStyle w:val="HideTWBExt"/>
          <w:b w:val="0"/>
        </w:rPr>
        <w:t>&lt;NumAm&gt;</w:t>
      </w:r>
      <w:r>
        <w:t>3</w:t>
      </w:r>
      <w:r w:rsidRPr="00FE1F10">
        <w:rPr>
          <w:rStyle w:val="HideTWBExt"/>
          <w:b w:val="0"/>
        </w:rPr>
        <w:t>&lt;/NumAm&gt;</w:t>
      </w:r>
    </w:p>
    <w:p w:rsidR="00EA4087" w:rsidRPr="00781861" w:rsidRDefault="00FE1F10" w:rsidP="00EA4087">
      <w:pPr>
        <w:pStyle w:val="NormalBold12b"/>
        <w:keepNext/>
      </w:pPr>
      <w:r>
        <w:rPr>
          <w:rStyle w:val="HideTWBExt"/>
          <w:b w:val="0"/>
        </w:rPr>
        <w:t>&lt;DocAmend&gt;</w:t>
      </w:r>
      <w:r>
        <w:t>Proposta de resolução</w:t>
      </w:r>
      <w:r>
        <w:rPr>
          <w:rStyle w:val="HideTWBExt"/>
          <w:b w:val="0"/>
        </w:rPr>
        <w:t>&lt;/DocAmend&gt;</w:t>
      </w:r>
    </w:p>
    <w:p w:rsidR="00EA4087" w:rsidRPr="00781861" w:rsidRDefault="00FE1F10" w:rsidP="00EA4087">
      <w:pPr>
        <w:pStyle w:val="NormalBold"/>
      </w:pPr>
      <w:r>
        <w:rPr>
          <w:rStyle w:val="HideTWBExt"/>
          <w:b w:val="0"/>
        </w:rPr>
        <w:t>&lt;Article&gt;</w:t>
      </w:r>
      <w:r>
        <w:t>Citação 8</w:t>
      </w:r>
      <w:r>
        <w:noBreakHyphen/>
      </w:r>
      <w:r>
        <w:t>C (nova)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2CD8" w:rsidTr="00EA4087">
        <w:trPr>
          <w:jc w:val="center"/>
        </w:trPr>
        <w:tc>
          <w:tcPr>
            <w:tcW w:w="9752" w:type="dxa"/>
            <w:gridSpan w:val="2"/>
          </w:tcPr>
          <w:p w:rsidR="00EA4087" w:rsidRPr="00781861" w:rsidRDefault="00EA4087">
            <w:pPr>
              <w:keepNext/>
            </w:pPr>
          </w:p>
        </w:tc>
      </w:tr>
      <w:tr w:rsidR="007C2CD8" w:rsidTr="00EA4087">
        <w:trPr>
          <w:jc w:val="center"/>
        </w:trPr>
        <w:tc>
          <w:tcPr>
            <w:tcW w:w="4876" w:type="dxa"/>
            <w:hideMark/>
          </w:tcPr>
          <w:p w:rsidR="00EA4087" w:rsidRPr="00781861" w:rsidRDefault="00FE1F10">
            <w:pPr>
              <w:pStyle w:val="ColumnHeading"/>
              <w:keepNext/>
            </w:pPr>
            <w:r>
              <w:t>Proposta de resolução</w:t>
            </w:r>
          </w:p>
        </w:tc>
        <w:tc>
          <w:tcPr>
            <w:tcW w:w="4876" w:type="dxa"/>
            <w:hideMark/>
          </w:tcPr>
          <w:p w:rsidR="00EA4087" w:rsidRPr="00781861" w:rsidRDefault="00FE1F10">
            <w:pPr>
              <w:pStyle w:val="ColumnHeading"/>
              <w:keepNext/>
            </w:pPr>
            <w:r>
              <w:t>Alteração</w:t>
            </w:r>
          </w:p>
        </w:tc>
      </w:tr>
      <w:tr w:rsidR="007C2CD8" w:rsidTr="00EA4087">
        <w:trPr>
          <w:jc w:val="center"/>
        </w:trPr>
        <w:tc>
          <w:tcPr>
            <w:tcW w:w="4876" w:type="dxa"/>
          </w:tcPr>
          <w:p w:rsidR="00EA4087" w:rsidRPr="00781861" w:rsidRDefault="00EA4087">
            <w:pPr>
              <w:pStyle w:val="Normal6"/>
              <w:rPr>
                <w:lang w:val="en-GB"/>
              </w:rPr>
            </w:pPr>
          </w:p>
        </w:tc>
        <w:tc>
          <w:tcPr>
            <w:tcW w:w="4876" w:type="dxa"/>
            <w:hideMark/>
          </w:tcPr>
          <w:p w:rsidR="00EA4087" w:rsidRPr="00781861" w:rsidRDefault="00FE1F10">
            <w:pPr>
              <w:pStyle w:val="Normal6"/>
              <w:rPr>
                <w:szCs w:val="24"/>
              </w:rPr>
            </w:pPr>
            <w:r>
              <w:rPr>
                <w:b/>
                <w:i/>
              </w:rPr>
              <w:t>–</w:t>
            </w:r>
            <w:r>
              <w:rPr>
                <w:b/>
                <w:i/>
              </w:rPr>
              <w:tab/>
              <w:t xml:space="preserve">Tendo em conta os Objetivos de </w:t>
            </w:r>
            <w:r>
              <w:rPr>
                <w:b/>
                <w:i/>
              </w:rPr>
              <w:lastRenderedPageBreak/>
              <w:t>Desenvolvimento Sustentável das Nações Unidas, nomeadamente os objetivos 1, 4, 5, 8 e 10,</w:t>
            </w:r>
          </w:p>
        </w:tc>
      </w:tr>
    </w:tbl>
    <w:p w:rsidR="00EA4087" w:rsidRPr="00781861" w:rsidRDefault="00FE1F10" w:rsidP="00EA4087">
      <w:pPr>
        <w:rPr>
          <w:szCs w:val="24"/>
        </w:rPr>
      </w:pPr>
      <w:r>
        <w:rPr>
          <w:rStyle w:val="HideTWBExt"/>
        </w:rPr>
        <w:lastRenderedPageBreak/>
        <w:t>&lt;/Amend&gt;</w:t>
      </w:r>
    </w:p>
    <w:p w:rsidR="00EA4087" w:rsidRPr="00781861" w:rsidRDefault="00FE1F10" w:rsidP="00EA4087">
      <w:pPr>
        <w:pStyle w:val="AMNumberTabs0"/>
        <w:keepNext/>
      </w:pPr>
      <w:r w:rsidRPr="00FE1F10">
        <w:rPr>
          <w:rStyle w:val="HideTWBExt"/>
          <w:b w:val="0"/>
        </w:rPr>
        <w:t>&lt;Amend&gt;</w:t>
      </w:r>
      <w:r>
        <w:t>Alteração</w:t>
      </w:r>
      <w:r>
        <w:tab/>
      </w:r>
      <w:r>
        <w:tab/>
      </w:r>
      <w:r w:rsidRPr="00FE1F10">
        <w:rPr>
          <w:rStyle w:val="HideTWBExt"/>
          <w:b w:val="0"/>
        </w:rPr>
        <w:t>&lt;NumAm&gt;</w:t>
      </w:r>
      <w:r>
        <w:t>4</w:t>
      </w:r>
      <w:r w:rsidRPr="00FE1F10">
        <w:rPr>
          <w:rStyle w:val="HideTWBExt"/>
          <w:b w:val="0"/>
        </w:rPr>
        <w:t>&lt;/NumAm&gt;</w:t>
      </w:r>
    </w:p>
    <w:p w:rsidR="00EA4087" w:rsidRPr="00781861" w:rsidRDefault="00FE1F10" w:rsidP="00EA4087">
      <w:pPr>
        <w:pStyle w:val="NormalBold12b"/>
        <w:keepNext/>
      </w:pPr>
      <w:r>
        <w:rPr>
          <w:rStyle w:val="HideTWBExt"/>
          <w:b w:val="0"/>
        </w:rPr>
        <w:t>&lt;DocAmend&gt;</w:t>
      </w:r>
      <w:r>
        <w:t>Proposta de resolução</w:t>
      </w:r>
      <w:r>
        <w:rPr>
          <w:rStyle w:val="HideTWBExt"/>
          <w:b w:val="0"/>
        </w:rPr>
        <w:t>&lt;/DocAmend&gt;</w:t>
      </w:r>
    </w:p>
    <w:p w:rsidR="00EA4087" w:rsidRPr="00781861" w:rsidRDefault="00FE1F10" w:rsidP="00EA4087">
      <w:pPr>
        <w:pStyle w:val="NormalBold"/>
      </w:pPr>
      <w:r>
        <w:rPr>
          <w:rStyle w:val="HideTWBExt"/>
          <w:b w:val="0"/>
        </w:rPr>
        <w:t>&lt;Article&gt;</w:t>
      </w:r>
      <w:r>
        <w:t>Citação 8</w:t>
      </w:r>
      <w:r>
        <w:noBreakHyphen/>
      </w:r>
      <w:r>
        <w:t>D (nova)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2CD8" w:rsidTr="00EA4087">
        <w:trPr>
          <w:jc w:val="center"/>
        </w:trPr>
        <w:tc>
          <w:tcPr>
            <w:tcW w:w="9752" w:type="dxa"/>
            <w:gridSpan w:val="2"/>
          </w:tcPr>
          <w:p w:rsidR="00EA4087" w:rsidRPr="00781861" w:rsidRDefault="00EA4087">
            <w:pPr>
              <w:keepNext/>
            </w:pPr>
          </w:p>
        </w:tc>
      </w:tr>
      <w:tr w:rsidR="007C2CD8" w:rsidTr="00EA4087">
        <w:trPr>
          <w:jc w:val="center"/>
        </w:trPr>
        <w:tc>
          <w:tcPr>
            <w:tcW w:w="4876" w:type="dxa"/>
            <w:hideMark/>
          </w:tcPr>
          <w:p w:rsidR="00EA4087" w:rsidRPr="00781861" w:rsidRDefault="00FE1F10">
            <w:pPr>
              <w:pStyle w:val="ColumnHeading"/>
              <w:keepNext/>
            </w:pPr>
            <w:r>
              <w:t>Proposta de resolução</w:t>
            </w:r>
          </w:p>
        </w:tc>
        <w:tc>
          <w:tcPr>
            <w:tcW w:w="4876" w:type="dxa"/>
            <w:hideMark/>
          </w:tcPr>
          <w:p w:rsidR="00EA4087" w:rsidRPr="00781861" w:rsidRDefault="00FE1F10">
            <w:pPr>
              <w:pStyle w:val="ColumnHeading"/>
              <w:keepNext/>
            </w:pPr>
            <w:r>
              <w:t>Alteração</w:t>
            </w:r>
          </w:p>
        </w:tc>
      </w:tr>
      <w:tr w:rsidR="007C2CD8" w:rsidTr="00EA4087">
        <w:trPr>
          <w:jc w:val="center"/>
        </w:trPr>
        <w:tc>
          <w:tcPr>
            <w:tcW w:w="4876" w:type="dxa"/>
          </w:tcPr>
          <w:p w:rsidR="00EA4087" w:rsidRPr="00781861" w:rsidRDefault="00EA4087">
            <w:pPr>
              <w:pStyle w:val="Normal6"/>
              <w:rPr>
                <w:lang w:val="en-GB"/>
              </w:rPr>
            </w:pPr>
          </w:p>
        </w:tc>
        <w:tc>
          <w:tcPr>
            <w:tcW w:w="4876" w:type="dxa"/>
            <w:hideMark/>
          </w:tcPr>
          <w:p w:rsidR="00EA4087" w:rsidRPr="00781861" w:rsidRDefault="00FE1F10">
            <w:pPr>
              <w:pStyle w:val="Normal6"/>
              <w:rPr>
                <w:szCs w:val="24"/>
              </w:rPr>
            </w:pPr>
            <w:r>
              <w:rPr>
                <w:b/>
                <w:i/>
              </w:rPr>
              <w:t>–</w:t>
            </w:r>
            <w:r>
              <w:rPr>
                <w:b/>
                <w:i/>
              </w:rPr>
              <w:tab/>
              <w:t>Tendo em conta a Recomendação (UE) 2021/1004 do Conselho, de 14 de junho de 2021, relativa à criação de uma Garantia Europeia para a Infância</w:t>
            </w:r>
            <w:r>
              <w:rPr>
                <w:b/>
                <w:i/>
                <w:vertAlign w:val="superscript"/>
              </w:rPr>
              <w:t>1</w:t>
            </w:r>
            <w:r>
              <w:rPr>
                <w:b/>
                <w:i/>
                <w:vertAlign w:val="superscript"/>
              </w:rPr>
              <w:noBreakHyphen/>
            </w:r>
            <w:r>
              <w:rPr>
                <w:b/>
                <w:i/>
                <w:vertAlign w:val="superscript"/>
              </w:rPr>
              <w:t>A</w:t>
            </w:r>
            <w:r>
              <w:rPr>
                <w:b/>
                <w:i/>
              </w:rPr>
              <w:t>,</w:t>
            </w:r>
          </w:p>
        </w:tc>
      </w:tr>
      <w:tr w:rsidR="007C2CD8" w:rsidTr="00EA4087">
        <w:trPr>
          <w:jc w:val="center"/>
        </w:trPr>
        <w:tc>
          <w:tcPr>
            <w:tcW w:w="4876" w:type="dxa"/>
          </w:tcPr>
          <w:p w:rsidR="00EA4087" w:rsidRPr="00FE1F10" w:rsidRDefault="00EA4087">
            <w:pPr>
              <w:pStyle w:val="Normal6"/>
            </w:pPr>
          </w:p>
        </w:tc>
        <w:tc>
          <w:tcPr>
            <w:tcW w:w="4876" w:type="dxa"/>
            <w:hideMark/>
          </w:tcPr>
          <w:p w:rsidR="00EA4087" w:rsidRPr="00781861" w:rsidRDefault="00FE1F10">
            <w:pPr>
              <w:pStyle w:val="Normal6"/>
              <w:rPr>
                <w:szCs w:val="24"/>
              </w:rPr>
            </w:pPr>
            <w:r>
              <w:rPr>
                <w:b/>
                <w:i/>
              </w:rPr>
              <w:t>__________________</w:t>
            </w:r>
          </w:p>
        </w:tc>
      </w:tr>
      <w:tr w:rsidR="007C2CD8" w:rsidTr="00EA4087">
        <w:trPr>
          <w:jc w:val="center"/>
        </w:trPr>
        <w:tc>
          <w:tcPr>
            <w:tcW w:w="4876" w:type="dxa"/>
          </w:tcPr>
          <w:p w:rsidR="00EA4087" w:rsidRPr="00781861" w:rsidRDefault="00EA4087">
            <w:pPr>
              <w:pStyle w:val="Normal6"/>
              <w:rPr>
                <w:lang w:val="en-GB"/>
              </w:rPr>
            </w:pPr>
          </w:p>
        </w:tc>
        <w:tc>
          <w:tcPr>
            <w:tcW w:w="4876" w:type="dxa"/>
            <w:hideMark/>
          </w:tcPr>
          <w:p w:rsidR="00EA4087" w:rsidRPr="00781861" w:rsidRDefault="00FE1F10">
            <w:pPr>
              <w:pStyle w:val="Normal6"/>
              <w:rPr>
                <w:b/>
                <w:i/>
                <w:szCs w:val="24"/>
              </w:rPr>
            </w:pPr>
            <w:r>
              <w:rPr>
                <w:b/>
                <w:i/>
                <w:vertAlign w:val="superscript"/>
              </w:rPr>
              <w:t>1</w:t>
            </w:r>
            <w:r>
              <w:rPr>
                <w:b/>
                <w:i/>
                <w:vertAlign w:val="superscript"/>
              </w:rPr>
              <w:noBreakHyphen/>
            </w:r>
            <w:r>
              <w:rPr>
                <w:b/>
                <w:i/>
                <w:vertAlign w:val="superscript"/>
              </w:rPr>
              <w:t>A</w:t>
            </w:r>
            <w:r>
              <w:rPr>
                <w:b/>
                <w:i/>
              </w:rPr>
              <w:t xml:space="preserve"> JO L 223 de 22.6.2021, p. 14, </w:t>
            </w:r>
            <w:r>
              <w:rPr>
                <w:b/>
                <w:i/>
                <w:shd w:val="clear" w:color="auto" w:fill="FFFFFF"/>
              </w:rPr>
              <w:t>ELI: </w:t>
            </w:r>
            <w:hyperlink r:id="rId8" w:tooltip="Permite aceder ao documento através do URI do ELI." w:history="1">
              <w:r>
                <w:rPr>
                  <w:rStyle w:val="Hyperlink"/>
                  <w:b/>
                  <w:i/>
                  <w:color w:val="auto"/>
                  <w:shd w:val="clear" w:color="auto" w:fill="FFFFFF"/>
                </w:rPr>
                <w:t>http://data.europa.eu/eli/reco/2021/1004/oj</w:t>
              </w:r>
            </w:hyperlink>
            <w:r>
              <w:rPr>
                <w:b/>
                <w:i/>
              </w:rPr>
              <w:t>.</w:t>
            </w:r>
          </w:p>
        </w:tc>
      </w:tr>
    </w:tbl>
    <w:p w:rsidR="00EA4087" w:rsidRPr="00781861" w:rsidRDefault="00FE1F10" w:rsidP="00EA4087">
      <w:pPr>
        <w:rPr>
          <w:szCs w:val="24"/>
        </w:rPr>
      </w:pPr>
      <w:r>
        <w:rPr>
          <w:rStyle w:val="HideTWBExt"/>
        </w:rPr>
        <w:t>&lt;/Amend&gt;</w:t>
      </w:r>
    </w:p>
    <w:p w:rsidR="00EA4087" w:rsidRPr="00781861" w:rsidRDefault="00FE1F10" w:rsidP="00EA4087">
      <w:pPr>
        <w:pStyle w:val="AMNumberTabs0"/>
        <w:keepNext/>
      </w:pPr>
      <w:r>
        <w:rPr>
          <w:rStyle w:val="HideTWBExt"/>
          <w:b w:val="0"/>
          <w:lang w:val="en-GB"/>
        </w:rPr>
        <w:t>&lt;Amend&gt;</w:t>
      </w:r>
      <w:r>
        <w:t>Alteração</w:t>
      </w:r>
      <w:r>
        <w:tab/>
      </w:r>
      <w:r>
        <w:tab/>
      </w:r>
      <w:r>
        <w:rPr>
          <w:rStyle w:val="HideTWBExt"/>
          <w:b w:val="0"/>
          <w:lang w:val="en-GB"/>
        </w:rPr>
        <w:t>&lt;NumAm&gt;</w:t>
      </w:r>
      <w:r>
        <w:t>5</w:t>
      </w:r>
      <w:r>
        <w:rPr>
          <w:rStyle w:val="HideTWBExt"/>
          <w:b w:val="0"/>
          <w:lang w:val="en-GB"/>
        </w:rPr>
        <w:t>&lt;/NumAm&gt;</w:t>
      </w:r>
    </w:p>
    <w:p w:rsidR="00EA4087" w:rsidRPr="00781861" w:rsidRDefault="00FE1F10" w:rsidP="00EA4087">
      <w:pPr>
        <w:pStyle w:val="NormalBold12b"/>
        <w:keepNext/>
      </w:pPr>
      <w:r>
        <w:rPr>
          <w:rStyle w:val="HideTWBExt"/>
          <w:b w:val="0"/>
        </w:rPr>
        <w:t>&lt;DocAmend&gt;</w:t>
      </w:r>
      <w:r>
        <w:t>Proposta de resolução</w:t>
      </w:r>
      <w:r>
        <w:rPr>
          <w:rStyle w:val="HideTWBExt"/>
          <w:b w:val="0"/>
        </w:rPr>
        <w:t>&lt;/DocAmend&gt;</w:t>
      </w:r>
    </w:p>
    <w:p w:rsidR="00EA4087" w:rsidRPr="00781861" w:rsidRDefault="00FE1F10" w:rsidP="00EA4087">
      <w:pPr>
        <w:pStyle w:val="NormalBold"/>
      </w:pPr>
      <w:r>
        <w:rPr>
          <w:rStyle w:val="HideTWBExt"/>
          <w:b w:val="0"/>
        </w:rPr>
        <w:t>&lt;Article&gt;</w:t>
      </w:r>
      <w:r>
        <w:t>Citação 8</w:t>
      </w:r>
      <w:r>
        <w:noBreakHyphen/>
      </w:r>
      <w:r>
        <w:t>E (nova)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2CD8" w:rsidTr="00EA4087">
        <w:trPr>
          <w:jc w:val="center"/>
        </w:trPr>
        <w:tc>
          <w:tcPr>
            <w:tcW w:w="9752" w:type="dxa"/>
            <w:gridSpan w:val="2"/>
          </w:tcPr>
          <w:p w:rsidR="00EA4087" w:rsidRPr="00781861" w:rsidRDefault="00EA4087">
            <w:pPr>
              <w:keepNext/>
            </w:pPr>
          </w:p>
        </w:tc>
      </w:tr>
      <w:tr w:rsidR="007C2CD8" w:rsidTr="00EA4087">
        <w:trPr>
          <w:jc w:val="center"/>
        </w:trPr>
        <w:tc>
          <w:tcPr>
            <w:tcW w:w="4876" w:type="dxa"/>
            <w:hideMark/>
          </w:tcPr>
          <w:p w:rsidR="00EA4087" w:rsidRPr="00781861" w:rsidRDefault="00FE1F10">
            <w:pPr>
              <w:pStyle w:val="ColumnHeading"/>
              <w:keepNext/>
            </w:pPr>
            <w:r>
              <w:t>Proposta de resolução</w:t>
            </w:r>
          </w:p>
        </w:tc>
        <w:tc>
          <w:tcPr>
            <w:tcW w:w="4876" w:type="dxa"/>
            <w:hideMark/>
          </w:tcPr>
          <w:p w:rsidR="00EA4087" w:rsidRPr="00781861" w:rsidRDefault="00FE1F10">
            <w:pPr>
              <w:pStyle w:val="ColumnHeading"/>
              <w:keepNext/>
            </w:pPr>
            <w:r>
              <w:t>Alteração</w:t>
            </w:r>
          </w:p>
        </w:tc>
      </w:tr>
      <w:tr w:rsidR="007C2CD8" w:rsidTr="00EA4087">
        <w:trPr>
          <w:jc w:val="center"/>
        </w:trPr>
        <w:tc>
          <w:tcPr>
            <w:tcW w:w="4876" w:type="dxa"/>
          </w:tcPr>
          <w:p w:rsidR="00EA4087" w:rsidRPr="00781861" w:rsidRDefault="00EA4087">
            <w:pPr>
              <w:pStyle w:val="Normal6"/>
              <w:rPr>
                <w:lang w:val="en-GB"/>
              </w:rPr>
            </w:pPr>
          </w:p>
        </w:tc>
        <w:tc>
          <w:tcPr>
            <w:tcW w:w="4876" w:type="dxa"/>
            <w:hideMark/>
          </w:tcPr>
          <w:p w:rsidR="00EA4087" w:rsidRPr="00781861" w:rsidRDefault="00FE1F10">
            <w:pPr>
              <w:pStyle w:val="Normal6"/>
              <w:rPr>
                <w:szCs w:val="24"/>
              </w:rPr>
            </w:pPr>
            <w:r>
              <w:rPr>
                <w:b/>
                <w:i/>
              </w:rPr>
              <w:t>–</w:t>
            </w:r>
            <w:r>
              <w:rPr>
                <w:b/>
                <w:i/>
              </w:rPr>
              <w:tab/>
              <w:t>Tendo em conta a Recomendação do Conselho, de 30 de outubro de 2020, relativa a «Uma ponte para o emprego — Reforçar a Garantia para a Juventude» e que substitui a recomendação do Conselho,</w:t>
            </w:r>
            <w:r>
              <w:rPr>
                <w:b/>
                <w:i/>
              </w:rPr>
              <w:t xml:space="preserve"> de 22 de abril de 2013, relativa ao estabelecimento de uma Garantia para a Juventude</w:t>
            </w:r>
            <w:r>
              <w:rPr>
                <w:b/>
                <w:i/>
                <w:vertAlign w:val="superscript"/>
              </w:rPr>
              <w:t>1</w:t>
            </w:r>
            <w:r>
              <w:rPr>
                <w:b/>
                <w:i/>
                <w:vertAlign w:val="superscript"/>
              </w:rPr>
              <w:noBreakHyphen/>
            </w:r>
            <w:r>
              <w:rPr>
                <w:b/>
                <w:i/>
                <w:vertAlign w:val="superscript"/>
              </w:rPr>
              <w:t>A</w:t>
            </w:r>
            <w:r>
              <w:rPr>
                <w:b/>
                <w:i/>
              </w:rPr>
              <w:t>,</w:t>
            </w:r>
          </w:p>
        </w:tc>
      </w:tr>
      <w:tr w:rsidR="007C2CD8" w:rsidTr="00EA4087">
        <w:trPr>
          <w:jc w:val="center"/>
        </w:trPr>
        <w:tc>
          <w:tcPr>
            <w:tcW w:w="4876" w:type="dxa"/>
          </w:tcPr>
          <w:p w:rsidR="00EA4087" w:rsidRPr="00FE1F10" w:rsidRDefault="00EA4087">
            <w:pPr>
              <w:pStyle w:val="Normal6"/>
            </w:pPr>
          </w:p>
        </w:tc>
        <w:tc>
          <w:tcPr>
            <w:tcW w:w="4876" w:type="dxa"/>
            <w:hideMark/>
          </w:tcPr>
          <w:p w:rsidR="00EA4087" w:rsidRPr="00781861" w:rsidRDefault="00FE1F10">
            <w:pPr>
              <w:pStyle w:val="Normal6"/>
              <w:rPr>
                <w:szCs w:val="24"/>
              </w:rPr>
            </w:pPr>
            <w:r>
              <w:rPr>
                <w:b/>
                <w:i/>
              </w:rPr>
              <w:t>__________________</w:t>
            </w:r>
          </w:p>
        </w:tc>
      </w:tr>
      <w:tr w:rsidR="007C2CD8" w:rsidTr="00EA4087">
        <w:trPr>
          <w:jc w:val="center"/>
        </w:trPr>
        <w:tc>
          <w:tcPr>
            <w:tcW w:w="4876" w:type="dxa"/>
          </w:tcPr>
          <w:p w:rsidR="00EA4087" w:rsidRPr="00781861" w:rsidRDefault="00EA4087">
            <w:pPr>
              <w:pStyle w:val="Normal6"/>
              <w:rPr>
                <w:lang w:val="en-GB"/>
              </w:rPr>
            </w:pPr>
          </w:p>
        </w:tc>
        <w:tc>
          <w:tcPr>
            <w:tcW w:w="4876" w:type="dxa"/>
            <w:hideMark/>
          </w:tcPr>
          <w:p w:rsidR="00EA4087" w:rsidRPr="00781861" w:rsidRDefault="00FE1F10">
            <w:pPr>
              <w:pStyle w:val="Normal6"/>
              <w:rPr>
                <w:szCs w:val="24"/>
              </w:rPr>
            </w:pPr>
            <w:r>
              <w:rPr>
                <w:b/>
                <w:i/>
                <w:vertAlign w:val="superscript"/>
              </w:rPr>
              <w:t>1</w:t>
            </w:r>
            <w:r>
              <w:rPr>
                <w:b/>
                <w:i/>
                <w:vertAlign w:val="superscript"/>
              </w:rPr>
              <w:noBreakHyphen/>
            </w:r>
            <w:r>
              <w:rPr>
                <w:b/>
                <w:i/>
                <w:vertAlign w:val="superscript"/>
              </w:rPr>
              <w:t>A</w:t>
            </w:r>
            <w:r>
              <w:t xml:space="preserve"> </w:t>
            </w:r>
            <w:r>
              <w:rPr>
                <w:b/>
                <w:i/>
              </w:rPr>
              <w:t>JO C 372 de 4.11.2020, p. 1.</w:t>
            </w:r>
          </w:p>
        </w:tc>
      </w:tr>
    </w:tbl>
    <w:p w:rsidR="00EA4087" w:rsidRPr="00781861" w:rsidRDefault="00FE1F10" w:rsidP="00EA4087">
      <w:pPr>
        <w:rPr>
          <w:szCs w:val="24"/>
        </w:rPr>
      </w:pPr>
      <w:r>
        <w:rPr>
          <w:rStyle w:val="HideTWBExt"/>
        </w:rPr>
        <w:t>&lt;/Amend&gt;</w:t>
      </w:r>
    </w:p>
    <w:p w:rsidR="00EA4087" w:rsidRPr="00781861" w:rsidRDefault="00FE1F10" w:rsidP="00EA4087">
      <w:pPr>
        <w:pStyle w:val="AMNumberTabs0"/>
        <w:keepNext/>
      </w:pPr>
      <w:r>
        <w:rPr>
          <w:rStyle w:val="HideTWBExt"/>
          <w:b w:val="0"/>
          <w:lang w:val="en-GB"/>
        </w:rPr>
        <w:t>&lt;Amend&gt;</w:t>
      </w:r>
      <w:r>
        <w:t>Alteração</w:t>
      </w:r>
      <w:r>
        <w:tab/>
      </w:r>
      <w:r>
        <w:tab/>
      </w:r>
      <w:r>
        <w:rPr>
          <w:rStyle w:val="HideTWBExt"/>
          <w:b w:val="0"/>
          <w:lang w:val="en-GB"/>
        </w:rPr>
        <w:t>&lt;NumAm&gt;</w:t>
      </w:r>
      <w:r>
        <w:t>6</w:t>
      </w:r>
      <w:r>
        <w:rPr>
          <w:rStyle w:val="HideTWBExt"/>
          <w:b w:val="0"/>
          <w:lang w:val="en-GB"/>
        </w:rPr>
        <w:t>&lt;/NumAm&gt;</w:t>
      </w:r>
    </w:p>
    <w:p w:rsidR="00EA4087" w:rsidRPr="00781861" w:rsidRDefault="00FE1F10" w:rsidP="00EA4087">
      <w:pPr>
        <w:pStyle w:val="NormalBold12b"/>
        <w:keepNext/>
      </w:pPr>
      <w:r>
        <w:rPr>
          <w:rStyle w:val="HideTWBExt"/>
          <w:b w:val="0"/>
        </w:rPr>
        <w:t>&lt;DocAmend&gt;</w:t>
      </w:r>
      <w:r>
        <w:t>Proposta de resolução</w:t>
      </w:r>
      <w:r>
        <w:rPr>
          <w:rStyle w:val="HideTWBExt"/>
          <w:b w:val="0"/>
        </w:rPr>
        <w:t>&lt;/DocAmend&gt;</w:t>
      </w:r>
    </w:p>
    <w:p w:rsidR="00EA4087" w:rsidRPr="00781861" w:rsidRDefault="00FE1F10" w:rsidP="00EA4087">
      <w:pPr>
        <w:pStyle w:val="NormalBold"/>
      </w:pPr>
      <w:r>
        <w:rPr>
          <w:rStyle w:val="HideTWBExt"/>
          <w:b w:val="0"/>
        </w:rPr>
        <w:t>&lt;Article&gt;</w:t>
      </w:r>
      <w:r>
        <w:t xml:space="preserve">Citação 12‑A </w:t>
      </w:r>
      <w:r>
        <w:t>(nova)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2CD8" w:rsidTr="00EA4087">
        <w:trPr>
          <w:jc w:val="center"/>
        </w:trPr>
        <w:tc>
          <w:tcPr>
            <w:tcW w:w="9752" w:type="dxa"/>
            <w:gridSpan w:val="2"/>
          </w:tcPr>
          <w:p w:rsidR="00EA4087" w:rsidRPr="00781861" w:rsidRDefault="00EA4087">
            <w:pPr>
              <w:keepNext/>
            </w:pPr>
          </w:p>
        </w:tc>
      </w:tr>
      <w:tr w:rsidR="007C2CD8" w:rsidTr="00EA4087">
        <w:trPr>
          <w:jc w:val="center"/>
        </w:trPr>
        <w:tc>
          <w:tcPr>
            <w:tcW w:w="4876" w:type="dxa"/>
            <w:hideMark/>
          </w:tcPr>
          <w:p w:rsidR="00EA4087" w:rsidRPr="00781861" w:rsidRDefault="00FE1F10">
            <w:pPr>
              <w:pStyle w:val="ColumnHeading"/>
              <w:keepNext/>
            </w:pPr>
            <w:r>
              <w:t>Proposta de resolução</w:t>
            </w:r>
          </w:p>
        </w:tc>
        <w:tc>
          <w:tcPr>
            <w:tcW w:w="4876" w:type="dxa"/>
            <w:hideMark/>
          </w:tcPr>
          <w:p w:rsidR="00EA4087" w:rsidRPr="00781861" w:rsidRDefault="00FE1F10">
            <w:pPr>
              <w:pStyle w:val="ColumnHeading"/>
              <w:keepNext/>
            </w:pPr>
            <w:r>
              <w:t>Alteração</w:t>
            </w:r>
          </w:p>
        </w:tc>
      </w:tr>
      <w:tr w:rsidR="007C2CD8" w:rsidTr="00EA4087">
        <w:trPr>
          <w:jc w:val="center"/>
        </w:trPr>
        <w:tc>
          <w:tcPr>
            <w:tcW w:w="4876" w:type="dxa"/>
          </w:tcPr>
          <w:p w:rsidR="00EA4087" w:rsidRPr="00781861" w:rsidRDefault="00EA4087">
            <w:pPr>
              <w:pStyle w:val="Normal6"/>
              <w:rPr>
                <w:lang w:val="en-GB"/>
              </w:rPr>
            </w:pPr>
          </w:p>
        </w:tc>
        <w:tc>
          <w:tcPr>
            <w:tcW w:w="4876" w:type="dxa"/>
            <w:hideMark/>
          </w:tcPr>
          <w:p w:rsidR="00EA4087" w:rsidRPr="00781861" w:rsidRDefault="00FE1F10" w:rsidP="00AC23F4">
            <w:pPr>
              <w:pStyle w:val="Normal6"/>
              <w:rPr>
                <w:szCs w:val="24"/>
              </w:rPr>
            </w:pPr>
            <w:r>
              <w:rPr>
                <w:b/>
                <w:i/>
              </w:rPr>
              <w:t>–</w:t>
            </w:r>
            <w:r>
              <w:rPr>
                <w:b/>
                <w:i/>
              </w:rPr>
              <w:tab/>
              <w:t>Tendo em conta a Comunicação da Comissão, de 17 de dezembro de 2024, intitulada «Semestre Europeu de 2025 — Pacote de outono» (COM(2024)0700),</w:t>
            </w:r>
          </w:p>
        </w:tc>
      </w:tr>
    </w:tbl>
    <w:p w:rsidR="00EA4087" w:rsidRPr="00781861" w:rsidRDefault="00FE1F10" w:rsidP="00EA4087">
      <w:pPr>
        <w:rPr>
          <w:szCs w:val="24"/>
        </w:rPr>
      </w:pPr>
      <w:r>
        <w:rPr>
          <w:rStyle w:val="HideTWBExt"/>
        </w:rPr>
        <w:t>&lt;/Amend&gt;</w:t>
      </w:r>
    </w:p>
    <w:p w:rsidR="00EA4087" w:rsidRPr="00781861" w:rsidRDefault="00FE1F10" w:rsidP="00EA4087">
      <w:pPr>
        <w:pStyle w:val="AMNumberTabs0"/>
        <w:keepNext/>
      </w:pPr>
      <w:r w:rsidRPr="00FE1F10">
        <w:rPr>
          <w:rStyle w:val="HideTWBExt"/>
          <w:b w:val="0"/>
        </w:rPr>
        <w:t>&lt;Amend&gt;</w:t>
      </w:r>
      <w:r>
        <w:t>Alteração</w:t>
      </w:r>
      <w:r>
        <w:tab/>
      </w:r>
      <w:r>
        <w:tab/>
      </w:r>
      <w:r w:rsidRPr="00FE1F10">
        <w:rPr>
          <w:rStyle w:val="HideTWBExt"/>
          <w:b w:val="0"/>
        </w:rPr>
        <w:t>&lt;NumAm&gt;</w:t>
      </w:r>
      <w:r>
        <w:t>7</w:t>
      </w:r>
      <w:r w:rsidRPr="00FE1F10">
        <w:rPr>
          <w:rStyle w:val="HideTWBExt"/>
          <w:b w:val="0"/>
        </w:rPr>
        <w:t>&lt;/NumAm&gt;</w:t>
      </w:r>
    </w:p>
    <w:p w:rsidR="00EA4087" w:rsidRPr="00781861" w:rsidRDefault="00FE1F10" w:rsidP="00EA4087">
      <w:pPr>
        <w:pStyle w:val="NormalBold12b"/>
        <w:keepNext/>
      </w:pPr>
      <w:r>
        <w:rPr>
          <w:rStyle w:val="HideTWBExt"/>
          <w:b w:val="0"/>
        </w:rPr>
        <w:t>&lt;DocAmend&gt;</w:t>
      </w:r>
      <w:r>
        <w:t>Proposta de resolução</w:t>
      </w:r>
      <w:r>
        <w:rPr>
          <w:rStyle w:val="HideTWBExt"/>
          <w:b w:val="0"/>
        </w:rPr>
        <w:t>&lt;/DocAmend&gt;</w:t>
      </w:r>
    </w:p>
    <w:p w:rsidR="00EA4087" w:rsidRPr="00781861" w:rsidRDefault="00FE1F10" w:rsidP="00EA4087">
      <w:pPr>
        <w:pStyle w:val="NormalBold"/>
      </w:pPr>
      <w:r>
        <w:rPr>
          <w:rStyle w:val="HideTWBExt"/>
          <w:b w:val="0"/>
        </w:rPr>
        <w:t>&lt;Article&gt;</w:t>
      </w:r>
      <w:r>
        <w:t>Citação 12</w:t>
      </w:r>
      <w:r>
        <w:noBreakHyphen/>
      </w:r>
      <w:r>
        <w:t>B (nova)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2CD8" w:rsidTr="00EA4087">
        <w:trPr>
          <w:jc w:val="center"/>
        </w:trPr>
        <w:tc>
          <w:tcPr>
            <w:tcW w:w="9752" w:type="dxa"/>
            <w:gridSpan w:val="2"/>
          </w:tcPr>
          <w:p w:rsidR="00EA4087" w:rsidRPr="00781861" w:rsidRDefault="00EA4087">
            <w:pPr>
              <w:keepNext/>
            </w:pPr>
          </w:p>
        </w:tc>
      </w:tr>
      <w:tr w:rsidR="007C2CD8" w:rsidTr="00EA4087">
        <w:trPr>
          <w:jc w:val="center"/>
        </w:trPr>
        <w:tc>
          <w:tcPr>
            <w:tcW w:w="4876" w:type="dxa"/>
            <w:hideMark/>
          </w:tcPr>
          <w:p w:rsidR="00EA4087" w:rsidRPr="00781861" w:rsidRDefault="00FE1F10">
            <w:pPr>
              <w:pStyle w:val="ColumnHeading"/>
              <w:keepNext/>
            </w:pPr>
            <w:r>
              <w:t>Proposta de resolução</w:t>
            </w:r>
          </w:p>
        </w:tc>
        <w:tc>
          <w:tcPr>
            <w:tcW w:w="4876" w:type="dxa"/>
            <w:hideMark/>
          </w:tcPr>
          <w:p w:rsidR="00EA4087" w:rsidRPr="00781861" w:rsidRDefault="00FE1F10">
            <w:pPr>
              <w:pStyle w:val="ColumnHeading"/>
              <w:keepNext/>
            </w:pPr>
            <w:r>
              <w:t>Alteração</w:t>
            </w:r>
          </w:p>
        </w:tc>
      </w:tr>
      <w:tr w:rsidR="007C2CD8" w:rsidTr="00EA4087">
        <w:trPr>
          <w:jc w:val="center"/>
        </w:trPr>
        <w:tc>
          <w:tcPr>
            <w:tcW w:w="4876" w:type="dxa"/>
          </w:tcPr>
          <w:p w:rsidR="00EA4087" w:rsidRPr="00781861" w:rsidRDefault="00EA4087">
            <w:pPr>
              <w:pStyle w:val="Normal6"/>
              <w:rPr>
                <w:lang w:val="en-GB"/>
              </w:rPr>
            </w:pPr>
          </w:p>
        </w:tc>
        <w:tc>
          <w:tcPr>
            <w:tcW w:w="4876" w:type="dxa"/>
            <w:hideMark/>
          </w:tcPr>
          <w:p w:rsidR="00EA4087" w:rsidRPr="00781861" w:rsidRDefault="00FE1F10" w:rsidP="00AC0348">
            <w:pPr>
              <w:pStyle w:val="Normal6"/>
              <w:rPr>
                <w:szCs w:val="24"/>
              </w:rPr>
            </w:pPr>
            <w:r>
              <w:rPr>
                <w:b/>
                <w:i/>
              </w:rPr>
              <w:t>–</w:t>
            </w:r>
            <w:r>
              <w:rPr>
                <w:b/>
                <w:i/>
              </w:rPr>
              <w:tab/>
              <w:t>Tendo em conta a proposta da Comissão, de 17 de dezembro de 2024, de um relatório conjun</w:t>
            </w:r>
            <w:bookmarkStart w:id="0" w:name="_GoBack"/>
            <w:bookmarkEnd w:id="0"/>
            <w:r>
              <w:rPr>
                <w:b/>
                <w:i/>
              </w:rPr>
              <w:t xml:space="preserve">to sobre o emprego da Comissão e do Conselho </w:t>
            </w:r>
            <w:r>
              <w:rPr>
                <w:b/>
                <w:i/>
              </w:rPr>
              <w:t>(COM(2024)0701) («RCE»),</w:t>
            </w:r>
          </w:p>
        </w:tc>
      </w:tr>
    </w:tbl>
    <w:p w:rsidR="00EA4087" w:rsidRPr="00781861" w:rsidRDefault="00FE1F10" w:rsidP="00EA4087">
      <w:pPr>
        <w:rPr>
          <w:szCs w:val="24"/>
        </w:rPr>
      </w:pPr>
      <w:r>
        <w:rPr>
          <w:rStyle w:val="HideTWBExt"/>
        </w:rPr>
        <w:t>&lt;/Amend&gt;</w:t>
      </w:r>
    </w:p>
    <w:p w:rsidR="00521F00" w:rsidRPr="00781861" w:rsidRDefault="00FE1F10" w:rsidP="00521F00">
      <w:pPr>
        <w:pStyle w:val="AMNumberTabs0"/>
        <w:keepNext/>
      </w:pPr>
      <w:r w:rsidRPr="00FE1F10">
        <w:rPr>
          <w:rStyle w:val="HideTWBExt"/>
          <w:b w:val="0"/>
        </w:rPr>
        <w:t>&lt;Amend&gt;</w:t>
      </w:r>
      <w:r>
        <w:t>Alteração</w:t>
      </w:r>
      <w:r>
        <w:tab/>
      </w:r>
      <w:r>
        <w:tab/>
      </w:r>
      <w:r w:rsidRPr="00FE1F10">
        <w:rPr>
          <w:rStyle w:val="HideTWBExt"/>
          <w:b w:val="0"/>
        </w:rPr>
        <w:t>&lt;NumAm&gt;</w:t>
      </w:r>
      <w:r>
        <w:t>8</w:t>
      </w:r>
      <w:r w:rsidRPr="00FE1F10">
        <w:rPr>
          <w:rStyle w:val="HideTWBExt"/>
          <w:b w:val="0"/>
        </w:rPr>
        <w:t>&lt;/NumAm&gt;</w:t>
      </w:r>
    </w:p>
    <w:p w:rsidR="00521F00" w:rsidRPr="00781861" w:rsidRDefault="00521F00" w:rsidP="00521F00"/>
    <w:p w:rsidR="00521F00" w:rsidRPr="00781861" w:rsidRDefault="00FE1F10" w:rsidP="00521F00">
      <w:pPr>
        <w:pStyle w:val="NormalBold"/>
        <w:keepNext/>
      </w:pPr>
      <w:r>
        <w:rPr>
          <w:rStyle w:val="HideTWBExt"/>
          <w:b w:val="0"/>
        </w:rPr>
        <w:t>&lt;DocAmend&gt;</w:t>
      </w:r>
      <w:r>
        <w:t>Proposta de resolução</w:t>
      </w:r>
      <w:r>
        <w:rPr>
          <w:rStyle w:val="HideTWBExt"/>
          <w:b w:val="0"/>
        </w:rPr>
        <w:t>&lt;/DocAmend&gt;</w:t>
      </w:r>
    </w:p>
    <w:p w:rsidR="00521F00" w:rsidRPr="00781861" w:rsidRDefault="00FE1F10" w:rsidP="00521F00">
      <w:pPr>
        <w:pStyle w:val="NormalBold"/>
      </w:pPr>
      <w:r>
        <w:rPr>
          <w:rStyle w:val="HideTWBExt"/>
          <w:b w:val="0"/>
        </w:rPr>
        <w:t>&lt;Article&gt;</w:t>
      </w:r>
      <w:r>
        <w:t>Citação 19</w:t>
      </w:r>
      <w:r>
        <w:noBreakHyphen/>
      </w:r>
      <w:r>
        <w:t>A (nova)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2CD8" w:rsidTr="00521F00">
        <w:trPr>
          <w:jc w:val="center"/>
        </w:trPr>
        <w:tc>
          <w:tcPr>
            <w:tcW w:w="9752" w:type="dxa"/>
            <w:gridSpan w:val="2"/>
          </w:tcPr>
          <w:p w:rsidR="00521F00" w:rsidRPr="00781861" w:rsidRDefault="00521F00">
            <w:pPr>
              <w:keepNext/>
            </w:pPr>
          </w:p>
        </w:tc>
      </w:tr>
      <w:tr w:rsidR="007C2CD8" w:rsidTr="00521F00">
        <w:trPr>
          <w:jc w:val="center"/>
        </w:trPr>
        <w:tc>
          <w:tcPr>
            <w:tcW w:w="4876" w:type="dxa"/>
            <w:hideMark/>
          </w:tcPr>
          <w:p w:rsidR="00521F00" w:rsidRPr="00781861" w:rsidRDefault="00FE1F10">
            <w:pPr>
              <w:pStyle w:val="ColumnHeading"/>
              <w:keepNext/>
            </w:pPr>
            <w:r>
              <w:t>Proposta de resolução</w:t>
            </w:r>
          </w:p>
        </w:tc>
        <w:tc>
          <w:tcPr>
            <w:tcW w:w="4876" w:type="dxa"/>
            <w:hideMark/>
          </w:tcPr>
          <w:p w:rsidR="00521F00" w:rsidRPr="00781861" w:rsidRDefault="00FE1F10">
            <w:pPr>
              <w:pStyle w:val="ColumnHeading"/>
              <w:keepNext/>
            </w:pPr>
            <w:r>
              <w:t>Alteração</w:t>
            </w:r>
          </w:p>
        </w:tc>
      </w:tr>
      <w:tr w:rsidR="007C2CD8" w:rsidTr="00521F00">
        <w:trPr>
          <w:jc w:val="center"/>
        </w:trPr>
        <w:tc>
          <w:tcPr>
            <w:tcW w:w="4876" w:type="dxa"/>
          </w:tcPr>
          <w:p w:rsidR="00521F00" w:rsidRPr="00781861" w:rsidRDefault="00521F00">
            <w:pPr>
              <w:pStyle w:val="Normal6"/>
              <w:rPr>
                <w:lang w:val="en-GB"/>
              </w:rPr>
            </w:pPr>
          </w:p>
        </w:tc>
        <w:tc>
          <w:tcPr>
            <w:tcW w:w="4876" w:type="dxa"/>
            <w:hideMark/>
          </w:tcPr>
          <w:p w:rsidR="00521F00" w:rsidRPr="00781861" w:rsidRDefault="00FE1F10">
            <w:pPr>
              <w:pStyle w:val="Normal6"/>
              <w:rPr>
                <w:szCs w:val="24"/>
              </w:rPr>
            </w:pPr>
            <w:r>
              <w:rPr>
                <w:b/>
                <w:i/>
              </w:rPr>
              <w:t>–</w:t>
            </w:r>
            <w:r>
              <w:rPr>
                <w:b/>
                <w:i/>
              </w:rPr>
              <w:tab/>
              <w:t xml:space="preserve">Tendo em conta a grelha de avaliação da recuperação e </w:t>
            </w:r>
            <w:r>
              <w:rPr>
                <w:b/>
                <w:i/>
              </w:rPr>
              <w:t>resiliência,</w:t>
            </w:r>
          </w:p>
        </w:tc>
      </w:tr>
    </w:tbl>
    <w:p w:rsidR="00521F00" w:rsidRPr="00781861" w:rsidRDefault="00FE1F10" w:rsidP="00521F00">
      <w:r>
        <w:rPr>
          <w:rStyle w:val="HideTWBExt"/>
        </w:rPr>
        <w:t>&lt;/Amend&gt;</w:t>
      </w:r>
    </w:p>
    <w:p w:rsidR="00521F00" w:rsidRPr="00781861" w:rsidRDefault="00FE1F10" w:rsidP="00521F00">
      <w:pPr>
        <w:pStyle w:val="AMNumberTabs0"/>
        <w:keepNext/>
      </w:pPr>
      <w:r w:rsidRPr="00FE1F10">
        <w:rPr>
          <w:rStyle w:val="HideTWBExt"/>
          <w:b w:val="0"/>
        </w:rPr>
        <w:t>&lt;Amend&gt;</w:t>
      </w:r>
      <w:r>
        <w:t>Alteração</w:t>
      </w:r>
      <w:r>
        <w:tab/>
      </w:r>
      <w:r>
        <w:tab/>
      </w:r>
      <w:r w:rsidRPr="00FE1F10">
        <w:rPr>
          <w:rStyle w:val="HideTWBExt"/>
          <w:b w:val="0"/>
        </w:rPr>
        <w:t>&lt;NumAm&gt;</w:t>
      </w:r>
      <w:r>
        <w:t>9</w:t>
      </w:r>
      <w:r w:rsidRPr="00FE1F10">
        <w:rPr>
          <w:rStyle w:val="HideTWBExt"/>
          <w:b w:val="0"/>
        </w:rPr>
        <w:t>&lt;/NumAm&gt;</w:t>
      </w:r>
    </w:p>
    <w:p w:rsidR="00521F00" w:rsidRPr="00781861" w:rsidRDefault="00521F00" w:rsidP="00521F00"/>
    <w:p w:rsidR="00521F00" w:rsidRPr="00781861" w:rsidRDefault="00FE1F10" w:rsidP="00521F00">
      <w:pPr>
        <w:pStyle w:val="NormalBold"/>
        <w:keepNext/>
      </w:pPr>
      <w:r>
        <w:rPr>
          <w:rStyle w:val="HideTWBExt"/>
          <w:b w:val="0"/>
        </w:rPr>
        <w:t>&lt;DocAmend&gt;</w:t>
      </w:r>
      <w:r>
        <w:t>Proposta de resolução</w:t>
      </w:r>
      <w:r>
        <w:rPr>
          <w:rStyle w:val="HideTWBExt"/>
          <w:b w:val="0"/>
        </w:rPr>
        <w:t>&lt;/DocAmend&gt;</w:t>
      </w:r>
    </w:p>
    <w:p w:rsidR="00521F00" w:rsidRPr="00781861" w:rsidRDefault="00FE1F10" w:rsidP="00521F00">
      <w:pPr>
        <w:pStyle w:val="NormalBold"/>
      </w:pPr>
      <w:r>
        <w:rPr>
          <w:rStyle w:val="HideTWBExt"/>
          <w:b w:val="0"/>
        </w:rPr>
        <w:t>&lt;Article&gt;</w:t>
      </w:r>
      <w:r>
        <w:t>Citação 19</w:t>
      </w:r>
      <w:r>
        <w:noBreakHyphen/>
      </w:r>
      <w:r>
        <w:t>B (nova)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2CD8" w:rsidTr="00521F00">
        <w:trPr>
          <w:jc w:val="center"/>
        </w:trPr>
        <w:tc>
          <w:tcPr>
            <w:tcW w:w="9752" w:type="dxa"/>
            <w:gridSpan w:val="2"/>
          </w:tcPr>
          <w:p w:rsidR="00521F00" w:rsidRPr="00781861" w:rsidRDefault="00521F00">
            <w:pPr>
              <w:keepNext/>
            </w:pPr>
          </w:p>
        </w:tc>
      </w:tr>
      <w:tr w:rsidR="007C2CD8" w:rsidTr="00521F00">
        <w:trPr>
          <w:jc w:val="center"/>
        </w:trPr>
        <w:tc>
          <w:tcPr>
            <w:tcW w:w="4876" w:type="dxa"/>
            <w:hideMark/>
          </w:tcPr>
          <w:p w:rsidR="00521F00" w:rsidRPr="00781861" w:rsidRDefault="00FE1F10">
            <w:pPr>
              <w:pStyle w:val="ColumnHeading"/>
              <w:keepNext/>
            </w:pPr>
            <w:r>
              <w:t>Proposta de resolução</w:t>
            </w:r>
          </w:p>
        </w:tc>
        <w:tc>
          <w:tcPr>
            <w:tcW w:w="4876" w:type="dxa"/>
            <w:hideMark/>
          </w:tcPr>
          <w:p w:rsidR="00521F00" w:rsidRPr="00781861" w:rsidRDefault="00FE1F10">
            <w:pPr>
              <w:pStyle w:val="ColumnHeading"/>
              <w:keepNext/>
            </w:pPr>
            <w:r>
              <w:t>Alteração</w:t>
            </w:r>
          </w:p>
        </w:tc>
      </w:tr>
      <w:tr w:rsidR="007C2CD8" w:rsidRPr="00FE1F10" w:rsidTr="00521F00">
        <w:trPr>
          <w:jc w:val="center"/>
        </w:trPr>
        <w:tc>
          <w:tcPr>
            <w:tcW w:w="4876" w:type="dxa"/>
          </w:tcPr>
          <w:p w:rsidR="00521F00" w:rsidRPr="00781861" w:rsidRDefault="00521F00">
            <w:pPr>
              <w:pStyle w:val="Normal6"/>
              <w:rPr>
                <w:lang w:val="en-GB"/>
              </w:rPr>
            </w:pPr>
          </w:p>
        </w:tc>
        <w:tc>
          <w:tcPr>
            <w:tcW w:w="4876" w:type="dxa"/>
            <w:hideMark/>
          </w:tcPr>
          <w:p w:rsidR="00521F00" w:rsidRPr="00FE1F10" w:rsidRDefault="00FE1F10" w:rsidP="00F56F50">
            <w:pPr>
              <w:pStyle w:val="Normal6"/>
              <w:rPr>
                <w:szCs w:val="24"/>
                <w:lang w:val="en-GB"/>
              </w:rPr>
            </w:pPr>
            <w:r w:rsidRPr="00FE1F10">
              <w:rPr>
                <w:b/>
                <w:i/>
                <w:lang w:val="en-GB"/>
              </w:rPr>
              <w:t>–</w:t>
            </w:r>
            <w:r w:rsidRPr="00FE1F10">
              <w:rPr>
                <w:b/>
                <w:i/>
                <w:lang w:val="en-GB"/>
              </w:rPr>
              <w:tab/>
              <w:t xml:space="preserve">Tendo em conta o relatório da Eurofound, de 26 de fevereiro de 2024, </w:t>
            </w:r>
            <w:r w:rsidRPr="00FE1F10">
              <w:rPr>
                <w:b/>
                <w:i/>
                <w:lang w:val="en-GB"/>
              </w:rPr>
              <w:t>intitulado «Social governance of the Recovery and Resilience Facility: Involvement of the national social partners»,</w:t>
            </w:r>
          </w:p>
        </w:tc>
      </w:tr>
    </w:tbl>
    <w:p w:rsidR="00521F00" w:rsidRPr="00FE1F10" w:rsidRDefault="00FE1F10" w:rsidP="00521F00">
      <w:pPr>
        <w:rPr>
          <w:lang w:val="en-GB"/>
        </w:rPr>
      </w:pPr>
      <w:r w:rsidRPr="00FE1F10">
        <w:rPr>
          <w:rStyle w:val="HideTWBExt"/>
          <w:lang w:val="en-GB"/>
        </w:rPr>
        <w:t>&lt;/Amend&gt;</w:t>
      </w:r>
    </w:p>
    <w:p w:rsidR="00521F00" w:rsidRPr="00781861" w:rsidRDefault="00FE1F10" w:rsidP="00521F00">
      <w:pPr>
        <w:pStyle w:val="AMNumberTabs0"/>
        <w:keepNext/>
      </w:pPr>
      <w:r w:rsidRPr="00FE1F10">
        <w:rPr>
          <w:rStyle w:val="HideTWBExt"/>
          <w:b w:val="0"/>
        </w:rPr>
        <w:lastRenderedPageBreak/>
        <w:t>&lt;Amend&gt;</w:t>
      </w:r>
      <w:r>
        <w:t>Alteração</w:t>
      </w:r>
      <w:r>
        <w:tab/>
      </w:r>
      <w:r>
        <w:tab/>
      </w:r>
      <w:r w:rsidRPr="00FE1F10">
        <w:rPr>
          <w:rStyle w:val="HideTWBExt"/>
          <w:b w:val="0"/>
        </w:rPr>
        <w:t>&lt;NumAm&gt;</w:t>
      </w:r>
      <w:r>
        <w:t>10</w:t>
      </w:r>
      <w:r w:rsidRPr="00FE1F10">
        <w:rPr>
          <w:rStyle w:val="HideTWBExt"/>
          <w:b w:val="0"/>
        </w:rPr>
        <w:t>&lt;/NumAm&gt;</w:t>
      </w:r>
    </w:p>
    <w:p w:rsidR="00521F00" w:rsidRPr="00781861" w:rsidRDefault="00521F00" w:rsidP="00521F00"/>
    <w:p w:rsidR="00521F00" w:rsidRPr="00781861" w:rsidRDefault="00FE1F10" w:rsidP="00521F00">
      <w:pPr>
        <w:pStyle w:val="NormalBold"/>
        <w:keepNext/>
      </w:pPr>
      <w:r>
        <w:rPr>
          <w:rStyle w:val="HideTWBExt"/>
          <w:b w:val="0"/>
        </w:rPr>
        <w:t>&lt;DocAmend&gt;</w:t>
      </w:r>
      <w:r>
        <w:t>Proposta de resolução</w:t>
      </w:r>
      <w:r>
        <w:rPr>
          <w:rStyle w:val="HideTWBExt"/>
          <w:b w:val="0"/>
        </w:rPr>
        <w:t>&lt;/DocAmend&gt;</w:t>
      </w:r>
    </w:p>
    <w:p w:rsidR="00521F00" w:rsidRPr="00781861" w:rsidRDefault="00FE1F10" w:rsidP="00521F00">
      <w:pPr>
        <w:pStyle w:val="NormalBold"/>
      </w:pPr>
      <w:r>
        <w:rPr>
          <w:rStyle w:val="HideTWBExt"/>
          <w:b w:val="0"/>
        </w:rPr>
        <w:t>&lt;Article&gt;</w:t>
      </w:r>
      <w:r>
        <w:t>Citação 19</w:t>
      </w:r>
      <w:r>
        <w:noBreakHyphen/>
      </w:r>
      <w:r>
        <w:t>C (nova)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2CD8" w:rsidTr="00521F00">
        <w:trPr>
          <w:jc w:val="center"/>
        </w:trPr>
        <w:tc>
          <w:tcPr>
            <w:tcW w:w="9752" w:type="dxa"/>
            <w:gridSpan w:val="2"/>
          </w:tcPr>
          <w:p w:rsidR="00521F00" w:rsidRPr="00781861" w:rsidRDefault="00521F00">
            <w:pPr>
              <w:keepNext/>
            </w:pPr>
          </w:p>
        </w:tc>
      </w:tr>
      <w:tr w:rsidR="007C2CD8" w:rsidTr="00521F00">
        <w:trPr>
          <w:jc w:val="center"/>
        </w:trPr>
        <w:tc>
          <w:tcPr>
            <w:tcW w:w="4876" w:type="dxa"/>
            <w:hideMark/>
          </w:tcPr>
          <w:p w:rsidR="00521F00" w:rsidRPr="00781861" w:rsidRDefault="00FE1F10">
            <w:pPr>
              <w:pStyle w:val="ColumnHeading"/>
              <w:keepNext/>
            </w:pPr>
            <w:r>
              <w:t>Proposta</w:t>
            </w:r>
            <w:r>
              <w:t xml:space="preserve"> de resolução</w:t>
            </w:r>
          </w:p>
        </w:tc>
        <w:tc>
          <w:tcPr>
            <w:tcW w:w="4876" w:type="dxa"/>
            <w:hideMark/>
          </w:tcPr>
          <w:p w:rsidR="00521F00" w:rsidRPr="00781861" w:rsidRDefault="00FE1F10">
            <w:pPr>
              <w:pStyle w:val="ColumnHeading"/>
              <w:keepNext/>
            </w:pPr>
            <w:r>
              <w:t>Alteração</w:t>
            </w:r>
          </w:p>
        </w:tc>
      </w:tr>
      <w:tr w:rsidR="007C2CD8" w:rsidTr="00521F00">
        <w:trPr>
          <w:jc w:val="center"/>
        </w:trPr>
        <w:tc>
          <w:tcPr>
            <w:tcW w:w="4876" w:type="dxa"/>
          </w:tcPr>
          <w:p w:rsidR="00521F00" w:rsidRPr="00781861" w:rsidRDefault="00521F00">
            <w:pPr>
              <w:pStyle w:val="Normal6"/>
              <w:rPr>
                <w:lang w:val="en-GB"/>
              </w:rPr>
            </w:pPr>
          </w:p>
        </w:tc>
        <w:tc>
          <w:tcPr>
            <w:tcW w:w="4876" w:type="dxa"/>
            <w:hideMark/>
          </w:tcPr>
          <w:p w:rsidR="00521F00" w:rsidRPr="00781861" w:rsidRDefault="00FE1F10">
            <w:pPr>
              <w:pStyle w:val="Normal6"/>
              <w:rPr>
                <w:b/>
                <w:i/>
              </w:rPr>
            </w:pPr>
            <w:r>
              <w:rPr>
                <w:b/>
                <w:i/>
              </w:rPr>
              <w:t>–</w:t>
            </w:r>
            <w:r>
              <w:rPr>
                <w:b/>
                <w:i/>
              </w:rPr>
              <w:tab/>
              <w:t>Tendo em conta a Diretiva (UE) 2022/2041 do Parlamento Europeu e do Conselho, de 19 de outubro de 2022, relativa a salários mínimos adequados na União Europeia</w:t>
            </w:r>
            <w:r>
              <w:rPr>
                <w:b/>
                <w:i/>
                <w:vertAlign w:val="superscript"/>
              </w:rPr>
              <w:t>1</w:t>
            </w:r>
            <w:r>
              <w:rPr>
                <w:b/>
                <w:i/>
                <w:vertAlign w:val="superscript"/>
              </w:rPr>
              <w:noBreakHyphen/>
            </w:r>
            <w:r>
              <w:rPr>
                <w:b/>
                <w:i/>
                <w:vertAlign w:val="superscript"/>
              </w:rPr>
              <w:t>A</w:t>
            </w:r>
            <w:r>
              <w:rPr>
                <w:b/>
                <w:i/>
              </w:rPr>
              <w:t>,</w:t>
            </w:r>
          </w:p>
          <w:p w:rsidR="001534C2" w:rsidRPr="00781861" w:rsidRDefault="00FE1F10">
            <w:pPr>
              <w:pStyle w:val="Normal6"/>
              <w:rPr>
                <w:b/>
                <w:i/>
              </w:rPr>
            </w:pPr>
            <w:r>
              <w:rPr>
                <w:b/>
                <w:i/>
              </w:rPr>
              <w:t>_______________</w:t>
            </w:r>
          </w:p>
          <w:p w:rsidR="001534C2" w:rsidRPr="00781861" w:rsidRDefault="00FE1F10">
            <w:pPr>
              <w:pStyle w:val="Normal6"/>
              <w:rPr>
                <w:b/>
                <w:i/>
                <w:szCs w:val="24"/>
              </w:rPr>
            </w:pPr>
            <w:r>
              <w:rPr>
                <w:b/>
                <w:i/>
                <w:vertAlign w:val="superscript"/>
              </w:rPr>
              <w:t>1</w:t>
            </w:r>
            <w:r>
              <w:rPr>
                <w:b/>
                <w:i/>
                <w:vertAlign w:val="superscript"/>
              </w:rPr>
              <w:noBreakHyphen/>
            </w:r>
            <w:r>
              <w:rPr>
                <w:b/>
                <w:i/>
                <w:vertAlign w:val="superscript"/>
              </w:rPr>
              <w:t>A</w:t>
            </w:r>
            <w:r>
              <w:rPr>
                <w:b/>
                <w:i/>
              </w:rPr>
              <w:t xml:space="preserve"> JO L 275 de 25.10.2022, p. 33, ELI: </w:t>
            </w:r>
            <w:hyperlink r:id="rId9" w:history="1">
              <w:r>
                <w:rPr>
                  <w:rStyle w:val="Hyperlink"/>
                  <w:b/>
                  <w:i/>
                  <w:color w:val="auto"/>
                </w:rPr>
                <w:t>http://data.europa.eu/eli/dir/2022/2041/oj</w:t>
              </w:r>
            </w:hyperlink>
            <w:r>
              <w:rPr>
                <w:b/>
                <w:i/>
              </w:rPr>
              <w:t xml:space="preserve">. </w:t>
            </w:r>
          </w:p>
        </w:tc>
      </w:tr>
    </w:tbl>
    <w:p w:rsidR="00521F00" w:rsidRPr="00781861" w:rsidRDefault="00FE1F10" w:rsidP="00521F00">
      <w:r>
        <w:rPr>
          <w:rStyle w:val="HideTWBExt"/>
          <w:lang w:val="fi-FI"/>
        </w:rPr>
        <w:t>&lt;/Amend&gt;</w:t>
      </w:r>
    </w:p>
    <w:p w:rsidR="00521F00" w:rsidRPr="00781861" w:rsidRDefault="00FE1F10" w:rsidP="00521F00">
      <w:pPr>
        <w:pStyle w:val="AMNumberTabs0"/>
        <w:keepNext/>
      </w:pPr>
      <w:r>
        <w:rPr>
          <w:rStyle w:val="HideTWBExt"/>
          <w:b w:val="0"/>
          <w:lang w:val="en-GB"/>
        </w:rPr>
        <w:t>&lt;Amend&gt;</w:t>
      </w:r>
      <w:r>
        <w:t>Alteração</w:t>
      </w:r>
      <w:r>
        <w:tab/>
      </w:r>
      <w:r>
        <w:tab/>
      </w:r>
      <w:r>
        <w:rPr>
          <w:rStyle w:val="HideTWBExt"/>
          <w:b w:val="0"/>
          <w:lang w:val="en-GB"/>
        </w:rPr>
        <w:t>&lt;NumAm&gt;</w:t>
      </w:r>
      <w:r>
        <w:t>11</w:t>
      </w:r>
      <w:r>
        <w:rPr>
          <w:rStyle w:val="HideTWBExt"/>
          <w:b w:val="0"/>
          <w:lang w:val="en-GB"/>
        </w:rPr>
        <w:t>&lt;/NumAm&gt;</w:t>
      </w:r>
    </w:p>
    <w:p w:rsidR="00521F00" w:rsidRPr="00781861" w:rsidRDefault="00521F00" w:rsidP="00521F00"/>
    <w:p w:rsidR="00521F00" w:rsidRPr="00781861" w:rsidRDefault="00FE1F10" w:rsidP="00521F00">
      <w:pPr>
        <w:pStyle w:val="NormalBold"/>
        <w:keepNext/>
      </w:pPr>
      <w:r>
        <w:rPr>
          <w:rStyle w:val="HideTWBExt"/>
          <w:b w:val="0"/>
        </w:rPr>
        <w:t>&lt;DocAmend&gt;</w:t>
      </w:r>
      <w:r>
        <w:t>Proposta de resolução</w:t>
      </w:r>
      <w:r>
        <w:rPr>
          <w:rStyle w:val="HideTWBExt"/>
          <w:b w:val="0"/>
        </w:rPr>
        <w:t>&lt;/DocAmend&gt;</w:t>
      </w:r>
    </w:p>
    <w:p w:rsidR="00521F00" w:rsidRPr="00781861" w:rsidRDefault="00FE1F10" w:rsidP="00521F00">
      <w:pPr>
        <w:pStyle w:val="NormalBold"/>
      </w:pPr>
      <w:r>
        <w:rPr>
          <w:rStyle w:val="HideTWBExt"/>
          <w:b w:val="0"/>
        </w:rPr>
        <w:t>&lt;Article&gt;</w:t>
      </w:r>
      <w:r>
        <w:t xml:space="preserve">Considerando </w:t>
      </w:r>
      <w:r>
        <w:noBreakHyphen/>
      </w:r>
      <w:r>
        <w:t>A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2CD8" w:rsidTr="00521F00">
        <w:trPr>
          <w:jc w:val="center"/>
        </w:trPr>
        <w:tc>
          <w:tcPr>
            <w:tcW w:w="9752" w:type="dxa"/>
            <w:gridSpan w:val="2"/>
          </w:tcPr>
          <w:p w:rsidR="00521F00" w:rsidRPr="00781861" w:rsidRDefault="00521F00">
            <w:pPr>
              <w:keepNext/>
            </w:pPr>
          </w:p>
        </w:tc>
      </w:tr>
      <w:tr w:rsidR="007C2CD8" w:rsidTr="00521F00">
        <w:trPr>
          <w:jc w:val="center"/>
        </w:trPr>
        <w:tc>
          <w:tcPr>
            <w:tcW w:w="4876" w:type="dxa"/>
            <w:hideMark/>
          </w:tcPr>
          <w:p w:rsidR="00521F00" w:rsidRPr="00781861" w:rsidRDefault="00FE1F10">
            <w:pPr>
              <w:pStyle w:val="ColumnHeading"/>
              <w:keepNext/>
            </w:pPr>
            <w:r>
              <w:t xml:space="preserve">Proposta de </w:t>
            </w:r>
            <w:r>
              <w:t>resolução</w:t>
            </w:r>
          </w:p>
        </w:tc>
        <w:tc>
          <w:tcPr>
            <w:tcW w:w="4876" w:type="dxa"/>
            <w:hideMark/>
          </w:tcPr>
          <w:p w:rsidR="00521F00" w:rsidRPr="00781861" w:rsidRDefault="00FE1F10">
            <w:pPr>
              <w:pStyle w:val="ColumnHeading"/>
              <w:keepNext/>
            </w:pPr>
            <w:r>
              <w:t>Alteração</w:t>
            </w:r>
          </w:p>
        </w:tc>
      </w:tr>
      <w:tr w:rsidR="007C2CD8" w:rsidTr="00521F00">
        <w:trPr>
          <w:jc w:val="center"/>
        </w:trPr>
        <w:tc>
          <w:tcPr>
            <w:tcW w:w="4876" w:type="dxa"/>
          </w:tcPr>
          <w:p w:rsidR="00521F00" w:rsidRPr="00781861" w:rsidRDefault="00521F00">
            <w:pPr>
              <w:pStyle w:val="Normal6"/>
              <w:rPr>
                <w:lang w:val="en-GB"/>
              </w:rPr>
            </w:pPr>
          </w:p>
        </w:tc>
        <w:tc>
          <w:tcPr>
            <w:tcW w:w="4876" w:type="dxa"/>
            <w:hideMark/>
          </w:tcPr>
          <w:p w:rsidR="00521F00" w:rsidRPr="00781861" w:rsidRDefault="00FE1F10" w:rsidP="001534C2">
            <w:pPr>
              <w:pStyle w:val="Normal6"/>
              <w:rPr>
                <w:szCs w:val="24"/>
              </w:rPr>
            </w:pPr>
            <w:r>
              <w:rPr>
                <w:b/>
                <w:i/>
              </w:rPr>
              <w:noBreakHyphen/>
            </w:r>
            <w:r>
              <w:rPr>
                <w:b/>
                <w:i/>
              </w:rPr>
              <w:t>A.</w:t>
            </w:r>
            <w:r>
              <w:rPr>
                <w:b/>
                <w:i/>
              </w:rPr>
              <w:tab/>
              <w:t xml:space="preserve">Considerando que a dimensão social da recuperação da UE é um elemento horizontal do Mecanismo de Recuperação e Resiliência (MRR); que o objetivo geral do MRR é promover a coesão económica, social e territorial da União melhorando </w:t>
            </w:r>
            <w:r>
              <w:rPr>
                <w:b/>
                <w:i/>
              </w:rPr>
              <w:t>a resiliência, a preparação para situações de crise, a capacidade de ajustamento e o potencial de crescimento dos Estados</w:t>
            </w:r>
            <w:r>
              <w:rPr>
                <w:b/>
                <w:i/>
              </w:rPr>
              <w:noBreakHyphen/>
            </w:r>
            <w:r>
              <w:rPr>
                <w:b/>
                <w:i/>
              </w:rPr>
              <w:t>Membros, atenuando o impacto social e económico da crise da COVID</w:t>
            </w:r>
            <w:r>
              <w:rPr>
                <w:b/>
                <w:i/>
              </w:rPr>
              <w:noBreakHyphen/>
            </w:r>
            <w:r>
              <w:rPr>
                <w:b/>
                <w:i/>
              </w:rPr>
              <w:t>19, contribuindo para a aplicação do Pilar Europeu dos Direitos Soci</w:t>
            </w:r>
            <w:r>
              <w:rPr>
                <w:b/>
                <w:i/>
              </w:rPr>
              <w:t>ais (PEDS) e apoiando as transição ecológica e digital, o que contribuirá para a convergência económica e social ascendente, para a recuperação e promoção do crescimento sustentável e para a criação de emprego de elevada qualidade;</w:t>
            </w:r>
          </w:p>
        </w:tc>
      </w:tr>
    </w:tbl>
    <w:p w:rsidR="00521F00" w:rsidRPr="00781861" w:rsidRDefault="00FE1F10" w:rsidP="00521F00">
      <w:r>
        <w:rPr>
          <w:rStyle w:val="HideTWBExt"/>
        </w:rPr>
        <w:t>&lt;/Amend&gt;</w:t>
      </w:r>
    </w:p>
    <w:p w:rsidR="00EA4087" w:rsidRPr="00781861" w:rsidRDefault="00FE1F10" w:rsidP="00EA4087">
      <w:pPr>
        <w:pStyle w:val="AMNumberTabs0"/>
        <w:keepNext/>
      </w:pPr>
      <w:r w:rsidRPr="00FE1F10">
        <w:rPr>
          <w:rStyle w:val="HideTWBExt"/>
          <w:b w:val="0"/>
        </w:rPr>
        <w:lastRenderedPageBreak/>
        <w:t>&lt;Amend&gt;</w:t>
      </w:r>
      <w:r>
        <w:t>Alteraç</w:t>
      </w:r>
      <w:r>
        <w:t>ão</w:t>
      </w:r>
      <w:r>
        <w:tab/>
      </w:r>
      <w:r>
        <w:tab/>
      </w:r>
      <w:r w:rsidRPr="00FE1F10">
        <w:rPr>
          <w:rStyle w:val="HideTWBExt"/>
          <w:b w:val="0"/>
        </w:rPr>
        <w:t>&lt;NumAm&gt;</w:t>
      </w:r>
      <w:r>
        <w:t>12</w:t>
      </w:r>
      <w:r w:rsidRPr="00FE1F10">
        <w:rPr>
          <w:rStyle w:val="HideTWBExt"/>
          <w:b w:val="0"/>
        </w:rPr>
        <w:t>&lt;/NumAm&gt;</w:t>
      </w:r>
    </w:p>
    <w:p w:rsidR="00EA4087" w:rsidRPr="00781861" w:rsidRDefault="00FE1F10" w:rsidP="00EA4087">
      <w:pPr>
        <w:pStyle w:val="NormalBold12b"/>
        <w:keepNext/>
      </w:pPr>
      <w:r>
        <w:rPr>
          <w:rStyle w:val="HideTWBExt"/>
          <w:b w:val="0"/>
        </w:rPr>
        <w:t>&lt;DocAmend&gt;</w:t>
      </w:r>
      <w:r>
        <w:t>Proposta de resolução</w:t>
      </w:r>
      <w:r>
        <w:rPr>
          <w:rStyle w:val="HideTWBExt"/>
          <w:b w:val="0"/>
        </w:rPr>
        <w:t>&lt;/DocAmend&gt;</w:t>
      </w:r>
    </w:p>
    <w:p w:rsidR="00EA4087" w:rsidRPr="00781861" w:rsidRDefault="00FE1F10" w:rsidP="00EA4087">
      <w:pPr>
        <w:pStyle w:val="NormalBold"/>
      </w:pPr>
      <w:r>
        <w:rPr>
          <w:rStyle w:val="HideTWBExt"/>
          <w:b w:val="0"/>
        </w:rPr>
        <w:t>&lt;Article&gt;</w:t>
      </w:r>
      <w:r>
        <w:t>Considerando ‑A</w:t>
      </w:r>
      <w:r>
        <w:noBreakHyphen/>
      </w:r>
      <w:r>
        <w:t>A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2CD8" w:rsidTr="007B04F0">
        <w:trPr>
          <w:jc w:val="center"/>
        </w:trPr>
        <w:tc>
          <w:tcPr>
            <w:tcW w:w="9752" w:type="dxa"/>
            <w:gridSpan w:val="2"/>
          </w:tcPr>
          <w:p w:rsidR="00EA4087" w:rsidRPr="00781861" w:rsidRDefault="00EA4087" w:rsidP="007B04F0">
            <w:pPr>
              <w:keepNext/>
            </w:pPr>
          </w:p>
        </w:tc>
      </w:tr>
      <w:tr w:rsidR="007C2CD8" w:rsidTr="007B04F0">
        <w:trPr>
          <w:jc w:val="center"/>
        </w:trPr>
        <w:tc>
          <w:tcPr>
            <w:tcW w:w="4876" w:type="dxa"/>
            <w:hideMark/>
          </w:tcPr>
          <w:p w:rsidR="00EA4087" w:rsidRPr="00781861" w:rsidRDefault="00FE1F10" w:rsidP="007B04F0">
            <w:pPr>
              <w:pStyle w:val="ColumnHeading"/>
              <w:keepNext/>
            </w:pPr>
            <w:r>
              <w:t>Proposta de resolução</w:t>
            </w:r>
          </w:p>
        </w:tc>
        <w:tc>
          <w:tcPr>
            <w:tcW w:w="4876" w:type="dxa"/>
            <w:hideMark/>
          </w:tcPr>
          <w:p w:rsidR="00EA4087" w:rsidRPr="00781861" w:rsidRDefault="00FE1F10" w:rsidP="007B04F0">
            <w:pPr>
              <w:pStyle w:val="ColumnHeading"/>
              <w:keepNext/>
            </w:pPr>
            <w:r>
              <w:t>Alteração</w:t>
            </w:r>
          </w:p>
        </w:tc>
      </w:tr>
      <w:tr w:rsidR="007C2CD8" w:rsidTr="007B04F0">
        <w:trPr>
          <w:jc w:val="center"/>
        </w:trPr>
        <w:tc>
          <w:tcPr>
            <w:tcW w:w="4876" w:type="dxa"/>
          </w:tcPr>
          <w:p w:rsidR="00EA4087" w:rsidRPr="00781861" w:rsidRDefault="00EA4087" w:rsidP="007B04F0">
            <w:pPr>
              <w:pStyle w:val="Normal6"/>
              <w:rPr>
                <w:lang w:val="en-GB"/>
              </w:rPr>
            </w:pPr>
          </w:p>
        </w:tc>
        <w:tc>
          <w:tcPr>
            <w:tcW w:w="4876" w:type="dxa"/>
            <w:hideMark/>
          </w:tcPr>
          <w:p w:rsidR="00EA4087" w:rsidRPr="00781861" w:rsidRDefault="00FE1F10" w:rsidP="00521F00">
            <w:pPr>
              <w:pStyle w:val="Normal6"/>
              <w:rPr>
                <w:szCs w:val="24"/>
              </w:rPr>
            </w:pPr>
            <w:r>
              <w:rPr>
                <w:b/>
                <w:i/>
              </w:rPr>
              <w:noBreakHyphen/>
            </w:r>
            <w:r>
              <w:rPr>
                <w:b/>
                <w:i/>
              </w:rPr>
              <w:t>A</w:t>
            </w:r>
            <w:r>
              <w:rPr>
                <w:b/>
                <w:i/>
              </w:rPr>
              <w:noBreakHyphen/>
            </w:r>
            <w:r>
              <w:rPr>
                <w:b/>
                <w:i/>
              </w:rPr>
              <w:t>A.</w:t>
            </w:r>
            <w:r>
              <w:rPr>
                <w:b/>
                <w:i/>
              </w:rPr>
              <w:tab/>
              <w:t xml:space="preserve">Considerando que o âmbito de aplicação do MRR tem por referência domínios de intervenção estruturados em </w:t>
            </w:r>
            <w:r>
              <w:rPr>
                <w:b/>
                <w:i/>
              </w:rPr>
              <w:t>seis pilares, a saber:</w:t>
            </w:r>
          </w:p>
        </w:tc>
      </w:tr>
      <w:tr w:rsidR="007C2CD8" w:rsidTr="007B04F0">
        <w:trPr>
          <w:jc w:val="center"/>
        </w:trPr>
        <w:tc>
          <w:tcPr>
            <w:tcW w:w="4876" w:type="dxa"/>
          </w:tcPr>
          <w:p w:rsidR="00EA4087" w:rsidRPr="00FE1F10" w:rsidRDefault="00EA4087" w:rsidP="007B04F0">
            <w:pPr>
              <w:pStyle w:val="Normal6"/>
            </w:pPr>
          </w:p>
        </w:tc>
        <w:tc>
          <w:tcPr>
            <w:tcW w:w="4876" w:type="dxa"/>
          </w:tcPr>
          <w:p w:rsidR="00EA4087" w:rsidRPr="00781861" w:rsidRDefault="00FE1F10" w:rsidP="007B04F0">
            <w:pPr>
              <w:pStyle w:val="Normal6"/>
              <w:rPr>
                <w:b/>
                <w:i/>
              </w:rPr>
            </w:pPr>
            <w:r>
              <w:rPr>
                <w:b/>
                <w:i/>
              </w:rPr>
              <w:t>a) Transição ecológica;</w:t>
            </w:r>
          </w:p>
        </w:tc>
      </w:tr>
      <w:tr w:rsidR="007C2CD8" w:rsidTr="007B04F0">
        <w:trPr>
          <w:jc w:val="center"/>
        </w:trPr>
        <w:tc>
          <w:tcPr>
            <w:tcW w:w="4876" w:type="dxa"/>
          </w:tcPr>
          <w:p w:rsidR="002763BF" w:rsidRPr="00781861" w:rsidRDefault="002763BF" w:rsidP="007B04F0">
            <w:pPr>
              <w:pStyle w:val="Normal6"/>
              <w:rPr>
                <w:lang w:val="en-GB"/>
              </w:rPr>
            </w:pPr>
          </w:p>
        </w:tc>
        <w:tc>
          <w:tcPr>
            <w:tcW w:w="4876" w:type="dxa"/>
          </w:tcPr>
          <w:p w:rsidR="002763BF" w:rsidRPr="00781861" w:rsidRDefault="00FE1F10" w:rsidP="007B04F0">
            <w:pPr>
              <w:pStyle w:val="Normal6"/>
              <w:rPr>
                <w:b/>
                <w:i/>
              </w:rPr>
            </w:pPr>
            <w:r>
              <w:rPr>
                <w:b/>
                <w:i/>
              </w:rPr>
              <w:t>b) Transformação digital;</w:t>
            </w:r>
          </w:p>
        </w:tc>
      </w:tr>
      <w:tr w:rsidR="007C2CD8" w:rsidTr="007B04F0">
        <w:trPr>
          <w:jc w:val="center"/>
        </w:trPr>
        <w:tc>
          <w:tcPr>
            <w:tcW w:w="4876" w:type="dxa"/>
          </w:tcPr>
          <w:p w:rsidR="002763BF" w:rsidRPr="00781861" w:rsidRDefault="002763BF" w:rsidP="007B04F0">
            <w:pPr>
              <w:pStyle w:val="Normal6"/>
              <w:rPr>
                <w:lang w:val="en-GB"/>
              </w:rPr>
            </w:pPr>
          </w:p>
        </w:tc>
        <w:tc>
          <w:tcPr>
            <w:tcW w:w="4876" w:type="dxa"/>
          </w:tcPr>
          <w:p w:rsidR="002763BF" w:rsidRPr="00781861" w:rsidRDefault="00FE1F10" w:rsidP="004C6072">
            <w:pPr>
              <w:pStyle w:val="Normal6"/>
              <w:rPr>
                <w:b/>
                <w:i/>
              </w:rPr>
            </w:pPr>
            <w:r>
              <w:rPr>
                <w:b/>
                <w:i/>
              </w:rPr>
              <w:t>c) Crescimento inteligente, sustentável e inclusivo;</w:t>
            </w:r>
          </w:p>
        </w:tc>
      </w:tr>
      <w:tr w:rsidR="007C2CD8" w:rsidTr="007B04F0">
        <w:trPr>
          <w:jc w:val="center"/>
        </w:trPr>
        <w:tc>
          <w:tcPr>
            <w:tcW w:w="4876" w:type="dxa"/>
          </w:tcPr>
          <w:p w:rsidR="002763BF" w:rsidRPr="00FE1F10" w:rsidRDefault="002763BF" w:rsidP="007B04F0">
            <w:pPr>
              <w:pStyle w:val="Normal6"/>
            </w:pPr>
          </w:p>
        </w:tc>
        <w:tc>
          <w:tcPr>
            <w:tcW w:w="4876" w:type="dxa"/>
          </w:tcPr>
          <w:p w:rsidR="002763BF" w:rsidRPr="00781861" w:rsidRDefault="00FE1F10" w:rsidP="002763BF">
            <w:pPr>
              <w:pStyle w:val="Normal6"/>
              <w:rPr>
                <w:b/>
                <w:i/>
              </w:rPr>
            </w:pPr>
            <w:r>
              <w:rPr>
                <w:b/>
                <w:i/>
              </w:rPr>
              <w:t xml:space="preserve">d) Coesão social e territorial; </w:t>
            </w:r>
          </w:p>
        </w:tc>
      </w:tr>
      <w:tr w:rsidR="007C2CD8" w:rsidTr="007B04F0">
        <w:trPr>
          <w:jc w:val="center"/>
        </w:trPr>
        <w:tc>
          <w:tcPr>
            <w:tcW w:w="4876" w:type="dxa"/>
          </w:tcPr>
          <w:p w:rsidR="002763BF" w:rsidRPr="00FE1F10" w:rsidRDefault="002763BF" w:rsidP="007B04F0">
            <w:pPr>
              <w:pStyle w:val="Normal6"/>
            </w:pPr>
          </w:p>
        </w:tc>
        <w:tc>
          <w:tcPr>
            <w:tcW w:w="4876" w:type="dxa"/>
          </w:tcPr>
          <w:p w:rsidR="002763BF" w:rsidRPr="00781861" w:rsidRDefault="00FE1F10" w:rsidP="002763BF">
            <w:pPr>
              <w:pStyle w:val="Normal6"/>
              <w:rPr>
                <w:b/>
                <w:i/>
              </w:rPr>
            </w:pPr>
            <w:r>
              <w:rPr>
                <w:b/>
                <w:i/>
              </w:rPr>
              <w:t>e) Saúde e resiliência económica, social e institucional; e,</w:t>
            </w:r>
          </w:p>
        </w:tc>
      </w:tr>
      <w:tr w:rsidR="007C2CD8" w:rsidTr="007B04F0">
        <w:trPr>
          <w:jc w:val="center"/>
        </w:trPr>
        <w:tc>
          <w:tcPr>
            <w:tcW w:w="4876" w:type="dxa"/>
          </w:tcPr>
          <w:p w:rsidR="002763BF" w:rsidRPr="00FE1F10" w:rsidRDefault="002763BF" w:rsidP="007B04F0">
            <w:pPr>
              <w:pStyle w:val="Normal6"/>
            </w:pPr>
          </w:p>
        </w:tc>
        <w:tc>
          <w:tcPr>
            <w:tcW w:w="4876" w:type="dxa"/>
          </w:tcPr>
          <w:p w:rsidR="002763BF" w:rsidRPr="00781861" w:rsidRDefault="00FE1F10" w:rsidP="0011438D">
            <w:pPr>
              <w:pStyle w:val="Normal6"/>
              <w:rPr>
                <w:b/>
                <w:i/>
              </w:rPr>
            </w:pPr>
            <w:r>
              <w:rPr>
                <w:b/>
                <w:i/>
              </w:rPr>
              <w:t xml:space="preserve">f) Políticas para a </w:t>
            </w:r>
            <w:r>
              <w:rPr>
                <w:b/>
                <w:i/>
              </w:rPr>
              <w:t>próxima geração, as crianças e os jovens;</w:t>
            </w:r>
          </w:p>
        </w:tc>
      </w:tr>
      <w:tr w:rsidR="007C2CD8" w:rsidTr="007B04F0">
        <w:trPr>
          <w:jc w:val="center"/>
        </w:trPr>
        <w:tc>
          <w:tcPr>
            <w:tcW w:w="4876" w:type="dxa"/>
          </w:tcPr>
          <w:p w:rsidR="002763BF" w:rsidRPr="00FE1F10" w:rsidRDefault="002763BF" w:rsidP="007B04F0">
            <w:pPr>
              <w:pStyle w:val="Normal6"/>
            </w:pPr>
          </w:p>
        </w:tc>
        <w:tc>
          <w:tcPr>
            <w:tcW w:w="4876" w:type="dxa"/>
          </w:tcPr>
          <w:p w:rsidR="002763BF" w:rsidRPr="00781861" w:rsidRDefault="00FE1F10" w:rsidP="007B04F0">
            <w:pPr>
              <w:pStyle w:val="Normal6"/>
              <w:rPr>
                <w:b/>
                <w:i/>
              </w:rPr>
            </w:pPr>
            <w:r>
              <w:rPr>
                <w:b/>
                <w:i/>
              </w:rPr>
              <w:t>que é necessário assegurar a coerência e as sinergias entre as ações levadas a cabo no âmbito de todos os pilares, dada a sua natureza inter</w:t>
            </w:r>
            <w:r>
              <w:rPr>
                <w:b/>
                <w:i/>
              </w:rPr>
              <w:noBreakHyphen/>
            </w:r>
            <w:r>
              <w:rPr>
                <w:b/>
                <w:i/>
              </w:rPr>
              <w:t>relacionada;</w:t>
            </w:r>
          </w:p>
        </w:tc>
      </w:tr>
    </w:tbl>
    <w:p w:rsidR="00EA4087" w:rsidRPr="00781861" w:rsidRDefault="00FE1F10" w:rsidP="00EA4087">
      <w:pPr>
        <w:rPr>
          <w:szCs w:val="24"/>
        </w:rPr>
      </w:pPr>
      <w:r>
        <w:rPr>
          <w:rStyle w:val="HideTWBExt"/>
        </w:rPr>
        <w:t>&lt;/Amend&gt;</w:t>
      </w:r>
    </w:p>
    <w:p w:rsidR="00521F00" w:rsidRPr="00781861" w:rsidRDefault="00FE1F10" w:rsidP="00521F00">
      <w:pPr>
        <w:pStyle w:val="AMNumberTabs0"/>
        <w:keepNext/>
      </w:pPr>
      <w:r w:rsidRPr="00FE1F10">
        <w:rPr>
          <w:rStyle w:val="HideTWBExt"/>
          <w:b w:val="0"/>
        </w:rPr>
        <w:t>&lt;Amend&gt;</w:t>
      </w:r>
      <w:r>
        <w:t>Alteração</w:t>
      </w:r>
      <w:r>
        <w:tab/>
      </w:r>
      <w:r>
        <w:tab/>
      </w:r>
      <w:r w:rsidRPr="00FE1F10">
        <w:rPr>
          <w:rStyle w:val="HideTWBExt"/>
          <w:b w:val="0"/>
        </w:rPr>
        <w:t>&lt;NumAm&gt;</w:t>
      </w:r>
      <w:r>
        <w:t>13</w:t>
      </w:r>
      <w:r w:rsidRPr="00FE1F10">
        <w:rPr>
          <w:rStyle w:val="HideTWBExt"/>
          <w:b w:val="0"/>
        </w:rPr>
        <w:t>&lt;/NumAm&gt;</w:t>
      </w:r>
    </w:p>
    <w:p w:rsidR="00521F00" w:rsidRPr="00781861" w:rsidRDefault="00521F00" w:rsidP="00521F00"/>
    <w:p w:rsidR="00521F00" w:rsidRPr="00781861" w:rsidRDefault="00FE1F10" w:rsidP="00521F00">
      <w:pPr>
        <w:pStyle w:val="NormalBold"/>
        <w:keepNext/>
      </w:pPr>
      <w:r>
        <w:rPr>
          <w:rStyle w:val="HideTWBExt"/>
          <w:b w:val="0"/>
        </w:rPr>
        <w:t>&lt;DocAmend&gt;</w:t>
      </w:r>
      <w:r>
        <w:t>P</w:t>
      </w:r>
      <w:r>
        <w:t>roposta de resolução</w:t>
      </w:r>
      <w:r>
        <w:rPr>
          <w:rStyle w:val="HideTWBExt"/>
          <w:b w:val="0"/>
        </w:rPr>
        <w:t>&lt;/DocAmend&gt;</w:t>
      </w:r>
    </w:p>
    <w:p w:rsidR="00521F00" w:rsidRPr="00781861" w:rsidRDefault="00FE1F10" w:rsidP="00521F00">
      <w:pPr>
        <w:pStyle w:val="NormalBold"/>
      </w:pPr>
      <w:r>
        <w:rPr>
          <w:rStyle w:val="HideTWBExt"/>
          <w:b w:val="0"/>
        </w:rPr>
        <w:t>&lt;Article&gt;</w:t>
      </w:r>
      <w:r>
        <w:t>Considerando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2CD8" w:rsidTr="00521F00">
        <w:trPr>
          <w:jc w:val="center"/>
        </w:trPr>
        <w:tc>
          <w:tcPr>
            <w:tcW w:w="9752" w:type="dxa"/>
            <w:gridSpan w:val="2"/>
          </w:tcPr>
          <w:p w:rsidR="00521F00" w:rsidRPr="00781861" w:rsidRDefault="00521F00">
            <w:pPr>
              <w:keepNext/>
            </w:pPr>
          </w:p>
        </w:tc>
      </w:tr>
      <w:tr w:rsidR="007C2CD8" w:rsidTr="00521F00">
        <w:trPr>
          <w:jc w:val="center"/>
        </w:trPr>
        <w:tc>
          <w:tcPr>
            <w:tcW w:w="4876" w:type="dxa"/>
            <w:hideMark/>
          </w:tcPr>
          <w:p w:rsidR="00521F00" w:rsidRPr="00781861" w:rsidRDefault="00FE1F10">
            <w:pPr>
              <w:pStyle w:val="ColumnHeading"/>
              <w:keepNext/>
            </w:pPr>
            <w:r>
              <w:t>Proposta de resolução</w:t>
            </w:r>
          </w:p>
        </w:tc>
        <w:tc>
          <w:tcPr>
            <w:tcW w:w="4876" w:type="dxa"/>
            <w:hideMark/>
          </w:tcPr>
          <w:p w:rsidR="00521F00" w:rsidRPr="00781861" w:rsidRDefault="00FE1F10">
            <w:pPr>
              <w:pStyle w:val="ColumnHeading"/>
              <w:keepNext/>
            </w:pPr>
            <w:r>
              <w:t>Alteração</w:t>
            </w:r>
          </w:p>
        </w:tc>
      </w:tr>
      <w:tr w:rsidR="007C2CD8" w:rsidTr="00521F00">
        <w:trPr>
          <w:jc w:val="center"/>
        </w:trPr>
        <w:tc>
          <w:tcPr>
            <w:tcW w:w="4876" w:type="dxa"/>
            <w:hideMark/>
          </w:tcPr>
          <w:p w:rsidR="00521F00" w:rsidRPr="00781861" w:rsidRDefault="00FE1F10">
            <w:pPr>
              <w:pStyle w:val="Normal6"/>
            </w:pPr>
            <w:r>
              <w:t>A.</w:t>
            </w:r>
            <w:r>
              <w:tab/>
              <w:t xml:space="preserve">Considerando que as reformas e os investimentos ao abrigo do </w:t>
            </w:r>
            <w:r>
              <w:rPr>
                <w:b/>
                <w:i/>
              </w:rPr>
              <w:t>Mecanismo de Recuperação e Resiliência (</w:t>
            </w:r>
            <w:r>
              <w:t>MRR</w:t>
            </w:r>
            <w:r>
              <w:rPr>
                <w:b/>
                <w:i/>
              </w:rPr>
              <w:t>)</w:t>
            </w:r>
            <w:r>
              <w:t xml:space="preserve"> devem contribuir para tornar a UE mais resiliente e menos dependente através da diversificação das principais cadeias de abastecimento e do consequente reforço da autonomia estratégica da UE; que as reformas e os investimentos no âmbito do MRR devem gerar</w:t>
            </w:r>
            <w:r>
              <w:t>, por outro lado, valor acrescentado europeu;</w:t>
            </w:r>
          </w:p>
        </w:tc>
        <w:tc>
          <w:tcPr>
            <w:tcW w:w="4876" w:type="dxa"/>
            <w:hideMark/>
          </w:tcPr>
          <w:p w:rsidR="00521F00" w:rsidRPr="00781861" w:rsidRDefault="00FE1F10" w:rsidP="00D37E93">
            <w:pPr>
              <w:pStyle w:val="Normal6"/>
              <w:rPr>
                <w:szCs w:val="24"/>
              </w:rPr>
            </w:pPr>
            <w:r>
              <w:t>A.</w:t>
            </w:r>
            <w:r>
              <w:tab/>
              <w:t>Considerando que as reformas e os investimentos ao abrigo do MRR devem contribuir para tornar a UE mais resiliente e menos dependente através da diversificação das principais cadeias de abastecimento e do co</w:t>
            </w:r>
            <w:r>
              <w:t xml:space="preserve">nsequente reforço da autonomia estratégica da UE; que as reformas e os investimentos no âmbito do MRR devem </w:t>
            </w:r>
            <w:r>
              <w:rPr>
                <w:b/>
                <w:i/>
              </w:rPr>
              <w:t>contribuir para a aplicação do PEDS, o crescimento inclusivo e sustentável e a convergência social ascendente, apoiar uma transição justa para uma e</w:t>
            </w:r>
            <w:r>
              <w:rPr>
                <w:b/>
                <w:i/>
              </w:rPr>
              <w:t xml:space="preserve">conomia mais ecológica e </w:t>
            </w:r>
            <w:r>
              <w:rPr>
                <w:b/>
                <w:i/>
              </w:rPr>
              <w:lastRenderedPageBreak/>
              <w:t xml:space="preserve">digital, reforçando a competitividade europeia, reduzindo simultaneamente as desigualdades sociais e territoriais e protegendo as pessoas vulneráveis, e </w:t>
            </w:r>
            <w:r>
              <w:t xml:space="preserve">gerar, por outro lado, valor acrescentado europeu; </w:t>
            </w:r>
            <w:r>
              <w:rPr>
                <w:b/>
                <w:i/>
              </w:rPr>
              <w:t>que as reformas e os invest</w:t>
            </w:r>
            <w:r>
              <w:rPr>
                <w:b/>
                <w:i/>
              </w:rPr>
              <w:t>imentos ao abrigo do MRR devem igualmente garantir a inclusão social e reforçar os serviços e infraestruturas públicos e sociais;</w:t>
            </w:r>
          </w:p>
        </w:tc>
      </w:tr>
    </w:tbl>
    <w:p w:rsidR="00521F00" w:rsidRPr="00781861" w:rsidRDefault="00FE1F10" w:rsidP="00521F00">
      <w:r>
        <w:rPr>
          <w:rStyle w:val="HideTWBExt"/>
        </w:rPr>
        <w:lastRenderedPageBreak/>
        <w:t>&lt;/Amend&gt;</w:t>
      </w:r>
    </w:p>
    <w:p w:rsidR="00521F00" w:rsidRPr="00781861" w:rsidRDefault="00FE1F10" w:rsidP="00521F00">
      <w:pPr>
        <w:pStyle w:val="AMNumberTabs0"/>
        <w:keepNext/>
      </w:pPr>
      <w:r w:rsidRPr="00FE1F10">
        <w:rPr>
          <w:rStyle w:val="HideTWBExt"/>
          <w:b w:val="0"/>
        </w:rPr>
        <w:t>&lt;Amend&gt;</w:t>
      </w:r>
      <w:r>
        <w:t>Alteração</w:t>
      </w:r>
      <w:r>
        <w:tab/>
      </w:r>
      <w:r>
        <w:tab/>
      </w:r>
      <w:r w:rsidRPr="00FE1F10">
        <w:rPr>
          <w:rStyle w:val="HideTWBExt"/>
          <w:b w:val="0"/>
        </w:rPr>
        <w:t>&lt;NumAm&gt;</w:t>
      </w:r>
      <w:r>
        <w:t>14</w:t>
      </w:r>
      <w:r w:rsidRPr="00FE1F10">
        <w:rPr>
          <w:rStyle w:val="HideTWBExt"/>
          <w:b w:val="0"/>
        </w:rPr>
        <w:t>&lt;/NumAm&gt;</w:t>
      </w:r>
    </w:p>
    <w:p w:rsidR="00521F00" w:rsidRPr="00781861" w:rsidRDefault="00521F00" w:rsidP="00521F00"/>
    <w:p w:rsidR="00521F00" w:rsidRPr="00781861" w:rsidRDefault="00FE1F10" w:rsidP="00521F00">
      <w:pPr>
        <w:pStyle w:val="NormalBold"/>
        <w:keepNext/>
      </w:pPr>
      <w:r>
        <w:rPr>
          <w:rStyle w:val="HideTWBExt"/>
          <w:b w:val="0"/>
        </w:rPr>
        <w:t>&lt;DocAmend&gt;</w:t>
      </w:r>
      <w:r>
        <w:t>Proposta de resolução</w:t>
      </w:r>
      <w:r>
        <w:rPr>
          <w:rStyle w:val="HideTWBExt"/>
          <w:b w:val="0"/>
        </w:rPr>
        <w:t>&lt;/DocAmend&gt;</w:t>
      </w:r>
    </w:p>
    <w:p w:rsidR="00521F00" w:rsidRPr="00781861" w:rsidRDefault="00FE1F10" w:rsidP="00521F00">
      <w:pPr>
        <w:pStyle w:val="NormalBold"/>
      </w:pPr>
      <w:r>
        <w:rPr>
          <w:rStyle w:val="HideTWBExt"/>
          <w:b w:val="0"/>
        </w:rPr>
        <w:t>&lt;Article&gt;</w:t>
      </w:r>
      <w:r>
        <w:t>Considerando A</w:t>
      </w:r>
      <w:r>
        <w:noBreakHyphen/>
      </w:r>
      <w:r>
        <w:t>A (novo)</w:t>
      </w:r>
      <w:r>
        <w:rPr>
          <w:rStyle w:val="HideTWBExt"/>
          <w:b w:val="0"/>
        </w:rPr>
        <w:t>&lt;/Ar</w:t>
      </w:r>
      <w:r>
        <w:rPr>
          <w:rStyle w:val="HideTWBExt"/>
          <w:b w:val="0"/>
        </w:rPr>
        <w:t>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2CD8" w:rsidTr="00521F00">
        <w:trPr>
          <w:jc w:val="center"/>
        </w:trPr>
        <w:tc>
          <w:tcPr>
            <w:tcW w:w="9752" w:type="dxa"/>
            <w:gridSpan w:val="2"/>
          </w:tcPr>
          <w:p w:rsidR="00521F00" w:rsidRPr="00781861" w:rsidRDefault="00521F00">
            <w:pPr>
              <w:keepNext/>
            </w:pPr>
          </w:p>
        </w:tc>
      </w:tr>
      <w:tr w:rsidR="007C2CD8" w:rsidTr="00521F00">
        <w:trPr>
          <w:jc w:val="center"/>
        </w:trPr>
        <w:tc>
          <w:tcPr>
            <w:tcW w:w="4876" w:type="dxa"/>
            <w:hideMark/>
          </w:tcPr>
          <w:p w:rsidR="00521F00" w:rsidRPr="00781861" w:rsidRDefault="00FE1F10">
            <w:pPr>
              <w:pStyle w:val="ColumnHeading"/>
              <w:keepNext/>
            </w:pPr>
            <w:r>
              <w:t>Proposta de resolução</w:t>
            </w:r>
          </w:p>
        </w:tc>
        <w:tc>
          <w:tcPr>
            <w:tcW w:w="4876" w:type="dxa"/>
            <w:hideMark/>
          </w:tcPr>
          <w:p w:rsidR="00521F00" w:rsidRPr="00781861" w:rsidRDefault="00FE1F10">
            <w:pPr>
              <w:pStyle w:val="ColumnHeading"/>
              <w:keepNext/>
            </w:pPr>
            <w:r>
              <w:t>Alteração</w:t>
            </w:r>
          </w:p>
        </w:tc>
      </w:tr>
      <w:tr w:rsidR="007C2CD8" w:rsidTr="00521F00">
        <w:trPr>
          <w:jc w:val="center"/>
        </w:trPr>
        <w:tc>
          <w:tcPr>
            <w:tcW w:w="4876" w:type="dxa"/>
          </w:tcPr>
          <w:p w:rsidR="00521F00" w:rsidRPr="00781861" w:rsidRDefault="00521F00">
            <w:pPr>
              <w:pStyle w:val="Normal6"/>
              <w:rPr>
                <w:lang w:val="en-GB"/>
              </w:rPr>
            </w:pPr>
          </w:p>
        </w:tc>
        <w:tc>
          <w:tcPr>
            <w:tcW w:w="4876" w:type="dxa"/>
            <w:hideMark/>
          </w:tcPr>
          <w:p w:rsidR="00521F00" w:rsidRPr="00781861" w:rsidRDefault="00FE1F10">
            <w:pPr>
              <w:pStyle w:val="Normal6"/>
              <w:rPr>
                <w:szCs w:val="24"/>
              </w:rPr>
            </w:pPr>
            <w:r>
              <w:rPr>
                <w:b/>
                <w:i/>
              </w:rPr>
              <w:t>A</w:t>
            </w:r>
            <w:r>
              <w:rPr>
                <w:b/>
                <w:i/>
              </w:rPr>
              <w:noBreakHyphen/>
            </w:r>
            <w:r>
              <w:rPr>
                <w:b/>
                <w:i/>
              </w:rPr>
              <w:t>A.</w:t>
            </w:r>
            <w:r>
              <w:rPr>
                <w:b/>
                <w:i/>
              </w:rPr>
              <w:tab/>
              <w:t>Considerando que o MRR oferece uma oportunidade sem precedentes para garantir transições justas e equitativas para a neutralidade climática, a digitalização e as alterações demográficas; que deve ter em conta</w:t>
            </w:r>
            <w:r>
              <w:rPr>
                <w:b/>
                <w:i/>
              </w:rPr>
              <w:t xml:space="preserve"> as repercussões socioeconómicas do ponto de vista do género no processo de recuperação; que outras medidas devem incidir na proteção social, no emprego de qualidade, na habitação a preços acessíveis e no apoio aos grupos vulneráveis para melhorar o nível </w:t>
            </w:r>
            <w:r>
              <w:rPr>
                <w:b/>
                <w:i/>
              </w:rPr>
              <w:t>de vida, em sintonia com o PEDS;</w:t>
            </w:r>
          </w:p>
        </w:tc>
      </w:tr>
    </w:tbl>
    <w:p w:rsidR="00521F00" w:rsidRPr="00781861" w:rsidRDefault="00FE1F10" w:rsidP="00521F00">
      <w:r>
        <w:rPr>
          <w:rStyle w:val="HideTWBExt"/>
        </w:rPr>
        <w:t>&lt;/Amend&gt;</w:t>
      </w:r>
    </w:p>
    <w:p w:rsidR="00521F00" w:rsidRPr="00781861" w:rsidRDefault="00FE1F10" w:rsidP="00521F00">
      <w:pPr>
        <w:pStyle w:val="AMNumberTabs0"/>
        <w:keepNext/>
      </w:pPr>
      <w:r w:rsidRPr="00FE1F10">
        <w:rPr>
          <w:rStyle w:val="HideTWBExt"/>
          <w:b w:val="0"/>
        </w:rPr>
        <w:t>&lt;Amend&gt;</w:t>
      </w:r>
      <w:r>
        <w:t>Alteração</w:t>
      </w:r>
      <w:r>
        <w:tab/>
      </w:r>
      <w:r>
        <w:tab/>
      </w:r>
      <w:r w:rsidRPr="00FE1F10">
        <w:rPr>
          <w:rStyle w:val="HideTWBExt"/>
          <w:b w:val="0"/>
        </w:rPr>
        <w:t>&lt;NumAm&gt;</w:t>
      </w:r>
      <w:r>
        <w:t>15</w:t>
      </w:r>
      <w:r w:rsidRPr="00FE1F10">
        <w:rPr>
          <w:rStyle w:val="HideTWBExt"/>
          <w:b w:val="0"/>
        </w:rPr>
        <w:t>&lt;/NumAm&gt;</w:t>
      </w:r>
    </w:p>
    <w:p w:rsidR="00521F00" w:rsidRPr="00781861" w:rsidRDefault="00521F00" w:rsidP="00521F00"/>
    <w:p w:rsidR="00521F00" w:rsidRPr="00781861" w:rsidRDefault="00FE1F10" w:rsidP="00521F00">
      <w:pPr>
        <w:pStyle w:val="NormalBold"/>
        <w:keepNext/>
      </w:pPr>
      <w:r>
        <w:rPr>
          <w:rStyle w:val="HideTWBExt"/>
          <w:b w:val="0"/>
        </w:rPr>
        <w:t>&lt;DocAmend&gt;</w:t>
      </w:r>
      <w:r>
        <w:t>Proposta de resolução</w:t>
      </w:r>
      <w:r>
        <w:rPr>
          <w:rStyle w:val="HideTWBExt"/>
          <w:b w:val="0"/>
        </w:rPr>
        <w:t>&lt;/DocAmend&gt;</w:t>
      </w:r>
    </w:p>
    <w:p w:rsidR="00521F00" w:rsidRPr="00781861" w:rsidRDefault="00FE1F10" w:rsidP="00521F00">
      <w:pPr>
        <w:pStyle w:val="NormalBold"/>
      </w:pPr>
      <w:r>
        <w:rPr>
          <w:rStyle w:val="HideTWBExt"/>
          <w:b w:val="0"/>
        </w:rPr>
        <w:t>&lt;Article&gt;</w:t>
      </w:r>
      <w:r>
        <w:t>Considerando A</w:t>
      </w:r>
      <w:r>
        <w:noBreakHyphen/>
      </w:r>
      <w:r>
        <w:t>B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2CD8" w:rsidTr="00521F00">
        <w:trPr>
          <w:jc w:val="center"/>
        </w:trPr>
        <w:tc>
          <w:tcPr>
            <w:tcW w:w="9752" w:type="dxa"/>
            <w:gridSpan w:val="2"/>
          </w:tcPr>
          <w:p w:rsidR="00521F00" w:rsidRPr="00781861" w:rsidRDefault="00521F00">
            <w:pPr>
              <w:keepNext/>
            </w:pPr>
          </w:p>
        </w:tc>
      </w:tr>
      <w:tr w:rsidR="007C2CD8" w:rsidTr="00521F00">
        <w:trPr>
          <w:jc w:val="center"/>
        </w:trPr>
        <w:tc>
          <w:tcPr>
            <w:tcW w:w="4876" w:type="dxa"/>
            <w:hideMark/>
          </w:tcPr>
          <w:p w:rsidR="00521F00" w:rsidRPr="00781861" w:rsidRDefault="00FE1F10">
            <w:pPr>
              <w:pStyle w:val="ColumnHeading"/>
              <w:keepNext/>
            </w:pPr>
            <w:r>
              <w:t>Proposta de resolução</w:t>
            </w:r>
          </w:p>
        </w:tc>
        <w:tc>
          <w:tcPr>
            <w:tcW w:w="4876" w:type="dxa"/>
            <w:hideMark/>
          </w:tcPr>
          <w:p w:rsidR="00521F00" w:rsidRPr="00781861" w:rsidRDefault="00FE1F10">
            <w:pPr>
              <w:pStyle w:val="ColumnHeading"/>
              <w:keepNext/>
            </w:pPr>
            <w:r>
              <w:t>Alteração</w:t>
            </w:r>
          </w:p>
        </w:tc>
      </w:tr>
      <w:tr w:rsidR="007C2CD8" w:rsidTr="00521F00">
        <w:trPr>
          <w:jc w:val="center"/>
        </w:trPr>
        <w:tc>
          <w:tcPr>
            <w:tcW w:w="4876" w:type="dxa"/>
          </w:tcPr>
          <w:p w:rsidR="00521F00" w:rsidRPr="00781861" w:rsidRDefault="00521F00">
            <w:pPr>
              <w:pStyle w:val="Normal6"/>
              <w:rPr>
                <w:lang w:val="en-GB"/>
              </w:rPr>
            </w:pPr>
          </w:p>
        </w:tc>
        <w:tc>
          <w:tcPr>
            <w:tcW w:w="4876" w:type="dxa"/>
            <w:hideMark/>
          </w:tcPr>
          <w:p w:rsidR="00521F00" w:rsidRPr="00781861" w:rsidRDefault="00FE1F10" w:rsidP="00D37E93">
            <w:pPr>
              <w:pStyle w:val="Normal6"/>
              <w:rPr>
                <w:szCs w:val="24"/>
              </w:rPr>
            </w:pPr>
            <w:r>
              <w:rPr>
                <w:b/>
                <w:i/>
              </w:rPr>
              <w:t>A</w:t>
            </w:r>
            <w:r>
              <w:rPr>
                <w:b/>
                <w:i/>
              </w:rPr>
              <w:noBreakHyphen/>
            </w:r>
            <w:r>
              <w:rPr>
                <w:b/>
                <w:i/>
              </w:rPr>
              <w:t>B.</w:t>
            </w:r>
            <w:r>
              <w:rPr>
                <w:b/>
                <w:i/>
              </w:rPr>
              <w:tab/>
              <w:t xml:space="preserve">Considerando que, nos últimos anos, a UE mostrou </w:t>
            </w:r>
            <w:r>
              <w:rPr>
                <w:b/>
                <w:i/>
              </w:rPr>
              <w:t xml:space="preserve">uma enorme resiliência face a grandes perturbações económicas e sociais, que se deveu em especial à formulação de respostas coordenadas e a novos instrumentos, </w:t>
            </w:r>
            <w:r>
              <w:rPr>
                <w:b/>
                <w:i/>
              </w:rPr>
              <w:lastRenderedPageBreak/>
              <w:t>como o MRR e o instrumento europeu de apoio temporário para atenuar os riscos de desemprego numa</w:t>
            </w:r>
            <w:r>
              <w:rPr>
                <w:b/>
                <w:i/>
              </w:rPr>
              <w:t xml:space="preserve"> situação de emergência (SURE); que esses instrumentos têm sido cruciais para evitar uma recuperação assimétrica entre os Estados</w:t>
            </w:r>
            <w:r>
              <w:rPr>
                <w:b/>
                <w:i/>
              </w:rPr>
              <w:noBreakHyphen/>
            </w:r>
            <w:r>
              <w:rPr>
                <w:b/>
                <w:i/>
              </w:rPr>
              <w:t>Membros e para manter no bom caminho a transição para uma economia sustentável e inclusiva;</w:t>
            </w:r>
          </w:p>
        </w:tc>
      </w:tr>
    </w:tbl>
    <w:p w:rsidR="00521F00" w:rsidRPr="00781861" w:rsidRDefault="00FE1F10" w:rsidP="00521F00">
      <w:r>
        <w:rPr>
          <w:rStyle w:val="HideTWBExt"/>
        </w:rPr>
        <w:lastRenderedPageBreak/>
        <w:t>&lt;/Amend&gt;</w:t>
      </w:r>
    </w:p>
    <w:p w:rsidR="00521F00" w:rsidRPr="00781861" w:rsidRDefault="00FE1F10" w:rsidP="00521F00">
      <w:pPr>
        <w:pStyle w:val="AMNumberTabs0"/>
        <w:keepNext/>
      </w:pPr>
      <w:r w:rsidRPr="00FE1F10">
        <w:rPr>
          <w:rStyle w:val="HideTWBExt"/>
          <w:b w:val="0"/>
        </w:rPr>
        <w:t>&lt;Amend&gt;</w:t>
      </w:r>
      <w:r>
        <w:t>Alteração</w:t>
      </w:r>
      <w:r>
        <w:tab/>
      </w:r>
      <w:r>
        <w:tab/>
      </w:r>
      <w:r w:rsidRPr="00FE1F10">
        <w:rPr>
          <w:rStyle w:val="HideTWBExt"/>
          <w:b w:val="0"/>
        </w:rPr>
        <w:t>&lt;NumAm&gt;</w:t>
      </w:r>
      <w:r>
        <w:t>16</w:t>
      </w:r>
      <w:r w:rsidRPr="00FE1F10">
        <w:rPr>
          <w:rStyle w:val="HideTWBExt"/>
          <w:b w:val="0"/>
        </w:rPr>
        <w:t>&lt;/NumAm&gt;</w:t>
      </w:r>
    </w:p>
    <w:p w:rsidR="00521F00" w:rsidRPr="00781861" w:rsidRDefault="00521F00" w:rsidP="00521F00"/>
    <w:p w:rsidR="00521F00" w:rsidRPr="00781861" w:rsidRDefault="00FE1F10" w:rsidP="00521F00">
      <w:pPr>
        <w:pStyle w:val="NormalBold"/>
        <w:keepNext/>
      </w:pPr>
      <w:r>
        <w:rPr>
          <w:rStyle w:val="HideTWBExt"/>
          <w:b w:val="0"/>
        </w:rPr>
        <w:t>&lt;DocAmend&gt;</w:t>
      </w:r>
      <w:r>
        <w:t>Proposta de resolução</w:t>
      </w:r>
      <w:r>
        <w:rPr>
          <w:rStyle w:val="HideTWBExt"/>
          <w:b w:val="0"/>
        </w:rPr>
        <w:t>&lt;/DocAmend&gt;</w:t>
      </w:r>
    </w:p>
    <w:p w:rsidR="00521F00" w:rsidRPr="00781861" w:rsidRDefault="00FE1F10" w:rsidP="00521F00">
      <w:pPr>
        <w:pStyle w:val="NormalBold"/>
      </w:pPr>
      <w:r>
        <w:rPr>
          <w:rStyle w:val="HideTWBExt"/>
          <w:b w:val="0"/>
        </w:rPr>
        <w:t>&lt;Article&gt;</w:t>
      </w:r>
      <w:r>
        <w:t>Considerando A</w:t>
      </w:r>
      <w:r>
        <w:noBreakHyphen/>
      </w:r>
      <w:r>
        <w:t>C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2CD8" w:rsidTr="00521F00">
        <w:trPr>
          <w:jc w:val="center"/>
        </w:trPr>
        <w:tc>
          <w:tcPr>
            <w:tcW w:w="9752" w:type="dxa"/>
            <w:gridSpan w:val="2"/>
          </w:tcPr>
          <w:p w:rsidR="00521F00" w:rsidRPr="00781861" w:rsidRDefault="00521F00">
            <w:pPr>
              <w:keepNext/>
            </w:pPr>
          </w:p>
        </w:tc>
      </w:tr>
      <w:tr w:rsidR="007C2CD8" w:rsidTr="00521F00">
        <w:trPr>
          <w:jc w:val="center"/>
        </w:trPr>
        <w:tc>
          <w:tcPr>
            <w:tcW w:w="4876" w:type="dxa"/>
            <w:hideMark/>
          </w:tcPr>
          <w:p w:rsidR="00521F00" w:rsidRPr="00781861" w:rsidRDefault="00FE1F10">
            <w:pPr>
              <w:pStyle w:val="ColumnHeading"/>
              <w:keepNext/>
            </w:pPr>
            <w:r>
              <w:t>Proposta de resolução</w:t>
            </w:r>
          </w:p>
        </w:tc>
        <w:tc>
          <w:tcPr>
            <w:tcW w:w="4876" w:type="dxa"/>
            <w:hideMark/>
          </w:tcPr>
          <w:p w:rsidR="00521F00" w:rsidRPr="00781861" w:rsidRDefault="00FE1F10">
            <w:pPr>
              <w:pStyle w:val="ColumnHeading"/>
              <w:keepNext/>
            </w:pPr>
            <w:r>
              <w:t>Alteração</w:t>
            </w:r>
          </w:p>
        </w:tc>
      </w:tr>
      <w:tr w:rsidR="007C2CD8" w:rsidTr="00521F00">
        <w:trPr>
          <w:jc w:val="center"/>
        </w:trPr>
        <w:tc>
          <w:tcPr>
            <w:tcW w:w="4876" w:type="dxa"/>
          </w:tcPr>
          <w:p w:rsidR="00521F00" w:rsidRPr="00781861" w:rsidRDefault="00521F00">
            <w:pPr>
              <w:pStyle w:val="Normal6"/>
              <w:rPr>
                <w:lang w:val="en-GB"/>
              </w:rPr>
            </w:pPr>
          </w:p>
        </w:tc>
        <w:tc>
          <w:tcPr>
            <w:tcW w:w="4876" w:type="dxa"/>
            <w:hideMark/>
          </w:tcPr>
          <w:p w:rsidR="00521F00" w:rsidRPr="00781861" w:rsidRDefault="00FE1F10">
            <w:pPr>
              <w:pStyle w:val="Normal6"/>
              <w:rPr>
                <w:szCs w:val="24"/>
              </w:rPr>
            </w:pPr>
            <w:r>
              <w:rPr>
                <w:b/>
                <w:i/>
              </w:rPr>
              <w:t>A</w:t>
            </w:r>
            <w:r>
              <w:rPr>
                <w:b/>
                <w:i/>
              </w:rPr>
              <w:noBreakHyphen/>
            </w:r>
            <w:r>
              <w:rPr>
                <w:b/>
                <w:i/>
              </w:rPr>
              <w:t>C.</w:t>
            </w:r>
            <w:r>
              <w:rPr>
                <w:b/>
                <w:i/>
              </w:rPr>
              <w:tab/>
              <w:t xml:space="preserve">Considerando que a crise teve repercussões sociais desproporcionais, afetando sobretudo as pessoas com baixos </w:t>
            </w:r>
            <w:r>
              <w:rPr>
                <w:b/>
                <w:i/>
              </w:rPr>
              <w:t>rendimentos e os grupos em situações vulneráveis;</w:t>
            </w:r>
          </w:p>
        </w:tc>
      </w:tr>
    </w:tbl>
    <w:p w:rsidR="00521F00" w:rsidRPr="00781861" w:rsidRDefault="00FE1F10" w:rsidP="00521F00">
      <w:r>
        <w:rPr>
          <w:rStyle w:val="HideTWBExt"/>
        </w:rPr>
        <w:t>&lt;/Amend&gt;</w:t>
      </w:r>
    </w:p>
    <w:p w:rsidR="00521F00" w:rsidRPr="00781861" w:rsidRDefault="00FE1F10" w:rsidP="00521F00">
      <w:pPr>
        <w:pStyle w:val="AMNumberTabs0"/>
        <w:keepNext/>
      </w:pPr>
      <w:r w:rsidRPr="00FE1F10">
        <w:rPr>
          <w:rStyle w:val="HideTWBExt"/>
          <w:b w:val="0"/>
        </w:rPr>
        <w:t>&lt;Amend&gt;</w:t>
      </w:r>
      <w:r>
        <w:t>Alteração</w:t>
      </w:r>
      <w:r>
        <w:tab/>
      </w:r>
      <w:r>
        <w:tab/>
      </w:r>
      <w:r w:rsidRPr="00FE1F10">
        <w:rPr>
          <w:rStyle w:val="HideTWBExt"/>
          <w:b w:val="0"/>
        </w:rPr>
        <w:t>&lt;NumAm&gt;</w:t>
      </w:r>
      <w:r>
        <w:t>17</w:t>
      </w:r>
      <w:r w:rsidRPr="00FE1F10">
        <w:rPr>
          <w:rStyle w:val="HideTWBExt"/>
          <w:b w:val="0"/>
        </w:rPr>
        <w:t>&lt;/NumAm&gt;</w:t>
      </w:r>
    </w:p>
    <w:p w:rsidR="00521F00" w:rsidRPr="00781861" w:rsidRDefault="00521F00" w:rsidP="00521F00"/>
    <w:p w:rsidR="00521F00" w:rsidRPr="00781861" w:rsidRDefault="00FE1F10" w:rsidP="00521F00">
      <w:pPr>
        <w:pStyle w:val="NormalBold"/>
        <w:keepNext/>
      </w:pPr>
      <w:r>
        <w:rPr>
          <w:rStyle w:val="HideTWBExt"/>
          <w:b w:val="0"/>
        </w:rPr>
        <w:t>&lt;DocAmend&gt;</w:t>
      </w:r>
      <w:r>
        <w:t>Proposta de resolução</w:t>
      </w:r>
      <w:r>
        <w:rPr>
          <w:rStyle w:val="HideTWBExt"/>
          <w:b w:val="0"/>
        </w:rPr>
        <w:t>&lt;/DocAmend&gt;</w:t>
      </w:r>
    </w:p>
    <w:p w:rsidR="00521F00" w:rsidRPr="00781861" w:rsidRDefault="00FE1F10" w:rsidP="00521F00">
      <w:pPr>
        <w:pStyle w:val="NormalBold"/>
      </w:pPr>
      <w:r>
        <w:rPr>
          <w:rStyle w:val="HideTWBExt"/>
          <w:b w:val="0"/>
        </w:rPr>
        <w:t>&lt;Article&gt;</w:t>
      </w:r>
      <w:r>
        <w:t>Considerando B</w:t>
      </w:r>
      <w:r>
        <w:noBreakHyphen/>
      </w:r>
      <w:r>
        <w:t>A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2CD8" w:rsidTr="00521F00">
        <w:trPr>
          <w:jc w:val="center"/>
        </w:trPr>
        <w:tc>
          <w:tcPr>
            <w:tcW w:w="9752" w:type="dxa"/>
            <w:gridSpan w:val="2"/>
          </w:tcPr>
          <w:p w:rsidR="00521F00" w:rsidRPr="00781861" w:rsidRDefault="00521F00">
            <w:pPr>
              <w:keepNext/>
            </w:pPr>
          </w:p>
        </w:tc>
      </w:tr>
      <w:tr w:rsidR="007C2CD8" w:rsidTr="00521F00">
        <w:trPr>
          <w:jc w:val="center"/>
        </w:trPr>
        <w:tc>
          <w:tcPr>
            <w:tcW w:w="4876" w:type="dxa"/>
            <w:hideMark/>
          </w:tcPr>
          <w:p w:rsidR="00521F00" w:rsidRPr="00781861" w:rsidRDefault="00FE1F10">
            <w:pPr>
              <w:pStyle w:val="ColumnHeading"/>
              <w:keepNext/>
            </w:pPr>
            <w:r>
              <w:t>Proposta de resolução</w:t>
            </w:r>
          </w:p>
        </w:tc>
        <w:tc>
          <w:tcPr>
            <w:tcW w:w="4876" w:type="dxa"/>
            <w:hideMark/>
          </w:tcPr>
          <w:p w:rsidR="00521F00" w:rsidRPr="00781861" w:rsidRDefault="00FE1F10">
            <w:pPr>
              <w:pStyle w:val="ColumnHeading"/>
              <w:keepNext/>
            </w:pPr>
            <w:r>
              <w:t>Alteração</w:t>
            </w:r>
          </w:p>
        </w:tc>
      </w:tr>
      <w:tr w:rsidR="007C2CD8" w:rsidTr="00521F00">
        <w:trPr>
          <w:jc w:val="center"/>
        </w:trPr>
        <w:tc>
          <w:tcPr>
            <w:tcW w:w="4876" w:type="dxa"/>
          </w:tcPr>
          <w:p w:rsidR="00521F00" w:rsidRPr="00781861" w:rsidRDefault="00521F00">
            <w:pPr>
              <w:pStyle w:val="Normal6"/>
              <w:rPr>
                <w:lang w:val="en-GB"/>
              </w:rPr>
            </w:pPr>
          </w:p>
        </w:tc>
        <w:tc>
          <w:tcPr>
            <w:tcW w:w="4876" w:type="dxa"/>
            <w:hideMark/>
          </w:tcPr>
          <w:p w:rsidR="00521F00" w:rsidRPr="00781861" w:rsidRDefault="00FE1F10">
            <w:pPr>
              <w:pStyle w:val="Normal6"/>
              <w:rPr>
                <w:b/>
                <w:i/>
              </w:rPr>
            </w:pPr>
            <w:r>
              <w:rPr>
                <w:b/>
                <w:i/>
              </w:rPr>
              <w:t>B</w:t>
            </w:r>
            <w:r>
              <w:rPr>
                <w:b/>
                <w:i/>
              </w:rPr>
              <w:noBreakHyphen/>
            </w:r>
            <w:r>
              <w:rPr>
                <w:b/>
                <w:i/>
              </w:rPr>
              <w:t>A.</w:t>
            </w:r>
            <w:r>
              <w:rPr>
                <w:b/>
                <w:i/>
              </w:rPr>
              <w:tab/>
              <w:t xml:space="preserve">Considerando os diferentes </w:t>
            </w:r>
            <w:r>
              <w:rPr>
                <w:b/>
                <w:i/>
              </w:rPr>
              <w:t>níveis de execução dos Planos de Recuperação e Resiliência (PRR) dos Estados</w:t>
            </w:r>
            <w:r>
              <w:rPr>
                <w:b/>
                <w:i/>
              </w:rPr>
              <w:noBreakHyphen/>
            </w:r>
            <w:r>
              <w:rPr>
                <w:b/>
                <w:i/>
              </w:rPr>
              <w:t>Membros; que o Relatório Especial 13/2024 do Tribunal de Contas Europeu</w:t>
            </w:r>
            <w:r>
              <w:rPr>
                <w:b/>
                <w:i/>
                <w:vertAlign w:val="superscript"/>
              </w:rPr>
              <w:t>1</w:t>
            </w:r>
            <w:r>
              <w:rPr>
                <w:b/>
                <w:i/>
                <w:vertAlign w:val="superscript"/>
              </w:rPr>
              <w:noBreakHyphen/>
            </w:r>
            <w:r>
              <w:rPr>
                <w:b/>
                <w:i/>
                <w:vertAlign w:val="superscript"/>
              </w:rPr>
              <w:t>A</w:t>
            </w:r>
            <w:r>
              <w:rPr>
                <w:b/>
                <w:i/>
              </w:rPr>
              <w:t xml:space="preserve"> chegou à conclusão de que os Estados</w:t>
            </w:r>
            <w:r>
              <w:rPr>
                <w:b/>
                <w:i/>
              </w:rPr>
              <w:noBreakHyphen/>
            </w:r>
            <w:r>
              <w:rPr>
                <w:b/>
                <w:i/>
              </w:rPr>
              <w:t xml:space="preserve">Membros teriam dificuldade em absorver o montante total dos fundos </w:t>
            </w:r>
            <w:r>
              <w:rPr>
                <w:b/>
                <w:i/>
              </w:rPr>
              <w:t>afetados até 31 de Agosto de 2026 e que persistiam riscos quanto à concretização das medidas durante a segunda metade da execução do MRR; que os atrasos na execução se deveram, entre outros motivos, ao aumento da inflação, às dificuldades associadas à cont</w:t>
            </w:r>
            <w:r>
              <w:rPr>
                <w:b/>
                <w:i/>
              </w:rPr>
              <w:t xml:space="preserve">ratação pública, à escassez da oferta e à flutuações dos </w:t>
            </w:r>
            <w:r>
              <w:rPr>
                <w:b/>
                <w:i/>
              </w:rPr>
              <w:lastRenderedPageBreak/>
              <w:t>preços de mercado; que, na avaliação da execução do MRR, é essencial aplicar os ensinamentos retirados e atualizar as estruturas existentes;</w:t>
            </w:r>
          </w:p>
          <w:p w:rsidR="00D44A69" w:rsidRPr="00781861" w:rsidRDefault="00FE1F10">
            <w:pPr>
              <w:pStyle w:val="Normal6"/>
              <w:rPr>
                <w:b/>
                <w:i/>
              </w:rPr>
            </w:pPr>
            <w:r>
              <w:rPr>
                <w:b/>
                <w:i/>
              </w:rPr>
              <w:t>________________</w:t>
            </w:r>
          </w:p>
          <w:p w:rsidR="00D44A69" w:rsidRPr="00781861" w:rsidRDefault="00FE1F10" w:rsidP="002F7792">
            <w:pPr>
              <w:pStyle w:val="Normal6"/>
              <w:rPr>
                <w:b/>
                <w:i/>
                <w:szCs w:val="24"/>
              </w:rPr>
            </w:pPr>
            <w:r>
              <w:rPr>
                <w:b/>
                <w:i/>
                <w:vertAlign w:val="superscript"/>
              </w:rPr>
              <w:t>1</w:t>
            </w:r>
            <w:r>
              <w:rPr>
                <w:b/>
                <w:i/>
                <w:vertAlign w:val="superscript"/>
              </w:rPr>
              <w:noBreakHyphen/>
            </w:r>
            <w:r>
              <w:rPr>
                <w:b/>
                <w:i/>
                <w:vertAlign w:val="superscript"/>
              </w:rPr>
              <w:t>A</w:t>
            </w:r>
            <w:r>
              <w:rPr>
                <w:b/>
                <w:i/>
              </w:rPr>
              <w:t xml:space="preserve"> Relatório Especial 13/2024 do Tribuna</w:t>
            </w:r>
            <w:r>
              <w:rPr>
                <w:b/>
                <w:i/>
              </w:rPr>
              <w:t xml:space="preserve">l de Contas Europeu, de 10 de setembro de 2024, intitulado «Absorção dos fundos do Mecanismo de Recuperação e Resiliência –– Os atrasos registados e a incerta conclusão das medidas ameaçam o cumprimento dos objetivos do MRR». </w:t>
            </w:r>
          </w:p>
        </w:tc>
      </w:tr>
    </w:tbl>
    <w:p w:rsidR="00521F00" w:rsidRPr="00781861" w:rsidRDefault="00FE1F10" w:rsidP="00521F00">
      <w:r>
        <w:rPr>
          <w:rStyle w:val="HideTWBExt"/>
        </w:rPr>
        <w:lastRenderedPageBreak/>
        <w:t>&lt;/Amend&gt;</w:t>
      </w:r>
    </w:p>
    <w:p w:rsidR="00EA4087" w:rsidRPr="00781861" w:rsidRDefault="00FE1F10" w:rsidP="00EA4087">
      <w:pPr>
        <w:pStyle w:val="AMNumberTabs0"/>
        <w:keepNext/>
      </w:pPr>
      <w:r w:rsidRPr="00FE1F10">
        <w:rPr>
          <w:rStyle w:val="HideTWBExt"/>
          <w:b w:val="0"/>
        </w:rPr>
        <w:t>&lt;Amend&gt;</w:t>
      </w:r>
      <w:r>
        <w:t>Alteração</w:t>
      </w:r>
      <w:r>
        <w:tab/>
      </w:r>
      <w:r>
        <w:tab/>
      </w:r>
      <w:r w:rsidRPr="00FE1F10">
        <w:rPr>
          <w:rStyle w:val="HideTWBExt"/>
          <w:b w:val="0"/>
        </w:rPr>
        <w:t>&lt;NumAm&gt;</w:t>
      </w:r>
      <w:r>
        <w:t>18</w:t>
      </w:r>
      <w:r w:rsidRPr="00FE1F10">
        <w:rPr>
          <w:rStyle w:val="HideTWBExt"/>
          <w:b w:val="0"/>
        </w:rPr>
        <w:t>&lt;/NumAm&gt;</w:t>
      </w:r>
    </w:p>
    <w:p w:rsidR="00EA4087" w:rsidRPr="00781861" w:rsidRDefault="00FE1F10" w:rsidP="00EA4087">
      <w:pPr>
        <w:pStyle w:val="NormalBold12b"/>
        <w:keepNext/>
      </w:pPr>
      <w:r>
        <w:rPr>
          <w:rStyle w:val="HideTWBExt"/>
          <w:b w:val="0"/>
        </w:rPr>
        <w:t>&lt;DocAmend&gt;</w:t>
      </w:r>
      <w:r>
        <w:t>Proposta de resolução</w:t>
      </w:r>
      <w:r>
        <w:rPr>
          <w:rStyle w:val="HideTWBExt"/>
          <w:b w:val="0"/>
        </w:rPr>
        <w:t>&lt;/DocAmend&gt;</w:t>
      </w:r>
    </w:p>
    <w:p w:rsidR="00EA4087" w:rsidRPr="00781861" w:rsidRDefault="00FE1F10" w:rsidP="00EA4087">
      <w:pPr>
        <w:pStyle w:val="NormalBold"/>
      </w:pPr>
      <w:r>
        <w:rPr>
          <w:rStyle w:val="HideTWBExt"/>
          <w:b w:val="0"/>
        </w:rPr>
        <w:t>&lt;Article&gt;</w:t>
      </w:r>
      <w:r>
        <w:t>Considerando F</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2CD8" w:rsidTr="00EA4087">
        <w:trPr>
          <w:jc w:val="center"/>
        </w:trPr>
        <w:tc>
          <w:tcPr>
            <w:tcW w:w="9752" w:type="dxa"/>
            <w:gridSpan w:val="2"/>
          </w:tcPr>
          <w:p w:rsidR="00EA4087" w:rsidRPr="00781861" w:rsidRDefault="00EA4087">
            <w:pPr>
              <w:keepNext/>
            </w:pPr>
          </w:p>
        </w:tc>
      </w:tr>
      <w:tr w:rsidR="007C2CD8" w:rsidTr="00EA4087">
        <w:trPr>
          <w:jc w:val="center"/>
        </w:trPr>
        <w:tc>
          <w:tcPr>
            <w:tcW w:w="4876" w:type="dxa"/>
            <w:hideMark/>
          </w:tcPr>
          <w:p w:rsidR="00EA4087" w:rsidRPr="00781861" w:rsidRDefault="00FE1F10">
            <w:pPr>
              <w:pStyle w:val="ColumnHeading"/>
              <w:keepNext/>
            </w:pPr>
            <w:r>
              <w:t>Proposta de resolução</w:t>
            </w:r>
          </w:p>
        </w:tc>
        <w:tc>
          <w:tcPr>
            <w:tcW w:w="4876" w:type="dxa"/>
            <w:hideMark/>
          </w:tcPr>
          <w:p w:rsidR="00EA4087" w:rsidRPr="00781861" w:rsidRDefault="00FE1F10">
            <w:pPr>
              <w:pStyle w:val="ColumnHeading"/>
              <w:keepNext/>
            </w:pPr>
            <w:r>
              <w:t>Alteração</w:t>
            </w:r>
          </w:p>
        </w:tc>
      </w:tr>
      <w:tr w:rsidR="007C2CD8" w:rsidTr="00EA4087">
        <w:trPr>
          <w:jc w:val="center"/>
        </w:trPr>
        <w:tc>
          <w:tcPr>
            <w:tcW w:w="4876" w:type="dxa"/>
            <w:hideMark/>
          </w:tcPr>
          <w:p w:rsidR="00EA4087" w:rsidRPr="00781861" w:rsidRDefault="00FE1F10">
            <w:pPr>
              <w:pStyle w:val="Normal6"/>
            </w:pPr>
            <w:r>
              <w:t>F.</w:t>
            </w:r>
            <w:r>
              <w:tab/>
              <w:t>Considerando que o controlo democrático e o escrutínio parlamentar eficazes da execução do MRR requerem a plena participaçã</w:t>
            </w:r>
            <w:r>
              <w:t>o do Parlamento e a tomada em consideração de todas as suas recomendações em todas as fases;</w:t>
            </w:r>
          </w:p>
        </w:tc>
        <w:tc>
          <w:tcPr>
            <w:tcW w:w="4876" w:type="dxa"/>
            <w:hideMark/>
          </w:tcPr>
          <w:p w:rsidR="00EA4087" w:rsidRPr="00781861" w:rsidRDefault="00FE1F10">
            <w:pPr>
              <w:pStyle w:val="Normal6"/>
              <w:rPr>
                <w:szCs w:val="24"/>
              </w:rPr>
            </w:pPr>
            <w:r>
              <w:t>F.</w:t>
            </w:r>
            <w:r>
              <w:tab/>
              <w:t>Considerando que o controlo democrático e o escrutínio parlamentar eficazes da execução do MRR requerem a plena participação do Parlamento e a tomada em conside</w:t>
            </w:r>
            <w:r>
              <w:t>ração de todas as suas recomendações em todas as fases;</w:t>
            </w:r>
            <w:r>
              <w:rPr>
                <w:b/>
                <w:i/>
              </w:rPr>
              <w:t xml:space="preserve"> que a consulta das partes interessadas pertinentes, mormente dos parceiros sociais, das organizações da sociedade civil, das organizações de juventude e dos órgãos de poder local e regional, se revest</w:t>
            </w:r>
            <w:r>
              <w:rPr>
                <w:b/>
                <w:i/>
              </w:rPr>
              <w:t>e também de importância crucial quando se trata de preparar e executar as medidas dos PNRR e constitui um requisito estabelecido no Regulamento MRR;</w:t>
            </w:r>
          </w:p>
        </w:tc>
      </w:tr>
    </w:tbl>
    <w:p w:rsidR="00EA4087" w:rsidRPr="00781861" w:rsidRDefault="00FE1F10" w:rsidP="00EA4087">
      <w:pPr>
        <w:rPr>
          <w:szCs w:val="24"/>
        </w:rPr>
      </w:pPr>
      <w:r>
        <w:rPr>
          <w:rStyle w:val="HideTWBExt"/>
        </w:rPr>
        <w:t>&lt;/Amend&gt;</w:t>
      </w:r>
    </w:p>
    <w:p w:rsidR="00521F00" w:rsidRPr="00781861" w:rsidRDefault="00FE1F10" w:rsidP="00521F00">
      <w:pPr>
        <w:pStyle w:val="AMNumberTabs0"/>
        <w:keepNext/>
      </w:pPr>
      <w:r w:rsidRPr="00FE1F10">
        <w:rPr>
          <w:rStyle w:val="HideTWBExt"/>
          <w:b w:val="0"/>
        </w:rPr>
        <w:t>&lt;Amend&gt;</w:t>
      </w:r>
      <w:r>
        <w:t>Alteração</w:t>
      </w:r>
      <w:r>
        <w:tab/>
      </w:r>
      <w:r>
        <w:tab/>
      </w:r>
      <w:r w:rsidRPr="00FE1F10">
        <w:rPr>
          <w:rStyle w:val="HideTWBExt"/>
          <w:b w:val="0"/>
        </w:rPr>
        <w:t>&lt;NumAm&gt;</w:t>
      </w:r>
      <w:r>
        <w:t>19</w:t>
      </w:r>
      <w:r w:rsidRPr="00FE1F10">
        <w:rPr>
          <w:rStyle w:val="HideTWBExt"/>
          <w:b w:val="0"/>
        </w:rPr>
        <w:t>&lt;/NumAm&gt;</w:t>
      </w:r>
    </w:p>
    <w:p w:rsidR="00521F00" w:rsidRPr="00781861" w:rsidRDefault="00521F00" w:rsidP="00521F00"/>
    <w:p w:rsidR="00521F00" w:rsidRPr="00781861" w:rsidRDefault="00FE1F10" w:rsidP="00521F00">
      <w:pPr>
        <w:pStyle w:val="NormalBold"/>
        <w:keepNext/>
      </w:pPr>
      <w:r>
        <w:rPr>
          <w:rStyle w:val="HideTWBExt"/>
          <w:b w:val="0"/>
        </w:rPr>
        <w:t>&lt;DocAmend&gt;</w:t>
      </w:r>
      <w:r>
        <w:t>Proposta de resolução</w:t>
      </w:r>
      <w:r>
        <w:rPr>
          <w:rStyle w:val="HideTWBExt"/>
          <w:b w:val="0"/>
        </w:rPr>
        <w:t>&lt;/DocAmend&gt;</w:t>
      </w:r>
    </w:p>
    <w:p w:rsidR="00521F00" w:rsidRPr="00781861" w:rsidRDefault="00FE1F10" w:rsidP="00521F00">
      <w:pPr>
        <w:pStyle w:val="NormalBold"/>
      </w:pPr>
      <w:r>
        <w:rPr>
          <w:rStyle w:val="HideTWBExt"/>
          <w:b w:val="0"/>
        </w:rPr>
        <w:t>&lt;Article&gt;</w:t>
      </w:r>
      <w:r>
        <w:t>Considerando F</w:t>
      </w:r>
      <w:r>
        <w:noBreakHyphen/>
      </w:r>
      <w:r>
        <w:t>A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2CD8" w:rsidTr="00521F00">
        <w:trPr>
          <w:jc w:val="center"/>
        </w:trPr>
        <w:tc>
          <w:tcPr>
            <w:tcW w:w="9752" w:type="dxa"/>
            <w:gridSpan w:val="2"/>
          </w:tcPr>
          <w:p w:rsidR="00521F00" w:rsidRPr="00781861" w:rsidRDefault="00521F00">
            <w:pPr>
              <w:keepNext/>
            </w:pPr>
          </w:p>
        </w:tc>
      </w:tr>
      <w:tr w:rsidR="007C2CD8" w:rsidTr="00521F00">
        <w:trPr>
          <w:jc w:val="center"/>
        </w:trPr>
        <w:tc>
          <w:tcPr>
            <w:tcW w:w="4876" w:type="dxa"/>
            <w:hideMark/>
          </w:tcPr>
          <w:p w:rsidR="00521F00" w:rsidRPr="00781861" w:rsidRDefault="00FE1F10">
            <w:pPr>
              <w:pStyle w:val="ColumnHeading"/>
              <w:keepNext/>
            </w:pPr>
            <w:r>
              <w:t>Proposta de resolução</w:t>
            </w:r>
          </w:p>
        </w:tc>
        <w:tc>
          <w:tcPr>
            <w:tcW w:w="4876" w:type="dxa"/>
            <w:hideMark/>
          </w:tcPr>
          <w:p w:rsidR="00521F00" w:rsidRPr="00781861" w:rsidRDefault="00FE1F10">
            <w:pPr>
              <w:pStyle w:val="ColumnHeading"/>
              <w:keepNext/>
            </w:pPr>
            <w:r>
              <w:t>Alteração</w:t>
            </w:r>
          </w:p>
        </w:tc>
      </w:tr>
      <w:tr w:rsidR="007C2CD8" w:rsidTr="00521F00">
        <w:trPr>
          <w:jc w:val="center"/>
        </w:trPr>
        <w:tc>
          <w:tcPr>
            <w:tcW w:w="4876" w:type="dxa"/>
          </w:tcPr>
          <w:p w:rsidR="00521F00" w:rsidRPr="00781861" w:rsidRDefault="00521F00">
            <w:pPr>
              <w:pStyle w:val="Normal6"/>
              <w:rPr>
                <w:lang w:val="en-GB"/>
              </w:rPr>
            </w:pPr>
          </w:p>
        </w:tc>
        <w:tc>
          <w:tcPr>
            <w:tcW w:w="4876" w:type="dxa"/>
            <w:hideMark/>
          </w:tcPr>
          <w:p w:rsidR="00521F00" w:rsidRPr="00781861" w:rsidRDefault="00FE1F10" w:rsidP="00271B69">
            <w:pPr>
              <w:rPr>
                <w:b/>
                <w:i/>
              </w:rPr>
            </w:pPr>
            <w:r>
              <w:rPr>
                <w:b/>
                <w:i/>
              </w:rPr>
              <w:t>F</w:t>
            </w:r>
            <w:r>
              <w:rPr>
                <w:b/>
                <w:i/>
              </w:rPr>
              <w:noBreakHyphen/>
            </w:r>
            <w:r>
              <w:rPr>
                <w:b/>
                <w:i/>
              </w:rPr>
              <w:t>A.</w:t>
            </w:r>
            <w:r>
              <w:rPr>
                <w:b/>
                <w:i/>
              </w:rPr>
              <w:tab/>
              <w:t>Considerando que o RCE concluiu que a avaliação pelos parceiros sociais nacionais da sua participação na execução do MRR em 2023 foi desigual; que existem muitos quadros institucion</w:t>
            </w:r>
            <w:r>
              <w:rPr>
                <w:b/>
                <w:i/>
              </w:rPr>
              <w:t>ais para a participação dos parceiros sociais diferentes, uma vez que alguns Estados</w:t>
            </w:r>
            <w:r>
              <w:rPr>
                <w:b/>
                <w:i/>
              </w:rPr>
              <w:noBreakHyphen/>
            </w:r>
            <w:r>
              <w:rPr>
                <w:b/>
                <w:i/>
              </w:rPr>
              <w:t>Membros definiram contextos e procedimentos específicos, outros utilizaram os canais de diálogo social existentes e, em alguns países, os parceiros sociais participaram at</w:t>
            </w:r>
            <w:r>
              <w:rPr>
                <w:b/>
                <w:i/>
              </w:rPr>
              <w:t>ravés de novos organismos ou grupos de trabalho específicos criados no âmbito do Semestre Europeu ou para acompanhar a execução dos PRR; que os Estados</w:t>
            </w:r>
            <w:r>
              <w:rPr>
                <w:b/>
                <w:i/>
              </w:rPr>
              <w:noBreakHyphen/>
            </w:r>
            <w:r>
              <w:rPr>
                <w:b/>
                <w:i/>
              </w:rPr>
              <w:t>Membros devem promover a negociação coletiva e o diálogo social, em consonância com a Recomendação do Co</w:t>
            </w:r>
            <w:r>
              <w:rPr>
                <w:b/>
                <w:i/>
              </w:rPr>
              <w:t>nselho relativa ao reforço do diálogo social</w:t>
            </w:r>
            <w:r>
              <w:rPr>
                <w:b/>
                <w:i/>
                <w:vertAlign w:val="superscript"/>
              </w:rPr>
              <w:t>1</w:t>
            </w:r>
            <w:r>
              <w:rPr>
                <w:b/>
                <w:i/>
                <w:vertAlign w:val="superscript"/>
              </w:rPr>
              <w:noBreakHyphen/>
            </w:r>
            <w:r>
              <w:rPr>
                <w:b/>
                <w:i/>
                <w:vertAlign w:val="superscript"/>
              </w:rPr>
              <w:t>A</w:t>
            </w:r>
            <w:r>
              <w:rPr>
                <w:b/>
                <w:i/>
              </w:rPr>
              <w:t>, juntamente com a participação atempada e construtiva dos parceiros sociais na elaboração de políticas relevantes à escala nacional e da UE, nomeadamente no que diz respeito à execução dos planos de recuperaç</w:t>
            </w:r>
            <w:r>
              <w:rPr>
                <w:b/>
                <w:i/>
              </w:rPr>
              <w:t>ão e resiliência dos Estados</w:t>
            </w:r>
            <w:r>
              <w:rPr>
                <w:b/>
                <w:i/>
              </w:rPr>
              <w:noBreakHyphen/>
            </w:r>
            <w:r>
              <w:rPr>
                <w:b/>
                <w:i/>
              </w:rPr>
              <w:t>Membros;</w:t>
            </w:r>
          </w:p>
        </w:tc>
      </w:tr>
      <w:tr w:rsidR="007C2CD8" w:rsidTr="00521F00">
        <w:trPr>
          <w:jc w:val="center"/>
        </w:trPr>
        <w:tc>
          <w:tcPr>
            <w:tcW w:w="4876" w:type="dxa"/>
          </w:tcPr>
          <w:p w:rsidR="00521F00" w:rsidRPr="00FE1F10" w:rsidRDefault="00521F00">
            <w:pPr>
              <w:pStyle w:val="Normal6"/>
            </w:pPr>
          </w:p>
        </w:tc>
        <w:tc>
          <w:tcPr>
            <w:tcW w:w="4876" w:type="dxa"/>
            <w:hideMark/>
          </w:tcPr>
          <w:p w:rsidR="00521F00" w:rsidRPr="00781861" w:rsidRDefault="00FE1F10">
            <w:pPr>
              <w:pStyle w:val="Normal6"/>
              <w:rPr>
                <w:szCs w:val="24"/>
              </w:rPr>
            </w:pPr>
            <w:r>
              <w:rPr>
                <w:b/>
                <w:i/>
              </w:rPr>
              <w:t>__________________</w:t>
            </w:r>
          </w:p>
        </w:tc>
      </w:tr>
      <w:tr w:rsidR="007C2CD8" w:rsidTr="00521F00">
        <w:trPr>
          <w:jc w:val="center"/>
        </w:trPr>
        <w:tc>
          <w:tcPr>
            <w:tcW w:w="4876" w:type="dxa"/>
          </w:tcPr>
          <w:p w:rsidR="00521F00" w:rsidRPr="00781861" w:rsidRDefault="00521F00">
            <w:pPr>
              <w:pStyle w:val="Normal6"/>
              <w:rPr>
                <w:lang w:val="en-GB"/>
              </w:rPr>
            </w:pPr>
          </w:p>
        </w:tc>
        <w:tc>
          <w:tcPr>
            <w:tcW w:w="4876" w:type="dxa"/>
            <w:hideMark/>
          </w:tcPr>
          <w:p w:rsidR="00521F00" w:rsidRPr="00781861" w:rsidRDefault="00FE1F10" w:rsidP="00461A62">
            <w:pPr>
              <w:pStyle w:val="Normal6"/>
              <w:rPr>
                <w:szCs w:val="24"/>
              </w:rPr>
            </w:pPr>
            <w:r w:rsidRPr="00FE1F10">
              <w:rPr>
                <w:b/>
                <w:i/>
                <w:vertAlign w:val="superscript"/>
              </w:rPr>
              <w:t>1</w:t>
            </w:r>
            <w:r w:rsidRPr="00FE1F10">
              <w:rPr>
                <w:b/>
                <w:i/>
                <w:vertAlign w:val="superscript"/>
              </w:rPr>
              <w:noBreakHyphen/>
            </w:r>
            <w:r w:rsidRPr="00FE1F10">
              <w:rPr>
                <w:b/>
                <w:i/>
                <w:vertAlign w:val="superscript"/>
              </w:rPr>
              <w:t>A</w:t>
            </w:r>
            <w:r>
              <w:rPr>
                <w:b/>
                <w:i/>
              </w:rPr>
              <w:t xml:space="preserve"> Recomendação do Conselho, de 12 de junho de 2023, relativa ao reforço do diálogo social na União Europeia (JO C, C/2023/1389, 6.12.2023, ELI: </w:t>
            </w:r>
            <w:hyperlink r:id="rId10" w:history="1">
              <w:r>
                <w:rPr>
                  <w:rStyle w:val="Hyperlink"/>
                  <w:b/>
                  <w:i/>
                  <w:color w:val="auto"/>
                </w:rPr>
                <w:t>http://data.europa.eu/eli/C/2023/1389/oj</w:t>
              </w:r>
            </w:hyperlink>
            <w:r>
              <w:rPr>
                <w:b/>
                <w:i/>
              </w:rPr>
              <w:t>).</w:t>
            </w:r>
          </w:p>
        </w:tc>
      </w:tr>
    </w:tbl>
    <w:p w:rsidR="00521F00" w:rsidRPr="00781861" w:rsidRDefault="00FE1F10" w:rsidP="00521F00">
      <w:r>
        <w:rPr>
          <w:rStyle w:val="HideTWBExt"/>
        </w:rPr>
        <w:t>&lt;/Amend&gt;</w:t>
      </w:r>
    </w:p>
    <w:p w:rsidR="00521F00" w:rsidRPr="00781861" w:rsidRDefault="00FE1F10" w:rsidP="00521F00">
      <w:pPr>
        <w:pStyle w:val="AMNumberTabs0"/>
        <w:keepNext/>
      </w:pPr>
      <w:r w:rsidRPr="00FE1F10">
        <w:rPr>
          <w:rStyle w:val="HideTWBExt"/>
          <w:b w:val="0"/>
        </w:rPr>
        <w:t>&lt;Amend&gt;</w:t>
      </w:r>
      <w:r>
        <w:t>Alteração</w:t>
      </w:r>
      <w:r>
        <w:tab/>
      </w:r>
      <w:r>
        <w:tab/>
      </w:r>
      <w:r w:rsidRPr="00FE1F10">
        <w:rPr>
          <w:rStyle w:val="HideTWBExt"/>
          <w:b w:val="0"/>
        </w:rPr>
        <w:t>&lt;NumAm&gt;</w:t>
      </w:r>
      <w:r>
        <w:t>20</w:t>
      </w:r>
      <w:r w:rsidRPr="00FE1F10">
        <w:rPr>
          <w:rStyle w:val="HideTWBExt"/>
          <w:b w:val="0"/>
        </w:rPr>
        <w:t>&lt;/NumAm&gt;</w:t>
      </w:r>
    </w:p>
    <w:p w:rsidR="00521F00" w:rsidRPr="00781861" w:rsidRDefault="00521F00" w:rsidP="00521F00"/>
    <w:p w:rsidR="00521F00" w:rsidRPr="00781861" w:rsidRDefault="00FE1F10" w:rsidP="00521F00">
      <w:pPr>
        <w:pStyle w:val="NormalBold"/>
        <w:keepNext/>
      </w:pPr>
      <w:r>
        <w:rPr>
          <w:rStyle w:val="HideTWBExt"/>
          <w:b w:val="0"/>
        </w:rPr>
        <w:t>&lt;DocAmend&gt;</w:t>
      </w:r>
      <w:r>
        <w:t>Proposta de resolução</w:t>
      </w:r>
      <w:r>
        <w:rPr>
          <w:rStyle w:val="HideTWBExt"/>
          <w:b w:val="0"/>
        </w:rPr>
        <w:t>&lt;/DocAmend&gt;</w:t>
      </w:r>
    </w:p>
    <w:p w:rsidR="00521F00" w:rsidRPr="00781861" w:rsidRDefault="00FE1F10" w:rsidP="00521F00">
      <w:pPr>
        <w:pStyle w:val="NormalBold"/>
      </w:pPr>
      <w:r w:rsidRPr="00FE1F10">
        <w:rPr>
          <w:rStyle w:val="HideTWBExt"/>
          <w:b w:val="0"/>
        </w:rPr>
        <w:t>&lt;Article&gt;</w:t>
      </w:r>
      <w:r>
        <w:t>Considerando F</w:t>
      </w:r>
      <w:r>
        <w:noBreakHyphen/>
      </w:r>
      <w:r>
        <w:t>B (novo)</w:t>
      </w:r>
      <w:r w:rsidRPr="00FE1F1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2CD8" w:rsidTr="00521F00">
        <w:trPr>
          <w:jc w:val="center"/>
        </w:trPr>
        <w:tc>
          <w:tcPr>
            <w:tcW w:w="9752" w:type="dxa"/>
            <w:gridSpan w:val="2"/>
          </w:tcPr>
          <w:p w:rsidR="00521F00" w:rsidRPr="00FE1F10" w:rsidRDefault="00521F00">
            <w:pPr>
              <w:keepNext/>
            </w:pPr>
          </w:p>
        </w:tc>
      </w:tr>
      <w:tr w:rsidR="007C2CD8" w:rsidTr="00521F00">
        <w:trPr>
          <w:jc w:val="center"/>
        </w:trPr>
        <w:tc>
          <w:tcPr>
            <w:tcW w:w="4876" w:type="dxa"/>
            <w:hideMark/>
          </w:tcPr>
          <w:p w:rsidR="00521F00" w:rsidRPr="00781861" w:rsidRDefault="00FE1F10">
            <w:pPr>
              <w:pStyle w:val="ColumnHeading"/>
              <w:keepNext/>
            </w:pPr>
            <w:r>
              <w:t>Proposta de resolução</w:t>
            </w:r>
          </w:p>
        </w:tc>
        <w:tc>
          <w:tcPr>
            <w:tcW w:w="4876" w:type="dxa"/>
            <w:hideMark/>
          </w:tcPr>
          <w:p w:rsidR="00521F00" w:rsidRPr="00781861" w:rsidRDefault="00FE1F10">
            <w:pPr>
              <w:pStyle w:val="ColumnHeading"/>
              <w:keepNext/>
            </w:pPr>
            <w:r>
              <w:t>Alteração</w:t>
            </w:r>
          </w:p>
        </w:tc>
      </w:tr>
      <w:tr w:rsidR="007C2CD8" w:rsidTr="00521F00">
        <w:trPr>
          <w:jc w:val="center"/>
        </w:trPr>
        <w:tc>
          <w:tcPr>
            <w:tcW w:w="4876" w:type="dxa"/>
          </w:tcPr>
          <w:p w:rsidR="00521F00" w:rsidRPr="00781861" w:rsidRDefault="00521F00">
            <w:pPr>
              <w:pStyle w:val="Normal6"/>
              <w:rPr>
                <w:lang w:val="en-GB"/>
              </w:rPr>
            </w:pPr>
          </w:p>
        </w:tc>
        <w:tc>
          <w:tcPr>
            <w:tcW w:w="4876" w:type="dxa"/>
            <w:hideMark/>
          </w:tcPr>
          <w:p w:rsidR="00521F00" w:rsidRPr="00781861" w:rsidRDefault="00FE1F10">
            <w:pPr>
              <w:pStyle w:val="Normal6"/>
              <w:rPr>
                <w:szCs w:val="24"/>
              </w:rPr>
            </w:pPr>
            <w:r>
              <w:rPr>
                <w:b/>
                <w:i/>
              </w:rPr>
              <w:t>F</w:t>
            </w:r>
            <w:r>
              <w:rPr>
                <w:b/>
                <w:i/>
              </w:rPr>
              <w:noBreakHyphen/>
            </w:r>
            <w:r>
              <w:rPr>
                <w:b/>
                <w:i/>
              </w:rPr>
              <w:t>B.</w:t>
            </w:r>
            <w:r>
              <w:rPr>
                <w:b/>
                <w:i/>
              </w:rPr>
              <w:tab/>
              <w:t xml:space="preserve">Considerando que, de acordo com o RCE de 2025, dos 7 129 marcos e metas incluídos nos 27 PRR, 2 201 devem </w:t>
            </w:r>
            <w:r>
              <w:rPr>
                <w:b/>
                <w:i/>
              </w:rPr>
              <w:lastRenderedPageBreak/>
              <w:t>contribuir para as políticas sociais (cerca de 31 %) e, dos 1 742 marcos e metas atingidos até 14 de novembro de 2024, 505 devem prom</w:t>
            </w:r>
            <w:r>
              <w:rPr>
                <w:b/>
                <w:i/>
              </w:rPr>
              <w:t>over as políticas sociais (cerca de 30 %);</w:t>
            </w:r>
          </w:p>
        </w:tc>
      </w:tr>
    </w:tbl>
    <w:p w:rsidR="00521F00" w:rsidRPr="00781861" w:rsidRDefault="00FE1F10" w:rsidP="00521F00">
      <w:r>
        <w:rPr>
          <w:rStyle w:val="HideTWBExt"/>
        </w:rPr>
        <w:lastRenderedPageBreak/>
        <w:t>&lt;/Amend&gt;</w:t>
      </w:r>
    </w:p>
    <w:p w:rsidR="00675C68" w:rsidRPr="00781861" w:rsidRDefault="00FE1F10" w:rsidP="00675C68">
      <w:pPr>
        <w:pStyle w:val="AmNumberTabs"/>
      </w:pPr>
      <w:r>
        <w:rPr>
          <w:rStyle w:val="HideTWBExt"/>
          <w:b w:val="0"/>
        </w:rPr>
        <w:t>&lt;Amend&gt;</w:t>
      </w:r>
      <w:r>
        <w:t>Alteração</w:t>
      </w:r>
      <w:r>
        <w:tab/>
      </w:r>
      <w:r>
        <w:tab/>
      </w:r>
      <w:r>
        <w:rPr>
          <w:rStyle w:val="HideTWBExt"/>
          <w:b w:val="0"/>
        </w:rPr>
        <w:t>&lt;NumAm&gt;</w:t>
      </w:r>
      <w:r>
        <w:t>21</w:t>
      </w:r>
      <w:r>
        <w:rPr>
          <w:rStyle w:val="HideTWBExt"/>
          <w:b w:val="0"/>
        </w:rPr>
        <w:t>&lt;/NumAm&gt;</w:t>
      </w:r>
    </w:p>
    <w:p w:rsidR="00675C68" w:rsidRPr="00781861" w:rsidRDefault="00FE1F10" w:rsidP="00675C68">
      <w:pPr>
        <w:pStyle w:val="NormalBold12b"/>
      </w:pPr>
      <w:r>
        <w:rPr>
          <w:rStyle w:val="HideTWBExt"/>
          <w:b w:val="0"/>
        </w:rPr>
        <w:t>&lt;DocAmend&gt;</w:t>
      </w:r>
      <w:r>
        <w:t>Proposta de resolução</w:t>
      </w:r>
      <w:r>
        <w:rPr>
          <w:rStyle w:val="HideTWBExt"/>
          <w:b w:val="0"/>
        </w:rPr>
        <w:t>&lt;/DocAmend&gt;</w:t>
      </w:r>
    </w:p>
    <w:p w:rsidR="00675C68" w:rsidRPr="00781861" w:rsidRDefault="00FE1F10" w:rsidP="00675C68">
      <w:pPr>
        <w:pStyle w:val="NormalBold"/>
      </w:pPr>
      <w:r>
        <w:rPr>
          <w:rStyle w:val="HideTWBExt"/>
          <w:b w:val="0"/>
        </w:rPr>
        <w:t>&lt;Article&gt;</w:t>
      </w:r>
      <w:r>
        <w:t>Considerando F</w:t>
      </w:r>
      <w:r>
        <w:noBreakHyphen/>
      </w:r>
      <w:r>
        <w:t>C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2CD8" w:rsidTr="00675C68">
        <w:trPr>
          <w:jc w:val="center"/>
        </w:trPr>
        <w:tc>
          <w:tcPr>
            <w:tcW w:w="9752" w:type="dxa"/>
            <w:gridSpan w:val="2"/>
          </w:tcPr>
          <w:p w:rsidR="00675C68" w:rsidRPr="00781861" w:rsidRDefault="00675C68">
            <w:pPr>
              <w:keepNext/>
            </w:pPr>
          </w:p>
        </w:tc>
      </w:tr>
      <w:tr w:rsidR="007C2CD8" w:rsidTr="00675C68">
        <w:trPr>
          <w:jc w:val="center"/>
        </w:trPr>
        <w:tc>
          <w:tcPr>
            <w:tcW w:w="4876" w:type="dxa"/>
            <w:hideMark/>
          </w:tcPr>
          <w:p w:rsidR="00675C68" w:rsidRPr="00781861" w:rsidRDefault="00FE1F10">
            <w:pPr>
              <w:pStyle w:val="ColumnHeading"/>
              <w:keepNext/>
            </w:pPr>
            <w:r>
              <w:t>Proposta de resolução</w:t>
            </w:r>
          </w:p>
        </w:tc>
        <w:tc>
          <w:tcPr>
            <w:tcW w:w="4876" w:type="dxa"/>
            <w:hideMark/>
          </w:tcPr>
          <w:p w:rsidR="00675C68" w:rsidRPr="00781861" w:rsidRDefault="00FE1F10">
            <w:pPr>
              <w:pStyle w:val="ColumnHeading"/>
              <w:keepNext/>
            </w:pPr>
            <w:r>
              <w:t>Alteração</w:t>
            </w:r>
          </w:p>
        </w:tc>
      </w:tr>
      <w:tr w:rsidR="007C2CD8" w:rsidTr="00675C68">
        <w:trPr>
          <w:jc w:val="center"/>
        </w:trPr>
        <w:tc>
          <w:tcPr>
            <w:tcW w:w="4876" w:type="dxa"/>
          </w:tcPr>
          <w:p w:rsidR="00675C68" w:rsidRPr="00781861" w:rsidRDefault="00675C68">
            <w:pPr>
              <w:pStyle w:val="Normal6"/>
              <w:rPr>
                <w:lang w:val="en-GB"/>
              </w:rPr>
            </w:pPr>
          </w:p>
        </w:tc>
        <w:tc>
          <w:tcPr>
            <w:tcW w:w="4876" w:type="dxa"/>
            <w:hideMark/>
          </w:tcPr>
          <w:p w:rsidR="00675C68" w:rsidRPr="00781861" w:rsidRDefault="00FE1F10" w:rsidP="00EC1E8B">
            <w:pPr>
              <w:pStyle w:val="Normal6"/>
              <w:rPr>
                <w:szCs w:val="24"/>
              </w:rPr>
            </w:pPr>
            <w:r>
              <w:rPr>
                <w:b/>
                <w:i/>
              </w:rPr>
              <w:t>F</w:t>
            </w:r>
            <w:r>
              <w:rPr>
                <w:b/>
                <w:i/>
              </w:rPr>
              <w:noBreakHyphen/>
            </w:r>
            <w:r>
              <w:rPr>
                <w:b/>
                <w:i/>
              </w:rPr>
              <w:t>C.</w:t>
            </w:r>
            <w:r>
              <w:rPr>
                <w:b/>
                <w:i/>
              </w:rPr>
              <w:tab/>
              <w:t xml:space="preserve">Considerando que a UE tem uma sociedade </w:t>
            </w:r>
            <w:r>
              <w:rPr>
                <w:b/>
                <w:i/>
              </w:rPr>
              <w:t>em envelhecimento, prevendo</w:t>
            </w:r>
            <w:r>
              <w:rPr>
                <w:b/>
                <w:i/>
              </w:rPr>
              <w:noBreakHyphen/>
            </w:r>
            <w:r>
              <w:rPr>
                <w:b/>
                <w:i/>
              </w:rPr>
              <w:t xml:space="preserve">se uma diminuição das taxas de substituição das pensões ao longo das próximas quatro décadas, ao passo que as necessidades de cuidados continuados já são elevadas e estão a aumentar; que o risco de pobreza ou de exclusão social </w:t>
            </w:r>
            <w:r>
              <w:rPr>
                <w:b/>
                <w:i/>
              </w:rPr>
              <w:t>dos idosos se manteve estável, mas que se espera que as taxas de substituição das pensões para uma carreira de 40 anos diminuam na maioria dos Estados</w:t>
            </w:r>
            <w:r>
              <w:rPr>
                <w:b/>
                <w:i/>
              </w:rPr>
              <w:noBreakHyphen/>
            </w:r>
            <w:r>
              <w:rPr>
                <w:b/>
                <w:i/>
              </w:rPr>
              <w:t>Membros, em alguns casos em mais de 20 pontos percentuais;</w:t>
            </w:r>
          </w:p>
        </w:tc>
      </w:tr>
    </w:tbl>
    <w:p w:rsidR="00675C68" w:rsidRPr="00781861" w:rsidRDefault="00FE1F10" w:rsidP="00675C68">
      <w:r>
        <w:rPr>
          <w:rStyle w:val="HideTWBExt"/>
        </w:rPr>
        <w:t>&lt;/Amend&gt;</w:t>
      </w:r>
    </w:p>
    <w:p w:rsidR="00521F00" w:rsidRPr="00781861" w:rsidRDefault="00FE1F10" w:rsidP="00521F00">
      <w:pPr>
        <w:pStyle w:val="AMNumberTabs0"/>
        <w:keepNext/>
      </w:pPr>
      <w:r w:rsidRPr="00FE1F10">
        <w:rPr>
          <w:rStyle w:val="HideTWBExt"/>
          <w:b w:val="0"/>
        </w:rPr>
        <w:t>&lt;Amend&gt;</w:t>
      </w:r>
      <w:r>
        <w:t>Alteração</w:t>
      </w:r>
      <w:r>
        <w:tab/>
      </w:r>
      <w:r>
        <w:tab/>
      </w:r>
      <w:r w:rsidRPr="00FE1F10">
        <w:rPr>
          <w:rStyle w:val="HideTWBExt"/>
          <w:b w:val="0"/>
        </w:rPr>
        <w:t>&lt;NumAm&gt;</w:t>
      </w:r>
      <w:r>
        <w:t>22</w:t>
      </w:r>
      <w:r w:rsidRPr="00FE1F10">
        <w:rPr>
          <w:rStyle w:val="HideTWBExt"/>
          <w:b w:val="0"/>
        </w:rPr>
        <w:t>&lt;/NumAm&gt;</w:t>
      </w:r>
    </w:p>
    <w:p w:rsidR="00521F00" w:rsidRPr="00781861" w:rsidRDefault="00521F00" w:rsidP="00521F00"/>
    <w:p w:rsidR="00521F00" w:rsidRPr="00781861" w:rsidRDefault="00FE1F10" w:rsidP="00521F00">
      <w:pPr>
        <w:pStyle w:val="NormalBold"/>
        <w:keepNext/>
      </w:pPr>
      <w:r>
        <w:rPr>
          <w:rStyle w:val="HideTWBExt"/>
          <w:b w:val="0"/>
        </w:rPr>
        <w:t>&lt;DocAmend&gt;</w:t>
      </w:r>
      <w:r>
        <w:t>Proposta de resolução</w:t>
      </w:r>
      <w:r>
        <w:rPr>
          <w:rStyle w:val="HideTWBExt"/>
          <w:b w:val="0"/>
        </w:rPr>
        <w:t>&lt;/DocAmend&gt;</w:t>
      </w:r>
    </w:p>
    <w:p w:rsidR="00521F00" w:rsidRPr="00781861" w:rsidRDefault="00FE1F10" w:rsidP="00521F00">
      <w:pPr>
        <w:pStyle w:val="NormalBold"/>
      </w:pPr>
      <w:r>
        <w:rPr>
          <w:rStyle w:val="HideTWBExt"/>
          <w:b w:val="0"/>
        </w:rPr>
        <w:t>&lt;Article&gt;</w:t>
      </w:r>
      <w:r>
        <w:t>Considerando G</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2CD8" w:rsidTr="00521F00">
        <w:trPr>
          <w:jc w:val="center"/>
        </w:trPr>
        <w:tc>
          <w:tcPr>
            <w:tcW w:w="9752" w:type="dxa"/>
            <w:gridSpan w:val="2"/>
          </w:tcPr>
          <w:p w:rsidR="00521F00" w:rsidRPr="00781861" w:rsidRDefault="00521F00">
            <w:pPr>
              <w:keepNext/>
            </w:pPr>
          </w:p>
        </w:tc>
      </w:tr>
      <w:tr w:rsidR="007C2CD8" w:rsidTr="00521F00">
        <w:trPr>
          <w:jc w:val="center"/>
        </w:trPr>
        <w:tc>
          <w:tcPr>
            <w:tcW w:w="4876" w:type="dxa"/>
            <w:hideMark/>
          </w:tcPr>
          <w:p w:rsidR="00521F00" w:rsidRPr="00781861" w:rsidRDefault="00FE1F10">
            <w:pPr>
              <w:pStyle w:val="ColumnHeading"/>
              <w:keepNext/>
            </w:pPr>
            <w:r>
              <w:t>Proposta de resolução</w:t>
            </w:r>
          </w:p>
        </w:tc>
        <w:tc>
          <w:tcPr>
            <w:tcW w:w="4876" w:type="dxa"/>
            <w:hideMark/>
          </w:tcPr>
          <w:p w:rsidR="00521F00" w:rsidRPr="00781861" w:rsidRDefault="00FE1F10">
            <w:pPr>
              <w:pStyle w:val="ColumnHeading"/>
              <w:keepNext/>
            </w:pPr>
            <w:r>
              <w:t>Alteração</w:t>
            </w:r>
          </w:p>
        </w:tc>
      </w:tr>
      <w:tr w:rsidR="007C2CD8" w:rsidTr="00521F00">
        <w:trPr>
          <w:jc w:val="center"/>
        </w:trPr>
        <w:tc>
          <w:tcPr>
            <w:tcW w:w="4876" w:type="dxa"/>
            <w:hideMark/>
          </w:tcPr>
          <w:p w:rsidR="00521F00" w:rsidRPr="00781861" w:rsidRDefault="00FE1F10">
            <w:pPr>
              <w:pStyle w:val="Normal6"/>
            </w:pPr>
            <w:r>
              <w:t>G.</w:t>
            </w:r>
            <w:r>
              <w:tab/>
              <w:t xml:space="preserve">Considerando que a Comissão deve apresentar um relatório de avaliação </w:t>
            </w:r>
            <w:r>
              <w:rPr>
                <w:i/>
                <w:iCs/>
              </w:rPr>
              <w:t>ex post</w:t>
            </w:r>
            <w:r>
              <w:t xml:space="preserve"> independente sobre a execução do MRR até 31 de dezembro de 2028, que contenha uma avaliação global do MRR e informações sobre o seu impacto a longo prazo;</w:t>
            </w:r>
          </w:p>
        </w:tc>
        <w:tc>
          <w:tcPr>
            <w:tcW w:w="4876" w:type="dxa"/>
            <w:hideMark/>
          </w:tcPr>
          <w:p w:rsidR="00521F00" w:rsidRPr="00781861" w:rsidRDefault="00FE1F10">
            <w:pPr>
              <w:pStyle w:val="Normal6"/>
              <w:rPr>
                <w:szCs w:val="24"/>
              </w:rPr>
            </w:pPr>
            <w:r>
              <w:t>G.</w:t>
            </w:r>
            <w:r>
              <w:tab/>
              <w:t xml:space="preserve">Considerando que a Comissão deve apresentar um relatório de avaliação </w:t>
            </w:r>
            <w:r>
              <w:rPr>
                <w:i/>
                <w:iCs/>
              </w:rPr>
              <w:t>ex post</w:t>
            </w:r>
            <w:r>
              <w:t xml:space="preserve"> independente sobre </w:t>
            </w:r>
            <w:r>
              <w:t>a execução do MRR até 31 de dezembro de 2028, que contenha uma avaliação global do MRR e informações sobre o seu impacto a longo prazo</w:t>
            </w:r>
            <w:r>
              <w:rPr>
                <w:b/>
                <w:i/>
              </w:rPr>
              <w:t>, designadamente dados sobre os resultados sociais</w:t>
            </w:r>
            <w:r>
              <w:t>;</w:t>
            </w:r>
          </w:p>
        </w:tc>
      </w:tr>
    </w:tbl>
    <w:p w:rsidR="00521F00" w:rsidRPr="00781861" w:rsidRDefault="00FE1F10" w:rsidP="00521F00">
      <w:r>
        <w:rPr>
          <w:rStyle w:val="HideTWBExt"/>
        </w:rPr>
        <w:t>&lt;/Amend&gt;</w:t>
      </w:r>
    </w:p>
    <w:p w:rsidR="00521F00" w:rsidRPr="00781861" w:rsidRDefault="00FE1F10" w:rsidP="00521F00">
      <w:pPr>
        <w:pStyle w:val="AMNumberTabs0"/>
        <w:keepNext/>
      </w:pPr>
      <w:r w:rsidRPr="00FE1F10">
        <w:rPr>
          <w:rStyle w:val="HideTWBExt"/>
          <w:b w:val="0"/>
        </w:rPr>
        <w:t>&lt;Amend&gt;</w:t>
      </w:r>
      <w:r>
        <w:t>Alteração</w:t>
      </w:r>
      <w:r>
        <w:tab/>
      </w:r>
      <w:r>
        <w:tab/>
      </w:r>
      <w:r w:rsidRPr="00FE1F10">
        <w:rPr>
          <w:rStyle w:val="HideTWBExt"/>
          <w:b w:val="0"/>
        </w:rPr>
        <w:t>&lt;NumAm&gt;</w:t>
      </w:r>
      <w:r>
        <w:t>23</w:t>
      </w:r>
      <w:r w:rsidRPr="00FE1F10">
        <w:rPr>
          <w:rStyle w:val="HideTWBExt"/>
          <w:b w:val="0"/>
        </w:rPr>
        <w:t>&lt;/NumAm&gt;</w:t>
      </w:r>
    </w:p>
    <w:p w:rsidR="00521F00" w:rsidRPr="00781861" w:rsidRDefault="00521F00" w:rsidP="00521F00"/>
    <w:p w:rsidR="00521F00" w:rsidRPr="00781861" w:rsidRDefault="00FE1F10" w:rsidP="00521F00">
      <w:pPr>
        <w:pStyle w:val="NormalBold"/>
        <w:keepNext/>
      </w:pPr>
      <w:r>
        <w:rPr>
          <w:rStyle w:val="HideTWBExt"/>
          <w:b w:val="0"/>
        </w:rPr>
        <w:t>&lt;DocAmend&gt;</w:t>
      </w:r>
      <w:r>
        <w:t xml:space="preserve">Proposta de </w:t>
      </w:r>
      <w:r>
        <w:t>resolução</w:t>
      </w:r>
      <w:r>
        <w:rPr>
          <w:rStyle w:val="HideTWBExt"/>
          <w:b w:val="0"/>
        </w:rPr>
        <w:t>&lt;/DocAmend&gt;</w:t>
      </w:r>
    </w:p>
    <w:p w:rsidR="00521F00" w:rsidRPr="00781861" w:rsidRDefault="00FE1F10" w:rsidP="00521F00">
      <w:pPr>
        <w:pStyle w:val="NormalBold"/>
      </w:pPr>
      <w:r>
        <w:rPr>
          <w:rStyle w:val="HideTWBExt"/>
          <w:b w:val="0"/>
        </w:rPr>
        <w:t>&lt;Article&gt;</w:t>
      </w:r>
      <w:r>
        <w:t>Considerando G</w:t>
      </w:r>
      <w:r>
        <w:noBreakHyphen/>
      </w:r>
      <w:r>
        <w:t>A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2CD8" w:rsidTr="00521F00">
        <w:trPr>
          <w:jc w:val="center"/>
        </w:trPr>
        <w:tc>
          <w:tcPr>
            <w:tcW w:w="9752" w:type="dxa"/>
            <w:gridSpan w:val="2"/>
          </w:tcPr>
          <w:p w:rsidR="00521F00" w:rsidRPr="00781861" w:rsidRDefault="00521F00">
            <w:pPr>
              <w:keepNext/>
            </w:pPr>
          </w:p>
        </w:tc>
      </w:tr>
      <w:tr w:rsidR="007C2CD8" w:rsidTr="00521F00">
        <w:trPr>
          <w:jc w:val="center"/>
        </w:trPr>
        <w:tc>
          <w:tcPr>
            <w:tcW w:w="4876" w:type="dxa"/>
            <w:hideMark/>
          </w:tcPr>
          <w:p w:rsidR="00521F00" w:rsidRPr="00781861" w:rsidRDefault="00FE1F10">
            <w:pPr>
              <w:pStyle w:val="ColumnHeading"/>
              <w:keepNext/>
            </w:pPr>
            <w:r>
              <w:t>Proposta de resolução</w:t>
            </w:r>
          </w:p>
        </w:tc>
        <w:tc>
          <w:tcPr>
            <w:tcW w:w="4876" w:type="dxa"/>
            <w:hideMark/>
          </w:tcPr>
          <w:p w:rsidR="00521F00" w:rsidRPr="00781861" w:rsidRDefault="00FE1F10">
            <w:pPr>
              <w:pStyle w:val="ColumnHeading"/>
              <w:keepNext/>
            </w:pPr>
            <w:r>
              <w:t>Alteração</w:t>
            </w:r>
          </w:p>
        </w:tc>
      </w:tr>
      <w:tr w:rsidR="007C2CD8" w:rsidTr="00521F00">
        <w:trPr>
          <w:jc w:val="center"/>
        </w:trPr>
        <w:tc>
          <w:tcPr>
            <w:tcW w:w="4876" w:type="dxa"/>
          </w:tcPr>
          <w:p w:rsidR="00521F00" w:rsidRPr="00781861" w:rsidRDefault="00521F00">
            <w:pPr>
              <w:pStyle w:val="Normal6"/>
              <w:rPr>
                <w:lang w:val="en-GB"/>
              </w:rPr>
            </w:pPr>
          </w:p>
        </w:tc>
        <w:tc>
          <w:tcPr>
            <w:tcW w:w="4876" w:type="dxa"/>
            <w:hideMark/>
          </w:tcPr>
          <w:p w:rsidR="00521F00" w:rsidRPr="00781861" w:rsidRDefault="00FE1F10" w:rsidP="00D37E93">
            <w:pPr>
              <w:pStyle w:val="Normal6"/>
              <w:rPr>
                <w:szCs w:val="24"/>
              </w:rPr>
            </w:pPr>
            <w:r>
              <w:rPr>
                <w:b/>
                <w:i/>
              </w:rPr>
              <w:t>G</w:t>
            </w:r>
            <w:r>
              <w:rPr>
                <w:b/>
                <w:i/>
              </w:rPr>
              <w:noBreakHyphen/>
            </w:r>
            <w:r>
              <w:rPr>
                <w:b/>
                <w:i/>
              </w:rPr>
              <w:t>A.</w:t>
            </w:r>
            <w:r>
              <w:rPr>
                <w:b/>
                <w:i/>
              </w:rPr>
              <w:tab/>
              <w:t>Considerando que cada Estado</w:t>
            </w:r>
            <w:r>
              <w:rPr>
                <w:b/>
                <w:i/>
              </w:rPr>
              <w:noBreakHyphen/>
            </w:r>
            <w:r>
              <w:rPr>
                <w:b/>
                <w:i/>
              </w:rPr>
              <w:t xml:space="preserve">Membro deve consagrar, pelo menos, 20 % da dotação total ao abrigo do seu PRR a medidas que contribuam para a transição </w:t>
            </w:r>
            <w:r>
              <w:rPr>
                <w:b/>
                <w:i/>
              </w:rPr>
              <w:t xml:space="preserve">digital ou para dar resposta aos desafios daí decorrentes; que a melhoria das competências digitais da população em geral e da mão de obra, o reforço da digitalização das empresas, o aumento da gama de serviços públicos digitais e a aceleração da execução </w:t>
            </w:r>
            <w:r>
              <w:rPr>
                <w:b/>
                <w:i/>
              </w:rPr>
              <w:t>de projetos emblemáticos de administração pública em linha são passos essenciais para alcançar a transição digital;</w:t>
            </w:r>
          </w:p>
        </w:tc>
      </w:tr>
    </w:tbl>
    <w:p w:rsidR="00521F00" w:rsidRPr="00781861" w:rsidRDefault="00FE1F10" w:rsidP="00521F00">
      <w:r>
        <w:rPr>
          <w:rStyle w:val="HideTWBExt"/>
        </w:rPr>
        <w:t>&lt;/Amend&gt;</w:t>
      </w:r>
    </w:p>
    <w:p w:rsidR="00521F00" w:rsidRPr="00781861" w:rsidRDefault="00FE1F10" w:rsidP="00521F00">
      <w:pPr>
        <w:pStyle w:val="AMNumberTabs0"/>
        <w:keepNext/>
      </w:pPr>
      <w:r w:rsidRPr="00FE1F10">
        <w:rPr>
          <w:rStyle w:val="HideTWBExt"/>
          <w:b w:val="0"/>
        </w:rPr>
        <w:t>&lt;Amend&gt;</w:t>
      </w:r>
      <w:r>
        <w:t>Alteração</w:t>
      </w:r>
      <w:r>
        <w:tab/>
      </w:r>
      <w:r>
        <w:tab/>
      </w:r>
      <w:r w:rsidRPr="00FE1F10">
        <w:rPr>
          <w:rStyle w:val="HideTWBExt"/>
          <w:b w:val="0"/>
        </w:rPr>
        <w:t>&lt;NumAm&gt;</w:t>
      </w:r>
      <w:r>
        <w:t>24</w:t>
      </w:r>
      <w:r w:rsidRPr="00FE1F10">
        <w:rPr>
          <w:rStyle w:val="HideTWBExt"/>
          <w:b w:val="0"/>
        </w:rPr>
        <w:t>&lt;/NumAm&gt;</w:t>
      </w:r>
    </w:p>
    <w:p w:rsidR="00521F00" w:rsidRPr="00781861" w:rsidRDefault="00521F00" w:rsidP="00521F00"/>
    <w:p w:rsidR="00521F00" w:rsidRPr="00781861" w:rsidRDefault="00FE1F10" w:rsidP="00521F00">
      <w:pPr>
        <w:pStyle w:val="NormalBold"/>
        <w:keepNext/>
      </w:pPr>
      <w:r>
        <w:rPr>
          <w:rStyle w:val="HideTWBExt"/>
          <w:b w:val="0"/>
        </w:rPr>
        <w:t>&lt;DocAmend&gt;</w:t>
      </w:r>
      <w:r>
        <w:t>Proposta de resolução</w:t>
      </w:r>
      <w:r>
        <w:rPr>
          <w:rStyle w:val="HideTWBExt"/>
          <w:b w:val="0"/>
        </w:rPr>
        <w:t>&lt;/DocAmend&gt;</w:t>
      </w:r>
    </w:p>
    <w:p w:rsidR="00521F00" w:rsidRPr="00781861" w:rsidRDefault="00FE1F10" w:rsidP="00521F00">
      <w:pPr>
        <w:pStyle w:val="NormalBold"/>
      </w:pPr>
      <w:r>
        <w:rPr>
          <w:rStyle w:val="HideTWBExt"/>
          <w:b w:val="0"/>
        </w:rPr>
        <w:t>&lt;Article&gt;</w:t>
      </w:r>
      <w:r>
        <w:t>Considerando G</w:t>
      </w:r>
      <w:r>
        <w:noBreakHyphen/>
      </w:r>
      <w:r>
        <w:t>B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2CD8" w:rsidTr="00521F00">
        <w:trPr>
          <w:jc w:val="center"/>
        </w:trPr>
        <w:tc>
          <w:tcPr>
            <w:tcW w:w="9752" w:type="dxa"/>
            <w:gridSpan w:val="2"/>
          </w:tcPr>
          <w:p w:rsidR="00521F00" w:rsidRPr="00781861" w:rsidRDefault="00521F00">
            <w:pPr>
              <w:keepNext/>
            </w:pPr>
          </w:p>
        </w:tc>
      </w:tr>
      <w:tr w:rsidR="007C2CD8" w:rsidTr="00521F00">
        <w:trPr>
          <w:jc w:val="center"/>
        </w:trPr>
        <w:tc>
          <w:tcPr>
            <w:tcW w:w="4876" w:type="dxa"/>
            <w:hideMark/>
          </w:tcPr>
          <w:p w:rsidR="00521F00" w:rsidRPr="00781861" w:rsidRDefault="00FE1F10">
            <w:pPr>
              <w:pStyle w:val="ColumnHeading"/>
              <w:keepNext/>
            </w:pPr>
            <w:r>
              <w:t>Proposta de resolução</w:t>
            </w:r>
          </w:p>
        </w:tc>
        <w:tc>
          <w:tcPr>
            <w:tcW w:w="4876" w:type="dxa"/>
            <w:hideMark/>
          </w:tcPr>
          <w:p w:rsidR="00521F00" w:rsidRPr="00781861" w:rsidRDefault="00FE1F10">
            <w:pPr>
              <w:pStyle w:val="ColumnHeading"/>
              <w:keepNext/>
            </w:pPr>
            <w:r>
              <w:t>Alteração</w:t>
            </w:r>
          </w:p>
        </w:tc>
      </w:tr>
      <w:tr w:rsidR="007C2CD8" w:rsidTr="00521F00">
        <w:trPr>
          <w:jc w:val="center"/>
        </w:trPr>
        <w:tc>
          <w:tcPr>
            <w:tcW w:w="4876" w:type="dxa"/>
          </w:tcPr>
          <w:p w:rsidR="00521F00" w:rsidRPr="00781861" w:rsidRDefault="00521F00">
            <w:pPr>
              <w:pStyle w:val="Normal6"/>
              <w:rPr>
                <w:lang w:val="en-GB"/>
              </w:rPr>
            </w:pPr>
          </w:p>
        </w:tc>
        <w:tc>
          <w:tcPr>
            <w:tcW w:w="4876" w:type="dxa"/>
            <w:hideMark/>
          </w:tcPr>
          <w:p w:rsidR="00521F00" w:rsidRPr="00781861" w:rsidRDefault="00FE1F10" w:rsidP="008F32B7">
            <w:pPr>
              <w:pStyle w:val="Normal6"/>
              <w:rPr>
                <w:szCs w:val="24"/>
              </w:rPr>
            </w:pPr>
            <w:r>
              <w:rPr>
                <w:b/>
                <w:i/>
              </w:rPr>
              <w:t>G</w:t>
            </w:r>
            <w:r>
              <w:rPr>
                <w:b/>
                <w:i/>
              </w:rPr>
              <w:noBreakHyphen/>
            </w:r>
            <w:r>
              <w:rPr>
                <w:b/>
                <w:i/>
              </w:rPr>
              <w:t>B.</w:t>
            </w:r>
            <w:r>
              <w:rPr>
                <w:b/>
                <w:i/>
              </w:rPr>
              <w:tab/>
              <w:t>Considerando que apenas 55,56 % dos adultos possuem, pelo menos, as competências digitais básicas</w:t>
            </w:r>
            <w:r>
              <w:rPr>
                <w:b/>
                <w:i/>
                <w:vertAlign w:val="superscript"/>
              </w:rPr>
              <w:t>1</w:t>
            </w:r>
            <w:r>
              <w:rPr>
                <w:b/>
                <w:i/>
                <w:vertAlign w:val="superscript"/>
              </w:rPr>
              <w:noBreakHyphen/>
            </w:r>
            <w:r>
              <w:rPr>
                <w:b/>
                <w:i/>
                <w:vertAlign w:val="superscript"/>
              </w:rPr>
              <w:t>A</w:t>
            </w:r>
            <w:r>
              <w:rPr>
                <w:b/>
                <w:i/>
              </w:rPr>
              <w:t>; que um dos objetivos digitais da UE é garantir que 80 % dos adultos possuam, pelo menos, as competências digitais b</w:t>
            </w:r>
            <w:r>
              <w:rPr>
                <w:b/>
                <w:i/>
              </w:rPr>
              <w:t>ásicas até 2030; que a UE deve colmatar todas as formas de escassez de competências e de lacunas na oferta e na procura, a fim de otimizar o seu capital humano; que todos devem ter acesso a infraestruturas digitais adequadas e a formação em competências di</w:t>
            </w:r>
            <w:r>
              <w:rPr>
                <w:b/>
                <w:i/>
              </w:rPr>
              <w:t>gitais, para que todos disponham de igualdade de oportunidades no sistema educativo e no mercado de trabalho; que foram realizadas reformas e investimentos significativos em competências básicas, incluindo revisões curriculares, mas que não tiveram suficie</w:t>
            </w:r>
            <w:r>
              <w:rPr>
                <w:b/>
                <w:i/>
              </w:rPr>
              <w:t>ntemente em conta os desafios existentes, o que exige esforços suplementares em toda a UE para inverter as tendências decrescentes;</w:t>
            </w:r>
          </w:p>
        </w:tc>
      </w:tr>
      <w:tr w:rsidR="007C2CD8" w:rsidTr="00521F00">
        <w:trPr>
          <w:jc w:val="center"/>
        </w:trPr>
        <w:tc>
          <w:tcPr>
            <w:tcW w:w="4876" w:type="dxa"/>
          </w:tcPr>
          <w:p w:rsidR="00521F00" w:rsidRPr="00FE1F10" w:rsidRDefault="00521F00">
            <w:pPr>
              <w:pStyle w:val="Normal6"/>
            </w:pPr>
          </w:p>
        </w:tc>
        <w:tc>
          <w:tcPr>
            <w:tcW w:w="4876" w:type="dxa"/>
            <w:hideMark/>
          </w:tcPr>
          <w:p w:rsidR="00521F00" w:rsidRPr="00781861" w:rsidRDefault="00FE1F10">
            <w:pPr>
              <w:pStyle w:val="Normal6"/>
              <w:rPr>
                <w:szCs w:val="24"/>
              </w:rPr>
            </w:pPr>
            <w:r>
              <w:rPr>
                <w:b/>
                <w:i/>
              </w:rPr>
              <w:t>__________________</w:t>
            </w:r>
          </w:p>
        </w:tc>
      </w:tr>
      <w:tr w:rsidR="007C2CD8" w:rsidTr="00521F00">
        <w:trPr>
          <w:jc w:val="center"/>
        </w:trPr>
        <w:tc>
          <w:tcPr>
            <w:tcW w:w="4876" w:type="dxa"/>
          </w:tcPr>
          <w:p w:rsidR="00521F00" w:rsidRPr="00781861" w:rsidRDefault="00521F00">
            <w:pPr>
              <w:pStyle w:val="Normal6"/>
              <w:rPr>
                <w:lang w:val="en-GB"/>
              </w:rPr>
            </w:pPr>
          </w:p>
        </w:tc>
        <w:tc>
          <w:tcPr>
            <w:tcW w:w="4876" w:type="dxa"/>
            <w:hideMark/>
          </w:tcPr>
          <w:p w:rsidR="00521F00" w:rsidRPr="00781861" w:rsidRDefault="00FE1F10" w:rsidP="0002109D">
            <w:pPr>
              <w:pStyle w:val="Normal6"/>
              <w:rPr>
                <w:szCs w:val="24"/>
              </w:rPr>
            </w:pPr>
            <w:r>
              <w:rPr>
                <w:b/>
                <w:i/>
                <w:vertAlign w:val="superscript"/>
              </w:rPr>
              <w:t>1</w:t>
            </w:r>
            <w:r>
              <w:rPr>
                <w:b/>
                <w:i/>
                <w:vertAlign w:val="superscript"/>
              </w:rPr>
              <w:noBreakHyphen/>
            </w:r>
            <w:r>
              <w:rPr>
                <w:b/>
                <w:i/>
                <w:vertAlign w:val="superscript"/>
              </w:rPr>
              <w:t>A</w:t>
            </w:r>
            <w:r>
              <w:t xml:space="preserve"> </w:t>
            </w:r>
            <w:r>
              <w:rPr>
                <w:b/>
                <w:i/>
              </w:rPr>
              <w:t xml:space="preserve">Eurostat, «Base de Dados», </w:t>
            </w:r>
            <w:hyperlink r:id="rId11" w:history="1">
              <w:r>
                <w:rPr>
                  <w:rStyle w:val="Hyperlink"/>
                  <w:b/>
                  <w:i/>
                  <w:color w:val="auto"/>
                </w:rPr>
                <w:t>https://ec.europa.eu/eurostat/databrowser/view/sdg_04_70/default/table</w:t>
              </w:r>
            </w:hyperlink>
            <w:r>
              <w:rPr>
                <w:b/>
                <w:i/>
              </w:rPr>
              <w:t xml:space="preserve">; Eurostat, «56 % dos cidadãos da UE possuem competências digitais básicas», 15 de dezembro de 2023, </w:t>
            </w:r>
            <w:hyperlink r:id="rId12" w:history="1">
              <w:r>
                <w:rPr>
                  <w:rStyle w:val="Hyperlink"/>
                  <w:b/>
                  <w:i/>
                  <w:color w:val="auto"/>
                </w:rPr>
                <w:t>https://ec.europa.eu/eurostat/web/products</w:t>
              </w:r>
              <w:r>
                <w:rPr>
                  <w:rStyle w:val="Hyperlink"/>
                  <w:b/>
                  <w:i/>
                  <w:color w:val="auto"/>
                </w:rPr>
                <w:noBreakHyphen/>
              </w:r>
              <w:r>
                <w:rPr>
                  <w:rStyle w:val="Hyperlink"/>
                  <w:b/>
                  <w:i/>
                  <w:color w:val="auto"/>
                </w:rPr>
                <w:t>eurostat</w:t>
              </w:r>
              <w:r>
                <w:rPr>
                  <w:rStyle w:val="Hyperlink"/>
                  <w:b/>
                  <w:i/>
                  <w:color w:val="auto"/>
                </w:rPr>
                <w:noBreakHyphen/>
              </w:r>
              <w:r>
                <w:rPr>
                  <w:rStyle w:val="Hyperlink"/>
                  <w:b/>
                  <w:i/>
                  <w:color w:val="auto"/>
                </w:rPr>
                <w:t>news/</w:t>
              </w:r>
              <w:r>
                <w:rPr>
                  <w:rStyle w:val="Hyperlink"/>
                  <w:b/>
                  <w:i/>
                  <w:color w:val="auto"/>
                </w:rPr>
                <w:noBreakHyphen/>
              </w:r>
              <w:r>
                <w:rPr>
                  <w:rStyle w:val="Hyperlink"/>
                  <w:b/>
                  <w:i/>
                  <w:color w:val="auto"/>
                </w:rPr>
                <w:t>/ddn</w:t>
              </w:r>
              <w:r>
                <w:rPr>
                  <w:rStyle w:val="Hyperlink"/>
                  <w:b/>
                  <w:i/>
                  <w:color w:val="auto"/>
                </w:rPr>
                <w:noBreakHyphen/>
              </w:r>
              <w:r>
                <w:rPr>
                  <w:rStyle w:val="Hyperlink"/>
                  <w:b/>
                  <w:i/>
                  <w:color w:val="auto"/>
                </w:rPr>
                <w:t>20231215</w:t>
              </w:r>
              <w:r>
                <w:rPr>
                  <w:rStyle w:val="Hyperlink"/>
                  <w:b/>
                  <w:i/>
                  <w:color w:val="auto"/>
                </w:rPr>
                <w:noBreakHyphen/>
              </w:r>
              <w:r>
                <w:rPr>
                  <w:rStyle w:val="Hyperlink"/>
                  <w:b/>
                  <w:i/>
                  <w:color w:val="auto"/>
                </w:rPr>
                <w:t>3</w:t>
              </w:r>
            </w:hyperlink>
            <w:r>
              <w:rPr>
                <w:b/>
                <w:i/>
              </w:rPr>
              <w:t xml:space="preserve">. </w:t>
            </w:r>
          </w:p>
        </w:tc>
      </w:tr>
    </w:tbl>
    <w:p w:rsidR="00521F00" w:rsidRPr="00781861" w:rsidRDefault="00FE1F10" w:rsidP="00521F00">
      <w:r>
        <w:rPr>
          <w:rStyle w:val="HideTWBExt"/>
        </w:rPr>
        <w:t>&lt;/Amend&gt;</w:t>
      </w:r>
    </w:p>
    <w:p w:rsidR="00521F00" w:rsidRPr="00781861" w:rsidRDefault="00FE1F10" w:rsidP="00521F00">
      <w:pPr>
        <w:pStyle w:val="AMNumberTabs0"/>
        <w:keepNext/>
      </w:pPr>
      <w:r w:rsidRPr="00FE1F10">
        <w:rPr>
          <w:rStyle w:val="HideTWBExt"/>
          <w:b w:val="0"/>
        </w:rPr>
        <w:t>&lt;Amend&gt;</w:t>
      </w:r>
      <w:r>
        <w:t>Alteração</w:t>
      </w:r>
      <w:r>
        <w:tab/>
      </w:r>
      <w:r>
        <w:tab/>
      </w:r>
      <w:r w:rsidRPr="00FE1F10">
        <w:rPr>
          <w:rStyle w:val="HideTWBExt"/>
          <w:b w:val="0"/>
        </w:rPr>
        <w:t>&lt;NumAm&gt;</w:t>
      </w:r>
      <w:r>
        <w:t>25</w:t>
      </w:r>
      <w:r w:rsidRPr="00FE1F10">
        <w:rPr>
          <w:rStyle w:val="HideTWBExt"/>
          <w:b w:val="0"/>
        </w:rPr>
        <w:t>&lt;/NumAm&gt;</w:t>
      </w:r>
    </w:p>
    <w:p w:rsidR="00521F00" w:rsidRPr="00781861" w:rsidRDefault="00521F00" w:rsidP="00521F00"/>
    <w:p w:rsidR="00521F00" w:rsidRPr="00781861" w:rsidRDefault="00FE1F10" w:rsidP="00521F00">
      <w:pPr>
        <w:pStyle w:val="NormalBold"/>
        <w:keepNext/>
      </w:pPr>
      <w:r>
        <w:rPr>
          <w:rStyle w:val="HideTWBExt"/>
          <w:b w:val="0"/>
        </w:rPr>
        <w:t>&lt;DocAmend&gt;</w:t>
      </w:r>
      <w:r>
        <w:t>Proposta de resolução</w:t>
      </w:r>
      <w:r>
        <w:rPr>
          <w:rStyle w:val="HideTWBExt"/>
          <w:b w:val="0"/>
        </w:rPr>
        <w:t>&lt;/DocAmend&gt;</w:t>
      </w:r>
    </w:p>
    <w:p w:rsidR="00521F00" w:rsidRPr="00781861" w:rsidRDefault="00FE1F10" w:rsidP="00521F00">
      <w:pPr>
        <w:pStyle w:val="NormalBold"/>
      </w:pPr>
      <w:r>
        <w:rPr>
          <w:rStyle w:val="HideTWBExt"/>
          <w:b w:val="0"/>
        </w:rPr>
        <w:t>&lt;Article&gt;</w:t>
      </w:r>
      <w:r>
        <w:t>N.º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2CD8" w:rsidTr="00521F00">
        <w:trPr>
          <w:jc w:val="center"/>
        </w:trPr>
        <w:tc>
          <w:tcPr>
            <w:tcW w:w="9752" w:type="dxa"/>
            <w:gridSpan w:val="2"/>
          </w:tcPr>
          <w:p w:rsidR="00521F00" w:rsidRPr="00781861" w:rsidRDefault="00521F00">
            <w:pPr>
              <w:keepNext/>
            </w:pPr>
          </w:p>
        </w:tc>
      </w:tr>
      <w:tr w:rsidR="007C2CD8" w:rsidTr="00521F00">
        <w:trPr>
          <w:jc w:val="center"/>
        </w:trPr>
        <w:tc>
          <w:tcPr>
            <w:tcW w:w="4876" w:type="dxa"/>
            <w:hideMark/>
          </w:tcPr>
          <w:p w:rsidR="00521F00" w:rsidRPr="00781861" w:rsidRDefault="00FE1F10">
            <w:pPr>
              <w:pStyle w:val="ColumnHeading"/>
              <w:keepNext/>
            </w:pPr>
            <w:r>
              <w:t>Proposta de resolução</w:t>
            </w:r>
          </w:p>
        </w:tc>
        <w:tc>
          <w:tcPr>
            <w:tcW w:w="4876" w:type="dxa"/>
            <w:hideMark/>
          </w:tcPr>
          <w:p w:rsidR="00521F00" w:rsidRPr="00781861" w:rsidRDefault="00FE1F10">
            <w:pPr>
              <w:pStyle w:val="ColumnHeading"/>
              <w:keepNext/>
            </w:pPr>
            <w:r>
              <w:t>Alteração</w:t>
            </w:r>
          </w:p>
        </w:tc>
      </w:tr>
      <w:tr w:rsidR="007C2CD8" w:rsidTr="00521F00">
        <w:trPr>
          <w:jc w:val="center"/>
        </w:trPr>
        <w:tc>
          <w:tcPr>
            <w:tcW w:w="4876" w:type="dxa"/>
            <w:hideMark/>
          </w:tcPr>
          <w:p w:rsidR="00521F00" w:rsidRPr="00781861" w:rsidRDefault="00FE1F10">
            <w:pPr>
              <w:pStyle w:val="Normal6"/>
            </w:pPr>
            <w:r>
              <w:t>1.</w:t>
            </w:r>
            <w:r>
              <w:tab/>
            </w:r>
            <w:r>
              <w:rPr>
                <w:b/>
                <w:i/>
              </w:rPr>
              <w:t>Destaca</w:t>
            </w:r>
            <w:r>
              <w:t xml:space="preserve"> que o MRR é um instrumento de solidariedade inédito, criado à luz de duas crises sem precedentes, e uma pedra angular do IRUE, que se extinguirá em 2026; </w:t>
            </w:r>
            <w:r>
              <w:t>salienta o efeito estabilizador do MRR para os Estados</w:t>
            </w:r>
            <w:r>
              <w:noBreakHyphen/>
            </w:r>
            <w:r>
              <w:t xml:space="preserve">Membros, em tempos de enorme incerteza económica, pois que atenua as consequências económicas e sociais negativas </w:t>
            </w:r>
            <w:r>
              <w:rPr>
                <w:b/>
                <w:i/>
              </w:rPr>
              <w:t>e apoia os governos ao contribuir para</w:t>
            </w:r>
            <w:r>
              <w:t xml:space="preserve"> a aplicação do Pilar Europeu dos Direitos Sociai</w:t>
            </w:r>
            <w:r>
              <w:t>s;</w:t>
            </w:r>
          </w:p>
        </w:tc>
        <w:tc>
          <w:tcPr>
            <w:tcW w:w="4876" w:type="dxa"/>
            <w:hideMark/>
          </w:tcPr>
          <w:p w:rsidR="00521F00" w:rsidRPr="00781861" w:rsidRDefault="00FE1F10" w:rsidP="00204278">
            <w:pPr>
              <w:pStyle w:val="Normal6"/>
              <w:rPr>
                <w:szCs w:val="24"/>
              </w:rPr>
            </w:pPr>
            <w:r>
              <w:t>1.</w:t>
            </w:r>
            <w:r>
              <w:tab/>
            </w:r>
            <w:r>
              <w:rPr>
                <w:b/>
                <w:i/>
              </w:rPr>
              <w:t>Reconhece</w:t>
            </w:r>
            <w:r>
              <w:t xml:space="preserve"> que o MRR é um instrumento de solidariedade inédito, criado à luz de duas crises sem precedentes, e uma pedra angular do IRUE, que se extinguirá em 2026; salienta o efeito estabilizador do MRR para os Estados</w:t>
            </w:r>
            <w:r>
              <w:noBreakHyphen/>
            </w:r>
            <w:r>
              <w:t>Membros, em tempos de enorme in</w:t>
            </w:r>
            <w:r>
              <w:t xml:space="preserve">certeza económica, pois que atenua as consequências económicas e sociais negativas </w:t>
            </w:r>
            <w:r>
              <w:rPr>
                <w:b/>
                <w:i/>
              </w:rPr>
              <w:t>das crises; recorda que um dos objetivos gerais do MRR é apoiar</w:t>
            </w:r>
            <w:r>
              <w:t xml:space="preserve"> a aplicação do Pilar Europeu dos Direitos Sociais</w:t>
            </w:r>
            <w:r>
              <w:rPr>
                <w:b/>
                <w:i/>
              </w:rPr>
              <w:t>, no sentido de construir uma Europa social mais forte e ref</w:t>
            </w:r>
            <w:r>
              <w:rPr>
                <w:b/>
                <w:i/>
              </w:rPr>
              <w:t>orçar a coesão social, aumentando assim a resiliência a longo prazo em toda a UE;</w:t>
            </w:r>
            <w:r>
              <w:t xml:space="preserve"> </w:t>
            </w:r>
            <w:r>
              <w:rPr>
                <w:b/>
                <w:i/>
              </w:rPr>
              <w:t>sublinha que importa reforçar este objetivo garantindo investimentos públicos a longo prazo em serviços sociais públicos de qualidade e promovendo medidas que reduzam as desi</w:t>
            </w:r>
            <w:r>
              <w:rPr>
                <w:b/>
                <w:i/>
              </w:rPr>
              <w:t>gualdades para todos;</w:t>
            </w:r>
          </w:p>
        </w:tc>
      </w:tr>
    </w:tbl>
    <w:p w:rsidR="00521F00" w:rsidRPr="00781861" w:rsidRDefault="00FE1F10" w:rsidP="00521F00">
      <w:r>
        <w:rPr>
          <w:rStyle w:val="HideTWBExt"/>
        </w:rPr>
        <w:t>&lt;/Amend&gt;</w:t>
      </w:r>
    </w:p>
    <w:p w:rsidR="00521F00" w:rsidRPr="00781861" w:rsidRDefault="00FE1F10" w:rsidP="00521F00">
      <w:pPr>
        <w:pStyle w:val="AMNumberTabs0"/>
        <w:keepNext/>
      </w:pPr>
      <w:r w:rsidRPr="00FE1F10">
        <w:rPr>
          <w:rStyle w:val="HideTWBExt"/>
          <w:b w:val="0"/>
        </w:rPr>
        <w:t>&lt;Amend&gt;</w:t>
      </w:r>
      <w:r>
        <w:t>Alteração</w:t>
      </w:r>
      <w:r>
        <w:tab/>
      </w:r>
      <w:r>
        <w:tab/>
      </w:r>
      <w:r w:rsidRPr="00FE1F10">
        <w:rPr>
          <w:rStyle w:val="HideTWBExt"/>
          <w:b w:val="0"/>
        </w:rPr>
        <w:t>&lt;NumAm&gt;</w:t>
      </w:r>
      <w:r>
        <w:t>26</w:t>
      </w:r>
      <w:r w:rsidRPr="00FE1F10">
        <w:rPr>
          <w:rStyle w:val="HideTWBExt"/>
          <w:b w:val="0"/>
        </w:rPr>
        <w:t>&lt;/NumAm&gt;</w:t>
      </w:r>
    </w:p>
    <w:p w:rsidR="00521F00" w:rsidRPr="00781861" w:rsidRDefault="00521F00" w:rsidP="00521F00"/>
    <w:p w:rsidR="00521F00" w:rsidRPr="00781861" w:rsidRDefault="00FE1F10" w:rsidP="00521F00">
      <w:pPr>
        <w:pStyle w:val="NormalBold"/>
        <w:keepNext/>
      </w:pPr>
      <w:r>
        <w:rPr>
          <w:rStyle w:val="HideTWBExt"/>
          <w:b w:val="0"/>
        </w:rPr>
        <w:t>&lt;DocAmend&gt;</w:t>
      </w:r>
      <w:r>
        <w:t>Proposta de resolução</w:t>
      </w:r>
      <w:r>
        <w:rPr>
          <w:rStyle w:val="HideTWBExt"/>
          <w:b w:val="0"/>
        </w:rPr>
        <w:t>&lt;/DocAmend&gt;</w:t>
      </w:r>
    </w:p>
    <w:p w:rsidR="00521F00" w:rsidRPr="00781861" w:rsidRDefault="00FE1F10" w:rsidP="00521F00">
      <w:pPr>
        <w:pStyle w:val="NormalBold"/>
      </w:pPr>
      <w:r>
        <w:rPr>
          <w:rStyle w:val="HideTWBExt"/>
          <w:b w:val="0"/>
        </w:rPr>
        <w:t>&lt;Article&gt;</w:t>
      </w:r>
      <w:r>
        <w:t>N.º 1</w:t>
      </w:r>
      <w:r>
        <w:noBreakHyphen/>
      </w:r>
      <w:r>
        <w:t>A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2CD8" w:rsidTr="00521F00">
        <w:trPr>
          <w:jc w:val="center"/>
        </w:trPr>
        <w:tc>
          <w:tcPr>
            <w:tcW w:w="9752" w:type="dxa"/>
            <w:gridSpan w:val="2"/>
          </w:tcPr>
          <w:p w:rsidR="00521F00" w:rsidRPr="00781861" w:rsidRDefault="00521F00">
            <w:pPr>
              <w:keepNext/>
            </w:pPr>
          </w:p>
        </w:tc>
      </w:tr>
      <w:tr w:rsidR="007C2CD8" w:rsidTr="00521F00">
        <w:trPr>
          <w:jc w:val="center"/>
        </w:trPr>
        <w:tc>
          <w:tcPr>
            <w:tcW w:w="4876" w:type="dxa"/>
            <w:hideMark/>
          </w:tcPr>
          <w:p w:rsidR="00521F00" w:rsidRPr="00781861" w:rsidRDefault="00FE1F10">
            <w:pPr>
              <w:pStyle w:val="ColumnHeading"/>
              <w:keepNext/>
            </w:pPr>
            <w:r>
              <w:t>Proposta de resolução</w:t>
            </w:r>
          </w:p>
        </w:tc>
        <w:tc>
          <w:tcPr>
            <w:tcW w:w="4876" w:type="dxa"/>
            <w:hideMark/>
          </w:tcPr>
          <w:p w:rsidR="00521F00" w:rsidRPr="00781861" w:rsidRDefault="00FE1F10">
            <w:pPr>
              <w:pStyle w:val="ColumnHeading"/>
              <w:keepNext/>
            </w:pPr>
            <w:r>
              <w:t>Alteração</w:t>
            </w:r>
          </w:p>
        </w:tc>
      </w:tr>
      <w:tr w:rsidR="007C2CD8" w:rsidTr="00521F00">
        <w:trPr>
          <w:jc w:val="center"/>
        </w:trPr>
        <w:tc>
          <w:tcPr>
            <w:tcW w:w="4876" w:type="dxa"/>
          </w:tcPr>
          <w:p w:rsidR="00521F00" w:rsidRPr="00781861" w:rsidRDefault="00521F00">
            <w:pPr>
              <w:pStyle w:val="Normal6"/>
              <w:rPr>
                <w:lang w:val="en-GB"/>
              </w:rPr>
            </w:pPr>
          </w:p>
        </w:tc>
        <w:tc>
          <w:tcPr>
            <w:tcW w:w="4876" w:type="dxa"/>
            <w:hideMark/>
          </w:tcPr>
          <w:p w:rsidR="00521F00" w:rsidRPr="00781861" w:rsidRDefault="00FE1F10" w:rsidP="00F56F50">
            <w:pPr>
              <w:pStyle w:val="Normal6"/>
              <w:rPr>
                <w:szCs w:val="24"/>
              </w:rPr>
            </w:pPr>
            <w:r>
              <w:rPr>
                <w:b/>
                <w:i/>
              </w:rPr>
              <w:t>1</w:t>
            </w:r>
            <w:r>
              <w:rPr>
                <w:b/>
                <w:i/>
              </w:rPr>
              <w:noBreakHyphen/>
            </w:r>
            <w:r>
              <w:rPr>
                <w:b/>
                <w:i/>
              </w:rPr>
              <w:t>A.</w:t>
            </w:r>
            <w:r>
              <w:rPr>
                <w:b/>
                <w:i/>
              </w:rPr>
              <w:tab/>
              <w:t xml:space="preserve">Recorda que o MRR desempenha um papel crucial na promoção da coesão </w:t>
            </w:r>
            <w:r>
              <w:rPr>
                <w:b/>
                <w:i/>
              </w:rPr>
              <w:t>social e territorial, combatendo a pobreza, reduzindo o desemprego e fomentando uma recuperação económica inclusiva; observa que conseguir uma taxa de emprego de 78 % na UE até 2030 é uma das grandes metas estabelecidas no Plano de Ação sobre o Pilar Europ</w:t>
            </w:r>
            <w:r>
              <w:rPr>
                <w:b/>
                <w:i/>
              </w:rPr>
              <w:t>eu dos Direitos Sociais; sublinha que, embora esta meta seja alcançável, são necessárias medidas adicionais a todos os níveis para mobilizar os grupos sub</w:t>
            </w:r>
            <w:r>
              <w:rPr>
                <w:b/>
                <w:i/>
              </w:rPr>
              <w:noBreakHyphen/>
            </w:r>
            <w:r>
              <w:rPr>
                <w:b/>
                <w:i/>
              </w:rPr>
              <w:t>representados e atrair mais pessoas para o mercado de trabalho; frisa a necessidade de realizar refor</w:t>
            </w:r>
            <w:r>
              <w:rPr>
                <w:b/>
                <w:i/>
              </w:rPr>
              <w:t>mas e investimentos ambiciosos que se pautem pelos princípios da PEDS, que privilegiem o emprego de elevada qualidade e a inclusão de grupos vulneráveis, que tenham em conta a inadequação das competências e as tecnologias emergentes e reforcem o diálogo so</w:t>
            </w:r>
            <w:r>
              <w:rPr>
                <w:b/>
                <w:i/>
              </w:rPr>
              <w:t>cial, as infraestruturas e os sistemas de proteção social para dar resposta aos desafios imediatos e aumentar a resiliência do mercado de trabalho a longo prazo; assinala que, com base nos dados mais recentes disponíveis, mais de 16,3 milhões de pessoas pa</w:t>
            </w:r>
            <w:r>
              <w:rPr>
                <w:b/>
                <w:i/>
              </w:rPr>
              <w:t>rticiparam em ações de educação ou formação com o apoio do MRR e mais de 2,1 milhões de pessoas encontraram emprego ou participaram em atividades de procura de emprego;</w:t>
            </w:r>
          </w:p>
        </w:tc>
      </w:tr>
    </w:tbl>
    <w:p w:rsidR="00521F00" w:rsidRPr="00781861" w:rsidRDefault="00FE1F10" w:rsidP="00521F00">
      <w:r>
        <w:rPr>
          <w:rStyle w:val="HideTWBExt"/>
        </w:rPr>
        <w:t>&lt;/Amend&gt;</w:t>
      </w:r>
    </w:p>
    <w:p w:rsidR="00521F00" w:rsidRPr="00781861" w:rsidRDefault="00FE1F10" w:rsidP="00521F00">
      <w:pPr>
        <w:pStyle w:val="AMNumberTabs0"/>
        <w:keepNext/>
      </w:pPr>
      <w:r w:rsidRPr="00FE1F10">
        <w:rPr>
          <w:rStyle w:val="HideTWBExt"/>
          <w:b w:val="0"/>
        </w:rPr>
        <w:t>&lt;Amend&gt;</w:t>
      </w:r>
      <w:r>
        <w:t>Alteração</w:t>
      </w:r>
      <w:r>
        <w:tab/>
      </w:r>
      <w:r>
        <w:tab/>
      </w:r>
      <w:r w:rsidRPr="00FE1F10">
        <w:rPr>
          <w:rStyle w:val="HideTWBExt"/>
          <w:b w:val="0"/>
        </w:rPr>
        <w:t>&lt;NumAm&gt;</w:t>
      </w:r>
      <w:r>
        <w:t>27</w:t>
      </w:r>
      <w:r w:rsidRPr="00FE1F10">
        <w:rPr>
          <w:rStyle w:val="HideTWBExt"/>
          <w:b w:val="0"/>
        </w:rPr>
        <w:t>&lt;/NumAm&gt;</w:t>
      </w:r>
    </w:p>
    <w:p w:rsidR="00521F00" w:rsidRPr="00781861" w:rsidRDefault="00521F00" w:rsidP="00521F00"/>
    <w:p w:rsidR="00521F00" w:rsidRPr="00781861" w:rsidRDefault="00FE1F10" w:rsidP="00521F00">
      <w:pPr>
        <w:pStyle w:val="NormalBold"/>
        <w:keepNext/>
      </w:pPr>
      <w:r>
        <w:rPr>
          <w:rStyle w:val="HideTWBExt"/>
          <w:b w:val="0"/>
        </w:rPr>
        <w:t>&lt;DocAmend&gt;</w:t>
      </w:r>
      <w:r>
        <w:t>Proposta de resolução</w:t>
      </w:r>
      <w:r>
        <w:rPr>
          <w:rStyle w:val="HideTWBExt"/>
          <w:b w:val="0"/>
        </w:rPr>
        <w:t>&lt;/DocAmend&gt;</w:t>
      </w:r>
    </w:p>
    <w:p w:rsidR="00521F00" w:rsidRPr="00781861" w:rsidRDefault="00FE1F10" w:rsidP="00521F00">
      <w:pPr>
        <w:pStyle w:val="NormalBold"/>
      </w:pPr>
      <w:r>
        <w:rPr>
          <w:rStyle w:val="HideTWBExt"/>
          <w:b w:val="0"/>
        </w:rPr>
        <w:t>&lt;Article&gt;</w:t>
      </w:r>
      <w:r>
        <w:t>N.º 1</w:t>
      </w:r>
      <w:r>
        <w:noBreakHyphen/>
      </w:r>
      <w:r>
        <w:t>B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2CD8" w:rsidTr="00521F00">
        <w:trPr>
          <w:jc w:val="center"/>
        </w:trPr>
        <w:tc>
          <w:tcPr>
            <w:tcW w:w="9752" w:type="dxa"/>
            <w:gridSpan w:val="2"/>
          </w:tcPr>
          <w:p w:rsidR="00521F00" w:rsidRPr="00781861" w:rsidRDefault="00521F00">
            <w:pPr>
              <w:keepNext/>
            </w:pPr>
          </w:p>
        </w:tc>
      </w:tr>
      <w:tr w:rsidR="007C2CD8" w:rsidTr="00521F00">
        <w:trPr>
          <w:jc w:val="center"/>
        </w:trPr>
        <w:tc>
          <w:tcPr>
            <w:tcW w:w="4876" w:type="dxa"/>
            <w:hideMark/>
          </w:tcPr>
          <w:p w:rsidR="00521F00" w:rsidRPr="00781861" w:rsidRDefault="00FE1F10">
            <w:pPr>
              <w:pStyle w:val="ColumnHeading"/>
              <w:keepNext/>
            </w:pPr>
            <w:r>
              <w:t>Proposta de resolução</w:t>
            </w:r>
          </w:p>
        </w:tc>
        <w:tc>
          <w:tcPr>
            <w:tcW w:w="4876" w:type="dxa"/>
            <w:hideMark/>
          </w:tcPr>
          <w:p w:rsidR="00521F00" w:rsidRPr="00781861" w:rsidRDefault="00FE1F10">
            <w:pPr>
              <w:pStyle w:val="ColumnHeading"/>
              <w:keepNext/>
            </w:pPr>
            <w:r>
              <w:t>Alteração</w:t>
            </w:r>
          </w:p>
        </w:tc>
      </w:tr>
      <w:tr w:rsidR="007C2CD8" w:rsidTr="00521F00">
        <w:trPr>
          <w:jc w:val="center"/>
        </w:trPr>
        <w:tc>
          <w:tcPr>
            <w:tcW w:w="4876" w:type="dxa"/>
          </w:tcPr>
          <w:p w:rsidR="00521F00" w:rsidRPr="00781861" w:rsidRDefault="00521F00">
            <w:pPr>
              <w:pStyle w:val="Normal6"/>
              <w:rPr>
                <w:lang w:val="en-GB"/>
              </w:rPr>
            </w:pPr>
          </w:p>
        </w:tc>
        <w:tc>
          <w:tcPr>
            <w:tcW w:w="4876" w:type="dxa"/>
            <w:hideMark/>
          </w:tcPr>
          <w:p w:rsidR="00521F00" w:rsidRPr="00781861" w:rsidRDefault="00FE1F10" w:rsidP="00F56F50">
            <w:pPr>
              <w:pStyle w:val="Normal6"/>
              <w:rPr>
                <w:szCs w:val="24"/>
              </w:rPr>
            </w:pPr>
            <w:r>
              <w:rPr>
                <w:b/>
                <w:i/>
              </w:rPr>
              <w:t>1</w:t>
            </w:r>
            <w:r>
              <w:rPr>
                <w:b/>
                <w:i/>
              </w:rPr>
              <w:noBreakHyphen/>
            </w:r>
            <w:r>
              <w:rPr>
                <w:b/>
                <w:i/>
              </w:rPr>
              <w:t>B.</w:t>
            </w:r>
            <w:r>
              <w:rPr>
                <w:b/>
                <w:i/>
              </w:rPr>
              <w:tab/>
              <w:t xml:space="preserve">Salienta que os investimentos e as reformas do MRR que visam a próxima geração, em particular na educação e no acesso a serviços públicos de qualidade, são essenciais </w:t>
            </w:r>
            <w:r>
              <w:rPr>
                <w:b/>
                <w:i/>
              </w:rPr>
              <w:t>para a convergência social de longo prazo; reconhece que o investimento no bem</w:t>
            </w:r>
            <w:r>
              <w:rPr>
                <w:b/>
                <w:i/>
              </w:rPr>
              <w:noBreakHyphen/>
            </w:r>
            <w:r>
              <w:rPr>
                <w:b/>
                <w:i/>
              </w:rPr>
              <w:t xml:space="preserve">estar das crianças e na educação de qualidade é essencial para a coesão social e a estabilidade económica; sublinha que as medidas que visam a próxima geração, as crianças e os </w:t>
            </w:r>
            <w:r>
              <w:rPr>
                <w:b/>
                <w:i/>
              </w:rPr>
              <w:t>jovens nos PNRR se centram na educação e acolhimento na primeira infância, na educação e formação, na melhoria das infraestruturas escolares, no apoio a crianças desfavorecidas e no emprego dos jovens; refere, a esse respeito, que os PNRR atribuem cerca de</w:t>
            </w:r>
            <w:r>
              <w:rPr>
                <w:b/>
                <w:i/>
              </w:rPr>
              <w:t xml:space="preserve"> 56,4 mil milhões de EUR a esse pilar e que o relatório anual da Comissão indica que os Estados</w:t>
            </w:r>
            <w:r>
              <w:rPr>
                <w:b/>
                <w:i/>
              </w:rPr>
              <w:noBreakHyphen/>
            </w:r>
            <w:r>
              <w:rPr>
                <w:b/>
                <w:i/>
              </w:rPr>
              <w:t>Membros têm realizado progressos tangíveis, com 259 dos 665 marcos e metas comunicados a serem atingidos pelos Estados</w:t>
            </w:r>
            <w:r>
              <w:rPr>
                <w:b/>
                <w:i/>
              </w:rPr>
              <w:noBreakHyphen/>
            </w:r>
            <w:r>
              <w:rPr>
                <w:b/>
                <w:i/>
              </w:rPr>
              <w:t xml:space="preserve">Membros ou avaliados como cumpridos pela </w:t>
            </w:r>
            <w:r>
              <w:rPr>
                <w:b/>
                <w:i/>
              </w:rPr>
              <w:t>Comissão até 31 de agosto de 2024; regista uma taxa de progresso de 39 %, incluindo 21 % de pedidos de pagamento avaliados, e os dados disponíveis que indicam que mais de 9,4 milhões de jovens com idades compreendidas entre os 15 e os 29 anos receberam apo</w:t>
            </w:r>
            <w:r>
              <w:rPr>
                <w:b/>
                <w:i/>
              </w:rPr>
              <w:t>io através do MRR; insta os Estados</w:t>
            </w:r>
            <w:r>
              <w:rPr>
                <w:b/>
                <w:i/>
              </w:rPr>
              <w:noBreakHyphen/>
            </w:r>
            <w:r>
              <w:rPr>
                <w:b/>
                <w:i/>
              </w:rPr>
              <w:t xml:space="preserve">Membros a intensificarem urgentemente os esforços ao abrigo desse pilar, em consonância com os objetivos da Garantia Europeia para a Infância, a Estratégia Europeia de Prestação de Cuidados, as recomendações do Conselho </w:t>
            </w:r>
            <w:r>
              <w:rPr>
                <w:b/>
                <w:i/>
              </w:rPr>
              <w:t>sobre a educação e acolhimento na primeira infância e o acesso a cuidados continuados de elevada qualidade e a preços acessíveis;</w:t>
            </w:r>
          </w:p>
        </w:tc>
      </w:tr>
    </w:tbl>
    <w:p w:rsidR="00521F00" w:rsidRPr="00781861" w:rsidRDefault="00FE1F10" w:rsidP="00521F00">
      <w:r>
        <w:rPr>
          <w:rStyle w:val="HideTWBExt"/>
        </w:rPr>
        <w:t>&lt;/Amend&gt;</w:t>
      </w:r>
    </w:p>
    <w:p w:rsidR="00521F00" w:rsidRPr="00781861" w:rsidRDefault="00FE1F10" w:rsidP="00521F00">
      <w:pPr>
        <w:pStyle w:val="AMNumberTabs0"/>
        <w:keepNext/>
      </w:pPr>
      <w:r w:rsidRPr="00FE1F10">
        <w:rPr>
          <w:rStyle w:val="HideTWBExt"/>
          <w:b w:val="0"/>
        </w:rPr>
        <w:t>&lt;Amend&gt;</w:t>
      </w:r>
      <w:r>
        <w:t>Alteração</w:t>
      </w:r>
      <w:r>
        <w:tab/>
      </w:r>
      <w:r>
        <w:tab/>
      </w:r>
      <w:r w:rsidRPr="00FE1F10">
        <w:rPr>
          <w:rStyle w:val="HideTWBExt"/>
          <w:b w:val="0"/>
        </w:rPr>
        <w:t>&lt;NumAm&gt;</w:t>
      </w:r>
      <w:r>
        <w:t>28</w:t>
      </w:r>
      <w:r w:rsidRPr="00FE1F10">
        <w:rPr>
          <w:rStyle w:val="HideTWBExt"/>
          <w:b w:val="0"/>
        </w:rPr>
        <w:t>&lt;/NumAm&gt;</w:t>
      </w:r>
    </w:p>
    <w:p w:rsidR="00521F00" w:rsidRPr="00781861" w:rsidRDefault="00521F00" w:rsidP="00521F00"/>
    <w:p w:rsidR="00521F00" w:rsidRPr="00781861" w:rsidRDefault="00FE1F10" w:rsidP="00521F00">
      <w:pPr>
        <w:pStyle w:val="NormalBold"/>
        <w:keepNext/>
      </w:pPr>
      <w:r>
        <w:rPr>
          <w:rStyle w:val="HideTWBExt"/>
          <w:b w:val="0"/>
        </w:rPr>
        <w:t>&lt;DocAmend&gt;</w:t>
      </w:r>
      <w:r>
        <w:t>Proposta de resolução</w:t>
      </w:r>
      <w:r>
        <w:rPr>
          <w:rStyle w:val="HideTWBExt"/>
          <w:b w:val="0"/>
        </w:rPr>
        <w:t>&lt;/DocAmend&gt;</w:t>
      </w:r>
    </w:p>
    <w:p w:rsidR="00521F00" w:rsidRPr="00781861" w:rsidRDefault="00FE1F10" w:rsidP="00521F00">
      <w:pPr>
        <w:pStyle w:val="NormalBold"/>
      </w:pPr>
      <w:r>
        <w:rPr>
          <w:rStyle w:val="HideTWBExt"/>
          <w:b w:val="0"/>
        </w:rPr>
        <w:t>&lt;Article&gt;</w:t>
      </w:r>
      <w:r>
        <w:t>N.º 1</w:t>
      </w:r>
      <w:r>
        <w:noBreakHyphen/>
      </w:r>
      <w:r>
        <w:t>C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2CD8" w:rsidTr="00521F00">
        <w:trPr>
          <w:jc w:val="center"/>
        </w:trPr>
        <w:tc>
          <w:tcPr>
            <w:tcW w:w="9752" w:type="dxa"/>
            <w:gridSpan w:val="2"/>
          </w:tcPr>
          <w:p w:rsidR="00521F00" w:rsidRPr="00781861" w:rsidRDefault="00521F00">
            <w:pPr>
              <w:keepNext/>
            </w:pPr>
          </w:p>
        </w:tc>
      </w:tr>
      <w:tr w:rsidR="007C2CD8" w:rsidTr="00521F00">
        <w:trPr>
          <w:jc w:val="center"/>
        </w:trPr>
        <w:tc>
          <w:tcPr>
            <w:tcW w:w="4876" w:type="dxa"/>
            <w:hideMark/>
          </w:tcPr>
          <w:p w:rsidR="00521F00" w:rsidRPr="00781861" w:rsidRDefault="00FE1F10">
            <w:pPr>
              <w:pStyle w:val="ColumnHeading"/>
              <w:keepNext/>
            </w:pPr>
            <w:r>
              <w:t>Proposta de resolução</w:t>
            </w:r>
          </w:p>
        </w:tc>
        <w:tc>
          <w:tcPr>
            <w:tcW w:w="4876" w:type="dxa"/>
            <w:hideMark/>
          </w:tcPr>
          <w:p w:rsidR="00521F00" w:rsidRPr="00781861" w:rsidRDefault="00FE1F10">
            <w:pPr>
              <w:pStyle w:val="ColumnHeading"/>
              <w:keepNext/>
            </w:pPr>
            <w:r>
              <w:t>Alteração</w:t>
            </w:r>
          </w:p>
        </w:tc>
      </w:tr>
      <w:tr w:rsidR="007C2CD8" w:rsidTr="00521F00">
        <w:trPr>
          <w:jc w:val="center"/>
        </w:trPr>
        <w:tc>
          <w:tcPr>
            <w:tcW w:w="4876" w:type="dxa"/>
          </w:tcPr>
          <w:p w:rsidR="00521F00" w:rsidRPr="00781861" w:rsidRDefault="00521F00">
            <w:pPr>
              <w:pStyle w:val="Normal6"/>
              <w:rPr>
                <w:lang w:val="en-GB"/>
              </w:rPr>
            </w:pPr>
          </w:p>
        </w:tc>
        <w:tc>
          <w:tcPr>
            <w:tcW w:w="4876" w:type="dxa"/>
            <w:hideMark/>
          </w:tcPr>
          <w:p w:rsidR="00521F00" w:rsidRPr="00781861" w:rsidRDefault="00FE1F10" w:rsidP="008F0ED2">
            <w:pPr>
              <w:pStyle w:val="Normal6"/>
              <w:rPr>
                <w:szCs w:val="24"/>
              </w:rPr>
            </w:pPr>
            <w:r>
              <w:rPr>
                <w:b/>
                <w:i/>
              </w:rPr>
              <w:t>1</w:t>
            </w:r>
            <w:r>
              <w:rPr>
                <w:b/>
                <w:i/>
              </w:rPr>
              <w:noBreakHyphen/>
            </w:r>
            <w:r>
              <w:rPr>
                <w:b/>
                <w:i/>
              </w:rPr>
              <w:t>C.</w:t>
            </w:r>
            <w:r>
              <w:rPr>
                <w:b/>
                <w:i/>
              </w:rPr>
              <w:tab/>
              <w:t>Sublinha que, juntamente com os fundos da política de coesão, a execução das reformas e dos investimentos nos PRR dos Estados</w:t>
            </w:r>
            <w:r>
              <w:rPr>
                <w:b/>
                <w:i/>
              </w:rPr>
              <w:noBreakHyphen/>
            </w:r>
            <w:r>
              <w:rPr>
                <w:b/>
                <w:i/>
              </w:rPr>
              <w:t xml:space="preserve">Membros apoia um crescimento justo, inclusivo e sustentável, aumentando assim a criação de </w:t>
            </w:r>
            <w:r>
              <w:rPr>
                <w:b/>
                <w:i/>
              </w:rPr>
              <w:t>emprego e promovendo a estabilidade financeira e os investimentos; realça que, além do apoio prestado pelo Fundo Social Europeu Mais, pelo Fundo Europeu de Desenvolvimento Regional, pelo Fundo para uma Transição Justa e pelo Instrumento de Assistência Técn</w:t>
            </w:r>
            <w:r>
              <w:rPr>
                <w:b/>
                <w:i/>
              </w:rPr>
              <w:t>ica, o MRR promove a coesão económica, social e territorial da União, melhorando a competitividade, a resiliência, a preparação para situações de crise, a capacidade de ajustamento e o potencial de crescimento dos Estados</w:t>
            </w:r>
            <w:r>
              <w:rPr>
                <w:b/>
                <w:i/>
              </w:rPr>
              <w:noBreakHyphen/>
            </w:r>
            <w:r>
              <w:rPr>
                <w:b/>
                <w:i/>
              </w:rPr>
              <w:t xml:space="preserve">Membros e promovendo a criação de </w:t>
            </w:r>
            <w:r>
              <w:rPr>
                <w:b/>
                <w:i/>
              </w:rPr>
              <w:t>emprego de elevada qualidade através de reformas e investimentos pertinentes; observa que os Estados</w:t>
            </w:r>
            <w:r>
              <w:rPr>
                <w:b/>
                <w:i/>
              </w:rPr>
              <w:noBreakHyphen/>
            </w:r>
            <w:r>
              <w:rPr>
                <w:b/>
                <w:i/>
              </w:rPr>
              <w:t xml:space="preserve">Membros incluíram inúmeras medidas nos seus PNRR para apoiar a coesão social e territorial, como as dedicadas ao acesso ao mercado de trabalho, à proteção </w:t>
            </w:r>
            <w:r>
              <w:rPr>
                <w:b/>
                <w:i/>
              </w:rPr>
              <w:t>e inclusão sociais e às infraestruturas e serviços territoriais; refere que os 27 PNRR atribuíram cerca de 261,2 mil milhões de EUR a esse pilar, com 1 064 dos 2 888 marcos e metas comunicados a serem atingidos pelos Estados</w:t>
            </w:r>
            <w:r>
              <w:rPr>
                <w:b/>
                <w:i/>
              </w:rPr>
              <w:noBreakHyphen/>
            </w:r>
            <w:r>
              <w:rPr>
                <w:b/>
                <w:i/>
              </w:rPr>
              <w:t>Membros ou avaliados como cumpr</w:t>
            </w:r>
            <w:r>
              <w:rPr>
                <w:b/>
                <w:i/>
              </w:rPr>
              <w:t>idos pela Comissão até 31 de agosto de 2024</w:t>
            </w:r>
            <w:r>
              <w:rPr>
                <w:b/>
                <w:i/>
                <w:vertAlign w:val="superscript"/>
              </w:rPr>
              <w:t>1</w:t>
            </w:r>
            <w:r>
              <w:rPr>
                <w:b/>
                <w:i/>
                <w:vertAlign w:val="superscript"/>
              </w:rPr>
              <w:noBreakHyphen/>
            </w:r>
            <w:r>
              <w:rPr>
                <w:b/>
                <w:i/>
                <w:vertAlign w:val="superscript"/>
              </w:rPr>
              <w:t>A</w:t>
            </w:r>
            <w:r>
              <w:rPr>
                <w:b/>
                <w:i/>
              </w:rPr>
              <w:t>; salienta que tal representa uma taxa de progresso de 37 %, incluindo 20 % de pedidos de pagamento avaliados;</w:t>
            </w:r>
          </w:p>
        </w:tc>
      </w:tr>
      <w:tr w:rsidR="007C2CD8" w:rsidTr="00521F00">
        <w:trPr>
          <w:jc w:val="center"/>
        </w:trPr>
        <w:tc>
          <w:tcPr>
            <w:tcW w:w="4876" w:type="dxa"/>
          </w:tcPr>
          <w:p w:rsidR="00521F00" w:rsidRPr="00FE1F10" w:rsidRDefault="00521F00">
            <w:pPr>
              <w:pStyle w:val="Normal6"/>
            </w:pPr>
          </w:p>
        </w:tc>
        <w:tc>
          <w:tcPr>
            <w:tcW w:w="4876" w:type="dxa"/>
            <w:hideMark/>
          </w:tcPr>
          <w:p w:rsidR="00521F00" w:rsidRPr="00781861" w:rsidRDefault="00FE1F10">
            <w:pPr>
              <w:pStyle w:val="Normal6"/>
              <w:rPr>
                <w:szCs w:val="24"/>
              </w:rPr>
            </w:pPr>
            <w:r>
              <w:rPr>
                <w:b/>
                <w:i/>
              </w:rPr>
              <w:t>__________________</w:t>
            </w:r>
          </w:p>
        </w:tc>
      </w:tr>
      <w:tr w:rsidR="007C2CD8" w:rsidRPr="00FE1F10" w:rsidTr="00521F00">
        <w:trPr>
          <w:jc w:val="center"/>
        </w:trPr>
        <w:tc>
          <w:tcPr>
            <w:tcW w:w="4876" w:type="dxa"/>
          </w:tcPr>
          <w:p w:rsidR="00521F00" w:rsidRPr="00781861" w:rsidRDefault="00521F00">
            <w:pPr>
              <w:pStyle w:val="Normal6"/>
              <w:rPr>
                <w:lang w:val="en-GB"/>
              </w:rPr>
            </w:pPr>
          </w:p>
        </w:tc>
        <w:tc>
          <w:tcPr>
            <w:tcW w:w="4876" w:type="dxa"/>
            <w:hideMark/>
          </w:tcPr>
          <w:p w:rsidR="00521F00" w:rsidRPr="00FE1F10" w:rsidRDefault="00FE1F10" w:rsidP="00F56F50">
            <w:pPr>
              <w:pStyle w:val="Normal6"/>
              <w:rPr>
                <w:b/>
                <w:i/>
                <w:lang w:val="en-GB"/>
              </w:rPr>
            </w:pPr>
            <w:r w:rsidRPr="00FE1F10">
              <w:rPr>
                <w:b/>
                <w:i/>
                <w:vertAlign w:val="superscript"/>
                <w:lang w:val="en-GB"/>
              </w:rPr>
              <w:t>1</w:t>
            </w:r>
            <w:r>
              <w:rPr>
                <w:b/>
                <w:i/>
                <w:vertAlign w:val="superscript"/>
                <w:lang w:val="en-GB"/>
              </w:rPr>
              <w:noBreakHyphen/>
            </w:r>
            <w:r w:rsidRPr="00FE1F10">
              <w:rPr>
                <w:b/>
                <w:i/>
                <w:vertAlign w:val="superscript"/>
                <w:lang w:val="en-GB"/>
              </w:rPr>
              <w:t>A</w:t>
            </w:r>
            <w:r w:rsidRPr="00FE1F10">
              <w:rPr>
                <w:lang w:val="en-GB"/>
              </w:rPr>
              <w:t xml:space="preserve"> </w:t>
            </w:r>
            <w:r w:rsidRPr="00FE1F10">
              <w:rPr>
                <w:b/>
                <w:i/>
                <w:lang w:val="en-GB"/>
              </w:rPr>
              <w:t>Serviço de Estudos do Parlamento Europeu, «Recovery and Resilience Facil</w:t>
            </w:r>
            <w:r w:rsidRPr="00FE1F10">
              <w:rPr>
                <w:b/>
                <w:i/>
                <w:lang w:val="en-GB"/>
              </w:rPr>
              <w:t xml:space="preserve">ity: State of play and way forward», fevereiro de 2025, </w:t>
            </w:r>
            <w:hyperlink r:id="rId13" w:history="1">
              <w:r w:rsidRPr="00FE1F10">
                <w:rPr>
                  <w:rStyle w:val="Hyperlink"/>
                  <w:b/>
                  <w:i/>
                  <w:color w:val="auto"/>
                  <w:lang w:val="en-GB"/>
                </w:rPr>
                <w:t>https://www.europarl.europa.eu/RegData/etudes/IDAN/2025/765765/EPRS_IDA(2025)765765_EN.pdf</w:t>
              </w:r>
            </w:hyperlink>
            <w:r w:rsidRPr="00FE1F10">
              <w:rPr>
                <w:b/>
                <w:i/>
                <w:lang w:val="en-GB"/>
              </w:rPr>
              <w:t xml:space="preserve">. </w:t>
            </w:r>
          </w:p>
        </w:tc>
      </w:tr>
    </w:tbl>
    <w:p w:rsidR="00521F00" w:rsidRPr="00FE1F10" w:rsidRDefault="00FE1F10" w:rsidP="00521F00">
      <w:pPr>
        <w:rPr>
          <w:lang w:val="en-GB"/>
        </w:rPr>
      </w:pPr>
      <w:r w:rsidRPr="00FE1F10">
        <w:rPr>
          <w:rStyle w:val="HideTWBExt"/>
          <w:lang w:val="en-GB"/>
        </w:rPr>
        <w:t>&lt;/Amend&gt;</w:t>
      </w:r>
    </w:p>
    <w:p w:rsidR="00EA4087" w:rsidRPr="00781861" w:rsidRDefault="00FE1F10" w:rsidP="00EA4087">
      <w:pPr>
        <w:pStyle w:val="AMNumberTabs0"/>
        <w:keepNext/>
      </w:pPr>
      <w:r w:rsidRPr="00FE1F10">
        <w:rPr>
          <w:rStyle w:val="HideTWBExt"/>
          <w:b w:val="0"/>
        </w:rPr>
        <w:t>&lt;Amend&gt;</w:t>
      </w:r>
      <w:r>
        <w:t>Alteração</w:t>
      </w:r>
      <w:r>
        <w:tab/>
      </w:r>
      <w:r>
        <w:tab/>
      </w:r>
      <w:r w:rsidRPr="00FE1F10">
        <w:rPr>
          <w:rStyle w:val="HideTWBExt"/>
          <w:b w:val="0"/>
        </w:rPr>
        <w:t>&lt;NumAm&gt;</w:t>
      </w:r>
      <w:r>
        <w:t>29</w:t>
      </w:r>
      <w:r w:rsidRPr="00FE1F10">
        <w:rPr>
          <w:rStyle w:val="HideTWBExt"/>
          <w:b w:val="0"/>
        </w:rPr>
        <w:t>&lt;/NumAm&gt;</w:t>
      </w:r>
    </w:p>
    <w:p w:rsidR="00EA4087" w:rsidRPr="00781861" w:rsidRDefault="00FE1F10" w:rsidP="00EA4087">
      <w:pPr>
        <w:pStyle w:val="NormalBold12b"/>
        <w:keepNext/>
      </w:pPr>
      <w:r>
        <w:rPr>
          <w:rStyle w:val="HideTWBExt"/>
          <w:b w:val="0"/>
        </w:rPr>
        <w:t>&lt;DocAmend&gt;</w:t>
      </w:r>
      <w:r>
        <w:t>Proposta de resolução</w:t>
      </w:r>
      <w:r>
        <w:rPr>
          <w:rStyle w:val="HideTWBExt"/>
          <w:b w:val="0"/>
        </w:rPr>
        <w:t>&lt;/DocAmend&gt;</w:t>
      </w:r>
    </w:p>
    <w:p w:rsidR="00EA4087" w:rsidRPr="00781861" w:rsidRDefault="00FE1F10" w:rsidP="00EA4087">
      <w:pPr>
        <w:pStyle w:val="NormalBold"/>
      </w:pPr>
      <w:r>
        <w:rPr>
          <w:rStyle w:val="HideTWBExt"/>
          <w:b w:val="0"/>
        </w:rPr>
        <w:t>&lt;Article&gt;</w:t>
      </w:r>
      <w:r>
        <w:t>N.º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2CD8" w:rsidTr="00EA4087">
        <w:trPr>
          <w:jc w:val="center"/>
        </w:trPr>
        <w:tc>
          <w:tcPr>
            <w:tcW w:w="9752" w:type="dxa"/>
            <w:gridSpan w:val="2"/>
          </w:tcPr>
          <w:p w:rsidR="00EA4087" w:rsidRPr="00781861" w:rsidRDefault="00EA4087">
            <w:pPr>
              <w:keepNext/>
            </w:pPr>
          </w:p>
        </w:tc>
      </w:tr>
      <w:tr w:rsidR="007C2CD8" w:rsidTr="00EA4087">
        <w:trPr>
          <w:jc w:val="center"/>
        </w:trPr>
        <w:tc>
          <w:tcPr>
            <w:tcW w:w="4876" w:type="dxa"/>
            <w:hideMark/>
          </w:tcPr>
          <w:p w:rsidR="00EA4087" w:rsidRPr="00781861" w:rsidRDefault="00FE1F10">
            <w:pPr>
              <w:pStyle w:val="ColumnHeading"/>
              <w:keepNext/>
            </w:pPr>
            <w:r>
              <w:t>Proposta de resolução</w:t>
            </w:r>
          </w:p>
        </w:tc>
        <w:tc>
          <w:tcPr>
            <w:tcW w:w="4876" w:type="dxa"/>
            <w:hideMark/>
          </w:tcPr>
          <w:p w:rsidR="00EA4087" w:rsidRPr="00781861" w:rsidRDefault="00FE1F10">
            <w:pPr>
              <w:pStyle w:val="ColumnHeading"/>
              <w:keepNext/>
            </w:pPr>
            <w:r>
              <w:t>Alteração</w:t>
            </w:r>
          </w:p>
        </w:tc>
      </w:tr>
      <w:tr w:rsidR="007C2CD8" w:rsidTr="00EA4087">
        <w:trPr>
          <w:jc w:val="center"/>
        </w:trPr>
        <w:tc>
          <w:tcPr>
            <w:tcW w:w="4876" w:type="dxa"/>
            <w:hideMark/>
          </w:tcPr>
          <w:p w:rsidR="00EA4087" w:rsidRPr="00781861" w:rsidRDefault="00FE1F10">
            <w:pPr>
              <w:pStyle w:val="Normal6"/>
            </w:pPr>
            <w:r>
              <w:t>2.</w:t>
            </w:r>
            <w:r>
              <w:tab/>
              <w:t>Regozija</w:t>
            </w:r>
            <w:r>
              <w:noBreakHyphen/>
            </w:r>
            <w:r>
              <w:t xml:space="preserve">se com o facto de o MRR ter proporcionado uma margem de manobra orçamental adicional, a título </w:t>
            </w:r>
            <w:r>
              <w:t>temporário, desde a pandemia, e ter contribuído para a prevenção de divergências entre os Estados</w:t>
            </w:r>
            <w:r>
              <w:noBreakHyphen/>
            </w:r>
            <w:r>
              <w:t>Membros</w:t>
            </w:r>
            <w:r>
              <w:rPr>
                <w:b/>
                <w:i/>
              </w:rPr>
              <w:t xml:space="preserve"> com diferentes folgas orçamentais</w:t>
            </w:r>
            <w:r>
              <w:t xml:space="preserve">; regista a conclusão da Comissão de que o MRR propiciou um aumento sustentado dos investimentos em toda a UE, e que </w:t>
            </w:r>
            <w:r>
              <w:t>a Comissão espera que o MRR tenha efeitos duradouros em toda a UE após 2026, graças às suas sinergias com outros fundos da UE;</w:t>
            </w:r>
          </w:p>
        </w:tc>
        <w:tc>
          <w:tcPr>
            <w:tcW w:w="4876" w:type="dxa"/>
            <w:hideMark/>
          </w:tcPr>
          <w:p w:rsidR="00EA4087" w:rsidRPr="00781861" w:rsidRDefault="00FE1F10">
            <w:pPr>
              <w:pStyle w:val="Normal6"/>
              <w:rPr>
                <w:szCs w:val="24"/>
              </w:rPr>
            </w:pPr>
            <w:r>
              <w:t>2.</w:t>
            </w:r>
            <w:r>
              <w:tab/>
              <w:t>Regozija</w:t>
            </w:r>
            <w:r>
              <w:noBreakHyphen/>
            </w:r>
            <w:r>
              <w:t>se com o facto de o MRR ter proporcionado uma margem de manobra orçamental adicional</w:t>
            </w:r>
            <w:r>
              <w:rPr>
                <w:b/>
                <w:i/>
              </w:rPr>
              <w:t xml:space="preserve"> e estabilizadora</w:t>
            </w:r>
            <w:r>
              <w:t>, a título tempo</w:t>
            </w:r>
            <w:r>
              <w:t>rário, desde a pandemia, e ter contribuído para a prevenção de divergências entre os Estados</w:t>
            </w:r>
            <w:r>
              <w:noBreakHyphen/>
            </w:r>
            <w:r>
              <w:t>Membros</w:t>
            </w:r>
            <w:r>
              <w:rPr>
                <w:b/>
                <w:i/>
              </w:rPr>
              <w:t>, ao prestar</w:t>
            </w:r>
            <w:r>
              <w:rPr>
                <w:b/>
                <w:i/>
              </w:rPr>
              <w:noBreakHyphen/>
            </w:r>
            <w:r>
              <w:rPr>
                <w:b/>
                <w:i/>
              </w:rPr>
              <w:t>lhes direta e rapidamente apoio</w:t>
            </w:r>
            <w:r>
              <w:t>; regista a conclusão da Comissão de que o MRR propiciou um aumento sustentado dos investimentos em toda a UE, e</w:t>
            </w:r>
            <w:r>
              <w:t xml:space="preserve"> que a Comissão espera que o MRR tenha efeitos duradouros em toda a UE após 2026, graças às suas sinergias com outros fundos da UE; </w:t>
            </w:r>
            <w:r>
              <w:rPr>
                <w:b/>
                <w:i/>
              </w:rPr>
              <w:t xml:space="preserve">Frisa, porém, que há que dar mais prioridade aos investimentos sociais para garantir efeitos duradouros, particularmente no </w:t>
            </w:r>
            <w:r>
              <w:rPr>
                <w:b/>
                <w:i/>
              </w:rPr>
              <w:t>que respeita à habitação, à pobreza energética, à inclusão digital, ao bom funcionamento dos mercados de trabalho e ao acesso equitativo a serviços públicos de elevada qualidade para todos;</w:t>
            </w:r>
          </w:p>
        </w:tc>
      </w:tr>
    </w:tbl>
    <w:p w:rsidR="00EA4087" w:rsidRPr="00781861" w:rsidRDefault="00FE1F10" w:rsidP="00EA4087">
      <w:pPr>
        <w:rPr>
          <w:szCs w:val="24"/>
        </w:rPr>
      </w:pPr>
      <w:r>
        <w:rPr>
          <w:rStyle w:val="HideTWBExt"/>
        </w:rPr>
        <w:t>&lt;/Amend&gt;</w:t>
      </w:r>
    </w:p>
    <w:p w:rsidR="00D1163C" w:rsidRPr="00781861" w:rsidRDefault="00FE1F10" w:rsidP="00D1163C">
      <w:pPr>
        <w:pStyle w:val="AMNumberTabs0"/>
        <w:keepNext/>
      </w:pPr>
      <w:r w:rsidRPr="00FE1F10">
        <w:rPr>
          <w:rStyle w:val="HideTWBExt"/>
          <w:b w:val="0"/>
        </w:rPr>
        <w:t>&lt;Amend&gt;</w:t>
      </w:r>
      <w:r>
        <w:t>Alteração</w:t>
      </w:r>
      <w:r>
        <w:tab/>
      </w:r>
      <w:r>
        <w:tab/>
      </w:r>
      <w:r w:rsidRPr="00FE1F10">
        <w:rPr>
          <w:rStyle w:val="HideTWBExt"/>
          <w:b w:val="0"/>
        </w:rPr>
        <w:t>&lt;NumAm&gt;</w:t>
      </w:r>
      <w:r>
        <w:t>30</w:t>
      </w:r>
      <w:r w:rsidRPr="00FE1F10">
        <w:rPr>
          <w:rStyle w:val="HideTWBExt"/>
          <w:b w:val="0"/>
        </w:rPr>
        <w:t>&lt;/NumAm&gt;</w:t>
      </w:r>
    </w:p>
    <w:p w:rsidR="00D1163C" w:rsidRPr="00781861" w:rsidRDefault="00D1163C" w:rsidP="00D1163C"/>
    <w:p w:rsidR="00D1163C" w:rsidRPr="00781861" w:rsidRDefault="00FE1F10" w:rsidP="00D1163C">
      <w:pPr>
        <w:pStyle w:val="NormalBold"/>
        <w:keepNext/>
      </w:pPr>
      <w:r>
        <w:rPr>
          <w:rStyle w:val="HideTWBExt"/>
          <w:b w:val="0"/>
        </w:rPr>
        <w:t>&lt;DocAmend&gt;</w:t>
      </w:r>
      <w:r>
        <w:t xml:space="preserve">Proposta </w:t>
      </w:r>
      <w:r>
        <w:t>de resolução</w:t>
      </w:r>
      <w:r>
        <w:rPr>
          <w:rStyle w:val="HideTWBExt"/>
          <w:b w:val="0"/>
        </w:rPr>
        <w:t>&lt;/DocAmend&gt;</w:t>
      </w:r>
    </w:p>
    <w:p w:rsidR="00D1163C" w:rsidRPr="00781861" w:rsidRDefault="00FE1F10" w:rsidP="00D1163C">
      <w:pPr>
        <w:pStyle w:val="NormalBold"/>
      </w:pPr>
      <w:r>
        <w:rPr>
          <w:rStyle w:val="HideTWBExt"/>
          <w:b w:val="0"/>
        </w:rPr>
        <w:t>&lt;Article&gt;</w:t>
      </w:r>
      <w:r>
        <w:t>N.º 2</w:t>
      </w:r>
      <w:r>
        <w:noBreakHyphen/>
      </w:r>
      <w:r>
        <w:t>A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2CD8" w:rsidTr="00D1163C">
        <w:trPr>
          <w:jc w:val="center"/>
        </w:trPr>
        <w:tc>
          <w:tcPr>
            <w:tcW w:w="9752" w:type="dxa"/>
            <w:gridSpan w:val="2"/>
          </w:tcPr>
          <w:p w:rsidR="00D1163C" w:rsidRPr="00781861" w:rsidRDefault="00D1163C">
            <w:pPr>
              <w:keepNext/>
            </w:pPr>
          </w:p>
        </w:tc>
      </w:tr>
      <w:tr w:rsidR="007C2CD8" w:rsidTr="00D1163C">
        <w:trPr>
          <w:jc w:val="center"/>
        </w:trPr>
        <w:tc>
          <w:tcPr>
            <w:tcW w:w="4876" w:type="dxa"/>
            <w:hideMark/>
          </w:tcPr>
          <w:p w:rsidR="00D1163C" w:rsidRPr="00781861" w:rsidRDefault="00FE1F10">
            <w:pPr>
              <w:pStyle w:val="ColumnHeading"/>
              <w:keepNext/>
            </w:pPr>
            <w:r>
              <w:t>Proposta de resolução</w:t>
            </w:r>
          </w:p>
        </w:tc>
        <w:tc>
          <w:tcPr>
            <w:tcW w:w="4876" w:type="dxa"/>
            <w:hideMark/>
          </w:tcPr>
          <w:p w:rsidR="00D1163C" w:rsidRPr="00781861" w:rsidRDefault="00FE1F10">
            <w:pPr>
              <w:pStyle w:val="ColumnHeading"/>
              <w:keepNext/>
            </w:pPr>
            <w:r>
              <w:t>Alteração</w:t>
            </w:r>
          </w:p>
        </w:tc>
      </w:tr>
      <w:tr w:rsidR="007C2CD8" w:rsidTr="00D1163C">
        <w:trPr>
          <w:jc w:val="center"/>
        </w:trPr>
        <w:tc>
          <w:tcPr>
            <w:tcW w:w="4876" w:type="dxa"/>
          </w:tcPr>
          <w:p w:rsidR="00D1163C" w:rsidRPr="00781861" w:rsidRDefault="00D1163C">
            <w:pPr>
              <w:pStyle w:val="Normal6"/>
              <w:rPr>
                <w:lang w:val="en-GB"/>
              </w:rPr>
            </w:pPr>
          </w:p>
        </w:tc>
        <w:tc>
          <w:tcPr>
            <w:tcW w:w="4876" w:type="dxa"/>
            <w:hideMark/>
          </w:tcPr>
          <w:p w:rsidR="00D1163C" w:rsidRPr="00781861" w:rsidRDefault="00FE1F10" w:rsidP="00BD5A4A">
            <w:pPr>
              <w:pStyle w:val="Normal6"/>
              <w:rPr>
                <w:szCs w:val="24"/>
              </w:rPr>
            </w:pPr>
            <w:r>
              <w:rPr>
                <w:b/>
                <w:i/>
              </w:rPr>
              <w:t>2</w:t>
            </w:r>
            <w:r>
              <w:rPr>
                <w:b/>
                <w:i/>
              </w:rPr>
              <w:noBreakHyphen/>
            </w:r>
            <w:r>
              <w:rPr>
                <w:b/>
                <w:i/>
              </w:rPr>
              <w:t>A.</w:t>
            </w:r>
            <w:r>
              <w:rPr>
                <w:b/>
                <w:i/>
              </w:rPr>
              <w:tab/>
              <w:t>Observa que o Regulamento MRR, a par do Semestre Europeu, que constitui o quadro de definição das prioridades nacionais em matéria de reformas, está intimame</w:t>
            </w:r>
            <w:r>
              <w:rPr>
                <w:b/>
                <w:i/>
              </w:rPr>
              <w:t xml:space="preserve">nte relacionado com os princípios do Pilar Europeu dos Direitos Sociais; salienta que as medidas previstas nos PRR destinadas a promover as políticas sociais não respondem de forma idêntica a todos os princípios do PEDS, sendo alguns princípios abrangidos </w:t>
            </w:r>
            <w:r>
              <w:rPr>
                <w:b/>
                <w:i/>
              </w:rPr>
              <w:t>apenas de forma marginal ou de uma forma que não corresponde totalmente ao seu conteúdo; insta a Comissão a avaliar o impacto dos PRR nos progressos realizados na concretização das metas do PEDS e a proceder a uma análise desagregada da forma como cada pri</w:t>
            </w:r>
            <w:r>
              <w:rPr>
                <w:b/>
                <w:i/>
              </w:rPr>
              <w:t>ncípio foi acautelado pelas medidas incluídas nos PRR;</w:t>
            </w:r>
          </w:p>
        </w:tc>
      </w:tr>
    </w:tbl>
    <w:p w:rsidR="00D1163C" w:rsidRPr="00781861" w:rsidRDefault="00FE1F10" w:rsidP="00D1163C">
      <w:r>
        <w:rPr>
          <w:rStyle w:val="HideTWBExt"/>
        </w:rPr>
        <w:t>&lt;/Amend&gt;</w:t>
      </w:r>
    </w:p>
    <w:p w:rsidR="00EA4087" w:rsidRPr="00781861" w:rsidRDefault="00FE1F10" w:rsidP="00EA4087">
      <w:pPr>
        <w:pStyle w:val="AMNumberTabs0"/>
        <w:keepNext/>
      </w:pPr>
      <w:r w:rsidRPr="00FE1F10">
        <w:rPr>
          <w:rStyle w:val="HideTWBExt"/>
          <w:b w:val="0"/>
        </w:rPr>
        <w:t>&lt;Amend&gt;</w:t>
      </w:r>
      <w:r>
        <w:t>Alteração</w:t>
      </w:r>
      <w:r>
        <w:tab/>
      </w:r>
      <w:r>
        <w:tab/>
      </w:r>
      <w:r w:rsidRPr="00FE1F10">
        <w:rPr>
          <w:rStyle w:val="HideTWBExt"/>
          <w:b w:val="0"/>
        </w:rPr>
        <w:t>&lt;NumAm&gt;</w:t>
      </w:r>
      <w:r>
        <w:t>31</w:t>
      </w:r>
      <w:r w:rsidRPr="00FE1F10">
        <w:rPr>
          <w:rStyle w:val="HideTWBExt"/>
          <w:b w:val="0"/>
        </w:rPr>
        <w:t>&lt;/NumAm&gt;</w:t>
      </w:r>
    </w:p>
    <w:p w:rsidR="00EA4087" w:rsidRPr="00781861" w:rsidRDefault="00FE1F10" w:rsidP="00EA4087">
      <w:pPr>
        <w:pStyle w:val="NormalBold12b"/>
        <w:keepNext/>
      </w:pPr>
      <w:r>
        <w:rPr>
          <w:rStyle w:val="HideTWBExt"/>
          <w:b w:val="0"/>
        </w:rPr>
        <w:t>&lt;DocAmend&gt;</w:t>
      </w:r>
      <w:r>
        <w:t>Proposta de resolução</w:t>
      </w:r>
      <w:r>
        <w:rPr>
          <w:rStyle w:val="HideTWBExt"/>
          <w:b w:val="0"/>
        </w:rPr>
        <w:t>&lt;/DocAmend&gt;</w:t>
      </w:r>
    </w:p>
    <w:p w:rsidR="00EA4087" w:rsidRPr="00781861" w:rsidRDefault="00FE1F10" w:rsidP="00EA4087">
      <w:pPr>
        <w:pStyle w:val="NormalBold"/>
      </w:pPr>
      <w:r>
        <w:rPr>
          <w:rStyle w:val="HideTWBExt"/>
          <w:b w:val="0"/>
        </w:rPr>
        <w:t>&lt;Article&gt;</w:t>
      </w:r>
      <w:r>
        <w:t>N.º 2</w:t>
      </w:r>
      <w:r>
        <w:noBreakHyphen/>
      </w:r>
      <w:r>
        <w:t>B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2CD8" w:rsidTr="00EA4087">
        <w:trPr>
          <w:jc w:val="center"/>
        </w:trPr>
        <w:tc>
          <w:tcPr>
            <w:tcW w:w="9752" w:type="dxa"/>
            <w:gridSpan w:val="2"/>
          </w:tcPr>
          <w:p w:rsidR="00EA4087" w:rsidRPr="00781861" w:rsidRDefault="00EA4087">
            <w:pPr>
              <w:keepNext/>
            </w:pPr>
          </w:p>
        </w:tc>
      </w:tr>
      <w:tr w:rsidR="007C2CD8" w:rsidTr="00EA4087">
        <w:trPr>
          <w:jc w:val="center"/>
        </w:trPr>
        <w:tc>
          <w:tcPr>
            <w:tcW w:w="4876" w:type="dxa"/>
            <w:hideMark/>
          </w:tcPr>
          <w:p w:rsidR="00EA4087" w:rsidRPr="00781861" w:rsidRDefault="00FE1F10">
            <w:pPr>
              <w:pStyle w:val="ColumnHeading"/>
              <w:keepNext/>
            </w:pPr>
            <w:r>
              <w:t>Proposta de resolução</w:t>
            </w:r>
          </w:p>
        </w:tc>
        <w:tc>
          <w:tcPr>
            <w:tcW w:w="4876" w:type="dxa"/>
            <w:hideMark/>
          </w:tcPr>
          <w:p w:rsidR="00EA4087" w:rsidRPr="00781861" w:rsidRDefault="00FE1F10">
            <w:pPr>
              <w:pStyle w:val="ColumnHeading"/>
              <w:keepNext/>
            </w:pPr>
            <w:r>
              <w:t>Alteração</w:t>
            </w:r>
          </w:p>
        </w:tc>
      </w:tr>
      <w:tr w:rsidR="007C2CD8" w:rsidTr="00EA4087">
        <w:trPr>
          <w:jc w:val="center"/>
        </w:trPr>
        <w:tc>
          <w:tcPr>
            <w:tcW w:w="4876" w:type="dxa"/>
          </w:tcPr>
          <w:p w:rsidR="00EA4087" w:rsidRPr="00781861" w:rsidRDefault="00EA4087">
            <w:pPr>
              <w:pStyle w:val="Normal6"/>
              <w:rPr>
                <w:lang w:val="en-GB"/>
              </w:rPr>
            </w:pPr>
          </w:p>
        </w:tc>
        <w:tc>
          <w:tcPr>
            <w:tcW w:w="4876" w:type="dxa"/>
            <w:hideMark/>
          </w:tcPr>
          <w:p w:rsidR="00EA4087" w:rsidRPr="00781861" w:rsidRDefault="00FE1F10" w:rsidP="00D1163C">
            <w:pPr>
              <w:pStyle w:val="Normal6"/>
              <w:rPr>
                <w:szCs w:val="24"/>
              </w:rPr>
            </w:pPr>
            <w:r>
              <w:rPr>
                <w:b/>
                <w:i/>
              </w:rPr>
              <w:t>2</w:t>
            </w:r>
            <w:r>
              <w:rPr>
                <w:b/>
                <w:i/>
              </w:rPr>
              <w:noBreakHyphen/>
            </w:r>
            <w:r>
              <w:rPr>
                <w:b/>
                <w:i/>
              </w:rPr>
              <w:t>B.</w:t>
            </w:r>
            <w:r>
              <w:rPr>
                <w:b/>
                <w:i/>
              </w:rPr>
              <w:tab/>
              <w:t xml:space="preserve">Recorda que a execução, pelos </w:t>
            </w:r>
            <w:r>
              <w:rPr>
                <w:b/>
                <w:i/>
              </w:rPr>
              <w:t>Estados</w:t>
            </w:r>
            <w:r>
              <w:rPr>
                <w:b/>
                <w:i/>
              </w:rPr>
              <w:noBreakHyphen/>
            </w:r>
            <w:r>
              <w:rPr>
                <w:b/>
                <w:i/>
              </w:rPr>
              <w:t>Membros, do MRR e de outros fundos da UE, como o SURE, ajudou a afastar dos mercados de trabalho o risco de saírem danificados a longo prazo do duplo choque económico causado pela pandemia e pela crise energética; observa que, em maio de 2023, as t</w:t>
            </w:r>
            <w:r>
              <w:rPr>
                <w:b/>
                <w:i/>
              </w:rPr>
              <w:t>axas de emprego atingiram níveis recorde, enquanto o desemprego, situando</w:t>
            </w:r>
            <w:r>
              <w:rPr>
                <w:b/>
                <w:i/>
              </w:rPr>
              <w:noBreakHyphen/>
            </w:r>
            <w:r>
              <w:rPr>
                <w:b/>
                <w:i/>
              </w:rPr>
              <w:t>se em cerca de 6 %, diminuiu para um mínimo histórico e tem permanecido baixo desde então; recorda, no entanto, que o desemprego dos jovens continua a ser elevado, ascendendo, em méd</w:t>
            </w:r>
            <w:r>
              <w:rPr>
                <w:b/>
                <w:i/>
              </w:rPr>
              <w:t>ia, a 15 % em toda a UE e a mais de 20 % em vários Estados</w:t>
            </w:r>
            <w:r>
              <w:rPr>
                <w:b/>
                <w:i/>
              </w:rPr>
              <w:noBreakHyphen/>
            </w:r>
            <w:r>
              <w:rPr>
                <w:b/>
                <w:i/>
              </w:rPr>
              <w:t xml:space="preserve">Membros; destaca, a este respeito, os compromissos assumidos no âmbito da Garantia para a Juventude reforçada, que continua a impulsionar reformas estruturais e a contribuir para a empregabilidade </w:t>
            </w:r>
            <w:r>
              <w:rPr>
                <w:b/>
                <w:i/>
              </w:rPr>
              <w:t>dos jovens; insta, neste contexto, os Estados</w:t>
            </w:r>
            <w:r>
              <w:rPr>
                <w:b/>
                <w:i/>
              </w:rPr>
              <w:noBreakHyphen/>
            </w:r>
            <w:r>
              <w:rPr>
                <w:b/>
                <w:i/>
              </w:rPr>
              <w:t>Membros a, no âmbito do pilar das políticas para a próxima geração, darem prioridade à Garantia para a Juventude reforçada nos seus PRR e a realizarem mais investimentos na educação, na formação e no apoio ao e</w:t>
            </w:r>
            <w:r>
              <w:rPr>
                <w:b/>
                <w:i/>
              </w:rPr>
              <w:t>mprego dos jovens;</w:t>
            </w:r>
          </w:p>
        </w:tc>
      </w:tr>
    </w:tbl>
    <w:p w:rsidR="00EA4087" w:rsidRPr="00781861" w:rsidRDefault="00FE1F10" w:rsidP="00EA4087">
      <w:pPr>
        <w:rPr>
          <w:szCs w:val="24"/>
        </w:rPr>
      </w:pPr>
      <w:r>
        <w:rPr>
          <w:rStyle w:val="HideTWBExt"/>
        </w:rPr>
        <w:t>&lt;/Amend&gt;</w:t>
      </w:r>
    </w:p>
    <w:p w:rsidR="0031616B" w:rsidRPr="00781861" w:rsidRDefault="00FE1F10" w:rsidP="0031616B">
      <w:pPr>
        <w:pStyle w:val="AmNumberTabs"/>
      </w:pPr>
      <w:r>
        <w:rPr>
          <w:rStyle w:val="HideTWBExt"/>
          <w:b w:val="0"/>
        </w:rPr>
        <w:t>&lt;Amend&gt;</w:t>
      </w:r>
      <w:r>
        <w:t>Alteração</w:t>
      </w:r>
      <w:r>
        <w:tab/>
      </w:r>
      <w:r>
        <w:tab/>
      </w:r>
      <w:r>
        <w:rPr>
          <w:rStyle w:val="HideTWBExt"/>
          <w:b w:val="0"/>
        </w:rPr>
        <w:t>&lt;NumAm&gt;</w:t>
      </w:r>
      <w:r>
        <w:t>32</w:t>
      </w:r>
      <w:r>
        <w:rPr>
          <w:rStyle w:val="HideTWBExt"/>
          <w:b w:val="0"/>
        </w:rPr>
        <w:t>&lt;/NumAm&gt;</w:t>
      </w:r>
    </w:p>
    <w:p w:rsidR="0031616B" w:rsidRPr="00781861" w:rsidRDefault="00FE1F10" w:rsidP="0031616B">
      <w:pPr>
        <w:pStyle w:val="NormalBold12b"/>
      </w:pPr>
      <w:r>
        <w:rPr>
          <w:rStyle w:val="HideTWBExt"/>
          <w:b w:val="0"/>
        </w:rPr>
        <w:t>&lt;DocAmend&gt;</w:t>
      </w:r>
      <w:r>
        <w:t>Proposta de resolução</w:t>
      </w:r>
      <w:r>
        <w:rPr>
          <w:rStyle w:val="HideTWBExt"/>
          <w:b w:val="0"/>
        </w:rPr>
        <w:t>&lt;/DocAmend&gt;</w:t>
      </w:r>
    </w:p>
    <w:p w:rsidR="0031616B" w:rsidRPr="00781861" w:rsidRDefault="00FE1F10" w:rsidP="0031616B">
      <w:pPr>
        <w:pStyle w:val="NormalBold"/>
      </w:pPr>
      <w:r>
        <w:rPr>
          <w:rStyle w:val="HideTWBExt"/>
          <w:b w:val="0"/>
        </w:rPr>
        <w:t>&lt;Article&gt;</w:t>
      </w:r>
      <w:r>
        <w:t>N.º 2</w:t>
      </w:r>
      <w:r>
        <w:noBreakHyphen/>
      </w:r>
      <w:r>
        <w:t>C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2CD8" w:rsidTr="0031616B">
        <w:trPr>
          <w:jc w:val="center"/>
        </w:trPr>
        <w:tc>
          <w:tcPr>
            <w:tcW w:w="9752" w:type="dxa"/>
            <w:gridSpan w:val="2"/>
          </w:tcPr>
          <w:p w:rsidR="0031616B" w:rsidRPr="00781861" w:rsidRDefault="0031616B">
            <w:pPr>
              <w:keepNext/>
            </w:pPr>
          </w:p>
        </w:tc>
      </w:tr>
      <w:tr w:rsidR="007C2CD8" w:rsidTr="0031616B">
        <w:trPr>
          <w:jc w:val="center"/>
        </w:trPr>
        <w:tc>
          <w:tcPr>
            <w:tcW w:w="4876" w:type="dxa"/>
            <w:hideMark/>
          </w:tcPr>
          <w:p w:rsidR="0031616B" w:rsidRPr="00781861" w:rsidRDefault="00FE1F10">
            <w:pPr>
              <w:pStyle w:val="ColumnHeading"/>
              <w:keepNext/>
            </w:pPr>
            <w:r>
              <w:t>Proposta de resolução</w:t>
            </w:r>
          </w:p>
        </w:tc>
        <w:tc>
          <w:tcPr>
            <w:tcW w:w="4876" w:type="dxa"/>
            <w:hideMark/>
          </w:tcPr>
          <w:p w:rsidR="0031616B" w:rsidRPr="00781861" w:rsidRDefault="00FE1F10">
            <w:pPr>
              <w:pStyle w:val="ColumnHeading"/>
              <w:keepNext/>
            </w:pPr>
            <w:r>
              <w:t>Alteração</w:t>
            </w:r>
          </w:p>
        </w:tc>
      </w:tr>
      <w:tr w:rsidR="007C2CD8" w:rsidTr="0031616B">
        <w:trPr>
          <w:jc w:val="center"/>
        </w:trPr>
        <w:tc>
          <w:tcPr>
            <w:tcW w:w="4876" w:type="dxa"/>
          </w:tcPr>
          <w:p w:rsidR="0031616B" w:rsidRPr="00781861" w:rsidRDefault="0031616B">
            <w:pPr>
              <w:pStyle w:val="Normal6"/>
              <w:rPr>
                <w:lang w:val="en-GB"/>
              </w:rPr>
            </w:pPr>
          </w:p>
        </w:tc>
        <w:tc>
          <w:tcPr>
            <w:tcW w:w="4876" w:type="dxa"/>
            <w:hideMark/>
          </w:tcPr>
          <w:p w:rsidR="0031616B" w:rsidRPr="00781861" w:rsidRDefault="00FE1F10" w:rsidP="008F0ED2">
            <w:pPr>
              <w:pStyle w:val="Normal6"/>
              <w:rPr>
                <w:szCs w:val="24"/>
              </w:rPr>
            </w:pPr>
            <w:r>
              <w:rPr>
                <w:b/>
                <w:i/>
              </w:rPr>
              <w:t>2</w:t>
            </w:r>
            <w:r>
              <w:rPr>
                <w:b/>
                <w:i/>
              </w:rPr>
              <w:noBreakHyphen/>
            </w:r>
            <w:r>
              <w:rPr>
                <w:b/>
                <w:i/>
              </w:rPr>
              <w:t>C.</w:t>
            </w:r>
            <w:r>
              <w:rPr>
                <w:b/>
                <w:i/>
              </w:rPr>
              <w:tab/>
              <w:t>Destaca os esforços diversificados dos Estados</w:t>
            </w:r>
            <w:r>
              <w:rPr>
                <w:b/>
                <w:i/>
              </w:rPr>
              <w:noBreakHyphen/>
            </w:r>
            <w:r>
              <w:rPr>
                <w:b/>
                <w:i/>
              </w:rPr>
              <w:t xml:space="preserve">Membros de introdução de </w:t>
            </w:r>
            <w:r>
              <w:rPr>
                <w:b/>
                <w:i/>
              </w:rPr>
              <w:t>reformas regulamentares e não regulamentares e de programas de investimento para aumentar o parque habitacional social e apoiar a acessibilidade dos preços da habitação, como novos programas de habitação a preços acessíveis e de concessão de empréstimos su</w:t>
            </w:r>
            <w:r>
              <w:rPr>
                <w:b/>
                <w:i/>
              </w:rPr>
              <w:t>bsidiados, programas de renovação de habitações sociais para os grupos mais vulneráveis ou apoio governamental aos municípios para novos projetos de habitação e renovações; insta os Estados</w:t>
            </w:r>
            <w:r>
              <w:rPr>
                <w:b/>
                <w:i/>
              </w:rPr>
              <w:noBreakHyphen/>
            </w:r>
            <w:r>
              <w:rPr>
                <w:b/>
                <w:i/>
              </w:rPr>
              <w:t>Membros a darem prioridade à garantia de acesso a habitação social</w:t>
            </w:r>
            <w:r>
              <w:rPr>
                <w:b/>
                <w:i/>
              </w:rPr>
              <w:t xml:space="preserve"> digna e a preços acessíveis ou a um apoio à habitação de qualidade para as pessoas necessitadas, em conformidade com o princípio 19 do Pilar Europeu dos Direitos Sociais; salienta a importância de salvaguardar o direito das pessoas vulneráveis a uma assis</w:t>
            </w:r>
            <w:r>
              <w:rPr>
                <w:b/>
                <w:i/>
              </w:rPr>
              <w:t>tência adequada, à proteção contra o despejo forçado e à garantia de abrigos e serviços adequados para as pessoas em situação de sem</w:t>
            </w:r>
            <w:r>
              <w:rPr>
                <w:b/>
                <w:i/>
              </w:rPr>
              <w:noBreakHyphen/>
            </w:r>
            <w:r>
              <w:rPr>
                <w:b/>
                <w:i/>
              </w:rPr>
              <w:t>abrigo, a fim de promover a sua inclusão social;</w:t>
            </w:r>
          </w:p>
        </w:tc>
      </w:tr>
    </w:tbl>
    <w:p w:rsidR="0031616B" w:rsidRPr="00781861" w:rsidRDefault="00FE1F10" w:rsidP="0031616B">
      <w:r>
        <w:rPr>
          <w:rStyle w:val="HideTWBExt"/>
        </w:rPr>
        <w:t>&lt;/Amend&gt;</w:t>
      </w:r>
    </w:p>
    <w:p w:rsidR="00D1163C" w:rsidRPr="00781861" w:rsidRDefault="00FE1F10" w:rsidP="00D1163C">
      <w:pPr>
        <w:pStyle w:val="AMNumberTabs0"/>
        <w:keepNext/>
      </w:pPr>
      <w:r w:rsidRPr="00FE1F10">
        <w:rPr>
          <w:rStyle w:val="HideTWBExt"/>
          <w:b w:val="0"/>
        </w:rPr>
        <w:t>&lt;Amend&gt;</w:t>
      </w:r>
      <w:r>
        <w:t>Alteração</w:t>
      </w:r>
      <w:r>
        <w:tab/>
      </w:r>
      <w:r>
        <w:tab/>
      </w:r>
      <w:r w:rsidRPr="00FE1F10">
        <w:rPr>
          <w:rStyle w:val="HideTWBExt"/>
          <w:b w:val="0"/>
        </w:rPr>
        <w:t>&lt;NumAm&gt;</w:t>
      </w:r>
      <w:r>
        <w:t>33</w:t>
      </w:r>
      <w:r w:rsidRPr="00FE1F10">
        <w:rPr>
          <w:rStyle w:val="HideTWBExt"/>
          <w:b w:val="0"/>
        </w:rPr>
        <w:t>&lt;/NumAm&gt;</w:t>
      </w:r>
    </w:p>
    <w:p w:rsidR="00D1163C" w:rsidRPr="00781861" w:rsidRDefault="00D1163C" w:rsidP="00D1163C"/>
    <w:p w:rsidR="00D1163C" w:rsidRPr="00781861" w:rsidRDefault="00FE1F10" w:rsidP="00D1163C">
      <w:pPr>
        <w:pStyle w:val="NormalBold"/>
        <w:keepNext/>
      </w:pPr>
      <w:r>
        <w:rPr>
          <w:rStyle w:val="HideTWBExt"/>
          <w:b w:val="0"/>
        </w:rPr>
        <w:t>&lt;DocAmend&gt;</w:t>
      </w:r>
      <w:r>
        <w:t xml:space="preserve">Proposta de </w:t>
      </w:r>
      <w:r>
        <w:t>resolução</w:t>
      </w:r>
      <w:r>
        <w:rPr>
          <w:rStyle w:val="HideTWBExt"/>
          <w:b w:val="0"/>
        </w:rPr>
        <w:t>&lt;/DocAmend&gt;</w:t>
      </w:r>
    </w:p>
    <w:p w:rsidR="00D1163C" w:rsidRPr="00781861" w:rsidRDefault="00FE1F10" w:rsidP="00D1163C">
      <w:pPr>
        <w:pStyle w:val="NormalBold"/>
      </w:pPr>
      <w:r>
        <w:rPr>
          <w:rStyle w:val="HideTWBExt"/>
          <w:b w:val="0"/>
        </w:rPr>
        <w:t>&lt;Article&gt;</w:t>
      </w:r>
      <w:r>
        <w:t>N.º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2CD8" w:rsidTr="00D1163C">
        <w:trPr>
          <w:jc w:val="center"/>
        </w:trPr>
        <w:tc>
          <w:tcPr>
            <w:tcW w:w="9752" w:type="dxa"/>
            <w:gridSpan w:val="2"/>
          </w:tcPr>
          <w:p w:rsidR="00D1163C" w:rsidRPr="00781861" w:rsidRDefault="00D1163C">
            <w:pPr>
              <w:keepNext/>
            </w:pPr>
          </w:p>
        </w:tc>
      </w:tr>
      <w:tr w:rsidR="007C2CD8" w:rsidTr="00D1163C">
        <w:trPr>
          <w:jc w:val="center"/>
        </w:trPr>
        <w:tc>
          <w:tcPr>
            <w:tcW w:w="4876" w:type="dxa"/>
            <w:hideMark/>
          </w:tcPr>
          <w:p w:rsidR="00D1163C" w:rsidRPr="00781861" w:rsidRDefault="00FE1F10">
            <w:pPr>
              <w:pStyle w:val="ColumnHeading"/>
              <w:keepNext/>
            </w:pPr>
            <w:r>
              <w:t>Proposta de resolução</w:t>
            </w:r>
          </w:p>
        </w:tc>
        <w:tc>
          <w:tcPr>
            <w:tcW w:w="4876" w:type="dxa"/>
            <w:hideMark/>
          </w:tcPr>
          <w:p w:rsidR="00D1163C" w:rsidRPr="00781861" w:rsidRDefault="00FE1F10">
            <w:pPr>
              <w:pStyle w:val="ColumnHeading"/>
              <w:keepNext/>
            </w:pPr>
            <w:r>
              <w:t>Alteração</w:t>
            </w:r>
          </w:p>
        </w:tc>
      </w:tr>
      <w:tr w:rsidR="007C2CD8" w:rsidTr="00D1163C">
        <w:trPr>
          <w:jc w:val="center"/>
        </w:trPr>
        <w:tc>
          <w:tcPr>
            <w:tcW w:w="4876" w:type="dxa"/>
            <w:hideMark/>
          </w:tcPr>
          <w:p w:rsidR="00D1163C" w:rsidRPr="00781861" w:rsidRDefault="00FE1F10">
            <w:pPr>
              <w:pStyle w:val="Normal6"/>
            </w:pPr>
            <w:r>
              <w:t>3.</w:t>
            </w:r>
            <w:r>
              <w:tab/>
              <w:t xml:space="preserve">Toma nota das projeções da Comissão de 2024 sobre o impacto potencial do IRUE no produto interno bruto (PIB) real da UE até 2026, que é significativamente inferior ao </w:t>
            </w:r>
            <w:r>
              <w:t>indicado na sua simulação de 2020 (1,4 % contra 2,3 %), e da estimativa de que o IRUE poderá gerar um aumento considerável do emprego na UE a curto prazo, que poderá atingir 0,8 %; regista com satisfação que os benefícios a longo prazo do MRR no tocante ao</w:t>
            </w:r>
            <w:r>
              <w:t xml:space="preserve"> PIB poderão ser entre três e seis vezes superiores ao orçamento desembolsado a título do IRUE, em função dos efeitos dos investimentos do MRR na produtividade; </w:t>
            </w:r>
            <w:r>
              <w:rPr>
                <w:b/>
                <w:i/>
              </w:rPr>
              <w:t>salienta</w:t>
            </w:r>
            <w:r>
              <w:t>, no entanto, a dificuldade de quantificar com precisão os efeitos sociais e económicos</w:t>
            </w:r>
            <w:r>
              <w:t xml:space="preserve"> do MRR, </w:t>
            </w:r>
            <w:r>
              <w:rPr>
                <w:b/>
                <w:i/>
              </w:rPr>
              <w:t>já que</w:t>
            </w:r>
            <w:r>
              <w:t xml:space="preserve"> </w:t>
            </w:r>
            <w:r>
              <w:rPr>
                <w:b/>
                <w:i/>
              </w:rPr>
              <w:t>o impacto</w:t>
            </w:r>
            <w:r>
              <w:t xml:space="preserve"> das reformas </w:t>
            </w:r>
            <w:r>
              <w:rPr>
                <w:b/>
                <w:i/>
              </w:rPr>
              <w:t>só se torna evidente passado algum tempo</w:t>
            </w:r>
            <w:r>
              <w:t>; toma nota da conclusão da Comissão de que cerca de metade do aumento previsto do investimento público entre 2019 e 2025 está relacionado com investimentos financiados pelo orç</w:t>
            </w:r>
            <w:r>
              <w:t>amento da UE, em especial pelo MRR.</w:t>
            </w:r>
          </w:p>
        </w:tc>
        <w:tc>
          <w:tcPr>
            <w:tcW w:w="4876" w:type="dxa"/>
            <w:hideMark/>
          </w:tcPr>
          <w:p w:rsidR="00D1163C" w:rsidRPr="00781861" w:rsidRDefault="00FE1F10" w:rsidP="000D3C3D">
            <w:pPr>
              <w:pStyle w:val="Normal6"/>
              <w:rPr>
                <w:szCs w:val="24"/>
              </w:rPr>
            </w:pPr>
            <w:r>
              <w:t>3.</w:t>
            </w:r>
            <w:r>
              <w:tab/>
              <w:t>Toma nota das projeções da Comissão de 2024 sobre o impacto potencial do IRUE no produto interno bruto (PIB) real da UE até 2026, que é significativamente inferior ao indicado na sua simulação de 2020 (1,4 % contra 2,</w:t>
            </w:r>
            <w:r>
              <w:t>3 %), e da estimativa de que o IRUE poderá gerar um aumento considerável do emprego na UE a curto prazo, que poderá atingir 0,8 %; regista com satisfação que os benefícios a longo prazo do MRR no tocante ao PIB poderão ser entre três e seis vezes superiore</w:t>
            </w:r>
            <w:r>
              <w:t xml:space="preserve">s ao orçamento desembolsado a título do IRUE, em função dos efeitos dos investimentos do MRR na produtividade; </w:t>
            </w:r>
            <w:r>
              <w:rPr>
                <w:b/>
                <w:i/>
              </w:rPr>
              <w:t>destaca</w:t>
            </w:r>
            <w:r>
              <w:t xml:space="preserve">, no entanto, a dificuldade de quantificar com precisão os efeitos sociais e económicos do MRR, </w:t>
            </w:r>
            <w:r>
              <w:rPr>
                <w:b/>
                <w:i/>
              </w:rPr>
              <w:t>uma vez que</w:t>
            </w:r>
            <w:r>
              <w:t xml:space="preserve"> </w:t>
            </w:r>
            <w:r>
              <w:rPr>
                <w:b/>
                <w:i/>
              </w:rPr>
              <w:t>os efeitos</w:t>
            </w:r>
            <w:r>
              <w:t xml:space="preserve"> das reformas </w:t>
            </w:r>
            <w:r>
              <w:rPr>
                <w:b/>
                <w:i/>
              </w:rPr>
              <w:t>demora</w:t>
            </w:r>
            <w:r>
              <w:rPr>
                <w:b/>
                <w:i/>
              </w:rPr>
              <w:t>m a materializar</w:t>
            </w:r>
            <w:r>
              <w:rPr>
                <w:b/>
                <w:i/>
              </w:rPr>
              <w:noBreakHyphen/>
            </w:r>
            <w:r>
              <w:rPr>
                <w:b/>
                <w:i/>
              </w:rPr>
              <w:t>se, e sublinha que os investimentos devem ser avaliados não só</w:t>
            </w:r>
            <w:r>
              <w:t xml:space="preserve"> </w:t>
            </w:r>
            <w:r>
              <w:rPr>
                <w:b/>
                <w:i/>
              </w:rPr>
              <w:t>com base no crescimento económico, mas também no seu contributo para a aplicação do PEDS, a redução das desigualdades, a melhoria das condições do mercado de trabalho e da cria</w:t>
            </w:r>
            <w:r>
              <w:rPr>
                <w:b/>
                <w:i/>
              </w:rPr>
              <w:t>ção de emprego de qualidade e a garantia de uma transição justa</w:t>
            </w:r>
            <w:r>
              <w:t>; toma nota da conclusão da Comissão de que cerca de metade do aumento previsto do investimento público entre 2019 e 2025 está relacionado com investimentos financiados pelo orçamento da UE, em</w:t>
            </w:r>
            <w:r>
              <w:t xml:space="preserve"> especial pelo MRR.</w:t>
            </w:r>
          </w:p>
        </w:tc>
      </w:tr>
    </w:tbl>
    <w:p w:rsidR="00D1163C" w:rsidRPr="00781861" w:rsidRDefault="00FE1F10" w:rsidP="00D1163C">
      <w:r>
        <w:rPr>
          <w:rStyle w:val="HideTWBExt"/>
        </w:rPr>
        <w:t>&lt;/Amend&gt;</w:t>
      </w:r>
    </w:p>
    <w:p w:rsidR="00D1163C" w:rsidRPr="00781861" w:rsidRDefault="00FE1F10" w:rsidP="00D1163C">
      <w:pPr>
        <w:pStyle w:val="AMNumberTabs0"/>
        <w:keepNext/>
      </w:pPr>
      <w:r w:rsidRPr="00FE1F10">
        <w:rPr>
          <w:rStyle w:val="HideTWBExt"/>
          <w:b w:val="0"/>
        </w:rPr>
        <w:t>&lt;Amend&gt;</w:t>
      </w:r>
      <w:r>
        <w:t>Alteração</w:t>
      </w:r>
      <w:r>
        <w:tab/>
      </w:r>
      <w:r>
        <w:tab/>
      </w:r>
      <w:r w:rsidRPr="00FE1F10">
        <w:rPr>
          <w:rStyle w:val="HideTWBExt"/>
          <w:b w:val="0"/>
        </w:rPr>
        <w:t>&lt;NumAm&gt;</w:t>
      </w:r>
      <w:r>
        <w:t>34</w:t>
      </w:r>
      <w:r w:rsidRPr="00FE1F10">
        <w:rPr>
          <w:rStyle w:val="HideTWBExt"/>
          <w:b w:val="0"/>
        </w:rPr>
        <w:t>&lt;/NumAm&gt;</w:t>
      </w:r>
    </w:p>
    <w:p w:rsidR="00D1163C" w:rsidRPr="00781861" w:rsidRDefault="00D1163C" w:rsidP="00D1163C"/>
    <w:p w:rsidR="00D1163C" w:rsidRPr="00781861" w:rsidRDefault="00FE1F10" w:rsidP="00D1163C">
      <w:pPr>
        <w:pStyle w:val="NormalBold"/>
        <w:keepNext/>
      </w:pPr>
      <w:r>
        <w:rPr>
          <w:rStyle w:val="HideTWBExt"/>
          <w:b w:val="0"/>
        </w:rPr>
        <w:t>&lt;DocAmend&gt;</w:t>
      </w:r>
      <w:r>
        <w:t>Proposta de resolução</w:t>
      </w:r>
      <w:r>
        <w:rPr>
          <w:rStyle w:val="HideTWBExt"/>
          <w:b w:val="0"/>
        </w:rPr>
        <w:t>&lt;/DocAmend&gt;</w:t>
      </w:r>
    </w:p>
    <w:p w:rsidR="00D1163C" w:rsidRPr="00781861" w:rsidRDefault="00FE1F10" w:rsidP="00D1163C">
      <w:pPr>
        <w:pStyle w:val="NormalBold"/>
      </w:pPr>
      <w:r>
        <w:rPr>
          <w:rStyle w:val="HideTWBExt"/>
          <w:b w:val="0"/>
        </w:rPr>
        <w:t>&lt;Article&gt;</w:t>
      </w:r>
      <w:r>
        <w:t>N.º 3</w:t>
      </w:r>
      <w:r>
        <w:noBreakHyphen/>
      </w:r>
      <w:r>
        <w:t>A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2CD8" w:rsidTr="00D1163C">
        <w:trPr>
          <w:jc w:val="center"/>
        </w:trPr>
        <w:tc>
          <w:tcPr>
            <w:tcW w:w="9752" w:type="dxa"/>
            <w:gridSpan w:val="2"/>
          </w:tcPr>
          <w:p w:rsidR="00D1163C" w:rsidRPr="00781861" w:rsidRDefault="00D1163C">
            <w:pPr>
              <w:keepNext/>
            </w:pPr>
          </w:p>
        </w:tc>
      </w:tr>
      <w:tr w:rsidR="007C2CD8" w:rsidTr="00D1163C">
        <w:trPr>
          <w:jc w:val="center"/>
        </w:trPr>
        <w:tc>
          <w:tcPr>
            <w:tcW w:w="4876" w:type="dxa"/>
            <w:hideMark/>
          </w:tcPr>
          <w:p w:rsidR="00D1163C" w:rsidRPr="00781861" w:rsidRDefault="00FE1F10">
            <w:pPr>
              <w:pStyle w:val="ColumnHeading"/>
              <w:keepNext/>
            </w:pPr>
            <w:r>
              <w:t>Proposta de resolução</w:t>
            </w:r>
          </w:p>
        </w:tc>
        <w:tc>
          <w:tcPr>
            <w:tcW w:w="4876" w:type="dxa"/>
            <w:hideMark/>
          </w:tcPr>
          <w:p w:rsidR="00D1163C" w:rsidRPr="00781861" w:rsidRDefault="00FE1F10">
            <w:pPr>
              <w:pStyle w:val="ColumnHeading"/>
              <w:keepNext/>
            </w:pPr>
            <w:r>
              <w:t>Alteração</w:t>
            </w:r>
          </w:p>
        </w:tc>
      </w:tr>
      <w:tr w:rsidR="007C2CD8" w:rsidTr="00D1163C">
        <w:trPr>
          <w:jc w:val="center"/>
        </w:trPr>
        <w:tc>
          <w:tcPr>
            <w:tcW w:w="4876" w:type="dxa"/>
          </w:tcPr>
          <w:p w:rsidR="00D1163C" w:rsidRPr="00781861" w:rsidRDefault="00D1163C">
            <w:pPr>
              <w:pStyle w:val="Normal6"/>
              <w:rPr>
                <w:lang w:val="en-GB"/>
              </w:rPr>
            </w:pPr>
          </w:p>
        </w:tc>
        <w:tc>
          <w:tcPr>
            <w:tcW w:w="4876" w:type="dxa"/>
            <w:hideMark/>
          </w:tcPr>
          <w:p w:rsidR="00D1163C" w:rsidRPr="00781861" w:rsidRDefault="00FE1F10" w:rsidP="00E6527C">
            <w:pPr>
              <w:pStyle w:val="Normal6"/>
              <w:rPr>
                <w:szCs w:val="24"/>
              </w:rPr>
            </w:pPr>
            <w:r>
              <w:rPr>
                <w:b/>
                <w:i/>
              </w:rPr>
              <w:t>3</w:t>
            </w:r>
            <w:r>
              <w:rPr>
                <w:b/>
                <w:i/>
              </w:rPr>
              <w:noBreakHyphen/>
            </w:r>
            <w:r>
              <w:rPr>
                <w:b/>
                <w:i/>
              </w:rPr>
              <w:t>A.</w:t>
            </w:r>
            <w:r>
              <w:rPr>
                <w:b/>
                <w:i/>
              </w:rPr>
              <w:tab/>
              <w:t>Realça que a escassez de mão</w:t>
            </w:r>
            <w:r>
              <w:rPr>
                <w:b/>
                <w:i/>
              </w:rPr>
              <w:noBreakHyphen/>
            </w:r>
            <w:r>
              <w:rPr>
                <w:b/>
                <w:i/>
              </w:rPr>
              <w:t>de</w:t>
            </w:r>
            <w:r>
              <w:rPr>
                <w:b/>
                <w:i/>
              </w:rPr>
              <w:noBreakHyphen/>
            </w:r>
            <w:r>
              <w:rPr>
                <w:b/>
                <w:i/>
              </w:rPr>
              <w:t xml:space="preserve">obra e de competências colocam </w:t>
            </w:r>
            <w:r>
              <w:rPr>
                <w:b/>
                <w:i/>
              </w:rPr>
              <w:t>barreiras graves ao crescimento, à competitividade e às transições ecológica e digital da UE, afetando os vários setores e os Estados</w:t>
            </w:r>
            <w:r>
              <w:rPr>
                <w:b/>
                <w:i/>
              </w:rPr>
              <w:noBreakHyphen/>
            </w:r>
            <w:r>
              <w:rPr>
                <w:b/>
                <w:i/>
              </w:rPr>
              <w:t>Membros de formas diferentes, o que tem repercussões na resiliência global da UE; realça ainda que, não obstante a sua imp</w:t>
            </w:r>
            <w:r>
              <w:rPr>
                <w:b/>
                <w:i/>
              </w:rPr>
              <w:t>ortância, a participação de adultos em ações de formação continua a ser reduzida em todos os Estados</w:t>
            </w:r>
            <w:r>
              <w:rPr>
                <w:b/>
                <w:i/>
              </w:rPr>
              <w:noBreakHyphen/>
            </w:r>
            <w:r>
              <w:rPr>
                <w:b/>
                <w:i/>
              </w:rPr>
              <w:t>Membros; salienta que as medidas do MRR podem impulsionar os investimentos nas competências e formação dos trabalhadores ao longo da sua vida, a fim de obt</w:t>
            </w:r>
            <w:r>
              <w:rPr>
                <w:b/>
                <w:i/>
              </w:rPr>
              <w:t>er sistemas de educação e formação capazes de dar uma melhor resposta à evolução das procura de competências e a obter melhores resultados no mercado de trabalho, tanto em quantidade como em qualidade dos empregos; solicita aos Estados</w:t>
            </w:r>
            <w:r>
              <w:rPr>
                <w:b/>
                <w:i/>
              </w:rPr>
              <w:noBreakHyphen/>
            </w:r>
            <w:r>
              <w:rPr>
                <w:b/>
                <w:i/>
              </w:rPr>
              <w:t>Membros que continue</w:t>
            </w:r>
            <w:r>
              <w:rPr>
                <w:b/>
                <w:i/>
              </w:rPr>
              <w:t>m a promover medidas que aumentem a participação de adultos em ações de formação, visando sobretudo a pessoas com menos qualificações, tendo em conta que muitos países estão a criar contas de aprendizagem individual e microcredenciais; entende que seria út</w:t>
            </w:r>
            <w:r>
              <w:rPr>
                <w:b/>
                <w:i/>
              </w:rPr>
              <w:t>il fazer uma análise mais cuidadosa das medidas do MRR neste domínio para avaliar os seus efeitos de forma exaustiva; relembra que a livre circulação de trabalhadores é uma liberdade fundamental e que a mobilidade laboral na UE pode contribuir substancialm</w:t>
            </w:r>
            <w:r>
              <w:rPr>
                <w:b/>
                <w:i/>
              </w:rPr>
              <w:t>ente para colmatar a escassez de mão de obra e de competências; encoraja os Estados</w:t>
            </w:r>
            <w:r>
              <w:rPr>
                <w:b/>
                <w:i/>
              </w:rPr>
              <w:noBreakHyphen/>
            </w:r>
            <w:r>
              <w:rPr>
                <w:b/>
                <w:i/>
              </w:rPr>
              <w:t>Membros a considerarem, na conceção e execução das medidas dos PNRR destinadas a superar a escassez de mão de obra e de competências, as previsões de competências do Cedefo</w:t>
            </w:r>
            <w:r>
              <w:rPr>
                <w:b/>
                <w:i/>
              </w:rPr>
              <w:t>p e as suas projeções sobre as tendências futuras do mercado de trabalho por setor, profissão e qualificações;</w:t>
            </w:r>
          </w:p>
        </w:tc>
      </w:tr>
    </w:tbl>
    <w:p w:rsidR="00D1163C" w:rsidRPr="00781861" w:rsidRDefault="00FE1F10" w:rsidP="00D1163C">
      <w:r>
        <w:rPr>
          <w:rStyle w:val="HideTWBExt"/>
        </w:rPr>
        <w:t>&lt;/Amend&gt;</w:t>
      </w:r>
    </w:p>
    <w:p w:rsidR="00D1163C" w:rsidRPr="00781861" w:rsidRDefault="00FE1F10" w:rsidP="00D1163C">
      <w:pPr>
        <w:pStyle w:val="AMNumberTabs0"/>
        <w:keepNext/>
      </w:pPr>
      <w:r w:rsidRPr="00FE1F10">
        <w:rPr>
          <w:rStyle w:val="HideTWBExt"/>
          <w:b w:val="0"/>
        </w:rPr>
        <w:t>&lt;Amend&gt;</w:t>
      </w:r>
      <w:r>
        <w:t>Alteração</w:t>
      </w:r>
      <w:r>
        <w:tab/>
      </w:r>
      <w:r>
        <w:tab/>
      </w:r>
      <w:r w:rsidRPr="00FE1F10">
        <w:rPr>
          <w:rStyle w:val="HideTWBExt"/>
          <w:b w:val="0"/>
        </w:rPr>
        <w:t>&lt;NumAm&gt;</w:t>
      </w:r>
      <w:r>
        <w:t>35</w:t>
      </w:r>
      <w:r w:rsidRPr="00FE1F10">
        <w:rPr>
          <w:rStyle w:val="HideTWBExt"/>
          <w:b w:val="0"/>
        </w:rPr>
        <w:t>&lt;/NumAm&gt;</w:t>
      </w:r>
    </w:p>
    <w:p w:rsidR="00D1163C" w:rsidRPr="00781861" w:rsidRDefault="00D1163C" w:rsidP="00D1163C"/>
    <w:p w:rsidR="00D1163C" w:rsidRPr="00781861" w:rsidRDefault="00FE1F10" w:rsidP="00D1163C">
      <w:pPr>
        <w:pStyle w:val="NormalBold"/>
        <w:keepNext/>
      </w:pPr>
      <w:r>
        <w:rPr>
          <w:rStyle w:val="HideTWBExt"/>
          <w:b w:val="0"/>
        </w:rPr>
        <w:t>&lt;DocAmend&gt;</w:t>
      </w:r>
      <w:r>
        <w:t>Proposta de resolução</w:t>
      </w:r>
      <w:r>
        <w:rPr>
          <w:rStyle w:val="HideTWBExt"/>
          <w:b w:val="0"/>
        </w:rPr>
        <w:t>&lt;/DocAmend&gt;</w:t>
      </w:r>
    </w:p>
    <w:p w:rsidR="00D1163C" w:rsidRPr="00781861" w:rsidRDefault="00FE1F10" w:rsidP="00D1163C">
      <w:pPr>
        <w:pStyle w:val="NormalBold"/>
      </w:pPr>
      <w:r>
        <w:rPr>
          <w:rStyle w:val="HideTWBExt"/>
          <w:b w:val="0"/>
        </w:rPr>
        <w:t>&lt;Article&gt;</w:t>
      </w:r>
      <w:r>
        <w:t>N.º 3</w:t>
      </w:r>
      <w:r>
        <w:noBreakHyphen/>
      </w:r>
      <w:r>
        <w:t>B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2CD8" w:rsidTr="00D1163C">
        <w:trPr>
          <w:jc w:val="center"/>
        </w:trPr>
        <w:tc>
          <w:tcPr>
            <w:tcW w:w="9752" w:type="dxa"/>
            <w:gridSpan w:val="2"/>
          </w:tcPr>
          <w:p w:rsidR="00D1163C" w:rsidRPr="00781861" w:rsidRDefault="00D1163C">
            <w:pPr>
              <w:keepNext/>
            </w:pPr>
          </w:p>
        </w:tc>
      </w:tr>
      <w:tr w:rsidR="007C2CD8" w:rsidTr="00D1163C">
        <w:trPr>
          <w:jc w:val="center"/>
        </w:trPr>
        <w:tc>
          <w:tcPr>
            <w:tcW w:w="4876" w:type="dxa"/>
            <w:hideMark/>
          </w:tcPr>
          <w:p w:rsidR="00D1163C" w:rsidRPr="00781861" w:rsidRDefault="00FE1F10">
            <w:pPr>
              <w:pStyle w:val="ColumnHeading"/>
              <w:keepNext/>
            </w:pPr>
            <w:r>
              <w:t xml:space="preserve">Proposta de </w:t>
            </w:r>
            <w:r>
              <w:t>resolução</w:t>
            </w:r>
          </w:p>
        </w:tc>
        <w:tc>
          <w:tcPr>
            <w:tcW w:w="4876" w:type="dxa"/>
            <w:hideMark/>
          </w:tcPr>
          <w:p w:rsidR="00D1163C" w:rsidRPr="00781861" w:rsidRDefault="00FE1F10">
            <w:pPr>
              <w:pStyle w:val="ColumnHeading"/>
              <w:keepNext/>
            </w:pPr>
            <w:r>
              <w:t>Alteração</w:t>
            </w:r>
          </w:p>
        </w:tc>
      </w:tr>
      <w:tr w:rsidR="007C2CD8" w:rsidTr="00D1163C">
        <w:trPr>
          <w:jc w:val="center"/>
        </w:trPr>
        <w:tc>
          <w:tcPr>
            <w:tcW w:w="4876" w:type="dxa"/>
          </w:tcPr>
          <w:p w:rsidR="00D1163C" w:rsidRPr="00781861" w:rsidRDefault="00D1163C">
            <w:pPr>
              <w:pStyle w:val="Normal6"/>
              <w:rPr>
                <w:lang w:val="en-GB"/>
              </w:rPr>
            </w:pPr>
          </w:p>
        </w:tc>
        <w:tc>
          <w:tcPr>
            <w:tcW w:w="4876" w:type="dxa"/>
            <w:hideMark/>
          </w:tcPr>
          <w:p w:rsidR="00D1163C" w:rsidRPr="00781861" w:rsidRDefault="00FE1F10" w:rsidP="00E6527C">
            <w:pPr>
              <w:pStyle w:val="Normal6"/>
              <w:rPr>
                <w:szCs w:val="24"/>
              </w:rPr>
            </w:pPr>
            <w:r>
              <w:rPr>
                <w:b/>
                <w:i/>
              </w:rPr>
              <w:t>3</w:t>
            </w:r>
            <w:r>
              <w:rPr>
                <w:b/>
                <w:i/>
              </w:rPr>
              <w:noBreakHyphen/>
            </w:r>
            <w:r>
              <w:rPr>
                <w:b/>
                <w:i/>
              </w:rPr>
              <w:t>B.</w:t>
            </w:r>
            <w:r>
              <w:rPr>
                <w:b/>
                <w:i/>
              </w:rPr>
              <w:tab/>
              <w:t>Assinala que o MRR contribui, entre outros aspetos, para a criação de emprego, a educação e formação de adultos, a modernização das instituições do mercado de trabalho e o ensino geral, profissional e superior; sublinha que estas</w:t>
            </w:r>
            <w:r>
              <w:rPr>
                <w:b/>
                <w:i/>
              </w:rPr>
              <w:t xml:space="preserve"> medidas visam dar resposta a alguns dos desafios em matéria de qualidade, equidade e relevância para o mercado de trabalho dos sistemas de educação e formação em toda a UE, nomeadamente com vista a colmatar a escassez de competências; insta os Estados</w:t>
            </w:r>
            <w:r>
              <w:rPr>
                <w:b/>
                <w:i/>
              </w:rPr>
              <w:noBreakHyphen/>
            </w:r>
            <w:r>
              <w:rPr>
                <w:b/>
                <w:i/>
              </w:rPr>
              <w:t>Mem</w:t>
            </w:r>
            <w:r>
              <w:rPr>
                <w:b/>
                <w:i/>
              </w:rPr>
              <w:t>bros a continuarem a apoiar a modernização do ensino superior de qualidade através de reformas da governação e de medidas para impulsionar a internacionalização e criar um ambiente de investigação e inovação dinâmico, orientado para os resultados e eficaz;</w:t>
            </w:r>
          </w:p>
        </w:tc>
      </w:tr>
    </w:tbl>
    <w:p w:rsidR="00D1163C" w:rsidRPr="00781861" w:rsidRDefault="00FE1F10" w:rsidP="00D1163C">
      <w:r>
        <w:rPr>
          <w:rStyle w:val="HideTWBExt"/>
        </w:rPr>
        <w:t>&lt;/Amend&gt;</w:t>
      </w:r>
    </w:p>
    <w:p w:rsidR="00EA4087" w:rsidRPr="00781861" w:rsidRDefault="00FE1F10" w:rsidP="00EA4087">
      <w:pPr>
        <w:pStyle w:val="AMNumberTabs0"/>
        <w:keepNext/>
      </w:pPr>
      <w:r w:rsidRPr="00FE1F10">
        <w:rPr>
          <w:rStyle w:val="HideTWBExt"/>
          <w:b w:val="0"/>
        </w:rPr>
        <w:t>&lt;Amend&gt;</w:t>
      </w:r>
      <w:r>
        <w:t>Alteração</w:t>
      </w:r>
      <w:r>
        <w:tab/>
      </w:r>
      <w:r>
        <w:tab/>
      </w:r>
      <w:r w:rsidRPr="00FE1F10">
        <w:rPr>
          <w:rStyle w:val="HideTWBExt"/>
          <w:b w:val="0"/>
        </w:rPr>
        <w:t>&lt;NumAm&gt;</w:t>
      </w:r>
      <w:r>
        <w:t>36</w:t>
      </w:r>
      <w:r w:rsidRPr="00FE1F10">
        <w:rPr>
          <w:rStyle w:val="HideTWBExt"/>
          <w:b w:val="0"/>
        </w:rPr>
        <w:t>&lt;/NumAm&gt;</w:t>
      </w:r>
    </w:p>
    <w:p w:rsidR="00EA4087" w:rsidRPr="00781861" w:rsidRDefault="00FE1F10" w:rsidP="00EA4087">
      <w:pPr>
        <w:pStyle w:val="NormalBold12b"/>
        <w:keepNext/>
      </w:pPr>
      <w:r>
        <w:rPr>
          <w:rStyle w:val="HideTWBExt"/>
          <w:b w:val="0"/>
        </w:rPr>
        <w:t>&lt;DocAmend&gt;</w:t>
      </w:r>
      <w:r>
        <w:t>Proposta de resolução</w:t>
      </w:r>
      <w:r>
        <w:rPr>
          <w:rStyle w:val="HideTWBExt"/>
          <w:b w:val="0"/>
        </w:rPr>
        <w:t>&lt;/DocAmend&gt;</w:t>
      </w:r>
    </w:p>
    <w:p w:rsidR="00EA4087" w:rsidRPr="00781861" w:rsidRDefault="00FE1F10" w:rsidP="00EA4087">
      <w:pPr>
        <w:pStyle w:val="NormalBold"/>
      </w:pPr>
      <w:r>
        <w:rPr>
          <w:rStyle w:val="HideTWBExt"/>
          <w:b w:val="0"/>
        </w:rPr>
        <w:t>&lt;Article&gt;</w:t>
      </w:r>
      <w:r>
        <w:t>N.º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2CD8" w:rsidTr="00EA4087">
        <w:trPr>
          <w:jc w:val="center"/>
        </w:trPr>
        <w:tc>
          <w:tcPr>
            <w:tcW w:w="9752" w:type="dxa"/>
            <w:gridSpan w:val="2"/>
          </w:tcPr>
          <w:p w:rsidR="00EA4087" w:rsidRPr="00781861" w:rsidRDefault="00EA4087">
            <w:pPr>
              <w:keepNext/>
            </w:pPr>
          </w:p>
        </w:tc>
      </w:tr>
      <w:tr w:rsidR="007C2CD8" w:rsidTr="00EA4087">
        <w:trPr>
          <w:jc w:val="center"/>
        </w:trPr>
        <w:tc>
          <w:tcPr>
            <w:tcW w:w="4876" w:type="dxa"/>
            <w:hideMark/>
          </w:tcPr>
          <w:p w:rsidR="00EA4087" w:rsidRPr="00781861" w:rsidRDefault="00FE1F10">
            <w:pPr>
              <w:pStyle w:val="ColumnHeading"/>
              <w:keepNext/>
            </w:pPr>
            <w:r>
              <w:t>Proposta de resolução</w:t>
            </w:r>
          </w:p>
        </w:tc>
        <w:tc>
          <w:tcPr>
            <w:tcW w:w="4876" w:type="dxa"/>
            <w:hideMark/>
          </w:tcPr>
          <w:p w:rsidR="00EA4087" w:rsidRPr="00781861" w:rsidRDefault="00FE1F10">
            <w:pPr>
              <w:pStyle w:val="ColumnHeading"/>
              <w:keepNext/>
            </w:pPr>
            <w:r>
              <w:t>Alteração</w:t>
            </w:r>
          </w:p>
        </w:tc>
      </w:tr>
      <w:tr w:rsidR="007C2CD8" w:rsidTr="00EA4087">
        <w:trPr>
          <w:jc w:val="center"/>
        </w:trPr>
        <w:tc>
          <w:tcPr>
            <w:tcW w:w="4876" w:type="dxa"/>
            <w:hideMark/>
          </w:tcPr>
          <w:p w:rsidR="00EA4087" w:rsidRPr="00781861" w:rsidRDefault="00FE1F10">
            <w:pPr>
              <w:pStyle w:val="Normal6"/>
            </w:pPr>
            <w:r>
              <w:t>4.</w:t>
            </w:r>
            <w:r>
              <w:tab/>
              <w:t>Observa que o MRR incentivou a execução de algumas reformas incluídas nas recomendações específicas por</w:t>
            </w:r>
            <w:r>
              <w:t xml:space="preserve"> país formuladas no contexto do Semestre Europeu</w:t>
            </w:r>
            <w:r>
              <w:rPr>
                <w:b/>
                <w:i/>
              </w:rPr>
              <w:t xml:space="preserve"> e</w:t>
            </w:r>
            <w:r>
              <w:t xml:space="preserve"> que a grelha de avaliação do MRR é utilizada para acompanhar os progressos realizados na consecução dos marcos e das metas, bem como a observância dos princípios horizontais e, em particular, dos seis pila</w:t>
            </w:r>
            <w:r>
              <w:t>res, isto é, a transição ecológica, a transformação digital, o crescimento inteligente, sustentável e inclusivo, a coesão social e territorial, a saúde e resiliência económica, social e institucional, e as políticas para a próxima geração, as crianças e os</w:t>
            </w:r>
            <w:r>
              <w:t xml:space="preserve"> jovens, incluindo a educação;</w:t>
            </w:r>
          </w:p>
        </w:tc>
        <w:tc>
          <w:tcPr>
            <w:tcW w:w="4876" w:type="dxa"/>
            <w:hideMark/>
          </w:tcPr>
          <w:p w:rsidR="00EA4087" w:rsidRPr="00781861" w:rsidRDefault="00FE1F10" w:rsidP="00D1163C">
            <w:pPr>
              <w:pStyle w:val="Normal6"/>
              <w:rPr>
                <w:szCs w:val="24"/>
              </w:rPr>
            </w:pPr>
            <w:r>
              <w:t>4.</w:t>
            </w:r>
            <w:r>
              <w:tab/>
              <w:t>Observa que</w:t>
            </w:r>
            <w:r>
              <w:rPr>
                <w:b/>
                <w:i/>
              </w:rPr>
              <w:t>, a título de pré</w:t>
            </w:r>
            <w:r>
              <w:rPr>
                <w:b/>
                <w:i/>
              </w:rPr>
              <w:noBreakHyphen/>
            </w:r>
            <w:r>
              <w:rPr>
                <w:b/>
                <w:i/>
              </w:rPr>
              <w:t>requisito para uma avaliação positiva, o MRR estabelece que os PNRR devem debruçar</w:t>
            </w:r>
            <w:r>
              <w:rPr>
                <w:b/>
                <w:i/>
              </w:rPr>
              <w:noBreakHyphen/>
            </w:r>
            <w:r>
              <w:rPr>
                <w:b/>
                <w:i/>
              </w:rPr>
              <w:t>se sobre a totalidade ou um conjunto significativo dos desafios identificados nas recomendações específicas po</w:t>
            </w:r>
            <w:r>
              <w:rPr>
                <w:b/>
                <w:i/>
              </w:rPr>
              <w:t>r país (REP) pertinentes; reconhece que</w:t>
            </w:r>
            <w:r>
              <w:t xml:space="preserve"> o MRR incentivou a execução de algumas reformas incluídas nas recomendações específicas por país formuladas no contexto do Semestre Europeu</w:t>
            </w:r>
            <w:r>
              <w:rPr>
                <w:b/>
                <w:i/>
              </w:rPr>
              <w:t>, embora o TCE tenha concluído que ainda se verificam algumas lacunas decorre</w:t>
            </w:r>
            <w:r>
              <w:rPr>
                <w:b/>
                <w:i/>
              </w:rPr>
              <w:t>ntes da falta de inclusão de determinados elementos das REP; recorda</w:t>
            </w:r>
            <w:r>
              <w:t xml:space="preserve"> que a grelha de avaliação do MRR é utilizada para acompanhar os progressos realizados na consecução dos marcos e das metas, bem como a observância dos princípios horizontais e, em particu</w:t>
            </w:r>
            <w:r>
              <w:t>lar, dos seis pilares, isto é, a transição ecológica, a transformação digital, o crescimento inteligente, sustentável e inclusivo</w:t>
            </w:r>
            <w:r>
              <w:rPr>
                <w:b/>
                <w:i/>
              </w:rPr>
              <w:t xml:space="preserve"> — nomeadamente a coesão económica, o emprego, a produtividade, a competitividade, a investigação, o desenvolvimento e a inovaç</w:t>
            </w:r>
            <w:r>
              <w:rPr>
                <w:b/>
                <w:i/>
              </w:rPr>
              <w:t>ão, bem como o bom funcionamento do mercado interno em que operem pequenas e médias empresas (PME) sólidas —</w:t>
            </w:r>
            <w:r>
              <w:t>, a coesão social e territorial, a saúde e resiliência económica, social e institucional, e as políticas para a próxima geração, as crianças e os jo</w:t>
            </w:r>
            <w:r>
              <w:t>vens, incluindo a educação</w:t>
            </w:r>
            <w:r>
              <w:rPr>
                <w:b/>
                <w:i/>
              </w:rPr>
              <w:t xml:space="preserve"> e as competências;</w:t>
            </w:r>
            <w:r>
              <w:t xml:space="preserve"> </w:t>
            </w:r>
            <w:r>
              <w:rPr>
                <w:b/>
                <w:i/>
              </w:rPr>
              <w:t>exorta a Comissão a continuar a acompanhar a escassez de mão de obra e de competências e os seus respetivos desafios na UE no contexto do Semestre Europeu, nomeadamente através da realização de debates temático</w:t>
            </w:r>
            <w:r>
              <w:rPr>
                <w:b/>
                <w:i/>
              </w:rPr>
              <w:t>s, a fim de promover a partilha de conhecimentos e de boas práticas entre os Estados</w:t>
            </w:r>
            <w:r>
              <w:rPr>
                <w:b/>
                <w:i/>
              </w:rPr>
              <w:noBreakHyphen/>
            </w:r>
            <w:r>
              <w:rPr>
                <w:b/>
                <w:i/>
              </w:rPr>
              <w:t>Membros; salienta a importância dos investimentos destinados a reforçar a autonomia das pessoas com deficiência;</w:t>
            </w:r>
          </w:p>
        </w:tc>
      </w:tr>
    </w:tbl>
    <w:p w:rsidR="00EA4087" w:rsidRPr="00781861" w:rsidRDefault="00FE1F10" w:rsidP="00EA4087">
      <w:pPr>
        <w:rPr>
          <w:szCs w:val="24"/>
        </w:rPr>
      </w:pPr>
      <w:r>
        <w:rPr>
          <w:rStyle w:val="HideTWBExt"/>
        </w:rPr>
        <w:t>&lt;/Amend&gt;</w:t>
      </w:r>
    </w:p>
    <w:p w:rsidR="00D1163C" w:rsidRPr="00781861" w:rsidRDefault="00FE1F10" w:rsidP="00D1163C">
      <w:pPr>
        <w:pStyle w:val="AMNumberTabs0"/>
        <w:keepNext/>
      </w:pPr>
      <w:r w:rsidRPr="00FE1F10">
        <w:rPr>
          <w:rStyle w:val="HideTWBExt"/>
          <w:b w:val="0"/>
        </w:rPr>
        <w:t>&lt;Amend&gt;</w:t>
      </w:r>
      <w:r>
        <w:t>Alteração</w:t>
      </w:r>
      <w:r>
        <w:tab/>
      </w:r>
      <w:r>
        <w:tab/>
      </w:r>
      <w:r w:rsidRPr="00FE1F10">
        <w:rPr>
          <w:rStyle w:val="HideTWBExt"/>
          <w:b w:val="0"/>
        </w:rPr>
        <w:t>&lt;NumAm&gt;</w:t>
      </w:r>
      <w:r>
        <w:t>37</w:t>
      </w:r>
      <w:r w:rsidRPr="00FE1F10">
        <w:rPr>
          <w:rStyle w:val="HideTWBExt"/>
          <w:b w:val="0"/>
        </w:rPr>
        <w:t>&lt;/NumAm&gt;</w:t>
      </w:r>
    </w:p>
    <w:p w:rsidR="00D1163C" w:rsidRPr="00781861" w:rsidRDefault="00D1163C" w:rsidP="00D1163C"/>
    <w:p w:rsidR="00D1163C" w:rsidRPr="00781861" w:rsidRDefault="00FE1F10" w:rsidP="00D1163C">
      <w:pPr>
        <w:pStyle w:val="NormalBold"/>
        <w:keepNext/>
      </w:pPr>
      <w:r>
        <w:rPr>
          <w:rStyle w:val="HideTWBExt"/>
          <w:b w:val="0"/>
        </w:rPr>
        <w:t>&lt;DocAmend&gt;</w:t>
      </w:r>
      <w:r>
        <w:t>P</w:t>
      </w:r>
      <w:r>
        <w:t>roposta de resolução</w:t>
      </w:r>
      <w:r>
        <w:rPr>
          <w:rStyle w:val="HideTWBExt"/>
          <w:b w:val="0"/>
        </w:rPr>
        <w:t>&lt;/DocAmend&gt;</w:t>
      </w:r>
    </w:p>
    <w:p w:rsidR="00D1163C" w:rsidRPr="00781861" w:rsidRDefault="00FE1F10" w:rsidP="00D1163C">
      <w:pPr>
        <w:pStyle w:val="NormalBold"/>
      </w:pPr>
      <w:r>
        <w:rPr>
          <w:rStyle w:val="HideTWBExt"/>
          <w:b w:val="0"/>
        </w:rPr>
        <w:t>&lt;Article&gt;</w:t>
      </w:r>
      <w:r>
        <w:t>N.º 4</w:t>
      </w:r>
      <w:r>
        <w:noBreakHyphen/>
      </w:r>
      <w:r>
        <w:t>A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2CD8" w:rsidTr="00D1163C">
        <w:trPr>
          <w:jc w:val="center"/>
        </w:trPr>
        <w:tc>
          <w:tcPr>
            <w:tcW w:w="9752" w:type="dxa"/>
            <w:gridSpan w:val="2"/>
          </w:tcPr>
          <w:p w:rsidR="00D1163C" w:rsidRPr="00781861" w:rsidRDefault="00D1163C">
            <w:pPr>
              <w:keepNext/>
            </w:pPr>
          </w:p>
        </w:tc>
      </w:tr>
      <w:tr w:rsidR="007C2CD8" w:rsidTr="00D1163C">
        <w:trPr>
          <w:jc w:val="center"/>
        </w:trPr>
        <w:tc>
          <w:tcPr>
            <w:tcW w:w="4876" w:type="dxa"/>
            <w:hideMark/>
          </w:tcPr>
          <w:p w:rsidR="00D1163C" w:rsidRPr="00781861" w:rsidRDefault="00FE1F10">
            <w:pPr>
              <w:pStyle w:val="ColumnHeading"/>
              <w:keepNext/>
            </w:pPr>
            <w:r>
              <w:t>Proposta de resolução</w:t>
            </w:r>
          </w:p>
        </w:tc>
        <w:tc>
          <w:tcPr>
            <w:tcW w:w="4876" w:type="dxa"/>
            <w:hideMark/>
          </w:tcPr>
          <w:p w:rsidR="00D1163C" w:rsidRPr="00781861" w:rsidRDefault="00FE1F10">
            <w:pPr>
              <w:pStyle w:val="ColumnHeading"/>
              <w:keepNext/>
            </w:pPr>
            <w:r>
              <w:t>Alteração</w:t>
            </w:r>
          </w:p>
        </w:tc>
      </w:tr>
      <w:tr w:rsidR="007C2CD8" w:rsidTr="00D1163C">
        <w:trPr>
          <w:jc w:val="center"/>
        </w:trPr>
        <w:tc>
          <w:tcPr>
            <w:tcW w:w="4876" w:type="dxa"/>
          </w:tcPr>
          <w:p w:rsidR="00D1163C" w:rsidRPr="00781861" w:rsidRDefault="00D1163C">
            <w:pPr>
              <w:pStyle w:val="Normal6"/>
              <w:rPr>
                <w:lang w:val="en-GB"/>
              </w:rPr>
            </w:pPr>
          </w:p>
        </w:tc>
        <w:tc>
          <w:tcPr>
            <w:tcW w:w="4876" w:type="dxa"/>
            <w:hideMark/>
          </w:tcPr>
          <w:p w:rsidR="00D1163C" w:rsidRPr="00781861" w:rsidRDefault="00FE1F10" w:rsidP="00CA36E3">
            <w:pPr>
              <w:pStyle w:val="Normal6"/>
              <w:rPr>
                <w:szCs w:val="24"/>
              </w:rPr>
            </w:pPr>
            <w:r>
              <w:rPr>
                <w:b/>
                <w:i/>
              </w:rPr>
              <w:t>4</w:t>
            </w:r>
            <w:r>
              <w:rPr>
                <w:b/>
                <w:i/>
              </w:rPr>
              <w:noBreakHyphen/>
            </w:r>
            <w:r>
              <w:rPr>
                <w:b/>
                <w:i/>
              </w:rPr>
              <w:t>A.</w:t>
            </w:r>
            <w:r>
              <w:rPr>
                <w:b/>
                <w:i/>
              </w:rPr>
              <w:tab/>
              <w:t xml:space="preserve">Recorda que o MRR deve apoiar a transição demográfica da UE, em conformidade com o PEDS, promovendo o emprego e a igualdade de oportunidades, </w:t>
            </w:r>
            <w:r>
              <w:rPr>
                <w:b/>
                <w:i/>
              </w:rPr>
              <w:t xml:space="preserve">inclusivamente empregos justos e de qualidade para os trabalhadores mais velhos, investindo na educação e na aprendizagem ao longo da vida, garantindo um nível de vida digno para a população idosa através de pensões sustentáveis e adequadas, e canalizando </w:t>
            </w:r>
            <w:r>
              <w:rPr>
                <w:b/>
                <w:i/>
              </w:rPr>
              <w:t>financiamento suficiente para os cuidados continuados, com vista a promover o envelhecimento saudável e sustentável; manifesta preocupação com o facto de, de acordo com o RCE de 2025, se prever que as taxas de substituição das pensões diminua e os custos c</w:t>
            </w:r>
            <w:r>
              <w:rPr>
                <w:b/>
                <w:i/>
              </w:rPr>
              <w:t>om cuidados continuados aumentem, o que agravará os atuais desafios estruturais de disponibilidade, acessibilidade dos preços e qualidade dos cuidados de longa duração; salienta que, numa sociedade em envelhecimento, garantir a adequação e a sustentabilida</w:t>
            </w:r>
            <w:r>
              <w:rPr>
                <w:b/>
                <w:i/>
              </w:rPr>
              <w:t>de orçamental das pensões exige uma ampla gama de políticas; considera que os Estados</w:t>
            </w:r>
            <w:r>
              <w:rPr>
                <w:b/>
                <w:i/>
              </w:rPr>
              <w:noBreakHyphen/>
            </w:r>
            <w:r>
              <w:rPr>
                <w:b/>
                <w:i/>
              </w:rPr>
              <w:t>Membros devem envidar mais esforços no que diz respeito à adequação das pensões e à qualidade dos seus serviços de cuidados continuados, nomeadamente através dos investim</w:t>
            </w:r>
            <w:r>
              <w:rPr>
                <w:b/>
                <w:i/>
              </w:rPr>
              <w:t>entos e reformas incluídos nos seus PRR, em consonância com os princípios 15 e 18 do PEDS; exorta os Estados</w:t>
            </w:r>
            <w:r>
              <w:rPr>
                <w:b/>
                <w:i/>
              </w:rPr>
              <w:noBreakHyphen/>
            </w:r>
            <w:r>
              <w:rPr>
                <w:b/>
                <w:i/>
              </w:rPr>
              <w:t>Membros a porem em macha reformas dos regimes de pensões orientadas para o futuro, que não só garantam a sustentabilidade orçamental, mas também me</w:t>
            </w:r>
            <w:r>
              <w:rPr>
                <w:b/>
                <w:i/>
              </w:rPr>
              <w:t>lhorem a adequação das pensões, para garantir um nível de vida digno para todos;</w:t>
            </w:r>
          </w:p>
        </w:tc>
      </w:tr>
    </w:tbl>
    <w:p w:rsidR="00D1163C" w:rsidRPr="00781861" w:rsidRDefault="00FE1F10" w:rsidP="00D1163C">
      <w:r>
        <w:rPr>
          <w:rStyle w:val="HideTWBExt"/>
        </w:rPr>
        <w:t>&lt;/Amend&gt;</w:t>
      </w:r>
    </w:p>
    <w:p w:rsidR="00D1163C" w:rsidRPr="00781861" w:rsidRDefault="00FE1F10" w:rsidP="00D1163C">
      <w:pPr>
        <w:pStyle w:val="AMNumberTabs0"/>
        <w:keepNext/>
      </w:pPr>
      <w:r w:rsidRPr="00FE1F10">
        <w:rPr>
          <w:rStyle w:val="HideTWBExt"/>
          <w:b w:val="0"/>
        </w:rPr>
        <w:t>&lt;Amend&gt;</w:t>
      </w:r>
      <w:r>
        <w:t>Alteração</w:t>
      </w:r>
      <w:r>
        <w:tab/>
      </w:r>
      <w:r>
        <w:tab/>
      </w:r>
      <w:r w:rsidRPr="00FE1F10">
        <w:rPr>
          <w:rStyle w:val="HideTWBExt"/>
          <w:b w:val="0"/>
        </w:rPr>
        <w:t>&lt;NumAm&gt;</w:t>
      </w:r>
      <w:r>
        <w:t>38</w:t>
      </w:r>
      <w:r w:rsidRPr="00FE1F10">
        <w:rPr>
          <w:rStyle w:val="HideTWBExt"/>
          <w:b w:val="0"/>
        </w:rPr>
        <w:t>&lt;/NumAm&gt;</w:t>
      </w:r>
    </w:p>
    <w:p w:rsidR="00D1163C" w:rsidRPr="00781861" w:rsidRDefault="00D1163C" w:rsidP="00D1163C"/>
    <w:p w:rsidR="00D1163C" w:rsidRPr="00781861" w:rsidRDefault="00FE1F10" w:rsidP="00D1163C">
      <w:pPr>
        <w:pStyle w:val="NormalBold"/>
        <w:keepNext/>
      </w:pPr>
      <w:r>
        <w:rPr>
          <w:rStyle w:val="HideTWBExt"/>
          <w:b w:val="0"/>
        </w:rPr>
        <w:t>&lt;DocAmend&gt;</w:t>
      </w:r>
      <w:r>
        <w:t>Proposta de resolução</w:t>
      </w:r>
      <w:r>
        <w:rPr>
          <w:rStyle w:val="HideTWBExt"/>
          <w:b w:val="0"/>
        </w:rPr>
        <w:t>&lt;/DocAmend&gt;</w:t>
      </w:r>
    </w:p>
    <w:p w:rsidR="00D1163C" w:rsidRPr="00781861" w:rsidRDefault="00FE1F10" w:rsidP="00D1163C">
      <w:pPr>
        <w:pStyle w:val="NormalBold"/>
      </w:pPr>
      <w:r>
        <w:rPr>
          <w:rStyle w:val="HideTWBExt"/>
          <w:b w:val="0"/>
        </w:rPr>
        <w:t>&lt;Article&gt;</w:t>
      </w:r>
      <w:r>
        <w:t>N.º 4</w:t>
      </w:r>
      <w:r>
        <w:noBreakHyphen/>
      </w:r>
      <w:r>
        <w:t>B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2CD8" w:rsidTr="00D1163C">
        <w:trPr>
          <w:jc w:val="center"/>
        </w:trPr>
        <w:tc>
          <w:tcPr>
            <w:tcW w:w="9752" w:type="dxa"/>
            <w:gridSpan w:val="2"/>
          </w:tcPr>
          <w:p w:rsidR="00D1163C" w:rsidRPr="00781861" w:rsidRDefault="00D1163C">
            <w:pPr>
              <w:keepNext/>
            </w:pPr>
          </w:p>
        </w:tc>
      </w:tr>
      <w:tr w:rsidR="007C2CD8" w:rsidTr="00D1163C">
        <w:trPr>
          <w:jc w:val="center"/>
        </w:trPr>
        <w:tc>
          <w:tcPr>
            <w:tcW w:w="4876" w:type="dxa"/>
            <w:hideMark/>
          </w:tcPr>
          <w:p w:rsidR="00D1163C" w:rsidRPr="00781861" w:rsidRDefault="00FE1F10">
            <w:pPr>
              <w:pStyle w:val="ColumnHeading"/>
              <w:keepNext/>
            </w:pPr>
            <w:r>
              <w:t>Proposta de resolução</w:t>
            </w:r>
          </w:p>
        </w:tc>
        <w:tc>
          <w:tcPr>
            <w:tcW w:w="4876" w:type="dxa"/>
            <w:hideMark/>
          </w:tcPr>
          <w:p w:rsidR="00D1163C" w:rsidRPr="00781861" w:rsidRDefault="00FE1F10">
            <w:pPr>
              <w:pStyle w:val="ColumnHeading"/>
              <w:keepNext/>
            </w:pPr>
            <w:r>
              <w:t>Alteração</w:t>
            </w:r>
          </w:p>
        </w:tc>
      </w:tr>
      <w:tr w:rsidR="007C2CD8" w:rsidTr="00D1163C">
        <w:trPr>
          <w:jc w:val="center"/>
        </w:trPr>
        <w:tc>
          <w:tcPr>
            <w:tcW w:w="4876" w:type="dxa"/>
          </w:tcPr>
          <w:p w:rsidR="00D1163C" w:rsidRPr="00781861" w:rsidRDefault="00D1163C">
            <w:pPr>
              <w:pStyle w:val="Normal6"/>
              <w:rPr>
                <w:lang w:val="en-GB"/>
              </w:rPr>
            </w:pPr>
          </w:p>
        </w:tc>
        <w:tc>
          <w:tcPr>
            <w:tcW w:w="4876" w:type="dxa"/>
            <w:hideMark/>
          </w:tcPr>
          <w:p w:rsidR="00D1163C" w:rsidRPr="00781861" w:rsidRDefault="00FE1F10" w:rsidP="00425462">
            <w:pPr>
              <w:pStyle w:val="Normal6"/>
              <w:rPr>
                <w:szCs w:val="24"/>
              </w:rPr>
            </w:pPr>
            <w:r>
              <w:rPr>
                <w:b/>
                <w:i/>
              </w:rPr>
              <w:t>4</w:t>
            </w:r>
            <w:r>
              <w:rPr>
                <w:b/>
                <w:i/>
              </w:rPr>
              <w:noBreakHyphen/>
            </w:r>
            <w:r>
              <w:rPr>
                <w:b/>
                <w:i/>
              </w:rPr>
              <w:t>B.</w:t>
            </w:r>
            <w:r>
              <w:rPr>
                <w:b/>
                <w:i/>
              </w:rPr>
              <w:tab/>
              <w:t xml:space="preserve">Observa </w:t>
            </w:r>
            <w:r>
              <w:rPr>
                <w:b/>
                <w:i/>
              </w:rPr>
              <w:t>que, apesar do aumento dos investimentos na UE, os salários reais na UE e na maioria dos Estados</w:t>
            </w:r>
            <w:r>
              <w:rPr>
                <w:b/>
                <w:i/>
              </w:rPr>
              <w:noBreakHyphen/>
            </w:r>
            <w:r>
              <w:rPr>
                <w:b/>
                <w:i/>
              </w:rPr>
              <w:t>Membros permanecem abaixo dos níveis pré</w:t>
            </w:r>
            <w:r>
              <w:rPr>
                <w:b/>
                <w:i/>
              </w:rPr>
              <w:noBreakHyphen/>
            </w:r>
            <w:r>
              <w:rPr>
                <w:b/>
                <w:i/>
              </w:rPr>
              <w:t>pandémicos, ao passo que o emprego precário continua a ser uma preocupação; realça que o facto de o impacto das transf</w:t>
            </w:r>
            <w:r>
              <w:rPr>
                <w:b/>
                <w:i/>
              </w:rPr>
              <w:t>erências sociais (excluindo as pensões) na redução da pobreza ter diminuído ligeiramente em 2023 torna evidente a importância de envidar mais esforços para garantir um apoio ao rendimento e uma cobertura adequados, em conformidade com o princípio 14 do PED</w:t>
            </w:r>
            <w:r>
              <w:rPr>
                <w:b/>
                <w:i/>
              </w:rPr>
              <w:t>S; observa que vários Estados</w:t>
            </w:r>
            <w:r>
              <w:rPr>
                <w:b/>
                <w:i/>
              </w:rPr>
              <w:noBreakHyphen/>
            </w:r>
            <w:r>
              <w:rPr>
                <w:b/>
                <w:i/>
              </w:rPr>
              <w:t>Membros alteraram ou tencionam alterar os seus quadros de salário mínimo no contexto dos seus PRR; salienta a importância das reformas que visam aumentar o salário mínimo em consulta com os parceiros sociais, em consonância co</w:t>
            </w:r>
            <w:r>
              <w:rPr>
                <w:b/>
                <w:i/>
              </w:rPr>
              <w:t>m a Diretiva relativa a salários mínimos adequados, e insta os Estados</w:t>
            </w:r>
            <w:r>
              <w:rPr>
                <w:b/>
                <w:i/>
              </w:rPr>
              <w:noBreakHyphen/>
            </w:r>
            <w:r>
              <w:rPr>
                <w:b/>
                <w:i/>
              </w:rPr>
              <w:t>Membros que ainda não o fizeram a tomarem medidas neste domínio; frisa a necessidade de realizar investimentos e reformas ambiciosas que permitam criar emprego de elevada qualidade, fom</w:t>
            </w:r>
            <w:r>
              <w:rPr>
                <w:b/>
                <w:i/>
              </w:rPr>
              <w:t>entar condições de trabalho favoráveis, combater a pobreza e a segmentação do mercado de trabalho e reforçar o diálogo social e a negociação coletiva, em sintonia com o PEDS;</w:t>
            </w:r>
          </w:p>
        </w:tc>
      </w:tr>
    </w:tbl>
    <w:p w:rsidR="00D1163C" w:rsidRPr="00781861" w:rsidRDefault="00FE1F10" w:rsidP="00D1163C">
      <w:r>
        <w:rPr>
          <w:rStyle w:val="HideTWBExt"/>
        </w:rPr>
        <w:t>&lt;/Amend&gt;</w:t>
      </w:r>
    </w:p>
    <w:p w:rsidR="00D1163C" w:rsidRPr="00781861" w:rsidRDefault="00FE1F10" w:rsidP="00D1163C">
      <w:pPr>
        <w:pStyle w:val="AMNumberTabs0"/>
        <w:keepNext/>
      </w:pPr>
      <w:r w:rsidRPr="00FE1F10">
        <w:rPr>
          <w:rStyle w:val="HideTWBExt"/>
          <w:b w:val="0"/>
        </w:rPr>
        <w:t>&lt;Amend&gt;</w:t>
      </w:r>
      <w:r>
        <w:t>Alteração</w:t>
      </w:r>
      <w:r>
        <w:tab/>
      </w:r>
      <w:r>
        <w:tab/>
      </w:r>
      <w:r w:rsidRPr="00FE1F10">
        <w:rPr>
          <w:rStyle w:val="HideTWBExt"/>
          <w:b w:val="0"/>
        </w:rPr>
        <w:t>&lt;NumAm&gt;</w:t>
      </w:r>
      <w:r>
        <w:t>39</w:t>
      </w:r>
      <w:r w:rsidRPr="00FE1F10">
        <w:rPr>
          <w:rStyle w:val="HideTWBExt"/>
          <w:b w:val="0"/>
        </w:rPr>
        <w:t>&lt;/NumAm&gt;</w:t>
      </w:r>
    </w:p>
    <w:p w:rsidR="00D1163C" w:rsidRPr="00781861" w:rsidRDefault="00D1163C" w:rsidP="00D1163C"/>
    <w:p w:rsidR="00D1163C" w:rsidRPr="00781861" w:rsidRDefault="00FE1F10" w:rsidP="00D1163C">
      <w:pPr>
        <w:pStyle w:val="NormalBold"/>
        <w:keepNext/>
      </w:pPr>
      <w:r>
        <w:rPr>
          <w:rStyle w:val="HideTWBExt"/>
          <w:b w:val="0"/>
        </w:rPr>
        <w:t>&lt;DocAmend&gt;</w:t>
      </w:r>
      <w:r>
        <w:t>Proposta de resolução</w:t>
      </w:r>
      <w:r>
        <w:rPr>
          <w:rStyle w:val="HideTWBExt"/>
          <w:b w:val="0"/>
        </w:rPr>
        <w:t>&lt;/D</w:t>
      </w:r>
      <w:r>
        <w:rPr>
          <w:rStyle w:val="HideTWBExt"/>
          <w:b w:val="0"/>
        </w:rPr>
        <w:t>ocAmend&gt;</w:t>
      </w:r>
    </w:p>
    <w:p w:rsidR="00D1163C" w:rsidRPr="00781861" w:rsidRDefault="00FE1F10" w:rsidP="00D1163C">
      <w:pPr>
        <w:pStyle w:val="NormalBold"/>
      </w:pPr>
      <w:r>
        <w:rPr>
          <w:rStyle w:val="HideTWBExt"/>
          <w:b w:val="0"/>
        </w:rPr>
        <w:t>&lt;Article&gt;</w:t>
      </w:r>
      <w:r>
        <w:t>N.º 4</w:t>
      </w:r>
      <w:r>
        <w:noBreakHyphen/>
      </w:r>
      <w:r>
        <w:t>C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2CD8" w:rsidTr="00D1163C">
        <w:trPr>
          <w:jc w:val="center"/>
        </w:trPr>
        <w:tc>
          <w:tcPr>
            <w:tcW w:w="9752" w:type="dxa"/>
            <w:gridSpan w:val="2"/>
          </w:tcPr>
          <w:p w:rsidR="00D1163C" w:rsidRPr="00781861" w:rsidRDefault="00D1163C">
            <w:pPr>
              <w:keepNext/>
            </w:pPr>
          </w:p>
        </w:tc>
      </w:tr>
      <w:tr w:rsidR="007C2CD8" w:rsidTr="00D1163C">
        <w:trPr>
          <w:jc w:val="center"/>
        </w:trPr>
        <w:tc>
          <w:tcPr>
            <w:tcW w:w="4876" w:type="dxa"/>
            <w:hideMark/>
          </w:tcPr>
          <w:p w:rsidR="00D1163C" w:rsidRPr="00781861" w:rsidRDefault="00FE1F10">
            <w:pPr>
              <w:pStyle w:val="ColumnHeading"/>
              <w:keepNext/>
            </w:pPr>
            <w:r>
              <w:t>Proposta de resolução</w:t>
            </w:r>
          </w:p>
        </w:tc>
        <w:tc>
          <w:tcPr>
            <w:tcW w:w="4876" w:type="dxa"/>
            <w:hideMark/>
          </w:tcPr>
          <w:p w:rsidR="00D1163C" w:rsidRPr="00781861" w:rsidRDefault="00FE1F10">
            <w:pPr>
              <w:pStyle w:val="ColumnHeading"/>
              <w:keepNext/>
            </w:pPr>
            <w:r>
              <w:t>Alteração</w:t>
            </w:r>
          </w:p>
        </w:tc>
      </w:tr>
      <w:tr w:rsidR="007C2CD8" w:rsidTr="00D1163C">
        <w:trPr>
          <w:jc w:val="center"/>
        </w:trPr>
        <w:tc>
          <w:tcPr>
            <w:tcW w:w="4876" w:type="dxa"/>
          </w:tcPr>
          <w:p w:rsidR="00D1163C" w:rsidRPr="00781861" w:rsidRDefault="00D1163C">
            <w:pPr>
              <w:pStyle w:val="Normal6"/>
              <w:rPr>
                <w:lang w:val="en-GB"/>
              </w:rPr>
            </w:pPr>
          </w:p>
        </w:tc>
        <w:tc>
          <w:tcPr>
            <w:tcW w:w="4876" w:type="dxa"/>
            <w:hideMark/>
          </w:tcPr>
          <w:p w:rsidR="00D1163C" w:rsidRPr="00781861" w:rsidRDefault="00FE1F10" w:rsidP="0026112C">
            <w:pPr>
              <w:pStyle w:val="Normal6"/>
              <w:rPr>
                <w:szCs w:val="24"/>
              </w:rPr>
            </w:pPr>
            <w:r>
              <w:rPr>
                <w:b/>
                <w:i/>
              </w:rPr>
              <w:t>4</w:t>
            </w:r>
            <w:r>
              <w:rPr>
                <w:b/>
                <w:i/>
              </w:rPr>
              <w:noBreakHyphen/>
            </w:r>
            <w:r>
              <w:rPr>
                <w:b/>
                <w:i/>
              </w:rPr>
              <w:t>C.</w:t>
            </w:r>
            <w:r>
              <w:rPr>
                <w:b/>
                <w:i/>
              </w:rPr>
              <w:tab/>
              <w:t>Regista os esforços constantes dos Estados</w:t>
            </w:r>
            <w:r>
              <w:rPr>
                <w:b/>
                <w:i/>
              </w:rPr>
              <w:noBreakHyphen/>
            </w:r>
            <w:r>
              <w:rPr>
                <w:b/>
                <w:i/>
              </w:rPr>
              <w:t>Membros para melhorar o acesso aos serviços sociais e a sua qualidade, como a adoção de um mapa nacional de serviços sociais para</w:t>
            </w:r>
            <w:r>
              <w:rPr>
                <w:b/>
                <w:i/>
              </w:rPr>
              <w:t xml:space="preserve"> identificar lacunas na prestação de serviços e determinar as necessidades de investimento, assim como investimentos em novos estabelecimentos de saúde e telemedicina para aproximar os serviços dos doentes, estratégias nacionais de saúde para melhorar o ac</w:t>
            </w:r>
            <w:r>
              <w:rPr>
                <w:b/>
                <w:i/>
              </w:rPr>
              <w:t>esso aos serviços de saúde em todos os países e medidas para fazer face à escassez de mão de obra no setor dos cuidados de saúde e aumentar a retenção de trabalhadores através de formação e de incentivos; insta os Estados</w:t>
            </w:r>
            <w:r>
              <w:rPr>
                <w:b/>
                <w:i/>
              </w:rPr>
              <w:noBreakHyphen/>
            </w:r>
            <w:r>
              <w:rPr>
                <w:b/>
                <w:i/>
              </w:rPr>
              <w:t xml:space="preserve">Membros a envidarem esforços para </w:t>
            </w:r>
            <w:r>
              <w:rPr>
                <w:b/>
                <w:i/>
              </w:rPr>
              <w:t>garantir um acesso universal a serviços essenciais, como a água, o saneamento, os transportes, os serviços financeiros e as comunicações digitais; frisa que a saúde mental deve constituir um elemento essencial da recuperação socioeconómica da UE e uma prio</w:t>
            </w:r>
            <w:r>
              <w:rPr>
                <w:b/>
                <w:i/>
              </w:rPr>
              <w:t>ridade em matéria de saúde no trabalho; receia que alguns Estados</w:t>
            </w:r>
            <w:r>
              <w:rPr>
                <w:b/>
                <w:i/>
              </w:rPr>
              <w:noBreakHyphen/>
            </w:r>
            <w:r>
              <w:rPr>
                <w:b/>
                <w:i/>
              </w:rPr>
              <w:t>Membros não tenham previsto medidas suficientes para garantir cuidados de saúde mental acessíveis, a preços comportáveis e de qualidade nos seus PNRR e convida os Estados</w:t>
            </w:r>
            <w:r>
              <w:rPr>
                <w:b/>
                <w:i/>
              </w:rPr>
              <w:noBreakHyphen/>
            </w:r>
            <w:r>
              <w:rPr>
                <w:b/>
                <w:i/>
              </w:rPr>
              <w:t>Membros a incluírem</w:t>
            </w:r>
            <w:r>
              <w:rPr>
                <w:b/>
                <w:i/>
              </w:rPr>
              <w:t xml:space="preserve"> estratégias dedicadas à saúde mental nas futuras revisões dos seus PNRR;</w:t>
            </w:r>
          </w:p>
        </w:tc>
      </w:tr>
    </w:tbl>
    <w:p w:rsidR="00D1163C" w:rsidRPr="00781861" w:rsidRDefault="00FE1F10" w:rsidP="00D1163C">
      <w:r>
        <w:rPr>
          <w:rStyle w:val="HideTWBExt"/>
        </w:rPr>
        <w:t>&lt;/Amend&gt;</w:t>
      </w:r>
    </w:p>
    <w:p w:rsidR="0031616B" w:rsidRPr="00781861" w:rsidRDefault="00FE1F10" w:rsidP="0031616B">
      <w:pPr>
        <w:pStyle w:val="AmNumberTabs"/>
      </w:pPr>
      <w:r>
        <w:rPr>
          <w:rStyle w:val="HideTWBExt"/>
          <w:b w:val="0"/>
        </w:rPr>
        <w:t>&lt;Amend&gt;</w:t>
      </w:r>
      <w:r>
        <w:t>Alteração</w:t>
      </w:r>
      <w:r>
        <w:tab/>
      </w:r>
      <w:r>
        <w:tab/>
      </w:r>
      <w:r>
        <w:rPr>
          <w:rStyle w:val="HideTWBExt"/>
          <w:b w:val="0"/>
        </w:rPr>
        <w:t>&lt;NumAm&gt;</w:t>
      </w:r>
      <w:r>
        <w:t>40</w:t>
      </w:r>
      <w:r>
        <w:rPr>
          <w:rStyle w:val="HideTWBExt"/>
          <w:b w:val="0"/>
        </w:rPr>
        <w:t>&lt;/NumAm&gt;</w:t>
      </w:r>
    </w:p>
    <w:p w:rsidR="0031616B" w:rsidRPr="00781861" w:rsidRDefault="00FE1F10" w:rsidP="0031616B">
      <w:pPr>
        <w:pStyle w:val="NormalBold12b"/>
      </w:pPr>
      <w:r>
        <w:rPr>
          <w:rStyle w:val="HideTWBExt"/>
          <w:b w:val="0"/>
        </w:rPr>
        <w:t>&lt;DocAmend&gt;</w:t>
      </w:r>
      <w:r>
        <w:t>Proposta de resolução</w:t>
      </w:r>
      <w:r>
        <w:rPr>
          <w:rStyle w:val="HideTWBExt"/>
          <w:b w:val="0"/>
        </w:rPr>
        <w:t>&lt;/DocAmend&gt;</w:t>
      </w:r>
    </w:p>
    <w:p w:rsidR="0031616B" w:rsidRPr="00781861" w:rsidRDefault="00FE1F10" w:rsidP="0031616B">
      <w:pPr>
        <w:pStyle w:val="NormalBold"/>
      </w:pPr>
      <w:r>
        <w:rPr>
          <w:rStyle w:val="HideTWBExt"/>
          <w:b w:val="0"/>
        </w:rPr>
        <w:t>&lt;Article&gt;</w:t>
      </w:r>
      <w:r>
        <w:t>N.º 4</w:t>
      </w:r>
      <w:r>
        <w:noBreakHyphen/>
      </w:r>
      <w:r>
        <w:t>D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2CD8" w:rsidTr="0031616B">
        <w:trPr>
          <w:jc w:val="center"/>
        </w:trPr>
        <w:tc>
          <w:tcPr>
            <w:tcW w:w="9752" w:type="dxa"/>
            <w:gridSpan w:val="2"/>
          </w:tcPr>
          <w:p w:rsidR="0031616B" w:rsidRPr="00781861" w:rsidRDefault="0031616B">
            <w:pPr>
              <w:keepNext/>
            </w:pPr>
          </w:p>
        </w:tc>
      </w:tr>
      <w:tr w:rsidR="007C2CD8" w:rsidTr="0031616B">
        <w:trPr>
          <w:jc w:val="center"/>
        </w:trPr>
        <w:tc>
          <w:tcPr>
            <w:tcW w:w="4876" w:type="dxa"/>
            <w:hideMark/>
          </w:tcPr>
          <w:p w:rsidR="0031616B" w:rsidRPr="00781861" w:rsidRDefault="00FE1F10">
            <w:pPr>
              <w:pStyle w:val="ColumnHeading"/>
              <w:keepNext/>
            </w:pPr>
            <w:r>
              <w:t>Proposta de resolução</w:t>
            </w:r>
          </w:p>
        </w:tc>
        <w:tc>
          <w:tcPr>
            <w:tcW w:w="4876" w:type="dxa"/>
            <w:hideMark/>
          </w:tcPr>
          <w:p w:rsidR="0031616B" w:rsidRPr="00781861" w:rsidRDefault="00FE1F10">
            <w:pPr>
              <w:pStyle w:val="ColumnHeading"/>
              <w:keepNext/>
            </w:pPr>
            <w:r>
              <w:t>Alteração</w:t>
            </w:r>
          </w:p>
        </w:tc>
      </w:tr>
      <w:tr w:rsidR="007C2CD8" w:rsidTr="0031616B">
        <w:trPr>
          <w:jc w:val="center"/>
        </w:trPr>
        <w:tc>
          <w:tcPr>
            <w:tcW w:w="4876" w:type="dxa"/>
          </w:tcPr>
          <w:p w:rsidR="0031616B" w:rsidRPr="00781861" w:rsidRDefault="0031616B">
            <w:pPr>
              <w:pStyle w:val="Normal6"/>
              <w:rPr>
                <w:lang w:val="en-GB"/>
              </w:rPr>
            </w:pPr>
          </w:p>
        </w:tc>
        <w:tc>
          <w:tcPr>
            <w:tcW w:w="4876" w:type="dxa"/>
            <w:hideMark/>
          </w:tcPr>
          <w:p w:rsidR="0031616B" w:rsidRPr="00781861" w:rsidRDefault="00FE1F10" w:rsidP="00E6527C">
            <w:pPr>
              <w:pStyle w:val="Normal6"/>
              <w:rPr>
                <w:szCs w:val="24"/>
              </w:rPr>
            </w:pPr>
            <w:r>
              <w:rPr>
                <w:b/>
                <w:i/>
              </w:rPr>
              <w:t>4</w:t>
            </w:r>
            <w:r>
              <w:rPr>
                <w:b/>
                <w:i/>
              </w:rPr>
              <w:noBreakHyphen/>
            </w:r>
            <w:r>
              <w:rPr>
                <w:b/>
                <w:i/>
              </w:rPr>
              <w:t>D.</w:t>
            </w:r>
            <w:r>
              <w:rPr>
                <w:b/>
                <w:i/>
              </w:rPr>
              <w:tab/>
              <w:t>Congratula</w:t>
            </w:r>
            <w:r>
              <w:rPr>
                <w:b/>
                <w:i/>
              </w:rPr>
              <w:noBreakHyphen/>
            </w:r>
            <w:r>
              <w:rPr>
                <w:b/>
                <w:i/>
              </w:rPr>
              <w:t xml:space="preserve">se com </w:t>
            </w:r>
            <w:r>
              <w:rPr>
                <w:b/>
                <w:i/>
              </w:rPr>
              <w:t>o facto de o MRR representar uma oportunidade para reforçar os serviços públicos de emprego e as políticas de ativação do emprego; solicita que se efetue um debate mais aprofundado sobre a forma como os custos dos novos serviços e encargos conexos serão co</w:t>
            </w:r>
            <w:r>
              <w:rPr>
                <w:b/>
                <w:i/>
              </w:rPr>
              <w:t>bertos após o termo do MRR;</w:t>
            </w:r>
          </w:p>
        </w:tc>
      </w:tr>
    </w:tbl>
    <w:p w:rsidR="0031616B" w:rsidRPr="00781861" w:rsidRDefault="00FE1F10" w:rsidP="0031616B">
      <w:r>
        <w:rPr>
          <w:rStyle w:val="HideTWBExt"/>
        </w:rPr>
        <w:t>&lt;/Amend&gt;</w:t>
      </w:r>
    </w:p>
    <w:p w:rsidR="00D1163C" w:rsidRPr="00781861" w:rsidRDefault="00FE1F10" w:rsidP="00D1163C">
      <w:pPr>
        <w:pStyle w:val="AMNumberTabs0"/>
        <w:keepNext/>
      </w:pPr>
      <w:r w:rsidRPr="00FE1F10">
        <w:rPr>
          <w:rStyle w:val="HideTWBExt"/>
          <w:b w:val="0"/>
        </w:rPr>
        <w:t>&lt;Amend&gt;</w:t>
      </w:r>
      <w:r>
        <w:t>Alteração</w:t>
      </w:r>
      <w:r>
        <w:tab/>
      </w:r>
      <w:r>
        <w:tab/>
      </w:r>
      <w:r w:rsidRPr="00FE1F10">
        <w:rPr>
          <w:rStyle w:val="HideTWBExt"/>
          <w:b w:val="0"/>
        </w:rPr>
        <w:t>&lt;NumAm&gt;</w:t>
      </w:r>
      <w:r>
        <w:t>41</w:t>
      </w:r>
      <w:r w:rsidRPr="00FE1F10">
        <w:rPr>
          <w:rStyle w:val="HideTWBExt"/>
          <w:b w:val="0"/>
        </w:rPr>
        <w:t>&lt;/NumAm&gt;</w:t>
      </w:r>
    </w:p>
    <w:p w:rsidR="00D1163C" w:rsidRPr="00781861" w:rsidRDefault="00D1163C" w:rsidP="00D1163C"/>
    <w:p w:rsidR="00D1163C" w:rsidRPr="00781861" w:rsidRDefault="00FE1F10" w:rsidP="00D1163C">
      <w:pPr>
        <w:pStyle w:val="NormalBold"/>
        <w:keepNext/>
      </w:pPr>
      <w:r>
        <w:rPr>
          <w:rStyle w:val="HideTWBExt"/>
          <w:b w:val="0"/>
        </w:rPr>
        <w:t>&lt;DocAmend&gt;</w:t>
      </w:r>
      <w:r>
        <w:t>Proposta de resolução</w:t>
      </w:r>
      <w:r>
        <w:rPr>
          <w:rStyle w:val="HideTWBExt"/>
          <w:b w:val="0"/>
        </w:rPr>
        <w:t>&lt;/DocAmend&gt;</w:t>
      </w:r>
    </w:p>
    <w:p w:rsidR="00D1163C" w:rsidRPr="00781861" w:rsidRDefault="00FE1F10" w:rsidP="00D1163C">
      <w:pPr>
        <w:pStyle w:val="NormalBold"/>
      </w:pPr>
      <w:r>
        <w:rPr>
          <w:rStyle w:val="HideTWBExt"/>
          <w:b w:val="0"/>
        </w:rPr>
        <w:t>&lt;Article&gt;</w:t>
      </w:r>
      <w:r>
        <w:t>N.º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2CD8" w:rsidTr="00D1163C">
        <w:trPr>
          <w:jc w:val="center"/>
        </w:trPr>
        <w:tc>
          <w:tcPr>
            <w:tcW w:w="9752" w:type="dxa"/>
            <w:gridSpan w:val="2"/>
          </w:tcPr>
          <w:p w:rsidR="00D1163C" w:rsidRPr="00781861" w:rsidRDefault="00D1163C">
            <w:pPr>
              <w:keepNext/>
            </w:pPr>
          </w:p>
        </w:tc>
      </w:tr>
      <w:tr w:rsidR="007C2CD8" w:rsidTr="00D1163C">
        <w:trPr>
          <w:jc w:val="center"/>
        </w:trPr>
        <w:tc>
          <w:tcPr>
            <w:tcW w:w="4876" w:type="dxa"/>
            <w:hideMark/>
          </w:tcPr>
          <w:p w:rsidR="00D1163C" w:rsidRPr="00781861" w:rsidRDefault="00FE1F10">
            <w:pPr>
              <w:pStyle w:val="ColumnHeading"/>
              <w:keepNext/>
            </w:pPr>
            <w:r>
              <w:t>Proposta de resolução</w:t>
            </w:r>
          </w:p>
        </w:tc>
        <w:tc>
          <w:tcPr>
            <w:tcW w:w="4876" w:type="dxa"/>
            <w:hideMark/>
          </w:tcPr>
          <w:p w:rsidR="00D1163C" w:rsidRPr="00781861" w:rsidRDefault="00FE1F10">
            <w:pPr>
              <w:pStyle w:val="ColumnHeading"/>
              <w:keepNext/>
            </w:pPr>
            <w:r>
              <w:t>Alteração</w:t>
            </w:r>
          </w:p>
        </w:tc>
      </w:tr>
      <w:tr w:rsidR="007C2CD8" w:rsidTr="00D1163C">
        <w:trPr>
          <w:jc w:val="center"/>
        </w:trPr>
        <w:tc>
          <w:tcPr>
            <w:tcW w:w="4876" w:type="dxa"/>
            <w:hideMark/>
          </w:tcPr>
          <w:p w:rsidR="00D1163C" w:rsidRPr="00781861" w:rsidRDefault="00FE1F10">
            <w:pPr>
              <w:pStyle w:val="Normal6"/>
            </w:pPr>
            <w:r>
              <w:t>6.</w:t>
            </w:r>
            <w:r>
              <w:tab/>
              <w:t>Congratula</w:t>
            </w:r>
            <w:r>
              <w:noBreakHyphen/>
            </w:r>
            <w:r>
              <w:t xml:space="preserve">se com o facto de o MRR prestar apoio quer às reformas quer aos </w:t>
            </w:r>
            <w:r>
              <w:t>investimentos nos Estados</w:t>
            </w:r>
            <w:r>
              <w:noBreakHyphen/>
            </w:r>
            <w:r>
              <w:t>Membros, mas assinala que há ainda muito a fazer; receia que o curto período remanescente para a execução do MRR não permita a execução de várias reformas importantes e grandes investimentos previstos;</w:t>
            </w:r>
          </w:p>
        </w:tc>
        <w:tc>
          <w:tcPr>
            <w:tcW w:w="4876" w:type="dxa"/>
            <w:hideMark/>
          </w:tcPr>
          <w:p w:rsidR="00D1163C" w:rsidRPr="00781861" w:rsidRDefault="00FE1F10">
            <w:pPr>
              <w:pStyle w:val="Normal6"/>
              <w:rPr>
                <w:szCs w:val="24"/>
              </w:rPr>
            </w:pPr>
            <w:r>
              <w:t>6.</w:t>
            </w:r>
            <w:r>
              <w:tab/>
              <w:t>Congratula</w:t>
            </w:r>
            <w:r>
              <w:noBreakHyphen/>
            </w:r>
            <w:r>
              <w:t>se com o facto</w:t>
            </w:r>
            <w:r>
              <w:t xml:space="preserve"> de o MRR prestar apoio quer às reformas quer aos investimentos nos Estados</w:t>
            </w:r>
            <w:r>
              <w:noBreakHyphen/>
            </w:r>
            <w:r>
              <w:t>Membros, mas assinala que há ainda muito a fazer;</w:t>
            </w:r>
            <w:r>
              <w:rPr>
                <w:b/>
                <w:i/>
              </w:rPr>
              <w:t xml:space="preserve"> salienta que os atrasos burocráticos e os problemas de capacidade de absorção continuam a ser obstáculos consideráveis à concretiz</w:t>
            </w:r>
            <w:r>
              <w:rPr>
                <w:b/>
                <w:i/>
              </w:rPr>
              <w:t>ação plena dos benefícios potenciais do MRR;</w:t>
            </w:r>
            <w:r>
              <w:t xml:space="preserve"> receia que o curto período remanescente para a execução do MRR não permita a execução de várias reformas importantes e grandes investimentos previstos</w:t>
            </w:r>
            <w:r>
              <w:rPr>
                <w:b/>
                <w:i/>
              </w:rPr>
              <w:t>, sublinhando a necessidade de uma ação mais direcionada e ac</w:t>
            </w:r>
            <w:r>
              <w:rPr>
                <w:b/>
                <w:i/>
              </w:rPr>
              <w:t>elerada para garantir a concretização de todo o potencial do MRR, especialmente em domínios essenciais para a estabilidade, o crescimento e a coesão social de longo prazo;</w:t>
            </w:r>
            <w:r>
              <w:t xml:space="preserve"> </w:t>
            </w:r>
            <w:r>
              <w:rPr>
                <w:b/>
                <w:i/>
              </w:rPr>
              <w:t>insta os Estados</w:t>
            </w:r>
            <w:r>
              <w:rPr>
                <w:b/>
                <w:i/>
              </w:rPr>
              <w:noBreakHyphen/>
            </w:r>
            <w:r>
              <w:rPr>
                <w:b/>
                <w:i/>
              </w:rPr>
              <w:t>Membros a acelerarem a execução e a recorrerem de forma acrescida à</w:t>
            </w:r>
            <w:r>
              <w:rPr>
                <w:b/>
                <w:i/>
              </w:rPr>
              <w:t xml:space="preserve"> orientação técnica, proporcionada pela Comissão e no âmbito do Instrumento de Assistência Técnica;</w:t>
            </w:r>
          </w:p>
        </w:tc>
      </w:tr>
    </w:tbl>
    <w:p w:rsidR="00D1163C" w:rsidRPr="00781861" w:rsidRDefault="00FE1F10" w:rsidP="00D1163C">
      <w:r>
        <w:rPr>
          <w:rStyle w:val="HideTWBExt"/>
        </w:rPr>
        <w:t>&lt;/Amend&gt;</w:t>
      </w:r>
    </w:p>
    <w:p w:rsidR="00D1163C" w:rsidRPr="00781861" w:rsidRDefault="00FE1F10" w:rsidP="00D1163C">
      <w:pPr>
        <w:pStyle w:val="AMNumberTabs0"/>
        <w:keepNext/>
      </w:pPr>
      <w:r w:rsidRPr="00FE1F10">
        <w:rPr>
          <w:rStyle w:val="HideTWBExt"/>
          <w:b w:val="0"/>
        </w:rPr>
        <w:t>&lt;Amend&gt;</w:t>
      </w:r>
      <w:r>
        <w:t>Alteração</w:t>
      </w:r>
      <w:r>
        <w:tab/>
      </w:r>
      <w:r>
        <w:tab/>
      </w:r>
      <w:r w:rsidRPr="00FE1F10">
        <w:rPr>
          <w:rStyle w:val="HideTWBExt"/>
          <w:b w:val="0"/>
        </w:rPr>
        <w:t>&lt;NumAm&gt;</w:t>
      </w:r>
      <w:r>
        <w:t>42</w:t>
      </w:r>
      <w:r w:rsidRPr="00FE1F10">
        <w:rPr>
          <w:rStyle w:val="HideTWBExt"/>
          <w:b w:val="0"/>
        </w:rPr>
        <w:t>&lt;/NumAm&gt;</w:t>
      </w:r>
    </w:p>
    <w:p w:rsidR="00D1163C" w:rsidRPr="00781861" w:rsidRDefault="00D1163C" w:rsidP="00D1163C"/>
    <w:p w:rsidR="00D1163C" w:rsidRPr="00781861" w:rsidRDefault="00FE1F10" w:rsidP="00D1163C">
      <w:pPr>
        <w:pStyle w:val="NormalBold"/>
        <w:keepNext/>
      </w:pPr>
      <w:r>
        <w:rPr>
          <w:rStyle w:val="HideTWBExt"/>
          <w:b w:val="0"/>
        </w:rPr>
        <w:t>&lt;DocAmend&gt;</w:t>
      </w:r>
      <w:r>
        <w:t>Proposta de resolução</w:t>
      </w:r>
      <w:r>
        <w:rPr>
          <w:rStyle w:val="HideTWBExt"/>
          <w:b w:val="0"/>
        </w:rPr>
        <w:t>&lt;/DocAmend&gt;</w:t>
      </w:r>
    </w:p>
    <w:p w:rsidR="00D1163C" w:rsidRPr="00781861" w:rsidRDefault="00FE1F10" w:rsidP="00D1163C">
      <w:pPr>
        <w:pStyle w:val="NormalBold"/>
      </w:pPr>
      <w:r>
        <w:rPr>
          <w:rStyle w:val="HideTWBExt"/>
          <w:b w:val="0"/>
        </w:rPr>
        <w:t>&lt;Article&gt;</w:t>
      </w:r>
      <w:r>
        <w:t>N.º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2CD8" w:rsidTr="00D1163C">
        <w:trPr>
          <w:jc w:val="center"/>
        </w:trPr>
        <w:tc>
          <w:tcPr>
            <w:tcW w:w="9752" w:type="dxa"/>
            <w:gridSpan w:val="2"/>
          </w:tcPr>
          <w:p w:rsidR="00D1163C" w:rsidRPr="00781861" w:rsidRDefault="00D1163C">
            <w:pPr>
              <w:keepNext/>
            </w:pPr>
          </w:p>
        </w:tc>
      </w:tr>
      <w:tr w:rsidR="007C2CD8" w:rsidTr="00D1163C">
        <w:trPr>
          <w:jc w:val="center"/>
        </w:trPr>
        <w:tc>
          <w:tcPr>
            <w:tcW w:w="4876" w:type="dxa"/>
            <w:hideMark/>
          </w:tcPr>
          <w:p w:rsidR="00D1163C" w:rsidRPr="00781861" w:rsidRDefault="00FE1F10">
            <w:pPr>
              <w:pStyle w:val="ColumnHeading"/>
              <w:keepNext/>
            </w:pPr>
            <w:r>
              <w:t>Proposta de resolução</w:t>
            </w:r>
          </w:p>
        </w:tc>
        <w:tc>
          <w:tcPr>
            <w:tcW w:w="4876" w:type="dxa"/>
            <w:hideMark/>
          </w:tcPr>
          <w:p w:rsidR="00D1163C" w:rsidRPr="00781861" w:rsidRDefault="00FE1F10">
            <w:pPr>
              <w:pStyle w:val="ColumnHeading"/>
              <w:keepNext/>
            </w:pPr>
            <w:r>
              <w:t>Alteração</w:t>
            </w:r>
          </w:p>
        </w:tc>
      </w:tr>
      <w:tr w:rsidR="007C2CD8" w:rsidTr="00D1163C">
        <w:trPr>
          <w:jc w:val="center"/>
        </w:trPr>
        <w:tc>
          <w:tcPr>
            <w:tcW w:w="4876" w:type="dxa"/>
            <w:hideMark/>
          </w:tcPr>
          <w:p w:rsidR="00D1163C" w:rsidRPr="00781861" w:rsidRDefault="00FE1F10">
            <w:pPr>
              <w:pStyle w:val="Normal6"/>
            </w:pPr>
            <w:r>
              <w:t>7.</w:t>
            </w:r>
            <w:r>
              <w:tab/>
            </w:r>
            <w:r>
              <w:t>Destaca que a prioridade atribuída à execução do MRR, a falta de capacidade administrativa em muitos Estados</w:t>
            </w:r>
            <w:r>
              <w:noBreakHyphen/>
            </w:r>
            <w:r>
              <w:t xml:space="preserve">Membros e os desafios associados às cadeias de abastecimento mundiais contribuíram para a execução tardia da política de coesão; recorda </w:t>
            </w:r>
            <w:r>
              <w:rPr>
                <w:b/>
                <w:i/>
              </w:rPr>
              <w:t>a necessid</w:t>
            </w:r>
            <w:r>
              <w:rPr>
                <w:b/>
                <w:i/>
              </w:rPr>
              <w:t>ade de respeitar</w:t>
            </w:r>
            <w:r>
              <w:t xml:space="preserve"> o princípio da adicionalidade</w:t>
            </w:r>
            <w:r>
              <w:rPr>
                <w:b/>
                <w:i/>
              </w:rPr>
              <w:t xml:space="preserve"> e manifesta</w:t>
            </w:r>
            <w:r>
              <w:rPr>
                <w:b/>
                <w:i/>
              </w:rPr>
              <w:noBreakHyphen/>
            </w:r>
            <w:r>
              <w:rPr>
                <w:b/>
                <w:i/>
              </w:rPr>
              <w:t>se contra</w:t>
            </w:r>
            <w:r>
              <w:t xml:space="preserve"> a relegação ou substituição da política de coesão pelo MRR ou outros instrumentos temporários;</w:t>
            </w:r>
          </w:p>
        </w:tc>
        <w:tc>
          <w:tcPr>
            <w:tcW w:w="4876" w:type="dxa"/>
            <w:hideMark/>
          </w:tcPr>
          <w:p w:rsidR="00D1163C" w:rsidRPr="00781861" w:rsidRDefault="00FE1F10" w:rsidP="00E6527C">
            <w:pPr>
              <w:pStyle w:val="Normal6"/>
              <w:rPr>
                <w:szCs w:val="24"/>
              </w:rPr>
            </w:pPr>
            <w:r>
              <w:t>7.</w:t>
            </w:r>
            <w:r>
              <w:tab/>
              <w:t xml:space="preserve">Destaca que a prioridade atribuída à execução do MRR, </w:t>
            </w:r>
            <w:r>
              <w:rPr>
                <w:b/>
                <w:i/>
              </w:rPr>
              <w:t>a disponibilização, no mesmo períod</w:t>
            </w:r>
            <w:r>
              <w:rPr>
                <w:b/>
                <w:i/>
              </w:rPr>
              <w:t>o, de recursos adicionais significativos provenientes da REACT</w:t>
            </w:r>
            <w:r>
              <w:rPr>
                <w:b/>
                <w:i/>
              </w:rPr>
              <w:noBreakHyphen/>
            </w:r>
            <w:r>
              <w:rPr>
                <w:b/>
                <w:i/>
              </w:rPr>
              <w:t>EU,</w:t>
            </w:r>
            <w:r>
              <w:t xml:space="preserve"> a falta de capacidade administrativa em muitos Estados</w:t>
            </w:r>
            <w:r>
              <w:noBreakHyphen/>
            </w:r>
            <w:r>
              <w:t>Membros e os desafios associados às cadeias de abastecimento mundiais</w:t>
            </w:r>
            <w:r>
              <w:rPr>
                <w:b/>
                <w:i/>
              </w:rPr>
              <w:t>, bem como o prazo de 31 de dezembro de 2023, que pôs termo ao pe</w:t>
            </w:r>
            <w:r>
              <w:rPr>
                <w:b/>
                <w:i/>
              </w:rPr>
              <w:t>ríodo de elegibilidade das despesas no domínio da coesão para 2014</w:t>
            </w:r>
            <w:r>
              <w:rPr>
                <w:b/>
                <w:i/>
              </w:rPr>
              <w:noBreakHyphen/>
            </w:r>
            <w:r>
              <w:rPr>
                <w:b/>
                <w:i/>
              </w:rPr>
              <w:t>2020,</w:t>
            </w:r>
            <w:r>
              <w:t xml:space="preserve"> contribuíram para a execução tardia da política de coesão; recorda </w:t>
            </w:r>
            <w:r>
              <w:rPr>
                <w:b/>
                <w:i/>
              </w:rPr>
              <w:t>que, de acordo com</w:t>
            </w:r>
            <w:r>
              <w:t xml:space="preserve"> o princípio da adicionalidade</w:t>
            </w:r>
            <w:r>
              <w:rPr>
                <w:b/>
                <w:i/>
              </w:rPr>
              <w:t>, é necessário evitar</w:t>
            </w:r>
            <w:r>
              <w:t xml:space="preserve"> a relegação ou substituição da política de coe</w:t>
            </w:r>
            <w:r>
              <w:t xml:space="preserve">são pelo MRR ou outros instrumentos temporários; </w:t>
            </w:r>
            <w:r>
              <w:rPr>
                <w:b/>
                <w:i/>
              </w:rPr>
              <w:t>sublinha, neste contexto, a importância de a Comissão apresentar uma análise do número de novos investimentos sociais efetivos que foram criados ao abrigo dos PNRR;</w:t>
            </w:r>
          </w:p>
        </w:tc>
      </w:tr>
    </w:tbl>
    <w:p w:rsidR="00D1163C" w:rsidRPr="00781861" w:rsidRDefault="00FE1F10" w:rsidP="00D1163C">
      <w:r>
        <w:rPr>
          <w:rStyle w:val="HideTWBExt"/>
        </w:rPr>
        <w:t>&lt;/Amend&gt;</w:t>
      </w:r>
    </w:p>
    <w:p w:rsidR="00EA4087" w:rsidRPr="00781861" w:rsidRDefault="00FE1F10" w:rsidP="00EA4087">
      <w:pPr>
        <w:pStyle w:val="AMNumberTabs0"/>
        <w:keepNext/>
      </w:pPr>
      <w:r w:rsidRPr="00FE1F10">
        <w:rPr>
          <w:rStyle w:val="HideTWBExt"/>
          <w:b w:val="0"/>
        </w:rPr>
        <w:t>&lt;Amend&gt;</w:t>
      </w:r>
      <w:r>
        <w:t>Alteração</w:t>
      </w:r>
      <w:r>
        <w:tab/>
      </w:r>
      <w:r>
        <w:tab/>
      </w:r>
      <w:r w:rsidRPr="00FE1F10">
        <w:rPr>
          <w:rStyle w:val="HideTWBExt"/>
          <w:b w:val="0"/>
        </w:rPr>
        <w:t>&lt;NumAm&gt;</w:t>
      </w:r>
      <w:r>
        <w:t>43</w:t>
      </w:r>
      <w:r w:rsidRPr="00FE1F10">
        <w:rPr>
          <w:rStyle w:val="HideTWBExt"/>
          <w:b w:val="0"/>
        </w:rPr>
        <w:t>&lt;/NumAm&gt;</w:t>
      </w:r>
    </w:p>
    <w:p w:rsidR="00EA4087" w:rsidRPr="00781861" w:rsidRDefault="00FE1F10" w:rsidP="00EA4087">
      <w:pPr>
        <w:pStyle w:val="NormalBold12b"/>
        <w:keepNext/>
      </w:pPr>
      <w:r>
        <w:rPr>
          <w:rStyle w:val="HideTWBExt"/>
          <w:b w:val="0"/>
        </w:rPr>
        <w:t>&lt;DocAmend&gt;</w:t>
      </w:r>
      <w:r>
        <w:t>Proposta de resolução</w:t>
      </w:r>
      <w:r>
        <w:rPr>
          <w:rStyle w:val="HideTWBExt"/>
          <w:b w:val="0"/>
        </w:rPr>
        <w:t>&lt;/DocAmend&gt;</w:t>
      </w:r>
    </w:p>
    <w:p w:rsidR="00EA4087" w:rsidRPr="00781861" w:rsidRDefault="00FE1F10" w:rsidP="00EA4087">
      <w:pPr>
        <w:pStyle w:val="NormalBold"/>
      </w:pPr>
      <w:r>
        <w:rPr>
          <w:rStyle w:val="HideTWBExt"/>
          <w:b w:val="0"/>
        </w:rPr>
        <w:t>&lt;Article&gt;</w:t>
      </w:r>
      <w:r>
        <w:t>N.º 7</w:t>
      </w:r>
      <w:r>
        <w:noBreakHyphen/>
      </w:r>
      <w:r>
        <w:t>A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2CD8" w:rsidTr="00EA4087">
        <w:trPr>
          <w:jc w:val="center"/>
        </w:trPr>
        <w:tc>
          <w:tcPr>
            <w:tcW w:w="9752" w:type="dxa"/>
            <w:gridSpan w:val="2"/>
          </w:tcPr>
          <w:p w:rsidR="00EA4087" w:rsidRPr="00781861" w:rsidRDefault="00EA4087">
            <w:pPr>
              <w:keepNext/>
            </w:pPr>
          </w:p>
        </w:tc>
      </w:tr>
      <w:tr w:rsidR="007C2CD8" w:rsidTr="00EA4087">
        <w:trPr>
          <w:jc w:val="center"/>
        </w:trPr>
        <w:tc>
          <w:tcPr>
            <w:tcW w:w="4876" w:type="dxa"/>
            <w:hideMark/>
          </w:tcPr>
          <w:p w:rsidR="00EA4087" w:rsidRPr="00781861" w:rsidRDefault="00FE1F10">
            <w:pPr>
              <w:pStyle w:val="ColumnHeading"/>
              <w:keepNext/>
            </w:pPr>
            <w:r>
              <w:t>Proposta de resolução</w:t>
            </w:r>
          </w:p>
        </w:tc>
        <w:tc>
          <w:tcPr>
            <w:tcW w:w="4876" w:type="dxa"/>
            <w:hideMark/>
          </w:tcPr>
          <w:p w:rsidR="00EA4087" w:rsidRPr="00781861" w:rsidRDefault="00FE1F10">
            <w:pPr>
              <w:pStyle w:val="ColumnHeading"/>
              <w:keepNext/>
            </w:pPr>
            <w:r>
              <w:t>Alteração</w:t>
            </w:r>
          </w:p>
        </w:tc>
      </w:tr>
      <w:tr w:rsidR="007C2CD8" w:rsidTr="00EA4087">
        <w:trPr>
          <w:jc w:val="center"/>
        </w:trPr>
        <w:tc>
          <w:tcPr>
            <w:tcW w:w="4876" w:type="dxa"/>
          </w:tcPr>
          <w:p w:rsidR="00EA4087" w:rsidRPr="00781861" w:rsidRDefault="00EA4087">
            <w:pPr>
              <w:pStyle w:val="Normal6"/>
              <w:rPr>
                <w:lang w:val="en-GB"/>
              </w:rPr>
            </w:pPr>
          </w:p>
        </w:tc>
        <w:tc>
          <w:tcPr>
            <w:tcW w:w="4876" w:type="dxa"/>
            <w:hideMark/>
          </w:tcPr>
          <w:p w:rsidR="00EA4087" w:rsidRPr="00781861" w:rsidRDefault="00FE1F10" w:rsidP="00D923EE">
            <w:pPr>
              <w:pStyle w:val="Normal6"/>
              <w:rPr>
                <w:szCs w:val="24"/>
              </w:rPr>
            </w:pPr>
            <w:r>
              <w:rPr>
                <w:b/>
                <w:i/>
              </w:rPr>
              <w:t>7</w:t>
            </w:r>
            <w:r>
              <w:rPr>
                <w:b/>
                <w:i/>
              </w:rPr>
              <w:noBreakHyphen/>
            </w:r>
            <w:r>
              <w:rPr>
                <w:b/>
                <w:i/>
              </w:rPr>
              <w:t>A.</w:t>
            </w:r>
            <w:r>
              <w:rPr>
                <w:b/>
                <w:i/>
              </w:rPr>
              <w:tab/>
              <w:t>Recorda, a este respeito, a importância do Fundo Social Europeu Mais, cujo objetivo é garantir a existência de elevados níveis de</w:t>
            </w:r>
            <w:r>
              <w:rPr>
                <w:b/>
                <w:i/>
              </w:rPr>
              <w:t xml:space="preserve"> emprego, uma proteção social justa, uma mão de obra qualificada e resiliente e sociedades inclusivas e coesas enquanto condições fundamentais para erradicar a pobreza, e salienta a necessidade de criar sinergias com as despesas efetuadas ao abrigo do MRR </w:t>
            </w:r>
            <w:r>
              <w:rPr>
                <w:b/>
                <w:i/>
              </w:rPr>
              <w:t>no âmbito dos pilares pertinentes; realça, além disso, que a Comissão deve identificar formas de ajudar os Estados</w:t>
            </w:r>
            <w:r>
              <w:rPr>
                <w:b/>
                <w:i/>
              </w:rPr>
              <w:noBreakHyphen/>
            </w:r>
            <w:r>
              <w:rPr>
                <w:b/>
                <w:i/>
              </w:rPr>
              <w:t>Membros a acelerar a utilização dos fundos da UE, sem que os princípios da boa gestão financeira deixem de ser respeitados;</w:t>
            </w:r>
          </w:p>
        </w:tc>
      </w:tr>
    </w:tbl>
    <w:p w:rsidR="00EA4087" w:rsidRPr="00781861" w:rsidRDefault="00FE1F10" w:rsidP="00EA4087">
      <w:pPr>
        <w:rPr>
          <w:szCs w:val="24"/>
        </w:rPr>
      </w:pPr>
      <w:r>
        <w:rPr>
          <w:rStyle w:val="HideTWBExt"/>
        </w:rPr>
        <w:t>&lt;/Amend&gt;</w:t>
      </w:r>
    </w:p>
    <w:p w:rsidR="00EA4087" w:rsidRPr="00781861" w:rsidRDefault="00FE1F10" w:rsidP="00EA4087">
      <w:pPr>
        <w:pStyle w:val="AMNumberTabs0"/>
        <w:keepNext/>
      </w:pPr>
      <w:r w:rsidRPr="00FE1F10">
        <w:rPr>
          <w:rStyle w:val="HideTWBExt"/>
          <w:b w:val="0"/>
        </w:rPr>
        <w:t>&lt;Amend&gt;</w:t>
      </w:r>
      <w:r>
        <w:t>Alteração</w:t>
      </w:r>
      <w:r>
        <w:tab/>
      </w:r>
      <w:r>
        <w:tab/>
      </w:r>
      <w:r w:rsidRPr="00FE1F10">
        <w:rPr>
          <w:rStyle w:val="HideTWBExt"/>
          <w:b w:val="0"/>
        </w:rPr>
        <w:t>&lt;NumAm&gt;</w:t>
      </w:r>
      <w:r>
        <w:t>44</w:t>
      </w:r>
      <w:r w:rsidRPr="00FE1F10">
        <w:rPr>
          <w:rStyle w:val="HideTWBExt"/>
          <w:b w:val="0"/>
        </w:rPr>
        <w:t>&lt;/NumAm&gt;</w:t>
      </w:r>
    </w:p>
    <w:p w:rsidR="00EA4087" w:rsidRPr="00781861" w:rsidRDefault="00FE1F10" w:rsidP="00EA4087">
      <w:pPr>
        <w:pStyle w:val="NormalBold12b"/>
        <w:keepNext/>
      </w:pPr>
      <w:r>
        <w:rPr>
          <w:rStyle w:val="HideTWBExt"/>
          <w:b w:val="0"/>
        </w:rPr>
        <w:t>&lt;DocAmend&gt;</w:t>
      </w:r>
      <w:r>
        <w:t>Proposta de resolução</w:t>
      </w:r>
      <w:r>
        <w:rPr>
          <w:rStyle w:val="HideTWBExt"/>
          <w:b w:val="0"/>
        </w:rPr>
        <w:t>&lt;/DocAmend&gt;</w:t>
      </w:r>
    </w:p>
    <w:p w:rsidR="00EA4087" w:rsidRPr="00781861" w:rsidRDefault="00FE1F10" w:rsidP="00EA4087">
      <w:pPr>
        <w:pStyle w:val="NormalBold"/>
      </w:pPr>
      <w:r>
        <w:rPr>
          <w:rStyle w:val="HideTWBExt"/>
          <w:b w:val="0"/>
        </w:rPr>
        <w:t>&lt;Article&gt;</w:t>
      </w:r>
      <w:r>
        <w:t>N.º 10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2CD8" w:rsidTr="00EA4087">
        <w:trPr>
          <w:jc w:val="center"/>
        </w:trPr>
        <w:tc>
          <w:tcPr>
            <w:tcW w:w="9752" w:type="dxa"/>
            <w:gridSpan w:val="2"/>
          </w:tcPr>
          <w:p w:rsidR="00EA4087" w:rsidRPr="00781861" w:rsidRDefault="00EA4087">
            <w:pPr>
              <w:keepNext/>
            </w:pPr>
          </w:p>
        </w:tc>
      </w:tr>
      <w:tr w:rsidR="007C2CD8" w:rsidTr="00EA4087">
        <w:trPr>
          <w:jc w:val="center"/>
        </w:trPr>
        <w:tc>
          <w:tcPr>
            <w:tcW w:w="4876" w:type="dxa"/>
            <w:hideMark/>
          </w:tcPr>
          <w:p w:rsidR="00EA4087" w:rsidRPr="00781861" w:rsidRDefault="00FE1F10">
            <w:pPr>
              <w:pStyle w:val="ColumnHeading"/>
              <w:keepNext/>
            </w:pPr>
            <w:r>
              <w:t>Proposta de resolução</w:t>
            </w:r>
          </w:p>
        </w:tc>
        <w:tc>
          <w:tcPr>
            <w:tcW w:w="4876" w:type="dxa"/>
            <w:hideMark/>
          </w:tcPr>
          <w:p w:rsidR="00EA4087" w:rsidRPr="00781861" w:rsidRDefault="00FE1F10">
            <w:pPr>
              <w:pStyle w:val="ColumnHeading"/>
              <w:keepNext/>
            </w:pPr>
            <w:r>
              <w:t>Alteração</w:t>
            </w:r>
          </w:p>
        </w:tc>
      </w:tr>
      <w:tr w:rsidR="007C2CD8" w:rsidTr="00EA4087">
        <w:trPr>
          <w:jc w:val="center"/>
        </w:trPr>
        <w:tc>
          <w:tcPr>
            <w:tcW w:w="4876" w:type="dxa"/>
            <w:hideMark/>
          </w:tcPr>
          <w:p w:rsidR="00EA4087" w:rsidRPr="00781861" w:rsidRDefault="00FE1F10">
            <w:pPr>
              <w:pStyle w:val="Normal6"/>
            </w:pPr>
            <w:r>
              <w:t>10.</w:t>
            </w:r>
            <w:r>
              <w:tab/>
              <w:t xml:space="preserve">Acolhe com satisfação a possibilidade de utilizar o financiamento do MRR para contribuir para a consecução dos </w:t>
            </w:r>
            <w:r>
              <w:t>objetivos da Plataforma de Tecnologias Estratégicas para a Europa (STEP), apoiando investimentos em tecnologias críticas na UE, a fim de impulsionar a sua competitividade industrial;</w:t>
            </w:r>
          </w:p>
        </w:tc>
        <w:tc>
          <w:tcPr>
            <w:tcW w:w="4876" w:type="dxa"/>
            <w:hideMark/>
          </w:tcPr>
          <w:p w:rsidR="00EA4087" w:rsidRPr="00781861" w:rsidRDefault="00FE1F10" w:rsidP="004C7CEA">
            <w:pPr>
              <w:pStyle w:val="Normal6"/>
              <w:rPr>
                <w:szCs w:val="24"/>
              </w:rPr>
            </w:pPr>
            <w:r>
              <w:t>10.</w:t>
            </w:r>
            <w:r>
              <w:tab/>
              <w:t xml:space="preserve">Acolhe com satisfação a possibilidade de utilizar o financiamento do </w:t>
            </w:r>
            <w:r>
              <w:t>MRR para contribuir para a consecução dos objetivos da Plataforma de Tecnologias Estratégicas para a Europa (STEP), apoiando investimentos em tecnologias críticas na UE</w:t>
            </w:r>
            <w:r>
              <w:rPr>
                <w:b/>
                <w:i/>
              </w:rPr>
              <w:t xml:space="preserve"> e colmatando a escassez de mão de obra e de competências absolutamente necessárias para</w:t>
            </w:r>
            <w:r>
              <w:rPr>
                <w:b/>
                <w:i/>
              </w:rPr>
              <w:t xml:space="preserve"> a criação de empregos de qualidade nestes domínios, em estreita cooperação com os parceiros sociais</w:t>
            </w:r>
            <w:r>
              <w:t>, a fim de impulsionar a sua competitividade industrial</w:t>
            </w:r>
            <w:r>
              <w:rPr>
                <w:b/>
                <w:i/>
              </w:rPr>
              <w:t>, sem deixar de salvaguardar os direitos dos trabalhadores e reduzir as disparidades de género no set</w:t>
            </w:r>
            <w:r>
              <w:rPr>
                <w:b/>
                <w:i/>
              </w:rPr>
              <w:t>or tecnológico</w:t>
            </w:r>
            <w:r>
              <w:t>;</w:t>
            </w:r>
          </w:p>
        </w:tc>
      </w:tr>
    </w:tbl>
    <w:p w:rsidR="00EA4087" w:rsidRPr="00781861" w:rsidRDefault="00FE1F10" w:rsidP="00EA4087">
      <w:pPr>
        <w:rPr>
          <w:szCs w:val="24"/>
        </w:rPr>
      </w:pPr>
      <w:r>
        <w:rPr>
          <w:rStyle w:val="HideTWBExt"/>
        </w:rPr>
        <w:t>&lt;/Amend&gt;</w:t>
      </w:r>
    </w:p>
    <w:p w:rsidR="00EA4087" w:rsidRPr="00781861" w:rsidRDefault="00FE1F10" w:rsidP="00EA4087">
      <w:pPr>
        <w:pStyle w:val="AMNumberTabs0"/>
        <w:keepNext/>
      </w:pPr>
      <w:r w:rsidRPr="00FE1F10">
        <w:rPr>
          <w:rStyle w:val="HideTWBExt"/>
          <w:b w:val="0"/>
        </w:rPr>
        <w:t>&lt;Amend&gt;</w:t>
      </w:r>
      <w:r>
        <w:t>Alteração</w:t>
      </w:r>
      <w:r>
        <w:tab/>
      </w:r>
      <w:r>
        <w:tab/>
      </w:r>
      <w:r w:rsidRPr="00FE1F10">
        <w:rPr>
          <w:rStyle w:val="HideTWBExt"/>
          <w:b w:val="0"/>
        </w:rPr>
        <w:t>&lt;NumAm&gt;</w:t>
      </w:r>
      <w:r>
        <w:t>45</w:t>
      </w:r>
      <w:r w:rsidRPr="00FE1F10">
        <w:rPr>
          <w:rStyle w:val="HideTWBExt"/>
          <w:b w:val="0"/>
        </w:rPr>
        <w:t>&lt;/NumAm&gt;</w:t>
      </w:r>
    </w:p>
    <w:p w:rsidR="00EA4087" w:rsidRPr="00781861" w:rsidRDefault="00FE1F10" w:rsidP="00EA4087">
      <w:pPr>
        <w:pStyle w:val="NormalBold12b"/>
        <w:keepNext/>
      </w:pPr>
      <w:r>
        <w:rPr>
          <w:rStyle w:val="HideTWBExt"/>
          <w:b w:val="0"/>
        </w:rPr>
        <w:t>&lt;DocAmend&gt;</w:t>
      </w:r>
      <w:r>
        <w:t>Proposta de resolução</w:t>
      </w:r>
      <w:r>
        <w:rPr>
          <w:rStyle w:val="HideTWBExt"/>
          <w:b w:val="0"/>
        </w:rPr>
        <w:t>&lt;/DocAmend&gt;</w:t>
      </w:r>
    </w:p>
    <w:p w:rsidR="00EA4087" w:rsidRPr="00781861" w:rsidRDefault="00FE1F10" w:rsidP="00EA4087">
      <w:pPr>
        <w:pStyle w:val="NormalBold"/>
      </w:pPr>
      <w:r>
        <w:rPr>
          <w:rStyle w:val="HideTWBExt"/>
          <w:b w:val="0"/>
        </w:rPr>
        <w:t>&lt;Article&gt;</w:t>
      </w:r>
      <w:r>
        <w:t>N.º 13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2CD8" w:rsidTr="00EA4087">
        <w:trPr>
          <w:jc w:val="center"/>
        </w:trPr>
        <w:tc>
          <w:tcPr>
            <w:tcW w:w="9752" w:type="dxa"/>
            <w:gridSpan w:val="2"/>
          </w:tcPr>
          <w:p w:rsidR="00EA4087" w:rsidRPr="00781861" w:rsidRDefault="00EA4087">
            <w:pPr>
              <w:keepNext/>
            </w:pPr>
          </w:p>
        </w:tc>
      </w:tr>
      <w:tr w:rsidR="007C2CD8" w:rsidTr="00EA4087">
        <w:trPr>
          <w:jc w:val="center"/>
        </w:trPr>
        <w:tc>
          <w:tcPr>
            <w:tcW w:w="4876" w:type="dxa"/>
            <w:hideMark/>
          </w:tcPr>
          <w:p w:rsidR="00EA4087" w:rsidRPr="00781861" w:rsidRDefault="00FE1F10">
            <w:pPr>
              <w:pStyle w:val="ColumnHeading"/>
              <w:keepNext/>
            </w:pPr>
            <w:r>
              <w:t>Proposta de resolução</w:t>
            </w:r>
          </w:p>
        </w:tc>
        <w:tc>
          <w:tcPr>
            <w:tcW w:w="4876" w:type="dxa"/>
            <w:hideMark/>
          </w:tcPr>
          <w:p w:rsidR="00EA4087" w:rsidRPr="00781861" w:rsidRDefault="00FE1F10">
            <w:pPr>
              <w:pStyle w:val="ColumnHeading"/>
              <w:keepNext/>
            </w:pPr>
            <w:r>
              <w:t>Alteração</w:t>
            </w:r>
          </w:p>
        </w:tc>
      </w:tr>
      <w:tr w:rsidR="007C2CD8" w:rsidTr="00EA4087">
        <w:trPr>
          <w:jc w:val="center"/>
        </w:trPr>
        <w:tc>
          <w:tcPr>
            <w:tcW w:w="4876" w:type="dxa"/>
            <w:hideMark/>
          </w:tcPr>
          <w:p w:rsidR="00EA4087" w:rsidRPr="00781861" w:rsidRDefault="00FE1F10" w:rsidP="00DF76F5">
            <w:pPr>
              <w:pStyle w:val="Normal6"/>
            </w:pPr>
            <w:r>
              <w:t>13.</w:t>
            </w:r>
            <w:r>
              <w:tab/>
            </w:r>
            <w:r>
              <w:rPr>
                <w:b/>
                <w:i/>
              </w:rPr>
              <w:t>Observa</w:t>
            </w:r>
            <w:r>
              <w:t xml:space="preserve"> que apenas 13 Estados</w:t>
            </w:r>
            <w:r>
              <w:noBreakHyphen/>
            </w:r>
            <w:r>
              <w:t xml:space="preserve">Membros </w:t>
            </w:r>
            <w:r>
              <w:rPr>
                <w:b/>
                <w:i/>
              </w:rPr>
              <w:t>solicitaram</w:t>
            </w:r>
            <w:r>
              <w:t xml:space="preserve"> empréstimos e que, dos 385,8 mil milhões de EUR disponíveis, 92 mil milhões </w:t>
            </w:r>
            <w:r>
              <w:rPr>
                <w:b/>
                <w:i/>
              </w:rPr>
              <w:t>ficarão</w:t>
            </w:r>
            <w:r>
              <w:t xml:space="preserve"> por utilizar, dado que este montante não foi autorizado até à data</w:t>
            </w:r>
            <w:r>
              <w:noBreakHyphen/>
            </w:r>
            <w:r>
              <w:t>limite de 31 de dezembro de 2023; constata que os empréstimos se revelaram atrativos para os Estados</w:t>
            </w:r>
            <w:r>
              <w:noBreakHyphen/>
            </w:r>
            <w:r>
              <w:t>Mem</w:t>
            </w:r>
            <w:r>
              <w:t xml:space="preserve">bros que enfrentavam custos de contração de empréstimos mais elevados nos mercados financeiros ou que pretendiam compensar uma redução das subvenções do MRR; recorda que o Parlamento pelejou por uma maior percentagem de subvenções do que de empréstimos, e </w:t>
            </w:r>
            <w:r>
              <w:t>considera que é necessário realizar um debate político sobre a utilização dos fundos não despendidos numa conjuntura de orçamentos públicos apertados;</w:t>
            </w:r>
          </w:p>
        </w:tc>
        <w:tc>
          <w:tcPr>
            <w:tcW w:w="4876" w:type="dxa"/>
            <w:hideMark/>
          </w:tcPr>
          <w:p w:rsidR="00EA4087" w:rsidRPr="00781861" w:rsidRDefault="00FE1F10" w:rsidP="009366BF">
            <w:pPr>
              <w:pStyle w:val="Normal6"/>
              <w:rPr>
                <w:szCs w:val="24"/>
              </w:rPr>
            </w:pPr>
            <w:r>
              <w:t>13.</w:t>
            </w:r>
            <w:r>
              <w:tab/>
            </w:r>
            <w:r>
              <w:rPr>
                <w:b/>
                <w:i/>
              </w:rPr>
              <w:t>Lamenta</w:t>
            </w:r>
            <w:r>
              <w:t xml:space="preserve"> que apenas 13 Estados</w:t>
            </w:r>
            <w:r>
              <w:noBreakHyphen/>
            </w:r>
            <w:r>
              <w:t xml:space="preserve">Membros </w:t>
            </w:r>
            <w:r>
              <w:rPr>
                <w:b/>
                <w:i/>
              </w:rPr>
              <w:t>tenham solicitado</w:t>
            </w:r>
            <w:r>
              <w:t xml:space="preserve"> empréstimos e que, dos 385,8 mil milhões de E</w:t>
            </w:r>
            <w:r>
              <w:t xml:space="preserve">UR disponíveis, 92 mil milhões </w:t>
            </w:r>
            <w:r>
              <w:rPr>
                <w:b/>
                <w:i/>
              </w:rPr>
              <w:t>fiquem</w:t>
            </w:r>
            <w:r>
              <w:t xml:space="preserve"> por utilizar, dado que este montante não foi autorizado até à data</w:t>
            </w:r>
            <w:r>
              <w:noBreakHyphen/>
            </w:r>
            <w:r>
              <w:t>limite de 31 de dezembro de 2023; constata que os empréstimos se revelaram atrativos para os Estados</w:t>
            </w:r>
            <w:r>
              <w:noBreakHyphen/>
            </w:r>
            <w:r>
              <w:t>Membros que enfrentavam custos de contração de emp</w:t>
            </w:r>
            <w:r>
              <w:t>réstimos mais elevados nos mercados financeiros ou que pretendiam compensar uma redução das subvenções do MRR; recorda que o Parlamento pelejou por uma maior percentagem de subvenções do que de empréstimos, e considera que é necessário realizar um debate p</w:t>
            </w:r>
            <w:r>
              <w:t>olítico sobre a utilização dos fundos não despendidos numa conjuntura de orçamentos públicos apertados</w:t>
            </w:r>
            <w:r>
              <w:rPr>
                <w:b/>
                <w:i/>
              </w:rPr>
              <w:t xml:space="preserve"> e uma necessidade significativa de apoios financeiros num conjunto de domínios, designadamente a erradicação da pobreza, a inclusão social, a oferta de h</w:t>
            </w:r>
            <w:r>
              <w:rPr>
                <w:b/>
                <w:i/>
              </w:rPr>
              <w:t>abitação, os serviços públicos e sociais, o reforço do diálogo social, a criação de emprego de qualidade e as políticas de qualificação, incluindo competências ecológicas e digitais</w:t>
            </w:r>
            <w:r>
              <w:t>;</w:t>
            </w:r>
          </w:p>
        </w:tc>
      </w:tr>
    </w:tbl>
    <w:p w:rsidR="00EA4087" w:rsidRPr="00781861" w:rsidRDefault="00FE1F10" w:rsidP="00EA4087">
      <w:pPr>
        <w:rPr>
          <w:szCs w:val="24"/>
        </w:rPr>
      </w:pPr>
      <w:r>
        <w:rPr>
          <w:rStyle w:val="HideTWBExt"/>
        </w:rPr>
        <w:t>&lt;/Amend&gt;</w:t>
      </w:r>
    </w:p>
    <w:p w:rsidR="00EA4087" w:rsidRPr="00781861" w:rsidRDefault="00FE1F10" w:rsidP="00EA4087">
      <w:pPr>
        <w:pStyle w:val="AMNumberTabs0"/>
        <w:keepNext/>
      </w:pPr>
      <w:r w:rsidRPr="00FE1F10">
        <w:rPr>
          <w:rStyle w:val="HideTWBExt"/>
          <w:b w:val="0"/>
        </w:rPr>
        <w:t>&lt;Amend&gt;</w:t>
      </w:r>
      <w:r>
        <w:t>Alteração</w:t>
      </w:r>
      <w:r>
        <w:tab/>
      </w:r>
      <w:r>
        <w:tab/>
      </w:r>
      <w:r w:rsidRPr="00FE1F10">
        <w:rPr>
          <w:rStyle w:val="HideTWBExt"/>
          <w:b w:val="0"/>
        </w:rPr>
        <w:t>&lt;NumAm&gt;</w:t>
      </w:r>
      <w:r>
        <w:t>46</w:t>
      </w:r>
      <w:r w:rsidRPr="00FE1F10">
        <w:rPr>
          <w:rStyle w:val="HideTWBExt"/>
          <w:b w:val="0"/>
        </w:rPr>
        <w:t>&lt;/NumAm&gt;</w:t>
      </w:r>
    </w:p>
    <w:p w:rsidR="00EA4087" w:rsidRPr="00781861" w:rsidRDefault="00FE1F10" w:rsidP="00EA4087">
      <w:pPr>
        <w:pStyle w:val="NormalBold12b"/>
        <w:keepNext/>
      </w:pPr>
      <w:r>
        <w:rPr>
          <w:rStyle w:val="HideTWBExt"/>
          <w:b w:val="0"/>
        </w:rPr>
        <w:t>&lt;DocAmend&gt;</w:t>
      </w:r>
      <w:r>
        <w:t>Proposta de resol</w:t>
      </w:r>
      <w:r>
        <w:t>ução</w:t>
      </w:r>
      <w:r>
        <w:rPr>
          <w:rStyle w:val="HideTWBExt"/>
          <w:b w:val="0"/>
        </w:rPr>
        <w:t>&lt;/DocAmend&gt;</w:t>
      </w:r>
    </w:p>
    <w:p w:rsidR="00EA4087" w:rsidRPr="00781861" w:rsidRDefault="00FE1F10" w:rsidP="00EA4087">
      <w:pPr>
        <w:pStyle w:val="NormalBold"/>
      </w:pPr>
      <w:r>
        <w:rPr>
          <w:rStyle w:val="HideTWBExt"/>
          <w:b w:val="0"/>
        </w:rPr>
        <w:t>&lt;Article&gt;</w:t>
      </w:r>
      <w:r>
        <w:t>N.º 16</w:t>
      </w:r>
      <w:r>
        <w:noBreakHyphen/>
      </w:r>
      <w:r>
        <w:t>A (novo)</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C2CD8" w:rsidTr="00271B69">
        <w:trPr>
          <w:jc w:val="center"/>
        </w:trPr>
        <w:tc>
          <w:tcPr>
            <w:tcW w:w="9752" w:type="dxa"/>
            <w:gridSpan w:val="2"/>
          </w:tcPr>
          <w:p w:rsidR="00EA4087" w:rsidRPr="00781861" w:rsidRDefault="00EA4087">
            <w:pPr>
              <w:keepNext/>
            </w:pPr>
          </w:p>
        </w:tc>
      </w:tr>
      <w:tr w:rsidR="007C2CD8" w:rsidTr="00271B69">
        <w:trPr>
          <w:jc w:val="center"/>
        </w:trPr>
        <w:tc>
          <w:tcPr>
            <w:tcW w:w="4876" w:type="dxa"/>
            <w:hideMark/>
          </w:tcPr>
          <w:p w:rsidR="00EA4087" w:rsidRPr="00781861" w:rsidRDefault="00FE1F10">
            <w:pPr>
              <w:pStyle w:val="ColumnHeading"/>
              <w:keepNext/>
            </w:pPr>
            <w:r>
              <w:t>Proposta de resolução</w:t>
            </w:r>
          </w:p>
        </w:tc>
        <w:tc>
          <w:tcPr>
            <w:tcW w:w="4876" w:type="dxa"/>
            <w:hideMark/>
          </w:tcPr>
          <w:p w:rsidR="00EA4087" w:rsidRPr="00781861" w:rsidRDefault="00FE1F10">
            <w:pPr>
              <w:pStyle w:val="ColumnHeading"/>
              <w:keepNext/>
            </w:pPr>
            <w:r>
              <w:t>Alteração</w:t>
            </w:r>
          </w:p>
        </w:tc>
      </w:tr>
      <w:tr w:rsidR="007C2CD8" w:rsidTr="00271B69">
        <w:trPr>
          <w:jc w:val="center"/>
        </w:trPr>
        <w:tc>
          <w:tcPr>
            <w:tcW w:w="4876" w:type="dxa"/>
          </w:tcPr>
          <w:p w:rsidR="00EA4087" w:rsidRPr="00781861" w:rsidRDefault="00EA4087">
            <w:pPr>
              <w:pStyle w:val="Normal6"/>
              <w:rPr>
                <w:lang w:val="en-GB"/>
              </w:rPr>
            </w:pPr>
          </w:p>
        </w:tc>
        <w:tc>
          <w:tcPr>
            <w:tcW w:w="4876" w:type="dxa"/>
            <w:hideMark/>
          </w:tcPr>
          <w:p w:rsidR="00EA4087" w:rsidRPr="00781861" w:rsidRDefault="00FE1F10" w:rsidP="00D923EE">
            <w:pPr>
              <w:pStyle w:val="Normal6"/>
              <w:rPr>
                <w:szCs w:val="24"/>
              </w:rPr>
            </w:pPr>
            <w:r>
              <w:rPr>
                <w:b/>
                <w:i/>
              </w:rPr>
              <w:t>16</w:t>
            </w:r>
            <w:r>
              <w:rPr>
                <w:b/>
                <w:i/>
              </w:rPr>
              <w:noBreakHyphen/>
            </w:r>
            <w:r>
              <w:rPr>
                <w:b/>
                <w:i/>
              </w:rPr>
              <w:t>A.</w:t>
            </w:r>
            <w:r>
              <w:rPr>
                <w:b/>
                <w:i/>
              </w:rPr>
              <w:tab/>
              <w:t xml:space="preserve">Recorda que o MRR, em conformidade com o artigo 19.º, n.º 3, alínea c), e o anexo V, ponto 2.3, do Regulamento MRR, exige que a Comissão avalie a pertinência, a </w:t>
            </w:r>
            <w:r>
              <w:rPr>
                <w:b/>
                <w:i/>
              </w:rPr>
              <w:t>eficácia, a eficiência e a coerência dos PNRR dos Estados</w:t>
            </w:r>
            <w:r>
              <w:rPr>
                <w:b/>
                <w:i/>
              </w:rPr>
              <w:noBreakHyphen/>
            </w:r>
            <w:r>
              <w:rPr>
                <w:b/>
                <w:i/>
              </w:rPr>
              <w:t>Membros, tendo em conta critérios como o seu contributo para reforçar as potencialidades de crescimento, a criação de emprego e a resiliência económica, social e institucional do Estado</w:t>
            </w:r>
            <w:r>
              <w:rPr>
                <w:b/>
                <w:i/>
              </w:rPr>
              <w:noBreakHyphen/>
            </w:r>
            <w:r>
              <w:rPr>
                <w:b/>
                <w:i/>
              </w:rPr>
              <w:t>Membro, cont</w:t>
            </w:r>
            <w:r>
              <w:rPr>
                <w:b/>
                <w:i/>
              </w:rPr>
              <w:t>ribuindo para a execução do PEDS, nomeadamente através da promoção de políticas em prol das crianças e dos jovens, e para a atenuação das repercussões económicas e sociais da crise da COVID</w:t>
            </w:r>
            <w:r>
              <w:rPr>
                <w:b/>
                <w:i/>
              </w:rPr>
              <w:noBreakHyphen/>
            </w:r>
            <w:r>
              <w:rPr>
                <w:b/>
                <w:i/>
              </w:rPr>
              <w:t xml:space="preserve">19, reforçando, assim, a coesão económica, social e territorial e </w:t>
            </w:r>
            <w:r>
              <w:rPr>
                <w:b/>
                <w:i/>
              </w:rPr>
              <w:t>a convergência no seio da União; assinala que este critério exige a pontuação mais elevada da avaliação;</w:t>
            </w:r>
          </w:p>
        </w:tc>
      </w:tr>
    </w:tbl>
    <w:p w:rsidR="00EA4087" w:rsidRPr="00781861" w:rsidRDefault="00FE1F10" w:rsidP="00EA4087">
      <w:pPr>
        <w:rPr>
          <w:szCs w:val="24"/>
        </w:rPr>
      </w:pPr>
      <w:r>
        <w:rPr>
          <w:rStyle w:val="HideTWBExt"/>
        </w:rPr>
        <w:t>&lt;/Amend&gt;</w:t>
      </w:r>
    </w:p>
    <w:p w:rsidR="00EA4087" w:rsidRPr="00781861" w:rsidRDefault="00FE1F10" w:rsidP="00EA4087">
      <w:pPr>
        <w:pStyle w:val="AMNumberTabs0"/>
        <w:keepNext/>
      </w:pPr>
      <w:r w:rsidRPr="00FE1F10">
        <w:rPr>
          <w:rStyle w:val="HideTWBExt"/>
          <w:b w:val="0"/>
        </w:rPr>
        <w:t>&lt;Amend&gt;</w:t>
      </w:r>
      <w:r>
        <w:t>Alteração</w:t>
      </w:r>
      <w:r>
        <w:tab/>
      </w:r>
      <w:r>
        <w:tab/>
      </w:r>
      <w:r w:rsidRPr="00FE1F10">
        <w:rPr>
          <w:rStyle w:val="HideTWBExt"/>
          <w:b w:val="0"/>
        </w:rPr>
        <w:t>&lt;NumAm&gt;</w:t>
      </w:r>
      <w:r>
        <w:t>47</w:t>
      </w:r>
      <w:r w:rsidRPr="00FE1F10">
        <w:rPr>
          <w:rStyle w:val="HideTWBExt"/>
          <w:b w:val="0"/>
        </w:rPr>
        <w:t>&lt;/NumAm&gt;</w:t>
      </w:r>
    </w:p>
    <w:p w:rsidR="00EA4087" w:rsidRPr="00781861" w:rsidRDefault="00FE1F10" w:rsidP="00EA4087">
      <w:pPr>
        <w:pStyle w:val="NormalBold12b"/>
        <w:keepNext/>
      </w:pPr>
      <w:r>
        <w:rPr>
          <w:rStyle w:val="HideTWBExt"/>
          <w:b w:val="0"/>
        </w:rPr>
        <w:t>&lt;DocAmend&gt;</w:t>
      </w:r>
      <w:r>
        <w:t>Proposta de resolução</w:t>
      </w:r>
      <w:r>
        <w:rPr>
          <w:rStyle w:val="HideTWBExt"/>
          <w:b w:val="0"/>
        </w:rPr>
        <w:t>&lt;/DocAmend&gt;</w:t>
      </w:r>
    </w:p>
    <w:p w:rsidR="00EA4087" w:rsidRPr="00781861" w:rsidRDefault="00FE1F10" w:rsidP="00EA4087">
      <w:pPr>
        <w:pStyle w:val="NormalBold"/>
      </w:pPr>
      <w:r>
        <w:rPr>
          <w:rStyle w:val="HideTWBExt"/>
          <w:b w:val="0"/>
        </w:rPr>
        <w:t>&lt;Article&gt;</w:t>
      </w:r>
      <w:r>
        <w:t>N.º 18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2CD8" w:rsidTr="00EA4087">
        <w:trPr>
          <w:jc w:val="center"/>
        </w:trPr>
        <w:tc>
          <w:tcPr>
            <w:tcW w:w="9752" w:type="dxa"/>
            <w:gridSpan w:val="2"/>
          </w:tcPr>
          <w:p w:rsidR="00EA4087" w:rsidRPr="00781861" w:rsidRDefault="00EA4087">
            <w:pPr>
              <w:keepNext/>
            </w:pPr>
          </w:p>
        </w:tc>
      </w:tr>
      <w:tr w:rsidR="007C2CD8" w:rsidTr="00EA4087">
        <w:trPr>
          <w:jc w:val="center"/>
        </w:trPr>
        <w:tc>
          <w:tcPr>
            <w:tcW w:w="4876" w:type="dxa"/>
            <w:hideMark/>
          </w:tcPr>
          <w:p w:rsidR="00EA4087" w:rsidRPr="00781861" w:rsidRDefault="00FE1F10">
            <w:pPr>
              <w:pStyle w:val="ColumnHeading"/>
              <w:keepNext/>
            </w:pPr>
            <w:r>
              <w:t>Proposta de resolução</w:t>
            </w:r>
          </w:p>
        </w:tc>
        <w:tc>
          <w:tcPr>
            <w:tcW w:w="4876" w:type="dxa"/>
            <w:hideMark/>
          </w:tcPr>
          <w:p w:rsidR="00EA4087" w:rsidRPr="00781861" w:rsidRDefault="00FE1F10">
            <w:pPr>
              <w:pStyle w:val="ColumnHeading"/>
              <w:keepNext/>
            </w:pPr>
            <w:r>
              <w:t>Alteração</w:t>
            </w:r>
          </w:p>
        </w:tc>
      </w:tr>
      <w:tr w:rsidR="007C2CD8" w:rsidTr="00EA4087">
        <w:trPr>
          <w:jc w:val="center"/>
        </w:trPr>
        <w:tc>
          <w:tcPr>
            <w:tcW w:w="4876" w:type="dxa"/>
            <w:hideMark/>
          </w:tcPr>
          <w:p w:rsidR="00EA4087" w:rsidRPr="00781861" w:rsidRDefault="00FE1F10">
            <w:pPr>
              <w:pStyle w:val="Normal6"/>
            </w:pPr>
            <w:r>
              <w:t>18.</w:t>
            </w:r>
            <w:r>
              <w:tab/>
              <w:t>Congratula</w:t>
            </w:r>
            <w:r>
              <w:noBreakHyphen/>
            </w:r>
            <w:r>
              <w:t>se com o facto de todos os Estados</w:t>
            </w:r>
            <w:r>
              <w:noBreakHyphen/>
            </w:r>
            <w:r>
              <w:t>Membros terem excedido as metas para as transições ecológica (37 %) e digital (20 %), situando</w:t>
            </w:r>
            <w:r>
              <w:noBreakHyphen/>
            </w:r>
            <w:r>
              <w:t>se a despesa média consagrada aos objetivos climáticos e digitais do MRR no seu conjunto em 42 % e 26 %, respet</w:t>
            </w:r>
            <w:r>
              <w:t>ivamente; observa que o TCE expressou dúvidas quanto à forma como a execução das medidas do MRR contribuiu para a transição ecológica e recomendou a melhoria das metodologias utilizadas para estimar os efeitos em matéria de clima; realça que as mesmas defi</w:t>
            </w:r>
            <w:r>
              <w:t>ciências metodológicas se verificam em todos os pilares do MRR;</w:t>
            </w:r>
          </w:p>
        </w:tc>
        <w:tc>
          <w:tcPr>
            <w:tcW w:w="4876" w:type="dxa"/>
            <w:hideMark/>
          </w:tcPr>
          <w:p w:rsidR="00EA4087" w:rsidRPr="00781861" w:rsidRDefault="00FE1F10" w:rsidP="00E6527C">
            <w:pPr>
              <w:pStyle w:val="Normal6"/>
              <w:rPr>
                <w:szCs w:val="24"/>
              </w:rPr>
            </w:pPr>
            <w:r>
              <w:t>18.</w:t>
            </w:r>
            <w:r>
              <w:tab/>
              <w:t>Congratula</w:t>
            </w:r>
            <w:r>
              <w:noBreakHyphen/>
            </w:r>
            <w:r>
              <w:t>se com o facto de todos os Estados</w:t>
            </w:r>
            <w:r>
              <w:noBreakHyphen/>
            </w:r>
            <w:r>
              <w:t>Membros terem excedido as metas para as transições ecológica (37 %) e digital (20 %), situando</w:t>
            </w:r>
            <w:r>
              <w:noBreakHyphen/>
            </w:r>
            <w:r>
              <w:t xml:space="preserve">se a despesa média consagrada aos objetivos </w:t>
            </w:r>
            <w:r>
              <w:t>climáticos e digitais do MRR no seu conjunto em 42 % e 26 %, respetivamente; observa que o TCE expressou dúvidas quanto à forma como a execução das medidas do MRR contribuiu para a transição ecológica e recomendou a melhoria das metodologias utilizadas par</w:t>
            </w:r>
            <w:r>
              <w:t>a estimar os efeitos em matéria de clima; realça que as mesmas deficiências metodológicas se verificam em todos os pilares do MRR</w:t>
            </w:r>
            <w:r>
              <w:rPr>
                <w:b/>
                <w:i/>
              </w:rPr>
              <w:t xml:space="preserve"> e insta a Comissão a aplicar horizontalmente as recomendações formuladas pelo TCE;</w:t>
            </w:r>
            <w:r>
              <w:t xml:space="preserve"> </w:t>
            </w:r>
            <w:r>
              <w:rPr>
                <w:b/>
                <w:i/>
              </w:rPr>
              <w:t>sublinha a importância dos indicadores rela</w:t>
            </w:r>
            <w:r>
              <w:rPr>
                <w:b/>
                <w:i/>
              </w:rPr>
              <w:t>cionados com a aplicação dos princípios e do Plano de Ação do PEDS; insta a Comissão a colaborar com o Parlamento, no âmbito do diálogo sobre recuperação e resiliência, para reavaliar os indicadores sociais em consonância com a Declaração do Porto, e a con</w:t>
            </w:r>
            <w:r>
              <w:rPr>
                <w:b/>
                <w:i/>
              </w:rPr>
              <w:t>sultar os parceiros sociais e a sociedade civil;</w:t>
            </w:r>
          </w:p>
        </w:tc>
      </w:tr>
    </w:tbl>
    <w:p w:rsidR="00EA4087" w:rsidRPr="00781861" w:rsidRDefault="00FE1F10" w:rsidP="00EA4087">
      <w:pPr>
        <w:rPr>
          <w:szCs w:val="24"/>
        </w:rPr>
      </w:pPr>
      <w:r>
        <w:rPr>
          <w:rStyle w:val="HideTWBExt"/>
        </w:rPr>
        <w:t>&lt;/Amend&gt;</w:t>
      </w:r>
    </w:p>
    <w:p w:rsidR="00BB4507" w:rsidRPr="00781861" w:rsidRDefault="00FE1F10" w:rsidP="00BB4507">
      <w:pPr>
        <w:pStyle w:val="AMNumberTabs0"/>
        <w:keepNext/>
      </w:pPr>
      <w:r w:rsidRPr="00FE1F10">
        <w:rPr>
          <w:rStyle w:val="HideTWBExt"/>
          <w:b w:val="0"/>
        </w:rPr>
        <w:t>&lt;Amend&gt;</w:t>
      </w:r>
      <w:r>
        <w:t>Alteração</w:t>
      </w:r>
      <w:r>
        <w:tab/>
      </w:r>
      <w:r>
        <w:tab/>
      </w:r>
      <w:r w:rsidRPr="00FE1F10">
        <w:rPr>
          <w:rStyle w:val="HideTWBExt"/>
          <w:b w:val="0"/>
        </w:rPr>
        <w:t>&lt;NumAm&gt;</w:t>
      </w:r>
      <w:r>
        <w:t>48</w:t>
      </w:r>
      <w:r w:rsidRPr="00FE1F10">
        <w:rPr>
          <w:rStyle w:val="HideTWBExt"/>
          <w:b w:val="0"/>
        </w:rPr>
        <w:t>&lt;/NumAm&gt;</w:t>
      </w:r>
    </w:p>
    <w:p w:rsidR="00BB4507" w:rsidRPr="00781861" w:rsidRDefault="00BB4507" w:rsidP="00BB4507"/>
    <w:p w:rsidR="00BB4507" w:rsidRPr="00781861" w:rsidRDefault="00FE1F10" w:rsidP="00BB4507">
      <w:pPr>
        <w:pStyle w:val="NormalBold"/>
        <w:keepNext/>
      </w:pPr>
      <w:r>
        <w:rPr>
          <w:rStyle w:val="HideTWBExt"/>
          <w:b w:val="0"/>
        </w:rPr>
        <w:t>&lt;DocAmend&gt;</w:t>
      </w:r>
      <w:r>
        <w:t>Proposta de resolução</w:t>
      </w:r>
      <w:r>
        <w:rPr>
          <w:rStyle w:val="HideTWBExt"/>
          <w:b w:val="0"/>
        </w:rPr>
        <w:t>&lt;/DocAmend&gt;</w:t>
      </w:r>
    </w:p>
    <w:p w:rsidR="00BB4507" w:rsidRPr="00781861" w:rsidRDefault="00FE1F10" w:rsidP="00BB4507">
      <w:pPr>
        <w:pStyle w:val="NormalBold"/>
      </w:pPr>
      <w:r>
        <w:rPr>
          <w:rStyle w:val="HideTWBExt"/>
          <w:b w:val="0"/>
        </w:rPr>
        <w:t>&lt;Article&gt;</w:t>
      </w:r>
      <w:r>
        <w:t>N.º 19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2CD8" w:rsidTr="00BB4507">
        <w:trPr>
          <w:jc w:val="center"/>
        </w:trPr>
        <w:tc>
          <w:tcPr>
            <w:tcW w:w="9752" w:type="dxa"/>
            <w:gridSpan w:val="2"/>
          </w:tcPr>
          <w:p w:rsidR="00BB4507" w:rsidRPr="00781861" w:rsidRDefault="00BB4507">
            <w:pPr>
              <w:keepNext/>
            </w:pPr>
          </w:p>
        </w:tc>
      </w:tr>
      <w:tr w:rsidR="007C2CD8" w:rsidTr="00BB4507">
        <w:trPr>
          <w:jc w:val="center"/>
        </w:trPr>
        <w:tc>
          <w:tcPr>
            <w:tcW w:w="4876" w:type="dxa"/>
            <w:hideMark/>
          </w:tcPr>
          <w:p w:rsidR="00BB4507" w:rsidRPr="00781861" w:rsidRDefault="00FE1F10">
            <w:pPr>
              <w:pStyle w:val="ColumnHeading"/>
              <w:keepNext/>
            </w:pPr>
            <w:r>
              <w:t>Proposta de resolução</w:t>
            </w:r>
          </w:p>
        </w:tc>
        <w:tc>
          <w:tcPr>
            <w:tcW w:w="4876" w:type="dxa"/>
            <w:hideMark/>
          </w:tcPr>
          <w:p w:rsidR="00BB4507" w:rsidRPr="00781861" w:rsidRDefault="00FE1F10">
            <w:pPr>
              <w:pStyle w:val="ColumnHeading"/>
              <w:keepNext/>
            </w:pPr>
            <w:r>
              <w:t>Alteração</w:t>
            </w:r>
          </w:p>
        </w:tc>
      </w:tr>
      <w:tr w:rsidR="007C2CD8" w:rsidTr="00BB4507">
        <w:trPr>
          <w:jc w:val="center"/>
        </w:trPr>
        <w:tc>
          <w:tcPr>
            <w:tcW w:w="4876" w:type="dxa"/>
            <w:hideMark/>
          </w:tcPr>
          <w:p w:rsidR="00BB4507" w:rsidRPr="00781861" w:rsidRDefault="00FE1F10">
            <w:pPr>
              <w:pStyle w:val="Normal6"/>
            </w:pPr>
            <w:r>
              <w:t>19.</w:t>
            </w:r>
            <w:r>
              <w:tab/>
              <w:t xml:space="preserve">Regista os efeitos concretos que o MRR </w:t>
            </w:r>
            <w:r>
              <w:rPr>
                <w:b/>
                <w:i/>
              </w:rPr>
              <w:t>poderá</w:t>
            </w:r>
            <w:r>
              <w:t xml:space="preserve"> ter sobre os objetivos sociais, porquanto os Estados</w:t>
            </w:r>
            <w:r>
              <w:noBreakHyphen/>
            </w:r>
            <w:r>
              <w:t>Membros planeiam despender cerca de 163 mil milhões de EUR</w:t>
            </w:r>
            <w:r>
              <w:rPr>
                <w:b/>
                <w:i/>
              </w:rPr>
              <w:t>; frisa a</w:t>
            </w:r>
            <w:r>
              <w:t xml:space="preserve"> </w:t>
            </w:r>
            <w:r>
              <w:rPr>
                <w:b/>
                <w:i/>
              </w:rPr>
              <w:t>necessidade de</w:t>
            </w:r>
            <w:r>
              <w:t xml:space="preserve"> </w:t>
            </w:r>
            <w:r>
              <w:rPr>
                <w:b/>
                <w:i/>
              </w:rPr>
              <w:t>acelerar os investimentos no desenvolvimento das zonas rurais e remotas,</w:t>
            </w:r>
            <w:r>
              <w:t xml:space="preserve"> </w:t>
            </w:r>
            <w:r>
              <w:rPr>
                <w:b/>
                <w:i/>
              </w:rPr>
              <w:t xml:space="preserve">na proteção social e na integração dos grupos </w:t>
            </w:r>
            <w:r>
              <w:rPr>
                <w:b/>
                <w:i/>
              </w:rPr>
              <w:t>vulneráveis, bem como no emprego dos jovens,</w:t>
            </w:r>
            <w:r>
              <w:t xml:space="preserve"> </w:t>
            </w:r>
            <w:r>
              <w:rPr>
                <w:b/>
                <w:i/>
              </w:rPr>
              <w:t>domínio em que as</w:t>
            </w:r>
            <w:r>
              <w:t xml:space="preserve"> despesas </w:t>
            </w:r>
            <w:r>
              <w:rPr>
                <w:b/>
                <w:i/>
              </w:rPr>
              <w:t>estão a</w:t>
            </w:r>
            <w:r>
              <w:t xml:space="preserve"> </w:t>
            </w:r>
            <w:r>
              <w:rPr>
                <w:b/>
                <w:i/>
              </w:rPr>
              <w:t>ficar para trás; solicita que a</w:t>
            </w:r>
            <w:r>
              <w:t xml:space="preserve"> </w:t>
            </w:r>
            <w:r>
              <w:rPr>
                <w:b/>
                <w:i/>
              </w:rPr>
              <w:t>Comissão realize uma avaliação aprofundada</w:t>
            </w:r>
            <w:r>
              <w:t xml:space="preserve">, </w:t>
            </w:r>
            <w:r>
              <w:rPr>
                <w:b/>
                <w:i/>
              </w:rPr>
              <w:t>no contexto da grelha de avaliação da recuperação e</w:t>
            </w:r>
            <w:r>
              <w:t xml:space="preserve"> </w:t>
            </w:r>
            <w:r>
              <w:rPr>
                <w:b/>
                <w:i/>
              </w:rPr>
              <w:t>resiliência,</w:t>
            </w:r>
            <w:r>
              <w:t xml:space="preserve"> </w:t>
            </w:r>
            <w:r>
              <w:rPr>
                <w:b/>
                <w:i/>
              </w:rPr>
              <w:t>dos projetos e das</w:t>
            </w:r>
            <w:r>
              <w:t xml:space="preserve"> </w:t>
            </w:r>
            <w:r>
              <w:rPr>
                <w:b/>
                <w:i/>
              </w:rPr>
              <w:t>reformas relacio</w:t>
            </w:r>
            <w:r>
              <w:rPr>
                <w:b/>
                <w:i/>
              </w:rPr>
              <w:t>nados com a educação e os jovens executados pelos Estados</w:t>
            </w:r>
            <w:r>
              <w:rPr>
                <w:b/>
                <w:i/>
              </w:rPr>
              <w:noBreakHyphen/>
            </w:r>
            <w:r>
              <w:rPr>
                <w:b/>
                <w:i/>
              </w:rPr>
              <w:t>Membros ao</w:t>
            </w:r>
            <w:r>
              <w:t xml:space="preserve"> </w:t>
            </w:r>
            <w:r>
              <w:rPr>
                <w:b/>
                <w:i/>
              </w:rPr>
              <w:t>abrigo do</w:t>
            </w:r>
            <w:r>
              <w:t xml:space="preserve"> </w:t>
            </w:r>
            <w:r>
              <w:rPr>
                <w:b/>
                <w:i/>
              </w:rPr>
              <w:t>MRR</w:t>
            </w:r>
            <w:r>
              <w:t>;</w:t>
            </w:r>
          </w:p>
        </w:tc>
        <w:tc>
          <w:tcPr>
            <w:tcW w:w="4876" w:type="dxa"/>
            <w:hideMark/>
          </w:tcPr>
          <w:p w:rsidR="00BB4507" w:rsidRPr="00781861" w:rsidRDefault="00FE1F10" w:rsidP="00E6527C">
            <w:pPr>
              <w:pStyle w:val="Normal6"/>
              <w:rPr>
                <w:szCs w:val="24"/>
              </w:rPr>
            </w:pPr>
            <w:r>
              <w:t>19.</w:t>
            </w:r>
            <w:r>
              <w:tab/>
              <w:t xml:space="preserve">Regista os efeitos concretos que o MRR </w:t>
            </w:r>
            <w:r>
              <w:rPr>
                <w:b/>
                <w:i/>
              </w:rPr>
              <w:t>pode</w:t>
            </w:r>
            <w:r>
              <w:t xml:space="preserve"> ter sobre os objetivos sociais, porquanto os Estados</w:t>
            </w:r>
            <w:r>
              <w:noBreakHyphen/>
            </w:r>
            <w:r>
              <w:t>Membros planeiam despender cerca de 163 mil milhões de EUR</w:t>
            </w:r>
            <w:r>
              <w:rPr>
                <w:b/>
                <w:i/>
              </w:rPr>
              <w:t>, o equivalen</w:t>
            </w:r>
            <w:r>
              <w:rPr>
                <w:b/>
                <w:i/>
              </w:rPr>
              <w:t>te a</w:t>
            </w:r>
            <w:r>
              <w:t xml:space="preserve"> </w:t>
            </w:r>
            <w:r>
              <w:rPr>
                <w:b/>
                <w:i/>
              </w:rPr>
              <w:t>cerca de</w:t>
            </w:r>
            <w:r>
              <w:t xml:space="preserve"> </w:t>
            </w:r>
            <w:r>
              <w:rPr>
                <w:b/>
                <w:i/>
              </w:rPr>
              <w:t>25 % das despesas totais estimadas, e observa que, até hoje,</w:t>
            </w:r>
            <w:r>
              <w:t xml:space="preserve"> </w:t>
            </w:r>
            <w:r>
              <w:rPr>
                <w:b/>
                <w:i/>
              </w:rPr>
              <w:t>a Comissão desembolsou cerca de 269 mil milhões de EUR ao abrigo do MRR em subvenções,</w:t>
            </w:r>
            <w:r>
              <w:t xml:space="preserve"> </w:t>
            </w:r>
            <w:r>
              <w:rPr>
                <w:b/>
                <w:i/>
              </w:rPr>
              <w:t>empréstimos e pré</w:t>
            </w:r>
            <w:r>
              <w:rPr>
                <w:b/>
                <w:i/>
              </w:rPr>
              <w:noBreakHyphen/>
            </w:r>
            <w:r>
              <w:rPr>
                <w:b/>
                <w:i/>
              </w:rPr>
              <w:t>financiamentos; assinala que, na sequência das revisões dos PNRR, quase 30 %</w:t>
            </w:r>
            <w:r>
              <w:rPr>
                <w:b/>
                <w:i/>
              </w:rPr>
              <w:t xml:space="preserve"> das</w:t>
            </w:r>
            <w:r>
              <w:t xml:space="preserve"> despesas </w:t>
            </w:r>
            <w:r>
              <w:rPr>
                <w:b/>
                <w:i/>
              </w:rPr>
              <w:t>sociais estimadas são consagradas, respetivamente, a</w:t>
            </w:r>
            <w:r>
              <w:t xml:space="preserve"> </w:t>
            </w:r>
            <w:r>
              <w:rPr>
                <w:b/>
                <w:i/>
              </w:rPr>
              <w:t>investimentos e reformas na educação e no acolhimento de crianças e</w:t>
            </w:r>
            <w:r>
              <w:t xml:space="preserve"> </w:t>
            </w:r>
            <w:r>
              <w:rPr>
                <w:b/>
                <w:i/>
              </w:rPr>
              <w:t>a cuidados de saúde e cuidados continuados,</w:t>
            </w:r>
            <w:r>
              <w:t xml:space="preserve"> </w:t>
            </w:r>
            <w:r>
              <w:rPr>
                <w:b/>
                <w:i/>
              </w:rPr>
              <w:t>enquanto 25 % se destinam ao emprego e às competências</w:t>
            </w:r>
            <w:r>
              <w:t xml:space="preserve"> </w:t>
            </w:r>
            <w:r>
              <w:rPr>
                <w:b/>
                <w:i/>
              </w:rPr>
              <w:t>e o remanescente,</w:t>
            </w:r>
            <w:r>
              <w:t xml:space="preserve"> </w:t>
            </w:r>
            <w:r>
              <w:rPr>
                <w:b/>
                <w:i/>
              </w:rPr>
              <w:t xml:space="preserve">às </w:t>
            </w:r>
            <w:r>
              <w:rPr>
                <w:b/>
                <w:i/>
              </w:rPr>
              <w:t>políticas sociais</w:t>
            </w:r>
            <w:r>
              <w:rPr>
                <w:b/>
                <w:i/>
                <w:vertAlign w:val="superscript"/>
              </w:rPr>
              <w:t>1</w:t>
            </w:r>
            <w:r>
              <w:rPr>
                <w:b/>
                <w:i/>
                <w:vertAlign w:val="superscript"/>
              </w:rPr>
              <w:noBreakHyphen/>
            </w:r>
            <w:r>
              <w:rPr>
                <w:b/>
                <w:i/>
                <w:vertAlign w:val="superscript"/>
              </w:rPr>
              <w:t>A</w:t>
            </w:r>
            <w:r>
              <w:rPr>
                <w:b/>
                <w:i/>
              </w:rPr>
              <w:t>; insta os Estados</w:t>
            </w:r>
            <w:r>
              <w:rPr>
                <w:b/>
                <w:i/>
              </w:rPr>
              <w:noBreakHyphen/>
            </w:r>
            <w:r>
              <w:rPr>
                <w:b/>
                <w:i/>
              </w:rPr>
              <w:t>Membros a direcionarem pelo menos 30 % das</w:t>
            </w:r>
            <w:r>
              <w:t xml:space="preserve"> </w:t>
            </w:r>
            <w:r>
              <w:rPr>
                <w:b/>
                <w:i/>
              </w:rPr>
              <w:t>despesas do MRR no âmbito dos pilares pertinentes para investimentos sociais até ao</w:t>
            </w:r>
            <w:r>
              <w:t xml:space="preserve"> </w:t>
            </w:r>
            <w:r>
              <w:rPr>
                <w:b/>
                <w:i/>
              </w:rPr>
              <w:t>termo do</w:t>
            </w:r>
            <w:r>
              <w:t xml:space="preserve"> </w:t>
            </w:r>
            <w:r>
              <w:rPr>
                <w:b/>
                <w:i/>
              </w:rPr>
              <w:t>prazo de pagamento</w:t>
            </w:r>
            <w:r>
              <w:t>;</w:t>
            </w:r>
          </w:p>
        </w:tc>
      </w:tr>
      <w:tr w:rsidR="007C2CD8" w:rsidTr="00BB4507">
        <w:trPr>
          <w:jc w:val="center"/>
        </w:trPr>
        <w:tc>
          <w:tcPr>
            <w:tcW w:w="4876" w:type="dxa"/>
          </w:tcPr>
          <w:p w:rsidR="00BB4507" w:rsidRPr="00FE1F10" w:rsidRDefault="00BB4507">
            <w:pPr>
              <w:pStyle w:val="Normal6"/>
            </w:pPr>
          </w:p>
        </w:tc>
        <w:tc>
          <w:tcPr>
            <w:tcW w:w="4876" w:type="dxa"/>
            <w:hideMark/>
          </w:tcPr>
          <w:p w:rsidR="00BB4507" w:rsidRPr="00781861" w:rsidRDefault="00FE1F10">
            <w:pPr>
              <w:pStyle w:val="Normal6"/>
              <w:rPr>
                <w:szCs w:val="24"/>
              </w:rPr>
            </w:pPr>
            <w:r>
              <w:t>__________________</w:t>
            </w:r>
          </w:p>
        </w:tc>
      </w:tr>
      <w:tr w:rsidR="007C2CD8" w:rsidTr="00271B69">
        <w:trPr>
          <w:jc w:val="center"/>
        </w:trPr>
        <w:tc>
          <w:tcPr>
            <w:tcW w:w="4876" w:type="dxa"/>
          </w:tcPr>
          <w:p w:rsidR="00BB4507" w:rsidRPr="00781861" w:rsidRDefault="00BB4507">
            <w:pPr>
              <w:pStyle w:val="Normal6"/>
              <w:rPr>
                <w:lang w:val="en-GB"/>
              </w:rPr>
            </w:pPr>
          </w:p>
        </w:tc>
        <w:tc>
          <w:tcPr>
            <w:tcW w:w="4876" w:type="dxa"/>
          </w:tcPr>
          <w:p w:rsidR="00BB4507" w:rsidRPr="00781861" w:rsidRDefault="00FE1F10">
            <w:pPr>
              <w:pStyle w:val="Normal6"/>
              <w:rPr>
                <w:szCs w:val="24"/>
              </w:rPr>
            </w:pPr>
            <w:r w:rsidRPr="00FE1F10">
              <w:rPr>
                <w:b/>
                <w:i/>
                <w:vertAlign w:val="superscript"/>
              </w:rPr>
              <w:t>1</w:t>
            </w:r>
            <w:r w:rsidRPr="00FE1F10">
              <w:rPr>
                <w:b/>
                <w:i/>
                <w:vertAlign w:val="superscript"/>
              </w:rPr>
              <w:noBreakHyphen/>
            </w:r>
            <w:r w:rsidRPr="00FE1F10">
              <w:rPr>
                <w:b/>
                <w:i/>
                <w:vertAlign w:val="superscript"/>
              </w:rPr>
              <w:t>A</w:t>
            </w:r>
            <w:r>
              <w:rPr>
                <w:b/>
                <w:i/>
              </w:rPr>
              <w:t xml:space="preserve"> COM(2024)0474, p. 19.</w:t>
            </w:r>
          </w:p>
        </w:tc>
      </w:tr>
      <w:tr w:rsidR="007C2CD8" w:rsidTr="00BB4507">
        <w:trPr>
          <w:jc w:val="center"/>
        </w:trPr>
        <w:tc>
          <w:tcPr>
            <w:tcW w:w="4876" w:type="dxa"/>
          </w:tcPr>
          <w:p w:rsidR="00BB4507" w:rsidRPr="00781861" w:rsidRDefault="00BB4507">
            <w:pPr>
              <w:pStyle w:val="Normal6"/>
            </w:pPr>
          </w:p>
        </w:tc>
        <w:tc>
          <w:tcPr>
            <w:tcW w:w="4876" w:type="dxa"/>
            <w:hideMark/>
          </w:tcPr>
          <w:p w:rsidR="00BB4507" w:rsidRPr="00781861" w:rsidRDefault="00BB4507">
            <w:pPr>
              <w:pStyle w:val="Normal6"/>
              <w:rPr>
                <w:szCs w:val="24"/>
                <w:lang w:val="en-GB"/>
              </w:rPr>
            </w:pPr>
          </w:p>
        </w:tc>
      </w:tr>
    </w:tbl>
    <w:p w:rsidR="00BB4507" w:rsidRPr="00781861" w:rsidRDefault="00FE1F10" w:rsidP="00BB4507">
      <w:r>
        <w:rPr>
          <w:rStyle w:val="HideTWBExt"/>
        </w:rPr>
        <w:t>&lt;/Amend&gt;</w:t>
      </w:r>
    </w:p>
    <w:p w:rsidR="00BB4507" w:rsidRPr="00781861" w:rsidRDefault="00FE1F10" w:rsidP="00BB4507">
      <w:pPr>
        <w:pStyle w:val="AMNumberTabs0"/>
        <w:keepNext/>
      </w:pPr>
      <w:r>
        <w:rPr>
          <w:rStyle w:val="HideTWBExt"/>
          <w:b w:val="0"/>
          <w:lang w:val="en-GB"/>
        </w:rPr>
        <w:t>&lt;Amend&gt;</w:t>
      </w:r>
      <w:r>
        <w:t>Alteração</w:t>
      </w:r>
      <w:r>
        <w:tab/>
      </w:r>
      <w:r>
        <w:tab/>
      </w:r>
      <w:r>
        <w:rPr>
          <w:rStyle w:val="HideTWBExt"/>
          <w:b w:val="0"/>
          <w:lang w:val="en-GB"/>
        </w:rPr>
        <w:t>&lt;NumAm&gt;</w:t>
      </w:r>
      <w:r>
        <w:t>49</w:t>
      </w:r>
      <w:r>
        <w:rPr>
          <w:rStyle w:val="HideTWBExt"/>
          <w:b w:val="0"/>
          <w:lang w:val="en-GB"/>
        </w:rPr>
        <w:t>&lt;/NumAm&gt;</w:t>
      </w:r>
    </w:p>
    <w:p w:rsidR="00BB4507" w:rsidRPr="00781861" w:rsidRDefault="00BB4507" w:rsidP="00BB4507"/>
    <w:p w:rsidR="00BB4507" w:rsidRPr="00781861" w:rsidRDefault="00FE1F10" w:rsidP="00BB4507">
      <w:pPr>
        <w:pStyle w:val="NormalBold"/>
        <w:keepNext/>
      </w:pPr>
      <w:r>
        <w:rPr>
          <w:rStyle w:val="HideTWBExt"/>
          <w:b w:val="0"/>
        </w:rPr>
        <w:t>&lt;DocAmend&gt;</w:t>
      </w:r>
      <w:r>
        <w:t>Proposta de resolução</w:t>
      </w:r>
      <w:r>
        <w:rPr>
          <w:rStyle w:val="HideTWBExt"/>
          <w:b w:val="0"/>
        </w:rPr>
        <w:t>&lt;/DocAmend&gt;</w:t>
      </w:r>
    </w:p>
    <w:p w:rsidR="00BB4507" w:rsidRPr="00781861" w:rsidRDefault="00FE1F10" w:rsidP="00BB4507">
      <w:pPr>
        <w:pStyle w:val="NormalBold"/>
      </w:pPr>
      <w:r>
        <w:rPr>
          <w:rStyle w:val="HideTWBExt"/>
          <w:b w:val="0"/>
        </w:rPr>
        <w:t>&lt;Article&gt;</w:t>
      </w:r>
      <w:r>
        <w:t>N.º 19</w:t>
      </w:r>
      <w:r>
        <w:noBreakHyphen/>
      </w:r>
      <w:r>
        <w:t>A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2CD8" w:rsidTr="00BB4507">
        <w:trPr>
          <w:jc w:val="center"/>
        </w:trPr>
        <w:tc>
          <w:tcPr>
            <w:tcW w:w="9752" w:type="dxa"/>
            <w:gridSpan w:val="2"/>
          </w:tcPr>
          <w:p w:rsidR="00BB4507" w:rsidRPr="00781861" w:rsidRDefault="00BB4507">
            <w:pPr>
              <w:keepNext/>
            </w:pPr>
          </w:p>
        </w:tc>
      </w:tr>
      <w:tr w:rsidR="007C2CD8" w:rsidTr="00BB4507">
        <w:trPr>
          <w:jc w:val="center"/>
        </w:trPr>
        <w:tc>
          <w:tcPr>
            <w:tcW w:w="4876" w:type="dxa"/>
            <w:hideMark/>
          </w:tcPr>
          <w:p w:rsidR="00BB4507" w:rsidRPr="00781861" w:rsidRDefault="00FE1F10">
            <w:pPr>
              <w:pStyle w:val="ColumnHeading"/>
              <w:keepNext/>
            </w:pPr>
            <w:r>
              <w:t>Proposta de resolução</w:t>
            </w:r>
          </w:p>
        </w:tc>
        <w:tc>
          <w:tcPr>
            <w:tcW w:w="4876" w:type="dxa"/>
            <w:hideMark/>
          </w:tcPr>
          <w:p w:rsidR="00BB4507" w:rsidRPr="00781861" w:rsidRDefault="00FE1F10">
            <w:pPr>
              <w:pStyle w:val="ColumnHeading"/>
              <w:keepNext/>
            </w:pPr>
            <w:r>
              <w:t>Alteração</w:t>
            </w:r>
          </w:p>
        </w:tc>
      </w:tr>
      <w:tr w:rsidR="007C2CD8" w:rsidTr="00BB4507">
        <w:trPr>
          <w:jc w:val="center"/>
        </w:trPr>
        <w:tc>
          <w:tcPr>
            <w:tcW w:w="4876" w:type="dxa"/>
          </w:tcPr>
          <w:p w:rsidR="00BB4507" w:rsidRPr="00781861" w:rsidRDefault="00BB4507">
            <w:pPr>
              <w:pStyle w:val="Normal6"/>
              <w:rPr>
                <w:lang w:val="en-GB"/>
              </w:rPr>
            </w:pPr>
          </w:p>
        </w:tc>
        <w:tc>
          <w:tcPr>
            <w:tcW w:w="4876" w:type="dxa"/>
            <w:hideMark/>
          </w:tcPr>
          <w:p w:rsidR="00BB4507" w:rsidRPr="00781861" w:rsidRDefault="00FE1F10" w:rsidP="009837A3">
            <w:pPr>
              <w:pStyle w:val="Normal6"/>
              <w:rPr>
                <w:szCs w:val="24"/>
              </w:rPr>
            </w:pPr>
            <w:r>
              <w:rPr>
                <w:b/>
                <w:i/>
              </w:rPr>
              <w:t>19</w:t>
            </w:r>
            <w:r>
              <w:rPr>
                <w:b/>
                <w:i/>
              </w:rPr>
              <w:noBreakHyphen/>
            </w:r>
            <w:r>
              <w:rPr>
                <w:b/>
                <w:i/>
              </w:rPr>
              <w:t>A.</w:t>
            </w:r>
            <w:r>
              <w:rPr>
                <w:b/>
                <w:i/>
              </w:rPr>
              <w:tab/>
              <w:t xml:space="preserve">Frisa a necessidade de acelerar os investimentos no reforço da proteção social e dos serviços </w:t>
            </w:r>
            <w:r>
              <w:rPr>
                <w:b/>
                <w:i/>
              </w:rPr>
              <w:t>sociais públicos, em pensões adequadas, nos cuidados continuados, na disponibilidade e acessibilidade dos preços da habitação, designadamente a habitação social, na luta contra a pobreza e a exclusão social — em particular a pobreza infantil —, na educação</w:t>
            </w:r>
            <w:r>
              <w:rPr>
                <w:b/>
                <w:i/>
              </w:rPr>
              <w:t xml:space="preserve"> e acolhimento na primeira infância, no ensino e formação profissionais de adultos e no desenvolvimento de competências, na inclusão dos grupos em situação de vulnerabilidade, como as mulheres, as crianças, as famílias monoparentais, as pessoas com deficiê</w:t>
            </w:r>
            <w:r>
              <w:rPr>
                <w:b/>
                <w:i/>
              </w:rPr>
              <w:t>ncia, os migrantes, os ciganos, as pessoas LGBTIQ, os jovens e as pessoas idosas, no apoio ao emprego dos jovens, na modernização das instituições do mercado de trabalho, a saber, a previsão de competências e o diálogo social, e no desenvolvimento das zona</w:t>
            </w:r>
            <w:r>
              <w:rPr>
                <w:b/>
                <w:i/>
              </w:rPr>
              <w:t>s rurais e remotas onde as despesas registam atrasos; solicita que a Comissão realize uma avaliação, no contexto da grelha de avaliação da recuperação e resiliência, para acompanhar a eficácia dos investimentos sociais;</w:t>
            </w:r>
          </w:p>
        </w:tc>
      </w:tr>
    </w:tbl>
    <w:p w:rsidR="00BB4507" w:rsidRPr="00781861" w:rsidRDefault="00FE1F10" w:rsidP="00BB4507">
      <w:r>
        <w:rPr>
          <w:rStyle w:val="HideTWBExt"/>
        </w:rPr>
        <w:t>&lt;/Amend&gt;</w:t>
      </w:r>
    </w:p>
    <w:p w:rsidR="00BB4507" w:rsidRPr="00781861" w:rsidRDefault="00FE1F10" w:rsidP="00BB4507">
      <w:pPr>
        <w:pStyle w:val="AMNumberTabs0"/>
        <w:keepNext/>
      </w:pPr>
      <w:r w:rsidRPr="00FE1F10">
        <w:rPr>
          <w:rStyle w:val="HideTWBExt"/>
          <w:b w:val="0"/>
        </w:rPr>
        <w:t>&lt;Amend&gt;</w:t>
      </w:r>
      <w:r>
        <w:t>Alteração</w:t>
      </w:r>
      <w:r>
        <w:tab/>
      </w:r>
      <w:r>
        <w:tab/>
      </w:r>
      <w:r w:rsidRPr="00FE1F10">
        <w:rPr>
          <w:rStyle w:val="HideTWBExt"/>
          <w:b w:val="0"/>
        </w:rPr>
        <w:t>&lt;NumAm&gt;</w:t>
      </w:r>
      <w:r>
        <w:t>5</w:t>
      </w:r>
      <w:r>
        <w:t>0</w:t>
      </w:r>
      <w:r w:rsidRPr="00FE1F10">
        <w:rPr>
          <w:rStyle w:val="HideTWBExt"/>
          <w:b w:val="0"/>
        </w:rPr>
        <w:t>&lt;/NumAm&gt;</w:t>
      </w:r>
    </w:p>
    <w:p w:rsidR="00BB4507" w:rsidRPr="00781861" w:rsidRDefault="00BB4507" w:rsidP="00BB4507"/>
    <w:p w:rsidR="00BB4507" w:rsidRPr="00781861" w:rsidRDefault="00FE1F10" w:rsidP="00BB4507">
      <w:pPr>
        <w:pStyle w:val="NormalBold"/>
        <w:keepNext/>
      </w:pPr>
      <w:r>
        <w:rPr>
          <w:rStyle w:val="HideTWBExt"/>
          <w:b w:val="0"/>
        </w:rPr>
        <w:t>&lt;DocAmend&gt;</w:t>
      </w:r>
      <w:r>
        <w:t>Proposta de resolução</w:t>
      </w:r>
      <w:r>
        <w:rPr>
          <w:rStyle w:val="HideTWBExt"/>
          <w:b w:val="0"/>
        </w:rPr>
        <w:t>&lt;/DocAmend&gt;</w:t>
      </w:r>
    </w:p>
    <w:p w:rsidR="00BB4507" w:rsidRPr="00781861" w:rsidRDefault="00FE1F10" w:rsidP="00BB4507">
      <w:pPr>
        <w:pStyle w:val="NormalBold"/>
      </w:pPr>
      <w:r>
        <w:rPr>
          <w:rStyle w:val="HideTWBExt"/>
          <w:b w:val="0"/>
        </w:rPr>
        <w:t>&lt;Article&gt;</w:t>
      </w:r>
      <w:r>
        <w:t>N.º 20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2CD8" w:rsidTr="00BB4507">
        <w:trPr>
          <w:jc w:val="center"/>
        </w:trPr>
        <w:tc>
          <w:tcPr>
            <w:tcW w:w="9752" w:type="dxa"/>
            <w:gridSpan w:val="2"/>
          </w:tcPr>
          <w:p w:rsidR="00BB4507" w:rsidRPr="00781861" w:rsidRDefault="00BB4507">
            <w:pPr>
              <w:keepNext/>
            </w:pPr>
          </w:p>
        </w:tc>
      </w:tr>
      <w:tr w:rsidR="007C2CD8" w:rsidTr="00BB4507">
        <w:trPr>
          <w:jc w:val="center"/>
        </w:trPr>
        <w:tc>
          <w:tcPr>
            <w:tcW w:w="4876" w:type="dxa"/>
            <w:hideMark/>
          </w:tcPr>
          <w:p w:rsidR="00BB4507" w:rsidRPr="00781861" w:rsidRDefault="00FE1F10">
            <w:pPr>
              <w:pStyle w:val="ColumnHeading"/>
              <w:keepNext/>
            </w:pPr>
            <w:r>
              <w:t>Proposta de resolução</w:t>
            </w:r>
          </w:p>
        </w:tc>
        <w:tc>
          <w:tcPr>
            <w:tcW w:w="4876" w:type="dxa"/>
            <w:hideMark/>
          </w:tcPr>
          <w:p w:rsidR="00BB4507" w:rsidRPr="00781861" w:rsidRDefault="00FE1F10">
            <w:pPr>
              <w:pStyle w:val="ColumnHeading"/>
              <w:keepNext/>
            </w:pPr>
            <w:r>
              <w:t>Alteração</w:t>
            </w:r>
          </w:p>
        </w:tc>
      </w:tr>
      <w:tr w:rsidR="007C2CD8" w:rsidTr="00BB4507">
        <w:trPr>
          <w:jc w:val="center"/>
        </w:trPr>
        <w:tc>
          <w:tcPr>
            <w:tcW w:w="4876" w:type="dxa"/>
            <w:hideMark/>
          </w:tcPr>
          <w:p w:rsidR="00BB4507" w:rsidRPr="00781861" w:rsidRDefault="00FE1F10">
            <w:pPr>
              <w:pStyle w:val="Normal6"/>
            </w:pPr>
            <w:r>
              <w:t>20.</w:t>
            </w:r>
            <w:r>
              <w:tab/>
              <w:t>Congratula</w:t>
            </w:r>
            <w:r>
              <w:noBreakHyphen/>
            </w:r>
            <w:r>
              <w:t xml:space="preserve">se com as contribuições efetuadas no âmbito do pilar do crescimento inteligente, sustentável e inclusivo, particularmente no </w:t>
            </w:r>
            <w:r>
              <w:t>que respeita à competitividade e ao apoio às PME; assinala a necessidade de acelerar os investimentos na cooperação transnacional, no apoio às empresas e nas alterações regulamentares para um crescimento inteligente, sustentável e inclusivo, que registam a</w:t>
            </w:r>
            <w:r>
              <w:t>trasos;</w:t>
            </w:r>
          </w:p>
        </w:tc>
        <w:tc>
          <w:tcPr>
            <w:tcW w:w="4876" w:type="dxa"/>
            <w:hideMark/>
          </w:tcPr>
          <w:p w:rsidR="00BB4507" w:rsidRPr="00781861" w:rsidRDefault="00FE1F10">
            <w:pPr>
              <w:pStyle w:val="Normal6"/>
              <w:rPr>
                <w:szCs w:val="24"/>
              </w:rPr>
            </w:pPr>
            <w:r>
              <w:t>20.</w:t>
            </w:r>
            <w:r>
              <w:tab/>
              <w:t>Congratula</w:t>
            </w:r>
            <w:r>
              <w:noBreakHyphen/>
            </w:r>
            <w:r>
              <w:t>se com as contribuições efetuadas no âmbito do pilar do crescimento inteligente, sustentável e inclusivo, particularmente no que respeita à competitividade e ao apoio às PME; assinala a necessidade de acelerar os investimentos na coo</w:t>
            </w:r>
            <w:r>
              <w:t xml:space="preserve">peração transnacional, no apoio às empresas </w:t>
            </w:r>
            <w:r>
              <w:rPr>
                <w:b/>
                <w:i/>
              </w:rPr>
              <w:t>e aos trabalhadores</w:t>
            </w:r>
            <w:r>
              <w:t xml:space="preserve"> e nas alterações regulamentares para um crescimento inteligente, sustentável e inclusivo, que registam atrasos; </w:t>
            </w:r>
            <w:r>
              <w:rPr>
                <w:b/>
                <w:i/>
              </w:rPr>
              <w:t>salienta que uma recuperação inclusiva também deve dar prioridade à economia soc</w:t>
            </w:r>
            <w:r>
              <w:rPr>
                <w:b/>
                <w:i/>
              </w:rPr>
              <w:t>ial como importante propulsora do crescimento sustentável e equitativo;</w:t>
            </w:r>
          </w:p>
        </w:tc>
      </w:tr>
    </w:tbl>
    <w:p w:rsidR="00BB4507" w:rsidRPr="00781861" w:rsidRDefault="00FE1F10" w:rsidP="00BB4507">
      <w:r>
        <w:rPr>
          <w:rStyle w:val="HideTWBExt"/>
        </w:rPr>
        <w:t>&lt;/Amend&gt;</w:t>
      </w:r>
    </w:p>
    <w:p w:rsidR="00BB4507" w:rsidRPr="00781861" w:rsidRDefault="00FE1F10" w:rsidP="00BB4507">
      <w:pPr>
        <w:pStyle w:val="AMNumberTabs0"/>
        <w:keepNext/>
      </w:pPr>
      <w:r w:rsidRPr="00FE1F10">
        <w:rPr>
          <w:rStyle w:val="HideTWBExt"/>
          <w:b w:val="0"/>
        </w:rPr>
        <w:t>&lt;Amend&gt;</w:t>
      </w:r>
      <w:r>
        <w:t>Alteração</w:t>
      </w:r>
      <w:r>
        <w:tab/>
      </w:r>
      <w:r>
        <w:tab/>
      </w:r>
      <w:r w:rsidRPr="00FE1F10">
        <w:rPr>
          <w:rStyle w:val="HideTWBExt"/>
          <w:b w:val="0"/>
        </w:rPr>
        <w:t>&lt;NumAm&gt;</w:t>
      </w:r>
      <w:r>
        <w:t>51</w:t>
      </w:r>
      <w:r w:rsidRPr="00FE1F10">
        <w:rPr>
          <w:rStyle w:val="HideTWBExt"/>
          <w:b w:val="0"/>
        </w:rPr>
        <w:t>&lt;/NumAm&gt;</w:t>
      </w:r>
    </w:p>
    <w:p w:rsidR="00BB4507" w:rsidRPr="00781861" w:rsidRDefault="00BB4507" w:rsidP="00BB4507"/>
    <w:p w:rsidR="00BB4507" w:rsidRPr="00781861" w:rsidRDefault="00FE1F10" w:rsidP="00BB4507">
      <w:pPr>
        <w:pStyle w:val="NormalBold"/>
        <w:keepNext/>
      </w:pPr>
      <w:r>
        <w:rPr>
          <w:rStyle w:val="HideTWBExt"/>
          <w:b w:val="0"/>
        </w:rPr>
        <w:t>&lt;DocAmend&gt;</w:t>
      </w:r>
      <w:r>
        <w:t>Proposta de resolução</w:t>
      </w:r>
      <w:r>
        <w:rPr>
          <w:rStyle w:val="HideTWBExt"/>
          <w:b w:val="0"/>
        </w:rPr>
        <w:t>&lt;/DocAmend&gt;</w:t>
      </w:r>
    </w:p>
    <w:p w:rsidR="00BB4507" w:rsidRPr="00781861" w:rsidRDefault="00FE1F10" w:rsidP="00BB4507">
      <w:pPr>
        <w:pStyle w:val="NormalBold"/>
      </w:pPr>
      <w:r>
        <w:rPr>
          <w:rStyle w:val="HideTWBExt"/>
          <w:b w:val="0"/>
        </w:rPr>
        <w:t>&lt;Article&gt;</w:t>
      </w:r>
      <w:r>
        <w:t>N.º 20</w:t>
      </w:r>
      <w:r>
        <w:noBreakHyphen/>
      </w:r>
      <w:r>
        <w:t>A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2CD8" w:rsidTr="00BB4507">
        <w:trPr>
          <w:jc w:val="center"/>
        </w:trPr>
        <w:tc>
          <w:tcPr>
            <w:tcW w:w="9752" w:type="dxa"/>
            <w:gridSpan w:val="2"/>
          </w:tcPr>
          <w:p w:rsidR="00BB4507" w:rsidRPr="00781861" w:rsidRDefault="00BB4507">
            <w:pPr>
              <w:keepNext/>
            </w:pPr>
          </w:p>
        </w:tc>
      </w:tr>
      <w:tr w:rsidR="007C2CD8" w:rsidTr="00BB4507">
        <w:trPr>
          <w:jc w:val="center"/>
        </w:trPr>
        <w:tc>
          <w:tcPr>
            <w:tcW w:w="4876" w:type="dxa"/>
            <w:hideMark/>
          </w:tcPr>
          <w:p w:rsidR="00BB4507" w:rsidRPr="00781861" w:rsidRDefault="00FE1F10">
            <w:pPr>
              <w:pStyle w:val="ColumnHeading"/>
              <w:keepNext/>
            </w:pPr>
            <w:r>
              <w:t>Proposta de resolução</w:t>
            </w:r>
          </w:p>
        </w:tc>
        <w:tc>
          <w:tcPr>
            <w:tcW w:w="4876" w:type="dxa"/>
            <w:hideMark/>
          </w:tcPr>
          <w:p w:rsidR="00BB4507" w:rsidRPr="00781861" w:rsidRDefault="00FE1F10">
            <w:pPr>
              <w:pStyle w:val="ColumnHeading"/>
              <w:keepNext/>
            </w:pPr>
            <w:r>
              <w:t>Alteração</w:t>
            </w:r>
          </w:p>
        </w:tc>
      </w:tr>
      <w:tr w:rsidR="007C2CD8" w:rsidTr="00BB4507">
        <w:trPr>
          <w:jc w:val="center"/>
        </w:trPr>
        <w:tc>
          <w:tcPr>
            <w:tcW w:w="4876" w:type="dxa"/>
          </w:tcPr>
          <w:p w:rsidR="00BB4507" w:rsidRPr="00781861" w:rsidRDefault="00BB4507">
            <w:pPr>
              <w:pStyle w:val="Normal6"/>
              <w:rPr>
                <w:lang w:val="en-GB"/>
              </w:rPr>
            </w:pPr>
          </w:p>
        </w:tc>
        <w:tc>
          <w:tcPr>
            <w:tcW w:w="4876" w:type="dxa"/>
            <w:hideMark/>
          </w:tcPr>
          <w:p w:rsidR="00BB4507" w:rsidRPr="00781861" w:rsidRDefault="00FE1F10" w:rsidP="00E6527C">
            <w:pPr>
              <w:pStyle w:val="Normal6"/>
              <w:rPr>
                <w:szCs w:val="24"/>
              </w:rPr>
            </w:pPr>
            <w:r>
              <w:rPr>
                <w:b/>
                <w:i/>
              </w:rPr>
              <w:t>20</w:t>
            </w:r>
            <w:r>
              <w:rPr>
                <w:b/>
                <w:i/>
              </w:rPr>
              <w:noBreakHyphen/>
            </w:r>
            <w:r>
              <w:rPr>
                <w:b/>
                <w:i/>
              </w:rPr>
              <w:t>A.</w:t>
            </w:r>
            <w:r>
              <w:rPr>
                <w:b/>
                <w:i/>
              </w:rPr>
              <w:tab/>
              <w:t xml:space="preserve">Recorda que a </w:t>
            </w:r>
            <w:r>
              <w:rPr>
                <w:b/>
                <w:i/>
              </w:rPr>
              <w:t>igualdade entre mulheres e homens é um valor fundador da UE consagrado nos Tratados; lamenta, pois, que a igualdade de género não seja um dos pilares do regulamento MRR; relembra que os PNRR devem incluir medidas que contribuam para a igualdade de género e</w:t>
            </w:r>
            <w:r>
              <w:rPr>
                <w:b/>
                <w:i/>
              </w:rPr>
              <w:t xml:space="preserve"> a igualdade de oportunidades para todos, em consonância com o PEDS, no intuito de promover a participação das mulheres no mercado de trabalho e reduzir a segregação em razão do género no mercado de trabalho; congratula</w:t>
            </w:r>
            <w:r>
              <w:rPr>
                <w:b/>
                <w:i/>
              </w:rPr>
              <w:noBreakHyphen/>
            </w:r>
            <w:r>
              <w:rPr>
                <w:b/>
                <w:i/>
              </w:rPr>
              <w:t>se com o facto de os PNRR revistos c</w:t>
            </w:r>
            <w:r>
              <w:rPr>
                <w:b/>
                <w:i/>
              </w:rPr>
              <w:t xml:space="preserve">onterem 136 (sub)medidas que incidem na igualdade de género e assinala as repercussões positivas de outras reformas e investimentos cuja execução pode contribuir de forma significativa para a igualdade de género, nomeadamente medidas destinadas a promover </w:t>
            </w:r>
            <w:r>
              <w:rPr>
                <w:b/>
                <w:i/>
              </w:rPr>
              <w:t>o equilíbrio entre a vida profissional e a vida privada, incluindo o acesso a estruturas de acolhimento de crianças e de cuidados às pessoas dependentes e o desenvolvimento de competências digitais; lamenta que dois Estados</w:t>
            </w:r>
            <w:r>
              <w:rPr>
                <w:b/>
                <w:i/>
              </w:rPr>
              <w:noBreakHyphen/>
            </w:r>
            <w:r>
              <w:rPr>
                <w:b/>
                <w:i/>
              </w:rPr>
              <w:t xml:space="preserve">Membros não tenham incluído nos </w:t>
            </w:r>
            <w:r>
              <w:rPr>
                <w:b/>
                <w:i/>
              </w:rPr>
              <w:t>seus PNRR nenhuma medida que visasse explicitamente contribuir para a igualdade de género e que vários outros Estados</w:t>
            </w:r>
            <w:r>
              <w:rPr>
                <w:b/>
                <w:i/>
              </w:rPr>
              <w:noBreakHyphen/>
            </w:r>
            <w:r>
              <w:rPr>
                <w:b/>
                <w:i/>
              </w:rPr>
              <w:t>Membros tenham incluído um número relativamente baixo de medidas deste género;</w:t>
            </w:r>
          </w:p>
        </w:tc>
      </w:tr>
    </w:tbl>
    <w:p w:rsidR="00BB4507" w:rsidRPr="00781861" w:rsidRDefault="00FE1F10" w:rsidP="00BB4507">
      <w:r>
        <w:rPr>
          <w:rStyle w:val="HideTWBExt"/>
        </w:rPr>
        <w:t>&lt;/Amend&gt;</w:t>
      </w:r>
    </w:p>
    <w:p w:rsidR="00EA4087" w:rsidRPr="00781861" w:rsidRDefault="00FE1F10" w:rsidP="00EA4087">
      <w:pPr>
        <w:pStyle w:val="AMNumberTabs0"/>
        <w:keepNext/>
      </w:pPr>
      <w:r w:rsidRPr="00FE1F10">
        <w:rPr>
          <w:rStyle w:val="HideTWBExt"/>
          <w:b w:val="0"/>
        </w:rPr>
        <w:t>&lt;Amend&gt;</w:t>
      </w:r>
      <w:r>
        <w:t>Alteração</w:t>
      </w:r>
      <w:r>
        <w:tab/>
      </w:r>
      <w:r>
        <w:tab/>
      </w:r>
      <w:r w:rsidRPr="00FE1F10">
        <w:rPr>
          <w:rStyle w:val="HideTWBExt"/>
          <w:b w:val="0"/>
        </w:rPr>
        <w:t>&lt;NumAm&gt;</w:t>
      </w:r>
      <w:r>
        <w:t>52</w:t>
      </w:r>
      <w:r w:rsidRPr="00FE1F10">
        <w:rPr>
          <w:rStyle w:val="HideTWBExt"/>
          <w:b w:val="0"/>
        </w:rPr>
        <w:t>&lt;/NumAm&gt;</w:t>
      </w:r>
    </w:p>
    <w:p w:rsidR="00EA4087" w:rsidRPr="00781861" w:rsidRDefault="00FE1F10" w:rsidP="00EA4087">
      <w:pPr>
        <w:pStyle w:val="NormalBold12b"/>
        <w:keepNext/>
      </w:pPr>
      <w:r>
        <w:rPr>
          <w:rStyle w:val="HideTWBExt"/>
          <w:b w:val="0"/>
        </w:rPr>
        <w:t>&lt;DocAmend&gt;</w:t>
      </w:r>
      <w:r>
        <w:t>Proposta de resolução</w:t>
      </w:r>
      <w:r>
        <w:rPr>
          <w:rStyle w:val="HideTWBExt"/>
          <w:b w:val="0"/>
        </w:rPr>
        <w:t>&lt;/DocAmend&gt;</w:t>
      </w:r>
    </w:p>
    <w:p w:rsidR="00EA4087" w:rsidRPr="00781861" w:rsidRDefault="00FE1F10" w:rsidP="00EA4087">
      <w:pPr>
        <w:pStyle w:val="NormalBold"/>
      </w:pPr>
      <w:r>
        <w:rPr>
          <w:rStyle w:val="HideTWBExt"/>
          <w:b w:val="0"/>
        </w:rPr>
        <w:t>&lt;Article&gt;</w:t>
      </w:r>
      <w:r>
        <w:t>N.º 28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2CD8" w:rsidTr="00EA4087">
        <w:trPr>
          <w:jc w:val="center"/>
        </w:trPr>
        <w:tc>
          <w:tcPr>
            <w:tcW w:w="9752" w:type="dxa"/>
            <w:gridSpan w:val="2"/>
          </w:tcPr>
          <w:p w:rsidR="00EA4087" w:rsidRPr="00781861" w:rsidRDefault="00EA4087">
            <w:pPr>
              <w:keepNext/>
            </w:pPr>
          </w:p>
        </w:tc>
      </w:tr>
      <w:tr w:rsidR="007C2CD8" w:rsidTr="00EA4087">
        <w:trPr>
          <w:jc w:val="center"/>
        </w:trPr>
        <w:tc>
          <w:tcPr>
            <w:tcW w:w="4876" w:type="dxa"/>
            <w:hideMark/>
          </w:tcPr>
          <w:p w:rsidR="00EA4087" w:rsidRPr="00781861" w:rsidRDefault="00FE1F10">
            <w:pPr>
              <w:pStyle w:val="ColumnHeading"/>
              <w:keepNext/>
            </w:pPr>
            <w:r>
              <w:t>Proposta de resolução</w:t>
            </w:r>
          </w:p>
        </w:tc>
        <w:tc>
          <w:tcPr>
            <w:tcW w:w="4876" w:type="dxa"/>
            <w:hideMark/>
          </w:tcPr>
          <w:p w:rsidR="00EA4087" w:rsidRPr="00781861" w:rsidRDefault="00FE1F10">
            <w:pPr>
              <w:pStyle w:val="ColumnHeading"/>
              <w:keepNext/>
            </w:pPr>
            <w:r>
              <w:t>Alteração</w:t>
            </w:r>
          </w:p>
        </w:tc>
      </w:tr>
      <w:tr w:rsidR="007C2CD8" w:rsidTr="00EA4087">
        <w:trPr>
          <w:jc w:val="center"/>
        </w:trPr>
        <w:tc>
          <w:tcPr>
            <w:tcW w:w="4876" w:type="dxa"/>
            <w:hideMark/>
          </w:tcPr>
          <w:p w:rsidR="00EA4087" w:rsidRPr="00781861" w:rsidRDefault="00FE1F10">
            <w:pPr>
              <w:pStyle w:val="Normal6"/>
            </w:pPr>
            <w:r>
              <w:t>28.</w:t>
            </w:r>
            <w:r>
              <w:tab/>
              <w:t>Exorta os Estados</w:t>
            </w:r>
            <w:r>
              <w:noBreakHyphen/>
            </w:r>
            <w:r>
              <w:t xml:space="preserve">Membros a intensificarem os seus esforços para eliminar os entraves administrativos e garantir suficiente capacidade administrativa para </w:t>
            </w:r>
            <w:r>
              <w:t xml:space="preserve">acelerar a execução do MRR na perspetiva do prazo de 2026, e a evitarem concentrar os projetos do MRR nas regiões mais desenvolvidas e nas capitais, permitindo que os fundos do MRR sejam canalizados para projetos nas regiões mais vulneráveis, contribuindo </w:t>
            </w:r>
            <w:r>
              <w:t xml:space="preserve">assim para o objetivo do MRR de aumentar a coesão social, territorial e económica na UE; solicita a prorrogação automática de </w:t>
            </w:r>
            <w:r>
              <w:rPr>
                <w:b/>
                <w:i/>
              </w:rPr>
              <w:t>12</w:t>
            </w:r>
            <w:r>
              <w:t xml:space="preserve"> meses dos projetos que apresentem uma taxa de execução de, pelo menos, 20 % antes do prazo de 2026; acolhe com agrado a possibi</w:t>
            </w:r>
            <w:r>
              <w:t xml:space="preserve">lidade de estabelecer um sistema de definição de prioridades e de transferência após o prazo de 2026, a fim de permitir a finalização dos projetos em curso por intermédio de outros regimes de financiamento, nomeadamente o Fundo Europeu de Investimento e o </w:t>
            </w:r>
            <w:r>
              <w:t>possível novo fundo europeu de competitividade;</w:t>
            </w:r>
          </w:p>
        </w:tc>
        <w:tc>
          <w:tcPr>
            <w:tcW w:w="4876" w:type="dxa"/>
            <w:hideMark/>
          </w:tcPr>
          <w:p w:rsidR="00EA4087" w:rsidRPr="00781861" w:rsidRDefault="00FE1F10" w:rsidP="004C6072">
            <w:pPr>
              <w:pStyle w:val="Normal6"/>
              <w:rPr>
                <w:szCs w:val="24"/>
              </w:rPr>
            </w:pPr>
            <w:r>
              <w:t>28.</w:t>
            </w:r>
            <w:r>
              <w:tab/>
              <w:t>Exorta os Estados</w:t>
            </w:r>
            <w:r>
              <w:noBreakHyphen/>
            </w:r>
            <w:r>
              <w:t>Membros a intensificarem os seus esforços para eliminar os entraves administrativos e garantir suficiente capacidade administrativa para acelerar a execução do MRR na perspetiva do prazo</w:t>
            </w:r>
            <w:r>
              <w:t xml:space="preserve"> de 2026, e a evitarem concentrar os projetos do MRR nas regiões mais desenvolvidas e nas capitais, permitindo que os fundos do MRR sejam canalizados para projetos nas regiões mais vulneráveis, contribuindo assim para o objetivo do MRR de aumentar a coesão</w:t>
            </w:r>
            <w:r>
              <w:t xml:space="preserve"> social, territorial e económica na UE; solicita a prorrogação automática de </w:t>
            </w:r>
            <w:r>
              <w:rPr>
                <w:b/>
                <w:i/>
              </w:rPr>
              <w:t>18</w:t>
            </w:r>
            <w:r>
              <w:t xml:space="preserve"> meses dos projetos que apresentem uma taxa de execução de, pelo menos, 20 % antes do prazo de 2026; acolhe com agrado a possibilidade de estabelecer um sistema de definição de </w:t>
            </w:r>
            <w:r>
              <w:t>prioridades e de transferência após o prazo de 2026, a fim de permitir a finalização dos projetos em curso por intermédio de outros regimes de financiamento, nomeadamente o Fundo Europeu de Investimento e o possível novo fundo europeu de competitividade;</w:t>
            </w:r>
          </w:p>
        </w:tc>
      </w:tr>
    </w:tbl>
    <w:p w:rsidR="00EA4087" w:rsidRPr="00781861" w:rsidRDefault="00FE1F10" w:rsidP="00EA4087">
      <w:pPr>
        <w:rPr>
          <w:szCs w:val="24"/>
        </w:rPr>
      </w:pPr>
      <w:r>
        <w:rPr>
          <w:rStyle w:val="HideTWBExt"/>
        </w:rPr>
        <w:t>&lt;/Amend&gt;</w:t>
      </w:r>
    </w:p>
    <w:p w:rsidR="00BB4507" w:rsidRPr="00781861" w:rsidRDefault="00FE1F10" w:rsidP="00BB4507">
      <w:pPr>
        <w:pStyle w:val="AMNumberTabs0"/>
        <w:keepNext/>
      </w:pPr>
      <w:r w:rsidRPr="00FE1F10">
        <w:rPr>
          <w:rStyle w:val="HideTWBExt"/>
          <w:b w:val="0"/>
        </w:rPr>
        <w:t>&lt;Amend&gt;</w:t>
      </w:r>
      <w:r>
        <w:t>Alteração</w:t>
      </w:r>
      <w:r>
        <w:tab/>
      </w:r>
      <w:r>
        <w:tab/>
      </w:r>
      <w:r w:rsidRPr="00FE1F10">
        <w:rPr>
          <w:rStyle w:val="HideTWBExt"/>
          <w:b w:val="0"/>
        </w:rPr>
        <w:t>&lt;NumAm&gt;</w:t>
      </w:r>
      <w:r>
        <w:t>53</w:t>
      </w:r>
      <w:r w:rsidRPr="00FE1F10">
        <w:rPr>
          <w:rStyle w:val="HideTWBExt"/>
          <w:b w:val="0"/>
        </w:rPr>
        <w:t>&lt;/NumAm&gt;</w:t>
      </w:r>
    </w:p>
    <w:p w:rsidR="00BB4507" w:rsidRPr="00781861" w:rsidRDefault="00BB4507" w:rsidP="00BB4507"/>
    <w:p w:rsidR="00BB4507" w:rsidRPr="00781861" w:rsidRDefault="00FE1F10" w:rsidP="00BB4507">
      <w:pPr>
        <w:pStyle w:val="NormalBold"/>
        <w:keepNext/>
      </w:pPr>
      <w:r>
        <w:rPr>
          <w:rStyle w:val="HideTWBExt"/>
          <w:b w:val="0"/>
        </w:rPr>
        <w:t>&lt;DocAmend&gt;</w:t>
      </w:r>
      <w:r>
        <w:t>Proposta de resolução</w:t>
      </w:r>
      <w:r>
        <w:rPr>
          <w:rStyle w:val="HideTWBExt"/>
          <w:b w:val="0"/>
        </w:rPr>
        <w:t>&lt;/DocAmend&gt;</w:t>
      </w:r>
    </w:p>
    <w:p w:rsidR="00BB4507" w:rsidRPr="00781861" w:rsidRDefault="00FE1F10" w:rsidP="00BB4507">
      <w:pPr>
        <w:pStyle w:val="NormalBold"/>
      </w:pPr>
      <w:r>
        <w:rPr>
          <w:rStyle w:val="HideTWBExt"/>
          <w:b w:val="0"/>
        </w:rPr>
        <w:t>&lt;Article&gt;</w:t>
      </w:r>
      <w:r>
        <w:t>N.º 39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2CD8" w:rsidTr="00BB4507">
        <w:trPr>
          <w:jc w:val="center"/>
        </w:trPr>
        <w:tc>
          <w:tcPr>
            <w:tcW w:w="9752" w:type="dxa"/>
            <w:gridSpan w:val="2"/>
          </w:tcPr>
          <w:p w:rsidR="00BB4507" w:rsidRPr="00781861" w:rsidRDefault="00BB4507">
            <w:pPr>
              <w:keepNext/>
            </w:pPr>
          </w:p>
        </w:tc>
      </w:tr>
      <w:tr w:rsidR="007C2CD8" w:rsidTr="00BB4507">
        <w:trPr>
          <w:jc w:val="center"/>
        </w:trPr>
        <w:tc>
          <w:tcPr>
            <w:tcW w:w="4876" w:type="dxa"/>
            <w:hideMark/>
          </w:tcPr>
          <w:p w:rsidR="00BB4507" w:rsidRPr="00781861" w:rsidRDefault="00FE1F10">
            <w:pPr>
              <w:pStyle w:val="ColumnHeading"/>
              <w:keepNext/>
            </w:pPr>
            <w:r>
              <w:t>Proposta de resolução</w:t>
            </w:r>
          </w:p>
        </w:tc>
        <w:tc>
          <w:tcPr>
            <w:tcW w:w="4876" w:type="dxa"/>
            <w:hideMark/>
          </w:tcPr>
          <w:p w:rsidR="00BB4507" w:rsidRPr="00781861" w:rsidRDefault="00FE1F10">
            <w:pPr>
              <w:pStyle w:val="ColumnHeading"/>
              <w:keepNext/>
            </w:pPr>
            <w:r>
              <w:t>Alteração</w:t>
            </w:r>
          </w:p>
        </w:tc>
      </w:tr>
      <w:tr w:rsidR="007C2CD8" w:rsidTr="00BB4507">
        <w:trPr>
          <w:jc w:val="center"/>
        </w:trPr>
        <w:tc>
          <w:tcPr>
            <w:tcW w:w="4876" w:type="dxa"/>
            <w:hideMark/>
          </w:tcPr>
          <w:p w:rsidR="00BB4507" w:rsidRPr="00781861" w:rsidRDefault="00FE1F10">
            <w:pPr>
              <w:pStyle w:val="Normal6"/>
            </w:pPr>
            <w:r>
              <w:t>39.</w:t>
            </w:r>
            <w:r>
              <w:tab/>
              <w:t xml:space="preserve">Lamenta a participação insuficiente dos órgãos de poder local e regional, das organizações da </w:t>
            </w:r>
            <w:r>
              <w:t>sociedade civil, dos parceiros sociais, dos parlamentos nacionais e de outras partes interessadas pertinentes na conceção, revisão ou execução dos PNRR; recorda que a participação dos órgãos de poder local e regional, das autoridades nacionais e dos respon</w:t>
            </w:r>
            <w:r>
              <w:t>sáveis pela elaboração destas políticas é essencial para o êxito do MRR, tal como referido no artigo 28.º do Regulamento MRR; recorda que o Parlamento apoiou a introdução de uma disposição vinculativa no MRR relativa ao estabelecimento de um diálogo a vári</w:t>
            </w:r>
            <w:r>
              <w:t>os níveis para envolver as partes interessadas pertinentes e com elas debater a elaboração e execução dos PNRR, com um período de consulta claro; apela, por conseguinte, para a máxima participação possível das partes interessadas na execução dos PNRR, em c</w:t>
            </w:r>
            <w:r>
              <w:t>onformidade com o quadro jurídico nacional e com base em princípios claros e transparentes;</w:t>
            </w:r>
          </w:p>
        </w:tc>
        <w:tc>
          <w:tcPr>
            <w:tcW w:w="4876" w:type="dxa"/>
            <w:hideMark/>
          </w:tcPr>
          <w:p w:rsidR="00BB4507" w:rsidRPr="00781861" w:rsidRDefault="00FE1F10" w:rsidP="00144327">
            <w:pPr>
              <w:pStyle w:val="Normal6"/>
              <w:rPr>
                <w:szCs w:val="24"/>
              </w:rPr>
            </w:pPr>
            <w:r>
              <w:t>39.</w:t>
            </w:r>
            <w:r>
              <w:tab/>
              <w:t>Lamenta a participação insuficiente</w:t>
            </w:r>
            <w:r>
              <w:rPr>
                <w:b/>
                <w:i/>
              </w:rPr>
              <w:t>, em alguns Estados</w:t>
            </w:r>
            <w:r>
              <w:rPr>
                <w:b/>
                <w:i/>
              </w:rPr>
              <w:noBreakHyphen/>
            </w:r>
            <w:r>
              <w:rPr>
                <w:b/>
                <w:i/>
              </w:rPr>
              <w:t>Membros,</w:t>
            </w:r>
            <w:r>
              <w:t xml:space="preserve"> dos órgãos de poder local e regional, das organizações da sociedade civil, dos parceiros sociais</w:t>
            </w:r>
            <w:r>
              <w:t>, dos parlamentos nacionais e de outras partes interessadas pertinentes na conceção, revisão ou execução dos PNRR</w:t>
            </w:r>
            <w:r>
              <w:rPr>
                <w:b/>
                <w:i/>
              </w:rPr>
              <w:t>, conforme previsto no artigo 18.º, n.º 4, alínea q), do Regulamento MRR, e frisa a importância de envolver os parceiros sociais nas medidas re</w:t>
            </w:r>
            <w:r>
              <w:rPr>
                <w:b/>
                <w:i/>
              </w:rPr>
              <w:t>lacionadas com o trabalho e as políticas sociais</w:t>
            </w:r>
            <w:r>
              <w:t>; recorda que a participação dos órgãos de poder local e regional, das autoridades nacionais e dos responsáveis pela elaboração destas políticas é essencial para o êxito do MRR, tal como referido no artigo 28</w:t>
            </w:r>
            <w:r>
              <w:t>.º do Regulamento MRR; recorda que o Parlamento apoiou a introdução de uma disposição vinculativa no MRR relativa ao estabelecimento de um diálogo a vários níveis para envolver as partes interessadas pertinentes e com elas debater a elaboração e execução d</w:t>
            </w:r>
            <w:r>
              <w:t xml:space="preserve">os PNRR, com um período de consulta claro; apela, por conseguinte, para a máxima participação possível das partes interessadas na execução dos PNRR, </w:t>
            </w:r>
            <w:r>
              <w:rPr>
                <w:b/>
                <w:i/>
              </w:rPr>
              <w:t xml:space="preserve">garantindo um processo de participação abrangente e transparente, </w:t>
            </w:r>
            <w:r>
              <w:t>em conformidade com o quadro jurídico nac</w:t>
            </w:r>
            <w:r>
              <w:t xml:space="preserve">ional e com base em princípios claros e transparentes; </w:t>
            </w:r>
            <w:r>
              <w:rPr>
                <w:b/>
                <w:i/>
              </w:rPr>
              <w:t>considera que a participação das partes interessadas deve ser qualitativa e quantitativa, o que implica nomeadamente a participação nos processos de acompanhamento e avaliação, e relembra que as partes</w:t>
            </w:r>
            <w:r>
              <w:rPr>
                <w:b/>
                <w:i/>
              </w:rPr>
              <w:t xml:space="preserve"> interessadas pertinentes devem ser consultadas antes de os planos revistos serem autorizados;</w:t>
            </w:r>
          </w:p>
        </w:tc>
      </w:tr>
    </w:tbl>
    <w:p w:rsidR="00BB4507" w:rsidRPr="00781861" w:rsidRDefault="00FE1F10" w:rsidP="00BB4507">
      <w:pPr>
        <w:pStyle w:val="AmNumberTabs"/>
        <w:keepNext/>
      </w:pPr>
      <w:r>
        <w:rPr>
          <w:rStyle w:val="HideTWBExt"/>
        </w:rPr>
        <w:t>&lt;/Amend&gt;</w:t>
      </w:r>
    </w:p>
    <w:p w:rsidR="004667D1" w:rsidRPr="00781861" w:rsidRDefault="00FE1F10" w:rsidP="004667D1">
      <w:r>
        <w:rPr>
          <w:rStyle w:val="HideTWBExt"/>
        </w:rPr>
        <w:t>&lt;/RepeatBlock-Amend&gt;</w:t>
      </w:r>
    </w:p>
    <w:p w:rsidR="002763BF" w:rsidRPr="00781861" w:rsidRDefault="002763BF">
      <w:pPr>
        <w:widowControl/>
        <w:sectPr w:rsidR="002763BF" w:rsidRPr="00781861" w:rsidSect="00FE1F10">
          <w:headerReference w:type="even" r:id="rId14"/>
          <w:headerReference w:type="default" r:id="rId15"/>
          <w:footerReference w:type="even" r:id="rId16"/>
          <w:footerReference w:type="default" r:id="rId17"/>
          <w:headerReference w:type="first" r:id="rId18"/>
          <w:footerReference w:type="first" r:id="rId19"/>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2763BF" w:rsidRPr="00781861" w:rsidRDefault="002763BF">
      <w:pPr>
        <w:widowControl/>
      </w:pPr>
    </w:p>
    <w:p w:rsidR="002763BF" w:rsidRPr="00781861" w:rsidRDefault="00FE1F10" w:rsidP="007B04F0">
      <w:pPr>
        <w:pStyle w:val="PageHeadingNotTOC"/>
      </w:pPr>
      <w:bookmarkStart w:id="1" w:name="FootprintPageAD"/>
      <w:r>
        <w:t>ANEXO: ENTIDADES OU PESSOAS SINGULARES</w:t>
      </w:r>
      <w:r>
        <w:br/>
        <w:t>DE QUEM A RELATORA RECEBEU CONTRIBUTOS</w:t>
      </w:r>
    </w:p>
    <w:p w:rsidR="002763BF" w:rsidRPr="00781861" w:rsidRDefault="00FE1F10" w:rsidP="007B04F0">
      <w:pPr>
        <w:pStyle w:val="Normal24a"/>
      </w:pPr>
      <w:r>
        <w:rPr>
          <w:rStyle w:val="HideTWBExt"/>
        </w:rPr>
        <w:t>&lt;FootprintIntro&gt;</w:t>
      </w:r>
      <w:r>
        <w:t>A relatora de par</w:t>
      </w:r>
      <w:r>
        <w:t xml:space="preserve">ecer declara, sob a sua responsabilidade exclusiva, não ter recebido </w:t>
      </w:r>
      <w:r>
        <w:t>contributos de entidades ou pessoas singulares que, em virtude do artigo 8.º do anexo I do Regimento, devessem ser indicadas no presente anexo.</w:t>
      </w:r>
      <w:r>
        <w:rPr>
          <w:rStyle w:val="HideTWBExt"/>
        </w:rPr>
        <w:t>&lt;/FootprintIntro&gt;</w:t>
      </w:r>
    </w:p>
    <w:p w:rsidR="002763BF" w:rsidRPr="00781861" w:rsidRDefault="002763BF" w:rsidP="002763BF"/>
    <w:bookmarkEnd w:id="1"/>
    <w:p w:rsidR="0031616B" w:rsidRPr="00781861" w:rsidRDefault="00FE1F10" w:rsidP="0031616B">
      <w:r>
        <w:br w:type="page"/>
      </w:r>
    </w:p>
    <w:p w:rsidR="0031616B" w:rsidRPr="00781861" w:rsidRDefault="00FE1F10" w:rsidP="0031616B">
      <w:pPr>
        <w:pStyle w:val="PageHeadingNotTOC"/>
      </w:pPr>
      <w:bookmarkStart w:id="2" w:name="ProcPageAD"/>
      <w:r>
        <w:t>INFORMAÇÕES S</w:t>
      </w:r>
      <w:r>
        <w:t>OBRE A APROVAÇÃO NA COMISSÃO ENCARREGADA DE EMITIR PARECER</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7C2CD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1616B" w:rsidRPr="00781861" w:rsidRDefault="00FE1F10">
            <w:pPr>
              <w:autoSpaceDE w:val="0"/>
              <w:autoSpaceDN w:val="0"/>
              <w:adjustRightInd w:val="0"/>
              <w:rPr>
                <w:b/>
                <w:bCs/>
                <w:color w:val="000000"/>
                <w:sz w:val="20"/>
              </w:rPr>
            </w:pPr>
            <w:r>
              <w:rPr>
                <w:b/>
                <w:color w:val="000000"/>
                <w:sz w:val="20"/>
              </w:rPr>
              <w:t>Data de aprovação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1616B" w:rsidRPr="00781861" w:rsidRDefault="00FE1F10">
            <w:pPr>
              <w:autoSpaceDE w:val="0"/>
              <w:autoSpaceDN w:val="0"/>
              <w:adjustRightInd w:val="0"/>
              <w:rPr>
                <w:color w:val="000000"/>
                <w:sz w:val="20"/>
              </w:rPr>
            </w:pPr>
            <w:r>
              <w:rPr>
                <w:color w:val="000000"/>
                <w:sz w:val="20"/>
              </w:rPr>
              <w:t>31.3.2025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1616B" w:rsidRPr="00781861" w:rsidRDefault="0031616B">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1616B" w:rsidRPr="00781861" w:rsidRDefault="0031616B">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1616B" w:rsidRPr="00781861" w:rsidRDefault="0031616B">
            <w:pPr>
              <w:autoSpaceDE w:val="0"/>
              <w:autoSpaceDN w:val="0"/>
              <w:adjustRightInd w:val="0"/>
              <w:rPr>
                <w:rFonts w:ascii="sans-serif" w:hAnsi="sans-serif" w:cs="sans-serif"/>
                <w:color w:val="000000"/>
                <w:szCs w:val="24"/>
              </w:rPr>
            </w:pPr>
          </w:p>
        </w:tc>
      </w:tr>
      <w:tr w:rsidR="007C2CD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1616B" w:rsidRPr="00781861" w:rsidRDefault="00FE1F10">
            <w:pPr>
              <w:autoSpaceDE w:val="0"/>
              <w:autoSpaceDN w:val="0"/>
              <w:adjustRightInd w:val="0"/>
              <w:rPr>
                <w:b/>
                <w:bCs/>
                <w:color w:val="000000"/>
                <w:sz w:val="20"/>
              </w:rPr>
            </w:pPr>
            <w:r>
              <w:rPr>
                <w:b/>
                <w:color w:val="000000"/>
                <w:sz w:val="20"/>
              </w:rPr>
              <w:t>Resultado da votação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1616B" w:rsidRPr="00781861" w:rsidRDefault="00FE1F10">
            <w:pPr>
              <w:autoSpaceDE w:val="0"/>
              <w:autoSpaceDN w:val="0"/>
              <w:adjustRightInd w:val="0"/>
              <w:rPr>
                <w:color w:val="000000"/>
                <w:sz w:val="20"/>
              </w:rPr>
            </w:pPr>
            <w:r>
              <w:rPr>
                <w:color w:val="000000"/>
                <w:sz w:val="20"/>
              </w:rPr>
              <w:t>+:</w:t>
            </w:r>
          </w:p>
          <w:p w:rsidR="0031616B" w:rsidRPr="00781861" w:rsidRDefault="00FE1F10">
            <w:pPr>
              <w:autoSpaceDE w:val="0"/>
              <w:autoSpaceDN w:val="0"/>
              <w:adjustRightInd w:val="0"/>
              <w:rPr>
                <w:color w:val="000000"/>
                <w:sz w:val="20"/>
              </w:rPr>
            </w:pPr>
            <w:r>
              <w:rPr>
                <w:color w:val="000000"/>
                <w:sz w:val="20"/>
              </w:rPr>
              <w:t>–:</w:t>
            </w:r>
          </w:p>
          <w:p w:rsidR="0031616B" w:rsidRPr="00781861" w:rsidRDefault="00FE1F10">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1616B" w:rsidRPr="00781861" w:rsidRDefault="00FE1F10">
            <w:pPr>
              <w:autoSpaceDE w:val="0"/>
              <w:autoSpaceDN w:val="0"/>
              <w:adjustRightInd w:val="0"/>
              <w:rPr>
                <w:color w:val="000000"/>
                <w:sz w:val="20"/>
              </w:rPr>
            </w:pPr>
            <w:r>
              <w:rPr>
                <w:color w:val="000000"/>
                <w:sz w:val="20"/>
              </w:rPr>
              <w:t>40</w:t>
            </w:r>
          </w:p>
          <w:p w:rsidR="0031616B" w:rsidRPr="00781861" w:rsidRDefault="00FE1F10">
            <w:pPr>
              <w:autoSpaceDE w:val="0"/>
              <w:autoSpaceDN w:val="0"/>
              <w:adjustRightInd w:val="0"/>
              <w:rPr>
                <w:color w:val="000000"/>
                <w:sz w:val="20"/>
              </w:rPr>
            </w:pPr>
            <w:r>
              <w:rPr>
                <w:color w:val="000000"/>
                <w:sz w:val="20"/>
              </w:rPr>
              <w:t>11</w:t>
            </w:r>
          </w:p>
          <w:p w:rsidR="0031616B" w:rsidRPr="00781861" w:rsidRDefault="00FE1F10">
            <w:pPr>
              <w:autoSpaceDE w:val="0"/>
              <w:autoSpaceDN w:val="0"/>
              <w:adjustRightInd w:val="0"/>
              <w:rPr>
                <w:color w:val="000000"/>
                <w:sz w:val="20"/>
              </w:rPr>
            </w:pPr>
            <w:r>
              <w:rPr>
                <w:color w:val="000000"/>
                <w:sz w:val="20"/>
              </w:rPr>
              <w:t>1</w:t>
            </w:r>
          </w:p>
        </w:tc>
      </w:tr>
      <w:tr w:rsidR="007C2CD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1616B" w:rsidRPr="00781861" w:rsidRDefault="00FE1F10">
            <w:pPr>
              <w:autoSpaceDE w:val="0"/>
              <w:autoSpaceDN w:val="0"/>
              <w:adjustRightInd w:val="0"/>
              <w:rPr>
                <w:b/>
                <w:bCs/>
                <w:color w:val="000000"/>
                <w:sz w:val="20"/>
              </w:rPr>
            </w:pPr>
            <w:r>
              <w:rPr>
                <w:b/>
                <w:color w:val="000000"/>
                <w:sz w:val="20"/>
              </w:rPr>
              <w:t>Deputados presentes no momento da votação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1616B" w:rsidRPr="00781861" w:rsidRDefault="00FE1F10">
            <w:pPr>
              <w:autoSpaceDE w:val="0"/>
              <w:autoSpaceDN w:val="0"/>
              <w:adjustRightInd w:val="0"/>
              <w:rPr>
                <w:color w:val="000000"/>
                <w:sz w:val="20"/>
              </w:rPr>
            </w:pPr>
            <w:r>
              <w:rPr>
                <w:color w:val="000000"/>
                <w:sz w:val="20"/>
              </w:rPr>
              <w:t xml:space="preserve">Maravillas Abadía Jover, Grégory Allione, Nikola Bartůšek, Vilija </w:t>
            </w:r>
            <w:r>
              <w:rPr>
                <w:color w:val="000000"/>
                <w:sz w:val="20"/>
              </w:rPr>
              <w:t>Blinkevičiūtė, Rachel Blom, Andrzej Buła, Estelle Ceulemans, Leila Chaibi, Henrik Dahl, Johan Danielsson, Marie Dauchy, Mélanie Disdier, Elena Donazzan, Gheorghe Falcă, Chiara Gemma, Niels Geuking, Isilda Gomes, Alicia Homs Ginel, Sérgio Humberto, Irena Jo</w:t>
            </w:r>
            <w:r>
              <w:rPr>
                <w:color w:val="000000"/>
                <w:sz w:val="20"/>
              </w:rPr>
              <w:t>veva, Martine Kemp, Katrin Langensiepen, Miriam Lexmann, Marit Maij, Idoia Mendia, Maria Ohisalo, João Oliveira, Aodhán Ó Ríordáin, Dennis Radtke, Liesbet Sommen, Villy Søvndal, Pál Szekeres, Georgiana Teodorescu, Romana Tomc, Jana Toom, Raffaele Topo, Bri</w:t>
            </w:r>
            <w:r>
              <w:rPr>
                <w:color w:val="000000"/>
                <w:sz w:val="20"/>
              </w:rPr>
              <w:t>gitte van den Berg, Marie</w:t>
            </w:r>
            <w:r>
              <w:rPr>
                <w:color w:val="000000"/>
                <w:sz w:val="20"/>
              </w:rPr>
              <w:noBreakHyphen/>
            </w:r>
            <w:r>
              <w:rPr>
                <w:color w:val="000000"/>
                <w:sz w:val="20"/>
              </w:rPr>
              <w:t>Pierre Vedrenne, Mariateresa Vivaldini, Petar Volgin, Jan</w:t>
            </w:r>
            <w:r>
              <w:rPr>
                <w:color w:val="000000"/>
                <w:sz w:val="20"/>
              </w:rPr>
              <w:noBreakHyphen/>
            </w:r>
            <w:r>
              <w:rPr>
                <w:color w:val="000000"/>
                <w:sz w:val="20"/>
              </w:rPr>
              <w:t>Peter Warnke, Séverine Werbrouck</w:t>
            </w:r>
          </w:p>
        </w:tc>
      </w:tr>
      <w:tr w:rsidR="007C2CD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1616B" w:rsidRPr="00781861" w:rsidRDefault="00FE1F10">
            <w:pPr>
              <w:autoSpaceDE w:val="0"/>
              <w:autoSpaceDN w:val="0"/>
              <w:adjustRightInd w:val="0"/>
              <w:rPr>
                <w:b/>
                <w:bCs/>
                <w:color w:val="000000"/>
                <w:sz w:val="20"/>
              </w:rPr>
            </w:pPr>
            <w:r>
              <w:rPr>
                <w:b/>
                <w:color w:val="000000"/>
                <w:sz w:val="20"/>
              </w:rPr>
              <w:t>Suplentes presentes no momento da votação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1616B" w:rsidRPr="00781861" w:rsidRDefault="00FE1F10">
            <w:pPr>
              <w:autoSpaceDE w:val="0"/>
              <w:autoSpaceDN w:val="0"/>
              <w:adjustRightInd w:val="0"/>
              <w:rPr>
                <w:color w:val="000000"/>
                <w:sz w:val="20"/>
              </w:rPr>
            </w:pPr>
            <w:r>
              <w:rPr>
                <w:color w:val="000000"/>
                <w:sz w:val="20"/>
              </w:rPr>
              <w:t>Borys Budka, Vivien Costanzo, Andi Cristea, Klára Dobrev, Estrella Galán, Rudi Kennes, Pie</w:t>
            </w:r>
            <w:r>
              <w:rPr>
                <w:color w:val="000000"/>
                <w:sz w:val="20"/>
              </w:rPr>
              <w:t>rfrancesco Maran, Benedetta Scuderi, Andrea Wechsler, Angelika Winzig</w:t>
            </w:r>
          </w:p>
        </w:tc>
      </w:tr>
      <w:tr w:rsidR="007C2CD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1616B" w:rsidRPr="00781861" w:rsidRDefault="00FE1F10">
            <w:pPr>
              <w:autoSpaceDE w:val="0"/>
              <w:autoSpaceDN w:val="0"/>
              <w:adjustRightInd w:val="0"/>
              <w:rPr>
                <w:b/>
                <w:bCs/>
                <w:color w:val="000000"/>
                <w:sz w:val="20"/>
              </w:rPr>
            </w:pPr>
            <w:r>
              <w:rPr>
                <w:b/>
                <w:color w:val="000000"/>
                <w:sz w:val="20"/>
              </w:rPr>
              <w:t>Deputados visados no art. 216.º, n.º 7, do Regimento presentes no momento da votação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1616B" w:rsidRPr="00781861" w:rsidRDefault="00FE1F10">
            <w:pPr>
              <w:autoSpaceDE w:val="0"/>
              <w:autoSpaceDN w:val="0"/>
              <w:adjustRightInd w:val="0"/>
              <w:rPr>
                <w:color w:val="000000"/>
                <w:sz w:val="20"/>
              </w:rPr>
            </w:pPr>
            <w:r>
              <w:rPr>
                <w:color w:val="000000"/>
                <w:sz w:val="20"/>
              </w:rPr>
              <w:t>Salvatore De Meo</w:t>
            </w:r>
          </w:p>
        </w:tc>
      </w:tr>
    </w:tbl>
    <w:p w:rsidR="0031616B" w:rsidRPr="00781861" w:rsidRDefault="0031616B" w:rsidP="0031616B"/>
    <w:bookmarkEnd w:id="2"/>
    <w:p w:rsidR="0031616B" w:rsidRPr="00781861" w:rsidRDefault="0031616B" w:rsidP="0031616B">
      <w:pPr>
        <w:sectPr w:rsidR="0031616B" w:rsidRPr="00781861" w:rsidSect="0031616B">
          <w:footnotePr>
            <w:numRestart w:val="eachSect"/>
          </w:footnotePr>
          <w:endnotePr>
            <w:numFmt w:val="decimal"/>
          </w:endnotePr>
          <w:pgSz w:w="11906" w:h="16838" w:code="9"/>
          <w:pgMar w:top="1134" w:right="1418" w:bottom="1418" w:left="1418" w:header="1134" w:footer="567" w:gutter="0"/>
          <w:cols w:space="720"/>
          <w:noEndnote/>
          <w:docGrid w:linePitch="326"/>
        </w:sectPr>
      </w:pPr>
    </w:p>
    <w:p w:rsidR="0031616B" w:rsidRPr="00781861" w:rsidRDefault="00FE1F10" w:rsidP="00F60663">
      <w:pPr>
        <w:pStyle w:val="PageHeadingNotTOC"/>
      </w:pPr>
      <w:bookmarkStart w:id="3" w:name="RollCallPageAD"/>
      <w:r>
        <w:t>VOTAÇÃO NOMINAL FINAL</w:t>
      </w:r>
      <w:r>
        <w:br/>
        <w:t>NA COMISSÃO ENCARREGADA</w:t>
      </w:r>
      <w:r>
        <w:t xml:space="preserve"> DE EMITIR PARECER</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7C2CD8" w:rsidTr="0031616B">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31616B" w:rsidRPr="00781861" w:rsidRDefault="00FE1F10">
            <w:pPr>
              <w:pStyle w:val="RollCallVotes"/>
            </w:pPr>
            <w:r>
              <w:t>40</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31616B" w:rsidRPr="00781861" w:rsidRDefault="00FE1F10">
            <w:pPr>
              <w:pStyle w:val="RollCallSymbols14pt"/>
            </w:pPr>
            <w:r>
              <w:t>+</w:t>
            </w:r>
          </w:p>
        </w:tc>
      </w:tr>
      <w:tr w:rsidR="007C2CD8" w:rsidTr="0031616B">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1616B" w:rsidRPr="00781861" w:rsidRDefault="00FE1F10">
            <w:pPr>
              <w:pStyle w:val="RollCallTable"/>
            </w:pPr>
            <w:r>
              <w:t>NI</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1616B" w:rsidRPr="00781861" w:rsidRDefault="00FE1F10">
            <w:pPr>
              <w:pStyle w:val="RollCallTable"/>
            </w:pPr>
            <w:r>
              <w:t>Jan</w:t>
            </w:r>
            <w:r>
              <w:noBreakHyphen/>
            </w:r>
            <w:r>
              <w:t>Peter Warnke</w:t>
            </w:r>
          </w:p>
        </w:tc>
      </w:tr>
      <w:tr w:rsidR="007C2CD8" w:rsidTr="0031616B">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1616B" w:rsidRPr="00781861" w:rsidRDefault="00FE1F10">
            <w:pPr>
              <w:pStyle w:val="RollCallTable"/>
            </w:pPr>
            <w:r>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1616B" w:rsidRPr="00781861" w:rsidRDefault="00FE1F10">
            <w:pPr>
              <w:pStyle w:val="RollCallTable"/>
            </w:pPr>
            <w:r>
              <w:t xml:space="preserve">Maravillas Abadía Jover, Borys Budka, Andrzej Buła, Salvatore De Meo, Gheorghe Falcă, Niels Geuking, Sérgio Humberto, Martine Kemp, Miriam Lexmann, Dennis Radtke, Liesbet Sommen, Romana Tomc, Andrea </w:t>
            </w:r>
            <w:r>
              <w:t>Wechsler, Angelika Winzig</w:t>
            </w:r>
          </w:p>
        </w:tc>
      </w:tr>
      <w:tr w:rsidR="007C2CD8" w:rsidTr="0031616B">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1616B" w:rsidRPr="00781861" w:rsidRDefault="00FE1F10">
            <w:pPr>
              <w:pStyle w:val="RollCallTable"/>
            </w:pPr>
            <w:r>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1616B" w:rsidRPr="00781861" w:rsidRDefault="00FE1F10">
            <w:pPr>
              <w:pStyle w:val="RollCallTable"/>
            </w:pPr>
            <w:r>
              <w:t>Grégory Allione, Irena Joveva, Jana Toom, Brigitte van den Berg, Marie</w:t>
            </w:r>
            <w:r>
              <w:noBreakHyphen/>
            </w:r>
            <w:r>
              <w:t>Pierre Vedrenne</w:t>
            </w:r>
          </w:p>
        </w:tc>
      </w:tr>
      <w:tr w:rsidR="007C2CD8" w:rsidTr="0031616B">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1616B" w:rsidRPr="00781861" w:rsidRDefault="00FE1F10">
            <w:pPr>
              <w:pStyle w:val="RollCallTable"/>
            </w:pPr>
            <w:r>
              <w:t>S&amp;D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1616B" w:rsidRPr="00781861" w:rsidRDefault="00FE1F10">
            <w:pPr>
              <w:pStyle w:val="RollCallTable"/>
            </w:pPr>
            <w:r>
              <w:t>Vilija Blinkevičiūtė, Estelle Ceulemans, Andi Cristea, Johan Danielsson, Klára Dobrev, Isilda Gomes, Alicia Homs Ginel, Marit Maij,</w:t>
            </w:r>
            <w:r>
              <w:t xml:space="preserve"> Pierfrancesco Maran, Idoia Mendia, Aodhán Ó Ríordáin, Raffaele Topo</w:t>
            </w:r>
          </w:p>
        </w:tc>
      </w:tr>
      <w:tr w:rsidR="007C2CD8" w:rsidTr="0031616B">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1616B" w:rsidRPr="00781861" w:rsidRDefault="00FE1F10">
            <w:pPr>
              <w:pStyle w:val="RollCallTable"/>
            </w:pPr>
            <w:r>
              <w:t>The Left</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1616B" w:rsidRPr="00781861" w:rsidRDefault="00FE1F10">
            <w:pPr>
              <w:pStyle w:val="RollCallTable"/>
            </w:pPr>
            <w:r>
              <w:t>Leila Chaibi, Estrella Galán, Rudi Kennes, João Oliveira</w:t>
            </w:r>
          </w:p>
        </w:tc>
      </w:tr>
      <w:tr w:rsidR="007C2CD8" w:rsidTr="0031616B">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31616B" w:rsidRPr="00781861" w:rsidRDefault="00FE1F10">
            <w:pPr>
              <w:pStyle w:val="RollCallTable"/>
            </w:pPr>
            <w:r>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31616B" w:rsidRPr="00781861" w:rsidRDefault="00FE1F10">
            <w:pPr>
              <w:pStyle w:val="RollCallTable"/>
            </w:pPr>
            <w:r>
              <w:t>Katrin Langensiepen, Maria Ohisalo, Benedetta Scuderi, Villy Søvndal</w:t>
            </w:r>
          </w:p>
        </w:tc>
      </w:tr>
    </w:tbl>
    <w:p w:rsidR="0031616B" w:rsidRPr="00781861" w:rsidRDefault="0031616B" w:rsidP="0031616B">
      <w:pPr>
        <w:rPr>
          <w:rFonts w:eastAsiaTheme="minorEastAsia"/>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7C2CD8" w:rsidTr="0031616B">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31616B" w:rsidRPr="00781861" w:rsidRDefault="00FE1F10">
            <w:pPr>
              <w:pStyle w:val="RollCallVotes"/>
            </w:pPr>
            <w:r>
              <w:t>11</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31616B" w:rsidRPr="00781861" w:rsidRDefault="00FE1F10">
            <w:pPr>
              <w:pStyle w:val="RollCallSymbols14pt"/>
            </w:pPr>
            <w:r>
              <w:noBreakHyphen/>
            </w:r>
          </w:p>
        </w:tc>
      </w:tr>
      <w:tr w:rsidR="007C2CD8" w:rsidRPr="00FE1F10" w:rsidTr="0031616B">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1616B" w:rsidRPr="00781861" w:rsidRDefault="00FE1F10">
            <w:pPr>
              <w:pStyle w:val="RollCallTable"/>
            </w:pPr>
            <w:r>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1616B" w:rsidRPr="00FE1F10" w:rsidRDefault="00FE1F10">
            <w:pPr>
              <w:pStyle w:val="RollCallTable"/>
              <w:rPr>
                <w:lang w:val="it-IT"/>
              </w:rPr>
            </w:pPr>
            <w:r w:rsidRPr="00FE1F10">
              <w:rPr>
                <w:lang w:val="it-IT"/>
              </w:rPr>
              <w:t xml:space="preserve">Elena Donazzan, Chiara </w:t>
            </w:r>
            <w:r w:rsidRPr="00FE1F10">
              <w:rPr>
                <w:lang w:val="it-IT"/>
              </w:rPr>
              <w:t>Gemma, Georgiana Teodorescu, Mariateresa Vivaldini</w:t>
            </w:r>
          </w:p>
        </w:tc>
      </w:tr>
      <w:tr w:rsidR="007C2CD8" w:rsidTr="0031616B">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1616B" w:rsidRPr="00781861" w:rsidRDefault="00FE1F10">
            <w:pPr>
              <w:pStyle w:val="RollCallTable"/>
            </w:pPr>
            <w:r>
              <w:t>ESN</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1616B" w:rsidRPr="00781861" w:rsidRDefault="00FE1F10">
            <w:pPr>
              <w:pStyle w:val="RollCallTable"/>
            </w:pPr>
            <w:r>
              <w:t>Petar Volgin</w:t>
            </w:r>
          </w:p>
        </w:tc>
      </w:tr>
      <w:tr w:rsidR="007C2CD8" w:rsidTr="0031616B">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31616B" w:rsidRPr="00781861" w:rsidRDefault="00FE1F10">
            <w:pPr>
              <w:pStyle w:val="RollCallTable"/>
            </w:pPr>
            <w:r>
              <w:t>PfE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31616B" w:rsidRPr="00781861" w:rsidRDefault="00FE1F10">
            <w:pPr>
              <w:pStyle w:val="RollCallTable"/>
            </w:pPr>
            <w:r>
              <w:t>Nikola Bartůšek, Rachel Blom, Marie Dauchy, Mélanie Disdier, Pál Szekeres, Séverine Werbrouck</w:t>
            </w:r>
          </w:p>
        </w:tc>
      </w:tr>
    </w:tbl>
    <w:p w:rsidR="0031616B" w:rsidRPr="00781861" w:rsidRDefault="0031616B" w:rsidP="0031616B">
      <w:pPr>
        <w:rPr>
          <w:rFonts w:eastAsiaTheme="minorEastAsia"/>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7C2CD8" w:rsidTr="0031616B">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31616B" w:rsidRPr="00781861" w:rsidRDefault="00FE1F10">
            <w:pPr>
              <w:pStyle w:val="RollCallVotes"/>
            </w:pPr>
            <w:r>
              <w:t>1</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31616B" w:rsidRPr="00781861" w:rsidRDefault="00FE1F10">
            <w:pPr>
              <w:pStyle w:val="RollCallSymbols14pt"/>
            </w:pPr>
            <w:r>
              <w:t>0</w:t>
            </w:r>
          </w:p>
        </w:tc>
      </w:tr>
      <w:tr w:rsidR="007C2CD8" w:rsidTr="0031616B">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31616B" w:rsidRPr="00781861" w:rsidRDefault="00FE1F10">
            <w:pPr>
              <w:pStyle w:val="RollCallTable"/>
            </w:pPr>
            <w:r>
              <w:t>PPE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31616B" w:rsidRPr="00781861" w:rsidRDefault="00FE1F10">
            <w:pPr>
              <w:pStyle w:val="RollCallTable"/>
            </w:pPr>
            <w:r>
              <w:t>Henrik Dahl</w:t>
            </w:r>
          </w:p>
        </w:tc>
      </w:tr>
    </w:tbl>
    <w:p w:rsidR="0031616B" w:rsidRPr="00781861" w:rsidRDefault="0031616B" w:rsidP="0031616B">
      <w:pPr>
        <w:pStyle w:val="Normal12a"/>
      </w:pPr>
    </w:p>
    <w:p w:rsidR="0031616B" w:rsidRPr="00781861" w:rsidRDefault="00FE1F10" w:rsidP="00F60663">
      <w:r>
        <w:t>Legenda dos símbolos utilizados:</w:t>
      </w:r>
    </w:p>
    <w:p w:rsidR="0031616B" w:rsidRPr="00781861" w:rsidRDefault="00FE1F10" w:rsidP="00F60663">
      <w:pPr>
        <w:pStyle w:val="RollCallTabs"/>
      </w:pPr>
      <w:r>
        <w:t>+</w:t>
      </w:r>
      <w:r>
        <w:tab/>
        <w:t>:</w:t>
      </w:r>
      <w:r>
        <w:tab/>
        <w:t>votos a favor</w:t>
      </w:r>
    </w:p>
    <w:p w:rsidR="0031616B" w:rsidRPr="00781861" w:rsidRDefault="00FE1F10" w:rsidP="00F60663">
      <w:pPr>
        <w:pStyle w:val="RollCallTabs"/>
      </w:pPr>
      <w:r>
        <w:noBreakHyphen/>
      </w:r>
      <w:r>
        <w:tab/>
        <w:t>:</w:t>
      </w:r>
      <w:r>
        <w:tab/>
        <w:t xml:space="preserve">votos </w:t>
      </w:r>
      <w:r>
        <w:t>contra</w:t>
      </w:r>
    </w:p>
    <w:p w:rsidR="0031616B" w:rsidRPr="00781861" w:rsidRDefault="00FE1F10" w:rsidP="00F60663">
      <w:pPr>
        <w:pStyle w:val="RollCallTabs"/>
      </w:pPr>
      <w:r>
        <w:t>0</w:t>
      </w:r>
      <w:r>
        <w:tab/>
        <w:t>:</w:t>
      </w:r>
      <w:r>
        <w:tab/>
        <w:t>abstenções</w:t>
      </w:r>
    </w:p>
    <w:p w:rsidR="0031616B" w:rsidRPr="00781861" w:rsidRDefault="0031616B" w:rsidP="00F60663"/>
    <w:bookmarkEnd w:id="3"/>
    <w:p w:rsidR="00BF0AFC" w:rsidRPr="00781861" w:rsidRDefault="00BF0AFC" w:rsidP="0031616B"/>
    <w:sectPr w:rsidR="00BF0AFC" w:rsidRPr="00781861" w:rsidSect="0031616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FE1F10">
      <w:r>
        <w:separator/>
      </w:r>
    </w:p>
  </w:endnote>
  <w:endnote w:type="continuationSeparator" w:id="0">
    <w:p w:rsidR="00000000" w:rsidRDefault="00FE1F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Mincho">
    <w:altName w:val="游明朝"/>
    <w:panose1 w:val="00000000000000000000"/>
    <w:charset w:val="8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1F10" w:rsidRPr="00FE1F10" w:rsidRDefault="00FE1F10" w:rsidP="00FE1F10">
    <w:pPr>
      <w:pStyle w:val="EPFooter"/>
      <w:rPr>
        <w:lang w:val="it-IT"/>
      </w:rPr>
    </w:pPr>
    <w:r w:rsidRPr="00FE1F10">
      <w:rPr>
        <w:lang w:val="it-IT"/>
      </w:rPr>
      <w:t>PE</w:t>
    </w:r>
    <w:r w:rsidRPr="00FE1F10">
      <w:rPr>
        <w:rStyle w:val="HideTWBExt"/>
        <w:lang w:val="it-IT"/>
      </w:rPr>
      <w:t>&lt;NoPE&gt;</w:t>
    </w:r>
    <w:r w:rsidRPr="00FE1F10">
      <w:rPr>
        <w:lang w:val="it-IT"/>
      </w:rPr>
      <w:t>768.112</w:t>
    </w:r>
    <w:r w:rsidRPr="00FE1F10">
      <w:rPr>
        <w:rStyle w:val="HideTWBExt"/>
        <w:lang w:val="it-IT"/>
      </w:rPr>
      <w:t>&lt;/NoPE&gt;&lt;Version&gt;</w:t>
    </w:r>
    <w:r w:rsidRPr="00FE1F10">
      <w:rPr>
        <w:lang w:val="it-IT"/>
      </w:rPr>
      <w:t>v02</w:t>
    </w:r>
    <w:r>
      <w:rPr>
        <w:lang w:val="it-IT"/>
      </w:rPr>
      <w:noBreakHyphen/>
    </w:r>
    <w:r w:rsidRPr="00FE1F10">
      <w:rPr>
        <w:lang w:val="it-IT"/>
      </w:rPr>
      <w:t>00</w:t>
    </w:r>
    <w:r w:rsidRPr="00FE1F10">
      <w:rPr>
        <w:rStyle w:val="HideTWBExt"/>
        <w:lang w:val="it-IT"/>
      </w:rPr>
      <w:t>&lt;/Version&gt;</w:t>
    </w:r>
    <w:r w:rsidRPr="00FE1F10">
      <w:rPr>
        <w:lang w:val="it-IT"/>
      </w:rPr>
      <w:tab/>
    </w:r>
    <w:r>
      <w:fldChar w:fldCharType="begin"/>
    </w:r>
    <w:r w:rsidRPr="00FE1F10">
      <w:rPr>
        <w:lang w:val="it-IT"/>
      </w:rPr>
      <w:instrText xml:space="preserve"> PAGE  \* MERGEFORMAT </w:instrText>
    </w:r>
    <w:r>
      <w:fldChar w:fldCharType="separate"/>
    </w:r>
    <w:r>
      <w:rPr>
        <w:noProof/>
        <w:lang w:val="it-IT"/>
      </w:rPr>
      <w:t>4</w:t>
    </w:r>
    <w:r>
      <w:fldChar w:fldCharType="end"/>
    </w:r>
    <w:r w:rsidRPr="00FE1F10">
      <w:rPr>
        <w:lang w:val="it-IT"/>
      </w:rPr>
      <w:t>/</w:t>
    </w:r>
    <w:r>
      <w:fldChar w:fldCharType="begin"/>
    </w:r>
    <w:r w:rsidRPr="00FE1F10">
      <w:rPr>
        <w:lang w:val="it-IT"/>
      </w:rPr>
      <w:instrText xml:space="preserve"> NUMPAGES  \* MERGEFORMAT </w:instrText>
    </w:r>
    <w:r>
      <w:fldChar w:fldCharType="separate"/>
    </w:r>
    <w:r>
      <w:rPr>
        <w:noProof/>
        <w:lang w:val="it-IT"/>
      </w:rPr>
      <w:t>39</w:t>
    </w:r>
    <w:r>
      <w:fldChar w:fldCharType="end"/>
    </w:r>
    <w:r w:rsidRPr="00FE1F10">
      <w:rPr>
        <w:lang w:val="it-IT"/>
      </w:rPr>
      <w:tab/>
    </w:r>
    <w:r w:rsidRPr="00FE1F10">
      <w:rPr>
        <w:rStyle w:val="HideTWBExt"/>
        <w:lang w:val="it-IT"/>
      </w:rPr>
      <w:t>&lt;PathFdR&gt;</w:t>
    </w:r>
    <w:r w:rsidRPr="00FE1F10">
      <w:rPr>
        <w:lang w:val="it-IT"/>
      </w:rPr>
      <w:t>AD\1317257PT.docx</w:t>
    </w:r>
    <w:r w:rsidRPr="00FE1F10">
      <w:rPr>
        <w:rStyle w:val="HideTWBExt"/>
        <w:lang w:val="it-IT"/>
      </w:rPr>
      <w:t>&lt;/PathFdR&gt;</w:t>
    </w:r>
  </w:p>
  <w:p w:rsidR="008F0ED2" w:rsidRPr="00781861" w:rsidRDefault="00FE1F10" w:rsidP="00FE1F10">
    <w:pPr>
      <w:pStyle w:val="EPFooter2"/>
    </w:pPr>
    <w:r>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1F10" w:rsidRPr="00FE1F10" w:rsidRDefault="00FE1F10" w:rsidP="00FE1F10">
    <w:pPr>
      <w:pStyle w:val="EPFooter"/>
      <w:rPr>
        <w:lang w:val="it-IT"/>
      </w:rPr>
    </w:pPr>
    <w:r w:rsidRPr="00FE1F10">
      <w:rPr>
        <w:rStyle w:val="HideTWBExt"/>
        <w:lang w:val="it-IT"/>
      </w:rPr>
      <w:t>&lt;PathFdR&gt;</w:t>
    </w:r>
    <w:r w:rsidRPr="00FE1F10">
      <w:rPr>
        <w:lang w:val="it-IT"/>
      </w:rPr>
      <w:t>AD\1317257PT.docx</w:t>
    </w:r>
    <w:r w:rsidRPr="00FE1F10">
      <w:rPr>
        <w:rStyle w:val="HideTWBExt"/>
        <w:lang w:val="it-IT"/>
      </w:rPr>
      <w:t>&lt;/PathFdR&gt;</w:t>
    </w:r>
    <w:r w:rsidRPr="00FE1F10">
      <w:rPr>
        <w:lang w:val="it-IT"/>
      </w:rPr>
      <w:tab/>
    </w:r>
    <w:r>
      <w:fldChar w:fldCharType="begin"/>
    </w:r>
    <w:r w:rsidRPr="00FE1F10">
      <w:rPr>
        <w:lang w:val="it-IT"/>
      </w:rPr>
      <w:instrText xml:space="preserve"> PAGE  \* MERGEFORMAT </w:instrText>
    </w:r>
    <w:r>
      <w:fldChar w:fldCharType="separate"/>
    </w:r>
    <w:r>
      <w:rPr>
        <w:noProof/>
        <w:lang w:val="it-IT"/>
      </w:rPr>
      <w:t>5</w:t>
    </w:r>
    <w:r>
      <w:fldChar w:fldCharType="end"/>
    </w:r>
    <w:r w:rsidRPr="00FE1F10">
      <w:rPr>
        <w:lang w:val="it-IT"/>
      </w:rPr>
      <w:t>/</w:t>
    </w:r>
    <w:r>
      <w:fldChar w:fldCharType="begin"/>
    </w:r>
    <w:r w:rsidRPr="00FE1F10">
      <w:rPr>
        <w:lang w:val="it-IT"/>
      </w:rPr>
      <w:instrText xml:space="preserve"> NUMPAGES  \* MERGEFORMAT </w:instrText>
    </w:r>
    <w:r>
      <w:fldChar w:fldCharType="separate"/>
    </w:r>
    <w:r>
      <w:rPr>
        <w:noProof/>
        <w:lang w:val="it-IT"/>
      </w:rPr>
      <w:t>39</w:t>
    </w:r>
    <w:r>
      <w:fldChar w:fldCharType="end"/>
    </w:r>
    <w:r w:rsidRPr="00FE1F10">
      <w:rPr>
        <w:lang w:val="it-IT"/>
      </w:rPr>
      <w:tab/>
      <w:t>PE</w:t>
    </w:r>
    <w:r w:rsidRPr="00FE1F10">
      <w:rPr>
        <w:rStyle w:val="HideTWBExt"/>
        <w:lang w:val="it-IT"/>
      </w:rPr>
      <w:t>&lt;NoPE&gt;</w:t>
    </w:r>
    <w:r w:rsidRPr="00FE1F10">
      <w:rPr>
        <w:lang w:val="it-IT"/>
      </w:rPr>
      <w:t>768.112</w:t>
    </w:r>
    <w:r w:rsidRPr="00FE1F10">
      <w:rPr>
        <w:rStyle w:val="HideTWBExt"/>
        <w:lang w:val="it-IT"/>
      </w:rPr>
      <w:t>&lt;/NoPE&gt;&lt;Version&gt;</w:t>
    </w:r>
    <w:r w:rsidRPr="00FE1F10">
      <w:rPr>
        <w:lang w:val="it-IT"/>
      </w:rPr>
      <w:t>v02</w:t>
    </w:r>
    <w:r>
      <w:rPr>
        <w:lang w:val="it-IT"/>
      </w:rPr>
      <w:noBreakHyphen/>
    </w:r>
    <w:r w:rsidRPr="00FE1F10">
      <w:rPr>
        <w:lang w:val="it-IT"/>
      </w:rPr>
      <w:t>00</w:t>
    </w:r>
    <w:r w:rsidRPr="00FE1F10">
      <w:rPr>
        <w:rStyle w:val="HideTWBExt"/>
        <w:lang w:val="it-IT"/>
      </w:rPr>
      <w:t>&lt;/Version&gt;</w:t>
    </w:r>
  </w:p>
  <w:p w:rsidR="008F0ED2" w:rsidRPr="00781861" w:rsidRDefault="00FE1F10" w:rsidP="00FE1F10">
    <w:pPr>
      <w:pStyle w:val="EPFooter2"/>
    </w:pPr>
    <w:r w:rsidRPr="00FE1F10">
      <w:rPr>
        <w:lang w:val="it-IT"/>
      </w:rPr>
      <w:tab/>
    </w:r>
    <w:r w:rsidRPr="00FE1F10">
      <w:rPr>
        <w:lang w:val="it-IT"/>
      </w:rPr>
      <w:tab/>
    </w:r>
    <w:r>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1F10" w:rsidRPr="00FE1F10" w:rsidRDefault="00FE1F10" w:rsidP="00FE1F10">
    <w:pPr>
      <w:pStyle w:val="EPFooter"/>
      <w:rPr>
        <w:lang w:val="it-IT"/>
      </w:rPr>
    </w:pPr>
    <w:r w:rsidRPr="00FE1F10">
      <w:rPr>
        <w:rStyle w:val="HideTWBExt"/>
        <w:lang w:val="it-IT"/>
      </w:rPr>
      <w:t>&lt;PathFdR&gt;</w:t>
    </w:r>
    <w:r w:rsidRPr="00FE1F10">
      <w:rPr>
        <w:lang w:val="it-IT"/>
      </w:rPr>
      <w:t>AD\1317257PT.docx</w:t>
    </w:r>
    <w:r w:rsidRPr="00FE1F10">
      <w:rPr>
        <w:rStyle w:val="HideTWBExt"/>
        <w:lang w:val="it-IT"/>
      </w:rPr>
      <w:t>&lt;/PathFdR&gt;</w:t>
    </w:r>
    <w:r w:rsidRPr="00FE1F10">
      <w:rPr>
        <w:lang w:val="it-IT"/>
      </w:rPr>
      <w:tab/>
    </w:r>
    <w:r w:rsidRPr="00FE1F10">
      <w:rPr>
        <w:lang w:val="it-IT"/>
      </w:rPr>
      <w:tab/>
      <w:t>PE</w:t>
    </w:r>
    <w:r w:rsidRPr="00FE1F10">
      <w:rPr>
        <w:rStyle w:val="HideTWBExt"/>
        <w:lang w:val="it-IT"/>
      </w:rPr>
      <w:t>&lt;NoPE&gt;</w:t>
    </w:r>
    <w:r w:rsidRPr="00FE1F10">
      <w:rPr>
        <w:lang w:val="it-IT"/>
      </w:rPr>
      <w:t>768.112</w:t>
    </w:r>
    <w:r w:rsidRPr="00FE1F10">
      <w:rPr>
        <w:rStyle w:val="HideTWBExt"/>
        <w:lang w:val="it-IT"/>
      </w:rPr>
      <w:t>&lt;/NoPE&gt;&lt;Version&gt;</w:t>
    </w:r>
    <w:r w:rsidRPr="00FE1F10">
      <w:rPr>
        <w:lang w:val="it-IT"/>
      </w:rPr>
      <w:t>v02</w:t>
    </w:r>
    <w:r>
      <w:rPr>
        <w:lang w:val="it-IT"/>
      </w:rPr>
      <w:noBreakHyphen/>
    </w:r>
    <w:r w:rsidRPr="00FE1F10">
      <w:rPr>
        <w:lang w:val="it-IT"/>
      </w:rPr>
      <w:t>00</w:t>
    </w:r>
    <w:r w:rsidRPr="00FE1F10">
      <w:rPr>
        <w:rStyle w:val="HideTWBExt"/>
        <w:lang w:val="it-IT"/>
      </w:rPr>
      <w:t>&lt;/Version&gt;</w:t>
    </w:r>
  </w:p>
  <w:p w:rsidR="008F0ED2" w:rsidRPr="00781861" w:rsidRDefault="00FE1F10" w:rsidP="00FE1F10">
    <w:pPr>
      <w:pStyle w:val="EPFooter2"/>
    </w:pPr>
    <w:r>
      <w:t>PT</w:t>
    </w:r>
    <w:r>
      <w:tab/>
    </w:r>
    <w:r w:rsidRPr="00FE1F10">
      <w:rPr>
        <w:b w:val="0"/>
        <w:i/>
        <w:color w:val="C0C0C0"/>
        <w:sz w:val="22"/>
      </w:rPr>
      <w:t>Unida na diversidade</w:t>
    </w:r>
    <w:r>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FE1F10">
      <w:r>
        <w:separator/>
      </w:r>
    </w:p>
  </w:footnote>
  <w:footnote w:type="continuationSeparator" w:id="0">
    <w:p w:rsidR="00000000" w:rsidRDefault="00FE1F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1F10" w:rsidRDefault="00FE1F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1F10" w:rsidRDefault="00FE1F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1F10" w:rsidRDefault="00FE1F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AUTHORMFMNU" w:val=" 2"/>
    <w:docVar w:name="CJMNU" w:val="2"/>
    <w:docVar w:name="CODEMNU" w:val=" 1"/>
    <w:docVar w:name="COM2KEY" w:val="CJ16"/>
    <w:docVar w:name="COMKEY" w:val="EMPL"/>
    <w:docVar w:name="CONTRIBUTIONMNU" w:val=" 2"/>
    <w:docVar w:name="CVar" w:val="2"/>
    <w:docVar w:name="DDATE" w:val="11/02/2025"/>
    <w:docVar w:name="DOCMNU" w:val=" 1"/>
    <w:docVar w:name="DOCREFINIMNU" w:val=" 1"/>
    <w:docVar w:name="FONCTIONMNU" w:val=" 1"/>
    <w:docVar w:name="iNoAmend" w:val="2"/>
    <w:docVar w:name="LastEditedSection" w:val=" 3"/>
    <w:docVar w:name="ORLANGKEY" w:val="EN"/>
    <w:docVar w:name="ORLANG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826753 HideTWBExt;}{\*\cs18 \additive \v\f1\fs20\cf15 _x000d__x000a_\spriority0 \styrsid3826753 HideTWBInt;}{\s19\ql \li0\ri0\nowidctlpar\wrapdefault\aspalpha\aspnum\faauto\adjustright\rin0\lin0\itap0 \rtlch\fcs1 \af0\afs20\alang1025 \ltrch\fcs0 \b\fs24\lang2057\langfe2057\cgrid\langnp2057\langfenp2057 _x000d__x000a_\sbasedon0 \snext19 \spriority0 \styrsid3826753 NormalBold;}{\s20\ql \li0\ri0\sa120\nowidctlpar\wrapdefault\aspalpha\aspnum\faauto\adjustright\rin0\lin0\itap0 \rtlch\fcs1 \af0\afs20\alang1025 \ltrch\fcs0 _x000d__x000a_\fs24\lang2057\langfe2057\cgrid\langnp2057\langfenp2057 \sbasedon0 \snext20 \spriority0 \styrsid3826753 Normal6a;}{\s21\qc \li0\ri0\sa240\nowidctlpar\wrapdefault\aspalpha\aspnum\faauto\adjustright\rin0\lin0\itap0 \rtlch\fcs1 \af0\afs20\alang1025 _x000d__x000a_\ltrch\fcs0 \i\fs24\lang2057\langfe2057\cgrid\langnp2057\langfenp2057 \sbasedon0 \snext21 \spriority0 \styrsid3826753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3826753 AmNumberTabs;}{\s23\ql \li0\ri0\sb240\nowidctlpar\wrapdefault\aspalpha\aspnum\faauto\adjustright\rin0\lin0\itap0 \rtlch\fcs1 _x000d__x000a_\af0\afs20\alang1025 \ltrch\fcs0 \b\fs24\lang2057\langfe2057\cgrid\langnp2057\langfenp2057 \sbasedon0 \snext23 \spriority0 \styrsid3826753 NormalBold12b;}}{\*\rsidtbl \rsid24658\rsid223860\rsid735077\rsid1718133\rsid2892074\rsid3565327\rsid3826753_x000d__x000a_\rsid4666813\rsid52474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NOTARIDOU Aikaterini}{\operator Aikaterini NOTARIDOU}{\creatim\yr2025\mo3\dy18\hr11\min53}{\revtim\yr2025\mo3\dy18\hr11\min53}{\version1}{\edmins0}_x000d__x000a_{\nofpages1}{\nofwords35}{\nofchars198}{\nofcharsws23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826753\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5247413 \chftnsep _x000d__x000a_\par }}{\*\ftnsepc \ltrpar \pard\plain \ltrpar\ql \li0\ri0\widctlpar\wrapdefault\aspalpha\aspnum\faauto\adjustright\rin0\lin0\itap0 \rtlch\fcs1 \af0\afs20\alang1025 \ltrch\fcs0 \fs24\lang2057\langfe2057\cgrid\langnp2057\langfenp2057 {\rtlch\fcs1 \af0 _x000d__x000a_\ltrch\fcs0 \insrsid5247413 \chftnsepc _x000d__x000a_\par }}{\*\aftnsep \ltrpar \pard\plain \ltrpar\ql \li0\ri0\widctlpar\wrapdefault\aspalpha\aspnum\faauto\adjustright\rin0\lin0\itap0 \rtlch\fcs1 \af0\afs20\alang1025 \ltrch\fcs0 \fs24\lang2057\langfe2057\cgrid\langnp2057\langfenp2057 {\rtlch\fcs1 \af0 _x000d__x000a_\ltrch\fcs0 \insrsid5247413 \chftnsep _x000d__x000a_\par }}{\*\aftnsepc \ltrpar \pard\plain \ltrpar\ql \li0\ri0\widctlpar\wrapdefault\aspalpha\aspnum\faauto\adjustright\rin0\lin0\itap0 \rtlch\fcs1 \af0\afs20\alang1025 \ltrch\fcs0 \fs24\lang2057\langfe2057\cgrid\langnp2057\langfenp2057 {\rtlch\fcs1 \af0 _x000d__x000a_\ltrch\fcs0 \insrsid524741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3826753 \rtlch\fcs1 _x000d__x000a_\af0\afs20\alang1025 \ltrch\fcs0 \b\fs24\lang2057\langfe2057\cgrid\langnp2057\langfenp2057 {\rtlch\fcs1 \af0 \ltrch\fcs0 \cs17\b0\v\fs20\cf9\lang1024\langfe1024\loch\af1\hich\af1\dbch\af31501\noproof\insrsid3826753\charrsid2903824 {\*\bkmkstart restart}_x000d__x000a_\hich\af1\dbch\af31501\loch\f1 &lt;Amend&gt;}{\rtlch\fcs1 \af0 \ltrch\fcs0 \insrsid3826753\charrsid2903824 Amendment\tab \tab }{\rtlch\fcs1 \af0 \ltrch\fcs0 _x000d__x000a_\cs17\b0\v\fs20\cf9\lang1024\langfe1024\loch\af1\hich\af1\dbch\af31501\noproof\insrsid3826753\charrsid2903824 \hich\af1\dbch\af31501\loch\f1 &lt;NumAm&gt;}{\rtlch\fcs1 \af0 \ltrch\fcs0 \insrsid3826753\charrsid2903824 #}{\rtlch\fcs1 \af1 \ltrch\fcs0 _x000d__x000a_\cs18\v\f1\fs20\cf15\insrsid3826753\charrsid2903824 ENMIENDA@NRAM@}{\rtlch\fcs1 \af0 \ltrch\fcs0 \insrsid3826753\charrsid2903824 #}{\rtlch\fcs1 \af0 \ltrch\fcs0 _x000d__x000a_\cs17\b0\v\fs20\cf9\lang1024\langfe1024\loch\af1\hich\af1\dbch\af31501\noproof\insrsid3826753\charrsid2903824 \hich\af1\dbch\af31501\loch\f1 &lt;/NumAm&gt;}{\rtlch\fcs1 \af0 \ltrch\fcs0 \insrsid3826753\charrsid2903824 _x000d__x000a_\par }\pard\plain \ltrpar\s23\ql \li0\ri0\sb240\keepn\nowidctlpar\wrapdefault\aspalpha\aspnum\faauto\adjustright\rin0\lin0\itap0\pararsid3826753 \rtlch\fcs1 \af0\afs20\alang1025 \ltrch\fcs0 \b\fs24\lang2057\langfe2057\cgrid\langnp2057\langfenp2057 {_x000d__x000a_\rtlch\fcs1 \af0 \ltrch\fcs0 \cs17\b0\v\fs20\cf9\lang1024\langfe1024\loch\af1\hich\af1\dbch\af31501\noproof\insrsid3826753\charrsid2903824 \hich\af1\dbch\af31501\loch\f1 &lt;DocAmend&gt;}{\rtlch\fcs1 \af0 \ltrch\fcs0 \insrsid3826753\charrsid2903824 #}{_x000d__x000a_\rtlch\fcs1 \af1 \ltrch\fcs0 \cs18\v\f1\fs20\cf15\insrsid3826753\charrsid2903824 MNU[DOC1][DOC2][DOC3][DOC4]@CHOICE@DOCMNU}{\rtlch\fcs1 \af0 \ltrch\fcs0 \insrsid3826753\charrsid2903824 #}{\rtlch\fcs1 \af0 \ltrch\fcs0 _x000d__x000a_\cs17\b0\v\fs20\cf9\lang1024\langfe1024\loch\af1\hich\af1\dbch\af31501\noproof\insrsid3826753\charrsid2903824 \hich\af1\dbch\af31501\loch\f1 &lt;/DocAmend&gt;}{\rtlch\fcs1 \af0 \ltrch\fcs0 \insrsid3826753\charrsid2903824 _x000d__x000a_\par }\pard\plain \ltrpar\s19\ql \li0\ri0\nowidctlpar\wrapdefault\aspalpha\aspnum\faauto\adjustright\rin0\lin0\itap0\pararsid3826753 \rtlch\fcs1 \af0\afs20\alang1025 \ltrch\fcs0 \b\fs24\lang2057\langfe2057\cgrid\langnp2057\langfenp2057 {\rtlch\fcs1 \af0 _x000d__x000a_\ltrch\fcs0 \cs17\b0\v\fs20\cf9\lang1024\langfe1024\loch\af1\hich\af1\dbch\af31501\noproof\insrsid3826753\charrsid2903824 \hich\af1\dbch\af31501\loch\f1 &lt;Article&gt;}{\rtlch\fcs1 \af0 \ltrch\fcs0 \cf10\insrsid3826753\charrsid10507657 \u9668\'3f}{\rtlch\fcs1 _x000d__x000a_\af0 \ltrch\fcs0 \insrsid3826753\charrsid2903824 #}{\rtlch\fcs1 \af1 \ltrch\fcs0 \cs18\v\f1\fs20\cf15\insrsid3826753\charrsid2903824 TVTAMACTPART@AMPART@}{\rtlch\fcs1 \af0 \ltrch\fcs0 \insrsid3826753\charrsid2903824 #}{\rtlch\fcs1 \af0 \ltrch\fcs0 _x000d__x000a_\cf10\insrsid3826753\charrsid10507657 \u9658\'3f}{\rtlch\fcs1 \af0 \ltrch\fcs0 \cs17\b0\v\fs20\cf9\lang1024\langfe1024\loch\af1\hich\af1\dbch\af31501\noproof\insrsid3826753\charrsid2903824 \hich\af1\dbch\af31501\loch\f1 &lt;/Article&gt;}{\rtlch\fcs1 \af0 _x000d__x000a_\ltrch\fcs0 \insrsid3826753\charrsid2903824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insrsid3826753\charrsid2903824 \cell }\pard \ltrpar\ql \li0\ri0\widctlpar\intbl\wrapdefault\aspalpha\aspnum\faauto\adjustright\rin0\lin0 {\rtlch\fcs1 \af0 _x000d__x000a_\ltrch\fcs0 \insrsid3826753\charrsid2903824 \trowd \irow0\irowband0\ltrrow\ts11\trqc\trgaph340\trleft-340\trftsWidth3\trwWidth9752\trftsWidthB3\trpaddl340\trpaddr340\trpaddfl3\trpaddft3\trpaddfb3\trpaddfr3\tblrsid9505846\tblind0\tblindtype3 \clvertalt_x000d__x000a_\clbrdrt\brdrtbl \clbrdrl\brdrtbl \clbrdrb\brdrtbl \clbrdrr\brdrtbl \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9505846 \rtlch\fcs1 \af0\afs20\alang1025 \ltrch\fcs0 \i\fs24\lang2057\langfe2057\cgrid\langnp2057\langfenp2057 {\rtlch\fcs1 \af0 \ltrch\fcs0 _x000d__x000a_\insrsid3826753\charrsid2903824 #}{\rtlch\fcs1 \af1 \ltrch\fcs0 \cs18\v\f1\fs20\cf15\insrsid3826753\charrsid2903824 MNU[DOC1][DOC2][DOC3][DOC4]@CHOICE@DOCMNU}{\rtlch\fcs1 \af0 \ltrch\fcs0 \insrsid3826753\charrsid2903824 #\cell Amendment\cell _x000d__x000a_}\pard\plain \ltrpar\ql \li0\ri0\widctlpar\intbl\wrapdefault\aspalpha\aspnum\faauto\adjustright\rin0\lin0 \rtlch\fcs1 \af0\afs20\alang1025 \ltrch\fcs0 \fs24\lang2057\langfe2057\cgrid\langnp2057\langfenp2057 {\rtlch\fcs1 \af0 \ltrch\fcs0 _x000d__x000a_\insrsid3826753\charrsid2903824 \trowd \irow1\irowband1\ltrrow\ts11\trqc\trgaph340\trleft-340\trftsWidth3\trwWidth9752\trftsWidthB3\trpaddl340\trpaddr340\trpaddfl3\trpaddft3\trpaddfb3\trpaddfr3\tblrsid9505846\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20\ql \li0\ri0\sa120\nowidctlpar\intbl\wrapdefault\aspalpha\aspnum\faauto\adjustright\rin0\lin0\pararsid9505846 \rtlch\fcs1 \af0\afs20\alang1025 \ltrch\fcs0 \fs24\lang2057\langfe2057\cgrid\langnp2057\langfenp2057 {_x000d__x000a_\rtlch\fcs1 \af0 \ltrch\fcs0 \insrsid3826753\charrsid2903824 ##\cell ##}{\rtlch\fcs1 \af0\afs24 \ltrch\fcs0 \insrsid3826753\charrsid2903824 \cell }\pard\plain \ltrpar\ql \li0\ri0\widctlpar\intbl\wrapdefault\aspalpha\aspnum\faauto\adjustright\rin0\lin0 _x000d__x000a_\rtlch\fcs1 \af0\afs20\alang1025 \ltrch\fcs0 \fs24\lang2057\langfe2057\cgrid\langnp2057\langfenp2057 {\rtlch\fcs1 \af0 \ltrch\fcs0 \insrsid3826753\charrsid2903824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3826753 {\rtlch\fcs1 \af0 \ltrch\fcs0 \cs17\v\fs20\cf9\lang1024\langfe1024\loch\af1\hich\af1\dbch\af31501\noproof\insrsid3826753\charrsid2903824 _x000d__x000a_\hich\af1\dbch\af31501\loch\f1 &lt;/Amend&gt;}{\rtlch\fcs1 \af0 \ltrch\fcs0 \insrsid3826753\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d8_x000d__x000a_2febf397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284434 HideTWBExt;}{_x000d__x000a_\s18\ql \li0\ri0\nowidctlpar\wrapdefault\aspalpha\aspnum\faauto\adjustright\rin0\lin0\itap0 \rtlch\fcs1 \af0\afs20\alang1025 \ltrch\fcs0 \b\fs24\lang2057\langfe2057\cgrid\langnp2057\langfenp2057 \sbasedon0 \snext18 \spriority0 \styrsid11284434 _x000d__x000a_NormalBold;}{\s19\ql \li0\ri0\sa120\nowidctlpar\wrapdefault\aspalpha\aspnum\faauto\adjustright\rin0\lin0\itap0 \rtlch\fcs1 \af0\afs20\alang1025 \ltrch\fcs0 \fs24\lang2057\langfe2057\cgrid\langnp2057\langfenp2057 _x000d__x000a_\sbasedon0 \snext19 \spriority0 \styrsid11284434 Normal6a;}{\s20\qc \li0\ri0\sa240\nowidctlpar\wrapdefault\aspalpha\aspnum\faauto\adjustright\rin0\lin0\itap0 \rtlch\fcs1 \af0\afs20\alang1025 \ltrch\fcs0 _x000d__x000a_\i\fs24\lang2057\langfe2057\cgrid\langnp2057\langfenp2057 \sbasedon0 \snext20 \spriority0 \styrsid11284434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1284434 AmNumberTabs;}{\s22\ql \li0\ri0\sb240\nowidctlpar\wrapdefault\aspalpha\aspnum\faauto\adjustright\rin0\lin0\itap0 \rtlch\fcs1 _x000d__x000a_\af0\afs20\alang1025 \ltrch\fcs0 \b\fs24\lang2057\langfe2057\cgrid\langnp2057\langfenp2057 \sbasedon0 \snext22 \spriority0 \styrsid11284434 NormalBold12b;}}{\*\rsidtbl \rsid24658\rsid223860\rsid735077\rsid1718133\rsid2892074\rsid3565327\rsid4666813_x000d__x000a_\rsid6641733\rsid7823322\rsid9636012\rsid10177867\rsid10377208\rsid11215221\rsid11284434\rsid11549030\rsid12154954\rsid14382809\rsid14424199\rsid15204470\rsid15285974\rsid15950462\rsid16324206\rsid16662270}{\mmathPr\mmathFont34\mbrkBin0\mbrkBinSub0_x000d__x000a_\msmallFrac0\mdispDef1\mlMargin0\mrMargin0\mdefJc1\mwrapIndent1440\mintLim0\mnaryLim1}{\info{\author NOTARIDOU Aikaterini}{\operator Aikaterini NOTARIDOU}{\creatim\yr2025\mo3\dy18\hr11\min53}{\revtim\yr2025\mo3\dy18\hr11\min53}{\version1}{\edmins0}_x000d__x000a_{\nofpages1}{\nofwords23}{\nofchars132}{\nofcharsws15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284434\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0177867 \chftnsep _x000d__x000a_\par }}{\*\ftnsepc \ltrpar \pard\plain \ltrpar\ql \li0\ri0\widctlpar\wrapdefault\aspalpha\aspnum\faauto\adjustright\rin0\lin0\itap0 \rtlch\fcs1 \af0\afs20\alang1025 \ltrch\fcs0 \fs24\lang2057\langfe2057\cgrid\langnp2057\langfenp2057 {\rtlch\fcs1 \af0 _x000d__x000a_\ltrch\fcs0 \insrsid10177867 \chftnsepc _x000d__x000a_\par }}{\*\aftnsep \ltrpar \pard\plain \ltrpar\ql \li0\ri0\widctlpar\wrapdefault\aspalpha\aspnum\faauto\adjustright\rin0\lin0\itap0 \rtlch\fcs1 \af0\afs20\alang1025 \ltrch\fcs0 \fs24\lang2057\langfe2057\cgrid\langnp2057\langfenp2057 {\rtlch\fcs1 \af0 _x000d__x000a_\ltrch\fcs0 \insrsid10177867 \chftnsep _x000d__x000a_\par }}{\*\aftnsepc \ltrpar \pard\plain \ltrpar\ql \li0\ri0\widctlpar\wrapdefault\aspalpha\aspnum\faauto\adjustright\rin0\lin0\itap0 \rtlch\fcs1 \af0\afs20\alang1025 \ltrch\fcs0 \fs24\lang2057\langfe2057\cgrid\langnp2057\langfenp2057 {\rtlch\fcs1 \af0 _x000d__x000a_\ltrch\fcs0 \insrsid1017786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1284434 \rtlch\fcs1 _x000d__x000a_\af0\afs20\alang1025 \ltrch\fcs0 \b\fs24\lang2057\langfe2057\cgrid\langnp2057\langfenp2057 {\rtlch\fcs1 \af0 \ltrch\fcs0 \cs17\b0\v\fs20\cf9\lang1024\langfe1024\loch\af1\hich\af1\dbch\af31501\noproof\langnp1036\insrsid11284434\charrsid4291528 _x000d__x000a_{\*\bkmkstart restart}\hich\af1\dbch\af31501\loch\f1 &lt;Amend&gt;}{\rtlch\fcs1 \af0 \ltrch\fcs0 \lang1036\langfe2057\langnp1036\insrsid11284434\charrsid4291528 [ZAMENDMENT]\tab \tab }{\rtlch\fcs1 \af0 \ltrch\fcs0 _x000d__x000a_\cs17\b0\v\fs20\cf9\lang1024\langfe1024\loch\af1\hich\af1\dbch\af31501\noproof\langnp1036\insrsid11284434\charrsid4291528 \hich\af1\dbch\af31501\loch\f1 &lt;NumAm&gt;}{\rtlch\fcs1 \af0 \ltrch\fcs0 \lang1036\langfe2057\langnp1036\insrsid11284434\charrsid4291528 _x000d__x000a_[ZNRAM]}{\rtlch\fcs1 \af0 \ltrch\fcs0 \cs17\b0\v\fs20\cf9\lang1024\langfe1024\loch\af1\hich\af1\dbch\af31501\noproof\langnp1036\insrsid11284434\charrsid4291528 \hich\af1\dbch\af31501\loch\f1 &lt;/NumAm&gt;}{\rtlch\fcs1 \af0 \ltrch\fcs0 _x000d__x000a_\lang1036\langfe2057\langnp1036\insrsid11284434\charrsid4291528 _x000d__x000a_\par }\pard\plain \ltrpar\s22\ql \li0\ri0\sb240\keepn\nowidctlpar\wrapdefault\aspalpha\aspnum\faauto\adjustright\rin0\lin0\itap0\pararsid11284434 \rtlch\fcs1 \af0\afs20\alang1025 \ltrch\fcs0 \b\fs24\lang2057\langfe2057\cgrid\langnp2057\langfenp2057 {_x000d__x000a_\rtlch\fcs1 \af0 \ltrch\fcs0 \cs17\b0\v\fs20\cf9\lang1024\langfe1024\loch\af1\hich\af1\dbch\af31501\noproof\langnp1036\insrsid11284434\charrsid4291528 \hich\af1\dbch\af31501\loch\f1 &lt;DocAmend&gt;}{\rtlch\fcs1 \af0 \ltrch\fcs0 _x000d__x000a_\lang1036\langfe2057\langnp1036\insrsid11284434\charrsid4291528 [}{\rtlch\fcs1 \af0 \ltrch\fcs0 \lang1036\langfe2057\langnp1036\insrsid11284434\charrsid3548259 ZPROPOSAL}{\rtlch\fcs1 \af0 \ltrch\fcs0 _x000d__x000a_\lang1036\langfe2057\langnp1036\insrsid11284434\charrsid4291528 ]}{\rtlch\fcs1 \af0 \ltrch\fcs0 \cs17\b0\v\fs20\cf9\lang1024\langfe1024\loch\af1\hich\af1\dbch\af31501\noproof\langnp1036\insrsid11284434\charrsid4291528 \hich\af1\dbch\af31501\loch\f1 _x000d__x000a_&lt;/DocAmend&gt;}{\rtlch\fcs1 \af0 \ltrch\fcs0 \lang1036\langfe2057\langnp1036\insrsid11284434\charrsid4291528 _x000d__x000a_\par }\pard\plain \ltrpar\s18\ql \li0\ri0\nowidctlpar\wrapdefault\aspalpha\aspnum\faauto\adjustright\rin0\lin0\itap0\pararsid11284434 \rtlch\fcs1 \af0\afs20\alang1025 \ltrch\fcs0 \b\fs24\lang2057\langfe2057\cgrid\langnp2057\langfenp2057 {\rtlch\fcs1 \af0 _x000d__x000a_\ltrch\fcs0 \cs17\b0\v\fs20\cf9\lang1024\langfe1024\loch\af1\hich\af1\dbch\af31501\noproof\langnp1036\insrsid11284434\charrsid4291528 \hich\af1\dbch\af31501\loch\f1 &lt;Article&gt;}{\rtlch\fcs1 \af0 \ltrch\fcs0 _x000d__x000a_\lang1036\langfe2057\langnp1036\insrsid11284434\charrsid4291528 [ZAMPART]}{\rtlch\fcs1 \af0 \ltrch\fcs0 \cs17\b0\v\fs20\cf9\lang1024\langfe1024\loch\af1\hich\af1\dbch\af31501\noproof\langnp1036\insrsid11284434\charrsid4291528 _x000d__x000a_\hich\af1\dbch\af31501\loch\f1 &lt;/Article&gt;}{\rtlch\fcs1 \af0 \ltrch\fcs0 \lang1036\langfe2057\langnp1036\insrsid11284434\charrsid4291528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lang1036\langfe2057\langnp1036\insrsid11284434\charrsid4291528 \cell }\pard \ltrpar_x000d__x000a_\ql \li0\ri0\widctlpar\intbl\wrapdefault\aspalpha\aspnum\faauto\adjustright\rin0\lin0 {\rtlch\fcs1 \af0 \ltrch\fcs0 \insrsid11284434\charrsid4291528 \trowd \irow0\irowband0\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0\qc \li0\ri0\sa240\keepn\nowidctlpar\intbl\wrapdefault\aspalpha\aspnum\faauto\adjustright\rin0\lin0\pararsid9505846 \rtlch\fcs1 \af0\afs20\alang1025 \ltrch\fcs0 \i\fs24\lang2057\langfe2057\cgrid\langnp2057\langfenp2057 {\rtlch\fcs1 \af0 \ltrch\fcs0 _x000d__x000a_\insrsid11284434\charrsid6708014 [ZLEFT]\cell [ZRIGHT]\cell }\pard\plain \ltrpar\ql \li0\ri0\widctlpar\intbl\wrapdefault\aspalpha\aspnum\faauto\adjustright\rin0\lin0 \rtlch\fcs1 \af0\afs20\alang1025 \ltrch\fcs0 _x000d__x000a_\fs24\lang2057\langfe2057\cgrid\langnp2057\langfenp2057 {\rtlch\fcs1 \af0 \ltrch\fcs0 \insrsid11284434\charrsid6708014 \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9505846 \rtlch\fcs1 \af0\afs20\alang1025 \ltrch\fcs0 \fs24\lang2057\langfe2057\cgrid\langnp2057\langfenp2057 {\rtlch\fcs1 \af0 \ltrch\fcs0 _x000d__x000a_\insrsid11284434\charrsid6708014 [ZTEXTL]\cell [ZTEXTR]}{\rtlch\fcs1 \af0\afs24 \ltrch\fcs0 \insrsid11284434\charrsid6708014 \cell }\pard\plain \ltrpar\ql \li0\ri0\widctlpar\intbl\wrapdefault\aspalpha\aspnum\faauto\adjustright\rin0\lin0 \rtlch\fcs1 _x000d__x000a_\af0\afs20\alang1025 \ltrch\fcs0 \fs24\lang2057\langfe2057\cgrid\langnp2057\langfenp2057 {\rtlch\fcs1 \af0 \ltrch\fcs0 \insrsid11284434\charrsid6708014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1284434 {\rtlch\fcs1 \af0 \ltrch\fcs0 \cs17\v\fs20\cf9\lang1024\langfe1024\loch\af1\hich\af1\dbch\af31501\noproof\insrsid11284434\charrsid6708014 _x000d__x000a_\hich\af1\dbch\af31501\loch\f1 &lt;/Amend&gt;}{\rtlch\fcs1 \af0 \ltrch\fcs0 \insrsid11284434\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8f_x000d__x000a_58eef397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317"/>
    <w:docVar w:name="TITLEMNU" w:val=" 1"/>
    <w:docVar w:name="TVTAMACTPART" w:val="xxx"/>
    <w:docVar w:name="TXTAUTHOR" w:val="Marie_x001e_Pierre Vedrenne"/>
    <w:docVar w:name="TXTLANGUE" w:val="EN"/>
    <w:docVar w:name="TXTLANGUEMIN" w:val="en"/>
    <w:docVar w:name="TXTNRFIRSTAM" w:val="1"/>
    <w:docVar w:name="TXTNRLASTAM" w:val="53"/>
    <w:docVar w:name="TXTNRPE" w:val="768.112"/>
    <w:docVar w:name="TXTNRPROC" w:val="2024/2085"/>
    <w:docVar w:name="TXTPEorAP" w:val="PE"/>
    <w:docVar w:name="TXTROUTE" w:val="AD\1317257EN.docx"/>
    <w:docVar w:name="TXTTITLE" w:val="the implementation report on the Recovery and Resilience Facility"/>
    <w:docVar w:name="TXTVERSION" w:val="02-00"/>
  </w:docVars>
  <w:rsids>
    <w:rsidRoot w:val="002C4F10"/>
    <w:rsid w:val="000173EF"/>
    <w:rsid w:val="0002109D"/>
    <w:rsid w:val="00092CD2"/>
    <w:rsid w:val="0009381D"/>
    <w:rsid w:val="000B1900"/>
    <w:rsid w:val="000D3C3D"/>
    <w:rsid w:val="000D7680"/>
    <w:rsid w:val="000E7EBF"/>
    <w:rsid w:val="000F7145"/>
    <w:rsid w:val="00101239"/>
    <w:rsid w:val="0011438D"/>
    <w:rsid w:val="00124F60"/>
    <w:rsid w:val="00135121"/>
    <w:rsid w:val="00140BE6"/>
    <w:rsid w:val="00144327"/>
    <w:rsid w:val="00147F4E"/>
    <w:rsid w:val="001534C2"/>
    <w:rsid w:val="0016306B"/>
    <w:rsid w:val="0016635E"/>
    <w:rsid w:val="001746D0"/>
    <w:rsid w:val="001B7393"/>
    <w:rsid w:val="001D2ED9"/>
    <w:rsid w:val="001F21C1"/>
    <w:rsid w:val="0020293A"/>
    <w:rsid w:val="00204278"/>
    <w:rsid w:val="0022664D"/>
    <w:rsid w:val="0026112C"/>
    <w:rsid w:val="00271B69"/>
    <w:rsid w:val="00275DBD"/>
    <w:rsid w:val="002763BF"/>
    <w:rsid w:val="002C4F10"/>
    <w:rsid w:val="002D28A7"/>
    <w:rsid w:val="002E2F2E"/>
    <w:rsid w:val="002E4AA3"/>
    <w:rsid w:val="002E6F98"/>
    <w:rsid w:val="002F7792"/>
    <w:rsid w:val="00314BB3"/>
    <w:rsid w:val="0031616B"/>
    <w:rsid w:val="00322D8B"/>
    <w:rsid w:val="00322DD9"/>
    <w:rsid w:val="00325BCB"/>
    <w:rsid w:val="00331944"/>
    <w:rsid w:val="00332AD9"/>
    <w:rsid w:val="003402B9"/>
    <w:rsid w:val="00347D2C"/>
    <w:rsid w:val="003545C2"/>
    <w:rsid w:val="00362463"/>
    <w:rsid w:val="0037356F"/>
    <w:rsid w:val="00377C8C"/>
    <w:rsid w:val="00390EB2"/>
    <w:rsid w:val="00396A0E"/>
    <w:rsid w:val="003E1404"/>
    <w:rsid w:val="003E2402"/>
    <w:rsid w:val="00400574"/>
    <w:rsid w:val="00425462"/>
    <w:rsid w:val="00461A62"/>
    <w:rsid w:val="004667D1"/>
    <w:rsid w:val="0047330F"/>
    <w:rsid w:val="00485C5C"/>
    <w:rsid w:val="004C2269"/>
    <w:rsid w:val="004C28FB"/>
    <w:rsid w:val="004C44C0"/>
    <w:rsid w:val="004C604D"/>
    <w:rsid w:val="004C6072"/>
    <w:rsid w:val="004C7CEA"/>
    <w:rsid w:val="00521F00"/>
    <w:rsid w:val="0052544E"/>
    <w:rsid w:val="005268BD"/>
    <w:rsid w:val="00554C28"/>
    <w:rsid w:val="005940C3"/>
    <w:rsid w:val="00594C48"/>
    <w:rsid w:val="005B2F11"/>
    <w:rsid w:val="005C0BDF"/>
    <w:rsid w:val="005C3DB7"/>
    <w:rsid w:val="005D60C6"/>
    <w:rsid w:val="00604FB6"/>
    <w:rsid w:val="006102E7"/>
    <w:rsid w:val="006275D0"/>
    <w:rsid w:val="00640C1B"/>
    <w:rsid w:val="00641D70"/>
    <w:rsid w:val="00651EAF"/>
    <w:rsid w:val="00657AFB"/>
    <w:rsid w:val="006661CE"/>
    <w:rsid w:val="00675C68"/>
    <w:rsid w:val="00682428"/>
    <w:rsid w:val="00691396"/>
    <w:rsid w:val="006C5A93"/>
    <w:rsid w:val="006D5BF7"/>
    <w:rsid w:val="006E4020"/>
    <w:rsid w:val="006F30C1"/>
    <w:rsid w:val="007267D5"/>
    <w:rsid w:val="00736162"/>
    <w:rsid w:val="00742C07"/>
    <w:rsid w:val="00760E52"/>
    <w:rsid w:val="00761711"/>
    <w:rsid w:val="007620C5"/>
    <w:rsid w:val="00781861"/>
    <w:rsid w:val="007B04F0"/>
    <w:rsid w:val="007C2CD8"/>
    <w:rsid w:val="007E70B4"/>
    <w:rsid w:val="00815039"/>
    <w:rsid w:val="00821747"/>
    <w:rsid w:val="008313E7"/>
    <w:rsid w:val="00840B54"/>
    <w:rsid w:val="00841C2A"/>
    <w:rsid w:val="00854CAC"/>
    <w:rsid w:val="00864300"/>
    <w:rsid w:val="00892A4A"/>
    <w:rsid w:val="008A32C5"/>
    <w:rsid w:val="008B0459"/>
    <w:rsid w:val="008C6203"/>
    <w:rsid w:val="008D61E7"/>
    <w:rsid w:val="008E3F5D"/>
    <w:rsid w:val="008F0ED2"/>
    <w:rsid w:val="008F32B7"/>
    <w:rsid w:val="008F7002"/>
    <w:rsid w:val="009366BF"/>
    <w:rsid w:val="009454DD"/>
    <w:rsid w:val="00954F61"/>
    <w:rsid w:val="00977B37"/>
    <w:rsid w:val="009837A3"/>
    <w:rsid w:val="00984E00"/>
    <w:rsid w:val="0099208F"/>
    <w:rsid w:val="0099493F"/>
    <w:rsid w:val="00A05E3C"/>
    <w:rsid w:val="00A16BEA"/>
    <w:rsid w:val="00A312B3"/>
    <w:rsid w:val="00A31FCB"/>
    <w:rsid w:val="00A47463"/>
    <w:rsid w:val="00A47E2F"/>
    <w:rsid w:val="00A72C35"/>
    <w:rsid w:val="00A74944"/>
    <w:rsid w:val="00A87598"/>
    <w:rsid w:val="00A92668"/>
    <w:rsid w:val="00AA6330"/>
    <w:rsid w:val="00AA6BE1"/>
    <w:rsid w:val="00AB70B9"/>
    <w:rsid w:val="00AC0348"/>
    <w:rsid w:val="00AC23F4"/>
    <w:rsid w:val="00AC3CFA"/>
    <w:rsid w:val="00AD58CB"/>
    <w:rsid w:val="00AE180F"/>
    <w:rsid w:val="00AE718F"/>
    <w:rsid w:val="00AF2539"/>
    <w:rsid w:val="00B10C55"/>
    <w:rsid w:val="00B11ECB"/>
    <w:rsid w:val="00B32240"/>
    <w:rsid w:val="00B362F7"/>
    <w:rsid w:val="00B4599C"/>
    <w:rsid w:val="00B5456B"/>
    <w:rsid w:val="00B678A2"/>
    <w:rsid w:val="00B74B53"/>
    <w:rsid w:val="00BA776B"/>
    <w:rsid w:val="00BB4507"/>
    <w:rsid w:val="00BC0FDD"/>
    <w:rsid w:val="00BC26E4"/>
    <w:rsid w:val="00BD1EAA"/>
    <w:rsid w:val="00BD5A4A"/>
    <w:rsid w:val="00BF0AFC"/>
    <w:rsid w:val="00C029AB"/>
    <w:rsid w:val="00C157C7"/>
    <w:rsid w:val="00C52739"/>
    <w:rsid w:val="00C80AB2"/>
    <w:rsid w:val="00C827FF"/>
    <w:rsid w:val="00CA36E3"/>
    <w:rsid w:val="00CC11D8"/>
    <w:rsid w:val="00CD34AC"/>
    <w:rsid w:val="00D1163C"/>
    <w:rsid w:val="00D16082"/>
    <w:rsid w:val="00D318E7"/>
    <w:rsid w:val="00D37E93"/>
    <w:rsid w:val="00D44A69"/>
    <w:rsid w:val="00D51006"/>
    <w:rsid w:val="00D7202C"/>
    <w:rsid w:val="00D81577"/>
    <w:rsid w:val="00D923EE"/>
    <w:rsid w:val="00DE19FF"/>
    <w:rsid w:val="00DF4E10"/>
    <w:rsid w:val="00DF529A"/>
    <w:rsid w:val="00DF76F5"/>
    <w:rsid w:val="00E13F88"/>
    <w:rsid w:val="00E14686"/>
    <w:rsid w:val="00E470F6"/>
    <w:rsid w:val="00E6527C"/>
    <w:rsid w:val="00E667E1"/>
    <w:rsid w:val="00E81BA6"/>
    <w:rsid w:val="00E85413"/>
    <w:rsid w:val="00E856D2"/>
    <w:rsid w:val="00E929A7"/>
    <w:rsid w:val="00EA4087"/>
    <w:rsid w:val="00EB2F4E"/>
    <w:rsid w:val="00EC1E8B"/>
    <w:rsid w:val="00F07ECF"/>
    <w:rsid w:val="00F131F5"/>
    <w:rsid w:val="00F26016"/>
    <w:rsid w:val="00F413BE"/>
    <w:rsid w:val="00F56F50"/>
    <w:rsid w:val="00F60663"/>
    <w:rsid w:val="00F93548"/>
    <w:rsid w:val="00FC2AD3"/>
    <w:rsid w:val="00FC6460"/>
    <w:rsid w:val="00FD0D14"/>
    <w:rsid w:val="00FD4BC4"/>
    <w:rsid w:val="00FE1F10"/>
    <w:rsid w:val="00FE3FA1"/>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56CB45"/>
  <w15:chartTrackingRefBased/>
  <w15:docId w15:val="{A1E2FF14-694F-473C-8DE5-BF013563D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link w:val="NormalHanging12aChar"/>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BF0AFC"/>
    <w:pPr>
      <w:tabs>
        <w:tab w:val="right" w:pos="9071"/>
      </w:tabs>
    </w:pPr>
    <w:rPr>
      <w:b/>
    </w:rPr>
  </w:style>
  <w:style w:type="paragraph" w:customStyle="1" w:styleId="NormalBold">
    <w:name w:val="NormalBold"/>
    <w:basedOn w:val="Normal"/>
    <w:link w:val="NormalBoldChar"/>
    <w:rsid w:val="00BF0AFC"/>
    <w:rPr>
      <w:b/>
    </w:rPr>
  </w:style>
  <w:style w:type="paragraph" w:customStyle="1" w:styleId="AmOrLang">
    <w:name w:val="AmOrLang"/>
    <w:basedOn w:val="Normal"/>
    <w:rsid w:val="00BF0AFC"/>
    <w:pPr>
      <w:spacing w:before="240" w:after="240"/>
      <w:jc w:val="right"/>
    </w:pPr>
  </w:style>
  <w:style w:type="paragraph" w:customStyle="1" w:styleId="Normal6a">
    <w:name w:val="Normal6a"/>
    <w:basedOn w:val="Normal"/>
    <w:rsid w:val="00BF0AFC"/>
    <w:pPr>
      <w:spacing w:after="120"/>
    </w:pPr>
  </w:style>
  <w:style w:type="paragraph" w:customStyle="1" w:styleId="AmDateTab">
    <w:name w:val="AmDateTab"/>
    <w:basedOn w:val="Normal"/>
    <w:rsid w:val="00BF0AFC"/>
    <w:pPr>
      <w:tabs>
        <w:tab w:val="right" w:pos="9071"/>
      </w:tabs>
    </w:pPr>
  </w:style>
  <w:style w:type="paragraph" w:customStyle="1" w:styleId="AmColumnHeading">
    <w:name w:val="AmColumnHeading"/>
    <w:basedOn w:val="Normal"/>
    <w:rsid w:val="00BF0AFC"/>
    <w:pPr>
      <w:spacing w:after="240"/>
      <w:jc w:val="center"/>
    </w:pPr>
    <w:rPr>
      <w:i/>
    </w:rPr>
  </w:style>
  <w:style w:type="paragraph" w:customStyle="1" w:styleId="AmNumberTabs">
    <w:name w:val="AmNumberTabs"/>
    <w:basedOn w:val="Normal"/>
    <w:rsid w:val="00BF0A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3402B9"/>
    <w:pPr>
      <w:spacing w:after="240"/>
    </w:pPr>
    <w:rPr>
      <w:i/>
    </w:rPr>
  </w:style>
  <w:style w:type="paragraph" w:customStyle="1" w:styleId="AmCrossRef">
    <w:name w:val="AmCrossRef"/>
    <w:basedOn w:val="Normal"/>
    <w:rsid w:val="003402B9"/>
    <w:pPr>
      <w:spacing w:before="240" w:after="240"/>
      <w:jc w:val="center"/>
    </w:pPr>
    <w:rPr>
      <w:i/>
    </w:rPr>
  </w:style>
  <w:style w:type="paragraph" w:customStyle="1" w:styleId="AmJustTitle">
    <w:name w:val="AmJustTitle"/>
    <w:basedOn w:val="Normal"/>
    <w:next w:val="AmJustText"/>
    <w:rsid w:val="003402B9"/>
    <w:pPr>
      <w:keepNext/>
      <w:spacing w:before="240" w:after="240"/>
      <w:jc w:val="center"/>
    </w:pPr>
    <w:rPr>
      <w:i/>
    </w:rPr>
  </w:style>
  <w:style w:type="paragraph" w:customStyle="1" w:styleId="NormalBold12b">
    <w:name w:val="NormalBold12b"/>
    <w:basedOn w:val="Normal"/>
    <w:link w:val="NormalBold12bChar"/>
    <w:rsid w:val="003402B9"/>
    <w:pPr>
      <w:spacing w:before="240"/>
    </w:pPr>
    <w:rPr>
      <w:b/>
    </w:rPr>
  </w:style>
  <w:style w:type="character" w:customStyle="1" w:styleId="Normal6Char">
    <w:name w:val="Normal6 Char"/>
    <w:basedOn w:val="DefaultParagraphFont"/>
    <w:link w:val="Normal6"/>
    <w:locked/>
    <w:rsid w:val="00EA4087"/>
    <w:rPr>
      <w:sz w:val="24"/>
      <w:lang w:val="pt-PT"/>
    </w:rPr>
  </w:style>
  <w:style w:type="paragraph" w:customStyle="1" w:styleId="Normal6">
    <w:name w:val="Normal6"/>
    <w:basedOn w:val="Normal"/>
    <w:link w:val="Normal6Char"/>
    <w:rsid w:val="00EA4087"/>
    <w:pPr>
      <w:spacing w:after="120"/>
    </w:pPr>
  </w:style>
  <w:style w:type="character" w:customStyle="1" w:styleId="NormalBoldChar">
    <w:name w:val="NormalBold Char"/>
    <w:basedOn w:val="DefaultParagraphFont"/>
    <w:link w:val="NormalBold"/>
    <w:locked/>
    <w:rsid w:val="00EA4087"/>
    <w:rPr>
      <w:b/>
      <w:sz w:val="24"/>
    </w:rPr>
  </w:style>
  <w:style w:type="paragraph" w:customStyle="1" w:styleId="ColumnHeading">
    <w:name w:val="ColumnHeading"/>
    <w:basedOn w:val="Normal"/>
    <w:rsid w:val="00EA4087"/>
    <w:pPr>
      <w:spacing w:after="240"/>
      <w:jc w:val="center"/>
    </w:pPr>
    <w:rPr>
      <w:i/>
    </w:rPr>
  </w:style>
  <w:style w:type="paragraph" w:customStyle="1" w:styleId="AMNumberTabs0">
    <w:name w:val="AMNumberTabs"/>
    <w:basedOn w:val="Normal"/>
    <w:rsid w:val="00EA408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EA4087"/>
    <w:pPr>
      <w:jc w:val="right"/>
    </w:pPr>
  </w:style>
  <w:style w:type="paragraph" w:customStyle="1" w:styleId="Normal24a">
    <w:name w:val="Normal24a"/>
    <w:basedOn w:val="Normal"/>
    <w:rsid w:val="002763BF"/>
    <w:pPr>
      <w:spacing w:after="480"/>
    </w:pPr>
    <w:rPr>
      <w:szCs w:val="24"/>
    </w:rPr>
  </w:style>
  <w:style w:type="paragraph" w:customStyle="1" w:styleId="NormalBoldCenter">
    <w:name w:val="NormalBoldCenter"/>
    <w:basedOn w:val="Normal"/>
    <w:rsid w:val="002763BF"/>
    <w:pPr>
      <w:jc w:val="center"/>
    </w:pPr>
    <w:rPr>
      <w:b/>
      <w:szCs w:val="24"/>
    </w:rPr>
  </w:style>
  <w:style w:type="paragraph" w:customStyle="1" w:styleId="Footprint12b">
    <w:name w:val="Footprint12b"/>
    <w:basedOn w:val="Normal"/>
    <w:rsid w:val="002763BF"/>
    <w:pPr>
      <w:spacing w:before="240"/>
    </w:pPr>
    <w:rPr>
      <w:szCs w:val="24"/>
    </w:rPr>
  </w:style>
  <w:style w:type="paragraph" w:customStyle="1" w:styleId="NormalSingle">
    <w:name w:val="NormalSingle"/>
    <w:basedOn w:val="Normal"/>
    <w:qFormat/>
    <w:rsid w:val="002763BF"/>
    <w:rPr>
      <w:szCs w:val="24"/>
    </w:rPr>
  </w:style>
  <w:style w:type="paragraph" w:styleId="Footer">
    <w:name w:val="footer"/>
    <w:basedOn w:val="Normal"/>
    <w:link w:val="FooterChar"/>
    <w:semiHidden/>
    <w:rsid w:val="00AA6330"/>
    <w:pPr>
      <w:tabs>
        <w:tab w:val="center" w:pos="4513"/>
        <w:tab w:val="right" w:pos="9026"/>
      </w:tabs>
    </w:pPr>
  </w:style>
  <w:style w:type="character" w:customStyle="1" w:styleId="FooterChar">
    <w:name w:val="Footer Char"/>
    <w:basedOn w:val="DefaultParagraphFont"/>
    <w:link w:val="Footer"/>
    <w:semiHidden/>
    <w:rsid w:val="00AA6330"/>
    <w:rPr>
      <w:sz w:val="24"/>
    </w:rPr>
  </w:style>
  <w:style w:type="paragraph" w:styleId="BalloonText">
    <w:name w:val="Balloon Text"/>
    <w:basedOn w:val="Normal"/>
    <w:link w:val="BalloonTextChar"/>
    <w:semiHidden/>
    <w:unhideWhenUsed/>
    <w:rsid w:val="00892A4A"/>
    <w:rPr>
      <w:rFonts w:ascii="Segoe UI" w:hAnsi="Segoe UI" w:cs="Segoe UI"/>
      <w:sz w:val="18"/>
      <w:szCs w:val="18"/>
    </w:rPr>
  </w:style>
  <w:style w:type="character" w:customStyle="1" w:styleId="BalloonTextChar">
    <w:name w:val="Balloon Text Char"/>
    <w:basedOn w:val="DefaultParagraphFont"/>
    <w:link w:val="BalloonText"/>
    <w:semiHidden/>
    <w:rsid w:val="00892A4A"/>
    <w:rPr>
      <w:rFonts w:ascii="Segoe UI" w:hAnsi="Segoe UI" w:cs="Segoe UI"/>
      <w:sz w:val="18"/>
      <w:szCs w:val="18"/>
    </w:rPr>
  </w:style>
  <w:style w:type="character" w:styleId="Hyperlink">
    <w:name w:val="Hyperlink"/>
    <w:basedOn w:val="DefaultParagraphFont"/>
    <w:uiPriority w:val="99"/>
    <w:unhideWhenUsed/>
    <w:rsid w:val="00892A4A"/>
    <w:rPr>
      <w:color w:val="0000FF"/>
      <w:u w:val="single"/>
    </w:rPr>
  </w:style>
  <w:style w:type="character" w:styleId="CommentReference">
    <w:name w:val="annotation reference"/>
    <w:basedOn w:val="DefaultParagraphFont"/>
    <w:rsid w:val="0011438D"/>
    <w:rPr>
      <w:sz w:val="16"/>
      <w:szCs w:val="16"/>
    </w:rPr>
  </w:style>
  <w:style w:type="paragraph" w:styleId="CommentText">
    <w:name w:val="annotation text"/>
    <w:basedOn w:val="Normal"/>
    <w:link w:val="CommentTextChar"/>
    <w:rsid w:val="0011438D"/>
    <w:rPr>
      <w:sz w:val="20"/>
    </w:rPr>
  </w:style>
  <w:style w:type="character" w:customStyle="1" w:styleId="CommentTextChar">
    <w:name w:val="Comment Text Char"/>
    <w:basedOn w:val="DefaultParagraphFont"/>
    <w:link w:val="CommentText"/>
    <w:rsid w:val="0011438D"/>
  </w:style>
  <w:style w:type="paragraph" w:styleId="CommentSubject">
    <w:name w:val="annotation subject"/>
    <w:basedOn w:val="CommentText"/>
    <w:next w:val="CommentText"/>
    <w:link w:val="CommentSubjectChar"/>
    <w:semiHidden/>
    <w:unhideWhenUsed/>
    <w:rsid w:val="0011438D"/>
    <w:rPr>
      <w:b/>
      <w:bCs/>
    </w:rPr>
  </w:style>
  <w:style w:type="character" w:customStyle="1" w:styleId="CommentSubjectChar">
    <w:name w:val="Comment Subject Char"/>
    <w:basedOn w:val="CommentTextChar"/>
    <w:link w:val="CommentSubject"/>
    <w:semiHidden/>
    <w:rsid w:val="0011438D"/>
    <w:rPr>
      <w:b/>
      <w:bCs/>
    </w:rPr>
  </w:style>
  <w:style w:type="character" w:styleId="FollowedHyperlink">
    <w:name w:val="FollowedHyperlink"/>
    <w:basedOn w:val="DefaultParagraphFont"/>
    <w:rsid w:val="00604FB6"/>
    <w:rPr>
      <w:color w:val="954F72" w:themeColor="followedHyperlink"/>
      <w:u w:val="single"/>
    </w:rPr>
  </w:style>
  <w:style w:type="character" w:customStyle="1" w:styleId="NormalHanging12aChar">
    <w:name w:val="NormalHanging12a Char"/>
    <w:basedOn w:val="DefaultParagraphFont"/>
    <w:link w:val="NormalHanging12a"/>
    <w:locked/>
    <w:rsid w:val="00314BB3"/>
    <w:rPr>
      <w:sz w:val="24"/>
    </w:rPr>
  </w:style>
  <w:style w:type="character" w:customStyle="1" w:styleId="NormalBold12bChar">
    <w:name w:val="NormalBold12b Char"/>
    <w:basedOn w:val="DefaultParagraphFont"/>
    <w:link w:val="NormalBold12b"/>
    <w:locked/>
    <w:rsid w:val="00675C68"/>
    <w:rPr>
      <w:b/>
      <w:sz w:val="24"/>
    </w:rPr>
  </w:style>
  <w:style w:type="paragraph" w:customStyle="1" w:styleId="RollCallSymbols14pt">
    <w:name w:val="RollCallSymbols14pt"/>
    <w:basedOn w:val="Normal"/>
    <w:rsid w:val="0031616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1616B"/>
    <w:pPr>
      <w:tabs>
        <w:tab w:val="center" w:pos="284"/>
        <w:tab w:val="left" w:pos="426"/>
      </w:tabs>
    </w:pPr>
    <w:rPr>
      <w:snapToGrid w:val="0"/>
      <w:lang w:eastAsia="en-US"/>
    </w:rPr>
  </w:style>
  <w:style w:type="paragraph" w:customStyle="1" w:styleId="RollCallVotes">
    <w:name w:val="RollCallVotes"/>
    <w:basedOn w:val="Normal"/>
    <w:rsid w:val="0031616B"/>
    <w:pPr>
      <w:spacing w:before="120" w:after="120"/>
      <w:jc w:val="center"/>
    </w:pPr>
    <w:rPr>
      <w:b/>
      <w:bCs/>
      <w:snapToGrid w:val="0"/>
      <w:sz w:val="16"/>
      <w:lang w:eastAsia="en-US"/>
    </w:rPr>
  </w:style>
  <w:style w:type="paragraph" w:customStyle="1" w:styleId="RollCallTable">
    <w:name w:val="RollCallTable"/>
    <w:basedOn w:val="Normal"/>
    <w:rsid w:val="0031616B"/>
    <w:pPr>
      <w:spacing w:before="120" w:after="120"/>
    </w:pPr>
    <w:rPr>
      <w:snapToGrid w:val="0"/>
      <w:sz w:val="16"/>
      <w:lang w:eastAsia="en-US"/>
    </w:rPr>
  </w:style>
  <w:style w:type="character" w:styleId="Emphasis">
    <w:name w:val="Emphasis"/>
    <w:basedOn w:val="DefaultParagraphFont"/>
    <w:uiPriority w:val="20"/>
    <w:qFormat/>
    <w:rsid w:val="002F7792"/>
    <w:rPr>
      <w:i/>
      <w:iCs/>
    </w:rPr>
  </w:style>
  <w:style w:type="paragraph" w:customStyle="1" w:styleId="titreobjetcp">
    <w:name w:val="titreobjet_cp"/>
    <w:basedOn w:val="Normal"/>
    <w:rsid w:val="009837A3"/>
    <w:pPr>
      <w:widowControl/>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ata.europa.eu/eli/reco/2021/1004/oj" TargetMode="External"/><Relationship Id="rId13" Type="http://schemas.openxmlformats.org/officeDocument/2006/relationships/hyperlink" Target="https://www.europarl.europa.eu/RegData/etudes/IDAN/2025/765765/EPRS_IDA(2025)765765_EN.pdf"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ec.europa.eu/eurostat/web/products-eurostat-news/-/ddn-20231215-3"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c.europa.eu/eurostat/databrowser/view/sdg_04_70/default/table"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data.europa.eu/eli/C/2023/1389/oj"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data.europa.eu/eli/dir/2022/2041/oj"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9696</Words>
  <Characters>53232</Characters>
  <Application>Microsoft Office Word</Application>
  <DocSecurity>0</DocSecurity>
  <Lines>2129</Lines>
  <Paragraphs>537</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62391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2025-04-03T11:14:00Z</cp:lastPrinted>
  <dcterms:created xsi:type="dcterms:W3CDTF">2025-04-15T10:37:00Z</dcterms:created>
  <dcterms:modified xsi:type="dcterms:W3CDTF">2025-04-15T10:37:00Z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1317257</vt:lpwstr>
  </property>
  <property fmtid="{D5CDD505-2E9C-101B-9397-08002B2CF9AE}" pid="4" name="&lt;Model&gt;">
    <vt:lpwstr>PA_NonLeg</vt:lpwstr>
  </property>
  <property fmtid="{D5CDD505-2E9C-101B-9397-08002B2CF9AE}" pid="5" name="&lt;ModelCod&gt;">
    <vt:lpwstr>\\eiciBRUpr1\pdocep$\DocEP\DOCS\General\PA\PA_NonLeg\PA_NonLeg.dotx(19/06/2024 13:39:02)</vt:lpwstr>
  </property>
  <property fmtid="{D5CDD505-2E9C-101B-9397-08002B2CF9AE}" pid="6" name="&lt;ModelTra&gt;">
    <vt:lpwstr>\\eiciBRUpr1\pdocep$\DocEP\TRANSFIL\EN\PA_NonLeg.EN(25/07/2024 07:40:11)</vt:lpwstr>
  </property>
  <property fmtid="{D5CDD505-2E9C-101B-9397-08002B2CF9AE}" pid="7" name="&lt;Type&gt;">
    <vt:lpwstr>AD</vt:lpwstr>
  </property>
  <property fmtid="{D5CDD505-2E9C-101B-9397-08002B2CF9AE}" pid="8" name="Bookout">
    <vt:lpwstr>OK - 2025/04/15 12:37</vt:lpwstr>
  </property>
  <property fmtid="{D5CDD505-2E9C-101B-9397-08002B2CF9AE}" pid="9" name="Created with">
    <vt:lpwstr>10.0.0 Build [20241202]</vt:lpwstr>
  </property>
  <property fmtid="{D5CDD505-2E9C-101B-9397-08002B2CF9AE}" pid="10" name="FooterPath">
    <vt:lpwstr>AD\1317257PT.docx</vt:lpwstr>
  </property>
  <property fmtid="{D5CDD505-2E9C-101B-9397-08002B2CF9AE}" pid="11" name="LastEdited with">
    <vt:lpwstr>10.0.1 Build [20250114]</vt:lpwstr>
  </property>
  <property fmtid="{D5CDD505-2E9C-101B-9397-08002B2CF9AE}" pid="12" name="PE number">
    <vt:lpwstr>768.112</vt:lpwstr>
  </property>
  <property fmtid="{D5CDD505-2E9C-101B-9397-08002B2CF9AE}" pid="13" name="SDLStudio">
    <vt:lpwstr/>
  </property>
  <property fmtid="{D5CDD505-2E9C-101B-9397-08002B2CF9AE}" pid="14" name="SendToEpades">
    <vt:lpwstr>OK - 2025/04/01 09:57</vt:lpwstr>
  </property>
</Properties>
</file>