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513CD" w:rsidTr="00C85D0F">
        <w:trPr>
          <w:trHeight w:hRule="exact" w:val="1418"/>
        </w:trPr>
        <w:tc>
          <w:tcPr>
            <w:tcW w:w="6804" w:type="dxa"/>
            <w:shd w:val="clear" w:color="auto" w:fill="auto"/>
            <w:vAlign w:val="center"/>
          </w:tcPr>
          <w:p w:rsidR="00854CAC" w:rsidRPr="0093685B" w:rsidRDefault="00AE1FF0" w:rsidP="00C85D0F">
            <w:pPr>
              <w:pStyle w:val="EPName"/>
            </w:pPr>
            <w:r>
              <w:t>P</w:t>
            </w:r>
            <w:bookmarkStart w:id="0" w:name="_GoBack"/>
            <w:bookmarkEnd w:id="0"/>
            <w:r>
              <w:t>arlamento europeo</w:t>
            </w:r>
          </w:p>
          <w:p w:rsidR="00854CAC" w:rsidRPr="0093685B" w:rsidRDefault="00AE1FF0" w:rsidP="0075404C">
            <w:pPr>
              <w:pStyle w:val="EPTerm"/>
            </w:pPr>
            <w:r>
              <w:t>2024-2029</w:t>
            </w:r>
          </w:p>
        </w:tc>
        <w:tc>
          <w:tcPr>
            <w:tcW w:w="2268" w:type="dxa"/>
            <w:shd w:val="clear" w:color="auto" w:fill="auto"/>
          </w:tcPr>
          <w:p w:rsidR="00854CAC" w:rsidRPr="0093685B" w:rsidRDefault="00AE1FF0" w:rsidP="00C85D0F">
            <w:pPr>
              <w:pStyle w:val="EPLogo"/>
            </w:pPr>
            <w:r w:rsidRPr="009368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3685B" w:rsidRDefault="001746D0" w:rsidP="001746D0">
      <w:pPr>
        <w:pStyle w:val="LineTop"/>
      </w:pPr>
    </w:p>
    <w:p w:rsidR="001746D0" w:rsidRPr="0093685B" w:rsidRDefault="00AE1FF0" w:rsidP="001746D0">
      <w:pPr>
        <w:pStyle w:val="EPBody"/>
      </w:pPr>
      <w:r w:rsidRPr="00AE1FF0">
        <w:rPr>
          <w:rStyle w:val="HideTWBExt"/>
          <w:i w:val="0"/>
          <w:szCs w:val="20"/>
        </w:rPr>
        <w:t>&lt;Commission&gt;</w:t>
      </w:r>
      <w:r w:rsidRPr="00AE1FF0">
        <w:rPr>
          <w:rStyle w:val="HideTWBInt"/>
          <w:i w:val="0"/>
          <w:szCs w:val="20"/>
        </w:rPr>
        <w:t>{EMPL}</w:t>
      </w:r>
      <w:r>
        <w:t>Commissione per l'occupazione e gli affari sociali</w:t>
      </w:r>
      <w:r w:rsidRPr="00AE1FF0">
        <w:rPr>
          <w:rStyle w:val="HideTWBExt"/>
          <w:i w:val="0"/>
          <w:szCs w:val="20"/>
        </w:rPr>
        <w:t>&lt;/Commission&gt;</w:t>
      </w:r>
    </w:p>
    <w:p w:rsidR="001746D0" w:rsidRPr="0093685B" w:rsidRDefault="001746D0" w:rsidP="001746D0">
      <w:pPr>
        <w:pStyle w:val="LineBottom"/>
      </w:pPr>
    </w:p>
    <w:p w:rsidR="002E2F2E" w:rsidRPr="0093685B" w:rsidRDefault="00AE1FF0">
      <w:pPr>
        <w:pStyle w:val="CoverReference"/>
      </w:pPr>
      <w:r w:rsidRPr="00AE1FF0">
        <w:rPr>
          <w:rStyle w:val="HideTWBExt"/>
          <w:b w:val="0"/>
        </w:rPr>
        <w:t>&lt;RefProc&gt;</w:t>
      </w:r>
      <w:r>
        <w:t>2024/2108</w:t>
      </w:r>
      <w:r w:rsidRPr="00AE1FF0">
        <w:rPr>
          <w:rStyle w:val="HideTWBExt"/>
          <w:b w:val="0"/>
        </w:rPr>
        <w:t>&lt;/RefProc&gt;&lt;RefTypeProc&gt;</w:t>
      </w:r>
      <w:r>
        <w:t>(INI)</w:t>
      </w:r>
      <w:r w:rsidRPr="00AE1FF0">
        <w:rPr>
          <w:rStyle w:val="HideTWBExt"/>
          <w:b w:val="0"/>
        </w:rPr>
        <w:t>&lt;/RefTypeProc&gt;</w:t>
      </w:r>
    </w:p>
    <w:p w:rsidR="002E2F2E" w:rsidRPr="0093685B" w:rsidRDefault="00AE1FF0">
      <w:pPr>
        <w:pStyle w:val="CoverDate"/>
      </w:pPr>
      <w:r w:rsidRPr="00AE1FF0">
        <w:rPr>
          <w:rStyle w:val="HideTWBExt"/>
        </w:rPr>
        <w:t>&lt;Date&gt;</w:t>
      </w:r>
      <w:r w:rsidRPr="00AE1FF0">
        <w:rPr>
          <w:rStyle w:val="HideTWBInt"/>
        </w:rPr>
        <w:t>{27/06/2025}</w:t>
      </w:r>
      <w:r>
        <w:t>27.6.2025</w:t>
      </w:r>
      <w:r w:rsidRPr="00AE1FF0">
        <w:rPr>
          <w:rStyle w:val="HideTWBExt"/>
        </w:rPr>
        <w:t>&lt;/Date&gt;</w:t>
      </w:r>
    </w:p>
    <w:p w:rsidR="002E2F2E" w:rsidRPr="0093685B" w:rsidRDefault="00AE1FF0">
      <w:pPr>
        <w:pStyle w:val="CoverDocType24a"/>
      </w:pPr>
      <w:r w:rsidRPr="00AE1FF0">
        <w:rPr>
          <w:rStyle w:val="HideTWBExt"/>
          <w:b w:val="0"/>
        </w:rPr>
        <w:t>&lt;TitreType&gt;</w:t>
      </w:r>
      <w:r>
        <w:t>PARERE</w:t>
      </w:r>
      <w:r w:rsidRPr="00AE1FF0">
        <w:rPr>
          <w:rStyle w:val="HideTWBExt"/>
          <w:b w:val="0"/>
        </w:rPr>
        <w:t>&lt;/TitreType&gt;</w:t>
      </w:r>
    </w:p>
    <w:p w:rsidR="002E2F2E" w:rsidRPr="0093685B" w:rsidRDefault="00AE1FF0">
      <w:pPr>
        <w:pStyle w:val="CoverNormal24a"/>
      </w:pPr>
      <w:r w:rsidRPr="00AE1FF0">
        <w:rPr>
          <w:rStyle w:val="HideTWBExt"/>
        </w:rPr>
        <w:t>&lt;CommissionResp&gt;</w:t>
      </w:r>
      <w:r>
        <w:t>della commissione per l'occupazione e gli affari sociali</w:t>
      </w:r>
      <w:r w:rsidRPr="00AE1FF0">
        <w:rPr>
          <w:rStyle w:val="HideTWBExt"/>
        </w:rPr>
        <w:t>&lt;/CommissionResp&gt;</w:t>
      </w:r>
    </w:p>
    <w:p w:rsidR="002E2F2E" w:rsidRPr="0093685B" w:rsidRDefault="00AE1FF0">
      <w:pPr>
        <w:pStyle w:val="CoverNormal24a"/>
      </w:pPr>
      <w:r w:rsidRPr="00AE1FF0">
        <w:rPr>
          <w:rStyle w:val="HideTWBExt"/>
        </w:rPr>
        <w:t>&lt;CommissionInt&gt;</w:t>
      </w:r>
      <w:r>
        <w:t>destinato alla commissione per gli affari esteri e alla commissione per il commercio internazionale</w:t>
      </w:r>
      <w:r w:rsidRPr="00AE1FF0">
        <w:rPr>
          <w:rStyle w:val="HideTWBExt"/>
        </w:rPr>
        <w:t>&lt;/CommissionInt&gt;</w:t>
      </w:r>
    </w:p>
    <w:p w:rsidR="002E2F2E" w:rsidRPr="0093685B" w:rsidRDefault="00AE1FF0">
      <w:pPr>
        <w:pStyle w:val="CoverNormal"/>
      </w:pPr>
      <w:r w:rsidRPr="00AE1FF0">
        <w:rPr>
          <w:rStyle w:val="HideTWBExt"/>
        </w:rPr>
        <w:t>&lt;Titre&gt;</w:t>
      </w:r>
      <w:r>
        <w:t>sull'attuazione dell'accordo</w:t>
      </w:r>
      <w:r>
        <w:t xml:space="preserve"> sugli scambi commerciali e la cooperazione tra l'UE e il Regno Unito</w:t>
      </w:r>
      <w:r w:rsidRPr="00AE1FF0">
        <w:rPr>
          <w:rStyle w:val="HideTWBExt"/>
        </w:rPr>
        <w:t>&lt;/Titre&gt;</w:t>
      </w:r>
    </w:p>
    <w:p w:rsidR="002E2F2E" w:rsidRPr="0093685B" w:rsidRDefault="00AE1FF0">
      <w:pPr>
        <w:pStyle w:val="CoverNormal24a"/>
      </w:pPr>
      <w:r w:rsidRPr="00AE1FF0">
        <w:rPr>
          <w:rStyle w:val="HideTWBExt"/>
        </w:rPr>
        <w:t>&lt;DocRef&gt;</w:t>
      </w:r>
      <w:r>
        <w:t>(2024/2108(INI))</w:t>
      </w:r>
      <w:r w:rsidRPr="00AE1FF0">
        <w:rPr>
          <w:rStyle w:val="HideTWBExt"/>
        </w:rPr>
        <w:t>&lt;/DocRef&gt;</w:t>
      </w:r>
    </w:p>
    <w:p w:rsidR="002E2F2E" w:rsidRPr="0093685B" w:rsidRDefault="00AE1FF0">
      <w:pPr>
        <w:pStyle w:val="CoverNormal24a"/>
      </w:pPr>
      <w:r>
        <w:t xml:space="preserve">Relatrice per parere: </w:t>
      </w:r>
      <w:r w:rsidRPr="00AE1FF0">
        <w:rPr>
          <w:rStyle w:val="HideTWBExt"/>
        </w:rPr>
        <w:t>&lt;Depute&gt;</w:t>
      </w:r>
      <w:r>
        <w:t>Idoia Mendia</w:t>
      </w:r>
      <w:r w:rsidRPr="00AE1FF0">
        <w:rPr>
          <w:rStyle w:val="HideTWBExt"/>
        </w:rPr>
        <w:t>&lt;/Depute&gt;</w:t>
      </w:r>
    </w:p>
    <w:p w:rsidR="00A72C35" w:rsidRPr="0093685B" w:rsidRDefault="00A72C35" w:rsidP="00A72C35">
      <w:pPr>
        <w:pStyle w:val="CoverNormal"/>
      </w:pPr>
    </w:p>
    <w:p w:rsidR="002E2F2E" w:rsidRPr="0093685B" w:rsidRDefault="00AE1FF0" w:rsidP="00E856D2">
      <w:pPr>
        <w:widowControl/>
        <w:tabs>
          <w:tab w:val="center" w:pos="4677"/>
        </w:tabs>
      </w:pPr>
      <w:r>
        <w:br w:type="page"/>
      </w:r>
      <w:r>
        <w:lastRenderedPageBreak/>
        <w:t>PA_NonLeg</w:t>
      </w:r>
    </w:p>
    <w:p w:rsidR="002E2F2E" w:rsidRPr="0093685B" w:rsidRDefault="00AE1FF0" w:rsidP="00D318E7">
      <w:pPr>
        <w:pStyle w:val="PageHeadingNotTOC"/>
      </w:pPr>
      <w:r>
        <w:br w:type="page"/>
      </w:r>
      <w:r>
        <w:lastRenderedPageBreak/>
        <w:t>EMENDAMENTI</w:t>
      </w:r>
    </w:p>
    <w:p w:rsidR="002E2F2E" w:rsidRPr="0093685B" w:rsidRDefault="00AE1FF0" w:rsidP="008313E7">
      <w:pPr>
        <w:pStyle w:val="Normal12a"/>
      </w:pPr>
      <w:r>
        <w:t>La commissione per l'occupazione e gli affari sociali presenta alla</w:t>
      </w:r>
      <w:r>
        <w:t xml:space="preserve"> commissione per gli affari esteri e alla commissione per il commercio internazionale, competenti per il merito, quanto segue:</w:t>
      </w:r>
    </w:p>
    <w:p w:rsidR="007867E9" w:rsidRPr="0074344C" w:rsidRDefault="00AE1FF0" w:rsidP="007867E9">
      <w:r w:rsidRPr="00AE1FF0">
        <w:rPr>
          <w:rStyle w:val="HideTWBExt"/>
        </w:rPr>
        <w:t>&lt;RepeatBlock-Amend&gt;&lt;Amend&gt;</w:t>
      </w:r>
      <w:r>
        <w:rPr>
          <w:b/>
          <w:bCs/>
        </w:rPr>
        <w:t>Emendamento</w:t>
      </w:r>
      <w:r>
        <w:tab/>
      </w:r>
      <w:r>
        <w:tab/>
      </w:r>
      <w:r w:rsidRPr="00AE1FF0">
        <w:rPr>
          <w:rStyle w:val="HideTWBExt"/>
        </w:rPr>
        <w:t>&lt;NumAm&gt;</w:t>
      </w:r>
      <w:r w:rsidRPr="00AE1FF0">
        <w:rPr>
          <w:b/>
        </w:rPr>
        <w:t>1</w:t>
      </w:r>
      <w:r w:rsidRPr="00AE1FF0">
        <w:rPr>
          <w:rStyle w:val="HideTWBExt"/>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Visto 18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p w:rsidR="007867E9" w:rsidRPr="0074344C" w:rsidRDefault="007867E9" w:rsidP="00DA0486"/>
          <w:p w:rsidR="007867E9" w:rsidRPr="0074344C" w:rsidRDefault="007867E9" w:rsidP="00DA0486"/>
          <w:p w:rsidR="007867E9" w:rsidRPr="0074344C" w:rsidRDefault="007867E9" w:rsidP="00DA0486"/>
          <w:p w:rsidR="007867E9" w:rsidRPr="0074344C" w:rsidRDefault="007867E9" w:rsidP="00DA0486"/>
          <w:p w:rsidR="007867E9" w:rsidRPr="0074344C" w:rsidRDefault="007867E9" w:rsidP="00DA0486"/>
          <w:p w:rsidR="007867E9" w:rsidRPr="0074344C" w:rsidRDefault="007867E9" w:rsidP="00DA0486">
            <w:pPr>
              <w:jc w:val="right"/>
            </w:pPr>
          </w:p>
        </w:tc>
        <w:tc>
          <w:tcPr>
            <w:tcW w:w="4876" w:type="dxa"/>
            <w:hideMark/>
          </w:tcPr>
          <w:p w:rsidR="007867E9" w:rsidRPr="0074344C" w:rsidRDefault="00AE1FF0" w:rsidP="00DA0486">
            <w:pPr>
              <w:pStyle w:val="Normal6a"/>
              <w:rPr>
                <w:b/>
                <w:i/>
              </w:rPr>
            </w:pPr>
            <w:r>
              <w:rPr>
                <w:b/>
                <w:i/>
              </w:rPr>
              <w:t>–</w:t>
            </w:r>
            <w:r>
              <w:rPr>
                <w:b/>
                <w:i/>
              </w:rPr>
              <w:tab/>
              <w:t xml:space="preserve">vista la decisione n. 1/2023 del comitato specializzato per il coordinamento della sicurezza sociale istituito dall'articolo 8, paragrafo 1, lettera p), dell'accordo sugli scambi commerciali e la </w:t>
            </w:r>
            <w:r>
              <w:rPr>
                <w:b/>
                <w:i/>
              </w:rPr>
              <w:t>cooperazione tra l'UE e la Comunità europea dell'energia atomica, da una parte, e il Regno Unito di Gran Bretagna e Irlanda del Nord, dall'altra, del 10 marzo 2023, per quanto riguarda l'utilizzo del sistema di scambio elettronico di informazioni sulla sic</w:t>
            </w:r>
            <w:r>
              <w:rPr>
                <w:b/>
                <w:i/>
              </w:rPr>
              <w:t>urezza sociale per la trasmissione dei dati tra le istituzioni o gli organismi di collegamento</w:t>
            </w:r>
            <w:r>
              <w:rPr>
                <w:b/>
                <w:i/>
                <w:vertAlign w:val="superscript"/>
              </w:rPr>
              <w:t>1 bis</w:t>
            </w:r>
            <w:r>
              <w:rPr>
                <w:b/>
                <w:i/>
              </w:rPr>
              <w:t>,</w:t>
            </w:r>
          </w:p>
          <w:p w:rsidR="007867E9" w:rsidRPr="0074344C" w:rsidRDefault="00AE1FF0" w:rsidP="00DA0486">
            <w:pPr>
              <w:pStyle w:val="Normal6a"/>
              <w:rPr>
                <w:b/>
                <w:i/>
              </w:rPr>
            </w:pPr>
            <w:r>
              <w:rPr>
                <w:b/>
                <w:i/>
              </w:rPr>
              <w:t>________________</w:t>
            </w:r>
          </w:p>
          <w:p w:rsidR="007867E9" w:rsidRPr="0074344C" w:rsidRDefault="00AE1FF0" w:rsidP="00DA0486">
            <w:pPr>
              <w:pStyle w:val="Normal6a"/>
              <w:rPr>
                <w:b/>
                <w:szCs w:val="24"/>
              </w:rPr>
            </w:pPr>
            <w:r>
              <w:rPr>
                <w:b/>
                <w:bCs/>
                <w:i/>
                <w:iCs/>
                <w:vertAlign w:val="superscript"/>
              </w:rPr>
              <w:t>1 bis</w:t>
            </w:r>
            <w:r>
              <w:rPr>
                <w:b/>
                <w:bCs/>
                <w:i/>
                <w:iCs/>
              </w:rPr>
              <w:t xml:space="preserve"> GU L 91 del 29.3.2023, pag. 89, ELI:</w:t>
            </w:r>
            <w:r>
              <w:rPr>
                <w:b/>
                <w:i/>
              </w:rPr>
              <w:t> </w:t>
            </w:r>
            <w:hyperlink r:id="rId8" w:tooltip="Accesso al documento tramite l'URI dell'ELI." w:history="1">
              <w:r w:rsidRPr="00AE1FF0">
                <w:rPr>
                  <w:rStyle w:val="Hyperlink"/>
                  <w:b/>
                  <w:i/>
                </w:rPr>
                <w:t>http://data.europa.eu/eli/dec/2023/698/oj</w:t>
              </w:r>
            </w:hyperlink>
            <w:r>
              <w:rPr>
                <w:b/>
                <w:i/>
              </w:rPr>
              <w:t>.</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Visto 18 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b/>
                <w:i/>
              </w:rPr>
            </w:pPr>
            <w:r>
              <w:rPr>
                <w:b/>
                <w:i/>
              </w:rPr>
              <w:t>–</w:t>
            </w:r>
            <w:r>
              <w:rPr>
                <w:b/>
                <w:i/>
              </w:rPr>
              <w:tab/>
              <w:t>vista la decisione n. 2/2023</w:t>
            </w:r>
            <w:r>
              <w:rPr>
                <w:b/>
                <w:i/>
              </w:rPr>
              <w:t xml:space="preserve"> del comitato specializzato per il coordinamento della sicurezza sociale istituito dall'articolo 8, paragrafo 1, lettera p), dell'accordo sugli scambi commerciali e la cooperazione tra l'UE e la Comunità europea dell'energia atomica, da una parte, e il Reg</w:t>
            </w:r>
            <w:r>
              <w:rPr>
                <w:b/>
                <w:i/>
              </w:rPr>
              <w:t>no Unito di Gran Bretagna e Irlanda del Nord, dall'altra, del 28 giugno 2023, per quanto riguarda la designazione dell'istituto finanziario di riferimento per determinare il tasso degli interessi di mora e il tasso di cambio per le conversioni valutarie, c</w:t>
            </w:r>
            <w:r>
              <w:rPr>
                <w:b/>
                <w:i/>
              </w:rPr>
              <w:t>ome pure la data da prendere in considerazione per determinare i tassi di conversione valutaria</w:t>
            </w:r>
            <w:r>
              <w:rPr>
                <w:b/>
                <w:i/>
                <w:vertAlign w:val="superscript"/>
              </w:rPr>
              <w:t>1 bis</w:t>
            </w:r>
            <w:r>
              <w:rPr>
                <w:b/>
                <w:i/>
              </w:rPr>
              <w:t>,</w:t>
            </w:r>
          </w:p>
          <w:p w:rsidR="007867E9" w:rsidRPr="0074344C" w:rsidRDefault="00AE1FF0" w:rsidP="00DA0486">
            <w:pPr>
              <w:pStyle w:val="Normal6a"/>
              <w:rPr>
                <w:b/>
                <w:i/>
              </w:rPr>
            </w:pPr>
            <w:r>
              <w:rPr>
                <w:b/>
                <w:i/>
              </w:rPr>
              <w:t>__________________</w:t>
            </w:r>
          </w:p>
          <w:p w:rsidR="007867E9" w:rsidRPr="0074344C" w:rsidRDefault="00AE1FF0" w:rsidP="00DA0486">
            <w:pPr>
              <w:pStyle w:val="Normal6a"/>
              <w:rPr>
                <w:szCs w:val="24"/>
              </w:rPr>
            </w:pPr>
            <w:r>
              <w:rPr>
                <w:b/>
                <w:bCs/>
                <w:i/>
                <w:iCs/>
                <w:vertAlign w:val="superscript"/>
              </w:rPr>
              <w:t>1 bis</w:t>
            </w:r>
            <w:r>
              <w:rPr>
                <w:b/>
                <w:bCs/>
                <w:i/>
                <w:iCs/>
              </w:rPr>
              <w:t xml:space="preserve"> GU L 179 del 14.7.2023, pag. 147, ELI:</w:t>
            </w:r>
            <w:r w:rsidRPr="00AE1FF0">
              <w:rPr>
                <w:b/>
                <w:i/>
                <w:color w:val="0000FF"/>
              </w:rPr>
              <w:t> </w:t>
            </w:r>
            <w:hyperlink r:id="rId9" w:tooltip="Accesso al documento tramite l'URI dell'ELI." w:history="1">
              <w:r w:rsidRPr="00AE1FF0">
                <w:rPr>
                  <w:rStyle w:val="Hyperlink"/>
                  <w:b/>
                  <w:i/>
                </w:rPr>
                <w:t>http://data.europa.eu/eli/dec/2023/1460/oj</w:t>
              </w:r>
            </w:hyperlink>
            <w:r>
              <w:rPr>
                <w:b/>
                <w:i/>
              </w:rPr>
              <w:t>.</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3</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 xml:space="preserve">Visto </w:t>
      </w:r>
      <w:r>
        <w:t>20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w:t>
            </w:r>
            <w:r>
              <w:tab/>
            </w:r>
            <w:r>
              <w:rPr>
                <w:b/>
                <w:i/>
              </w:rPr>
              <w:t>visto il documento finale del vertice UE-Regno Unito del 19 maggio 2025 dal titolo "Un'agenda rinnovata per la cooperazione tra Unione europea e Regno Unito – Intesa comune",</w:t>
            </w:r>
          </w:p>
        </w:tc>
      </w:tr>
    </w:tbl>
    <w:p w:rsidR="007867E9" w:rsidRPr="0074344C" w:rsidRDefault="00AE1FF0" w:rsidP="007867E9">
      <w:r w:rsidRPr="00AE1FF0">
        <w:rPr>
          <w:rStyle w:val="HideTWBExt"/>
        </w:rPr>
        <w:t>&lt;/Amend&gt;</w:t>
      </w:r>
    </w:p>
    <w:p w:rsidR="007867E9" w:rsidRPr="0074344C" w:rsidRDefault="00AE1FF0" w:rsidP="007867E9">
      <w:pPr>
        <w:pStyle w:val="AMNumberTabs0"/>
        <w:keepNext/>
      </w:pPr>
      <w:r w:rsidRPr="00AE1FF0">
        <w:rPr>
          <w:rStyle w:val="HideTWBExt"/>
          <w:b w:val="0"/>
        </w:rPr>
        <w:t>&lt;Amend&gt;</w:t>
      </w:r>
      <w:r>
        <w:t>Emendamento</w:t>
      </w:r>
      <w:r>
        <w:tab/>
      </w:r>
      <w:r>
        <w:tab/>
      </w:r>
      <w:r w:rsidRPr="00AE1FF0">
        <w:rPr>
          <w:rStyle w:val="HideTWBExt"/>
          <w:b w:val="0"/>
        </w:rPr>
        <w:t>&lt;NumAm&gt;</w:t>
      </w:r>
      <w:r>
        <w:t>4</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A</w:t>
      </w:r>
      <w:r w:rsidRPr="00AE1F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hideMark/>
          </w:tcPr>
          <w:p w:rsidR="007867E9" w:rsidRPr="0074344C" w:rsidRDefault="00AE1FF0" w:rsidP="00DA0486">
            <w:pPr>
              <w:pStyle w:val="ColumnHeading"/>
              <w:keepNext/>
            </w:pPr>
            <w:r>
              <w:t>Proposta di risoluzione</w:t>
            </w:r>
          </w:p>
        </w:tc>
        <w:tc>
          <w:tcPr>
            <w:tcW w:w="4876" w:type="dxa"/>
            <w:hideMark/>
          </w:tcPr>
          <w:p w:rsidR="007867E9" w:rsidRPr="0074344C" w:rsidRDefault="00AE1FF0" w:rsidP="00DA0486">
            <w:pPr>
              <w:pStyle w:val="ColumnHeading"/>
              <w:keepNext/>
            </w:pPr>
            <w:r>
              <w:t>Emendamento</w:t>
            </w:r>
          </w:p>
        </w:tc>
      </w:tr>
      <w:tr w:rsidR="00A513CD" w:rsidTr="00DA0486">
        <w:trPr>
          <w:jc w:val="center"/>
        </w:trPr>
        <w:tc>
          <w:tcPr>
            <w:tcW w:w="4876" w:type="dxa"/>
            <w:hideMark/>
          </w:tcPr>
          <w:p w:rsidR="007867E9" w:rsidRPr="0074344C" w:rsidRDefault="00AE1FF0" w:rsidP="00DA0486">
            <w:pPr>
              <w:pStyle w:val="Normal6"/>
            </w:pPr>
            <w:r>
              <w:t>A.</w:t>
            </w:r>
            <w:r>
              <w:tab/>
              <w:t xml:space="preserve">considerando che l'UE e il Regno Unito, in quanto parte dello stesso continente e vincolati da </w:t>
            </w:r>
            <w:r>
              <w:t>valori condivisi, si trovano ad affrontare una grave situazione di sicurezza globale instabile, caratterizzata da crescenti tensioni geopolitiche; che hanno dimostrato la propria determinazione politica a collaborare e continuano a essere partner forti nel</w:t>
            </w:r>
            <w:r>
              <w:t>l'affrontare le sfide globali e le minacce alla sicurezza, soprattutto nel sostenere l'Ucraina a difendersi dall'aggressione russa;</w:t>
            </w:r>
          </w:p>
        </w:tc>
        <w:tc>
          <w:tcPr>
            <w:tcW w:w="4876" w:type="dxa"/>
            <w:hideMark/>
          </w:tcPr>
          <w:p w:rsidR="007867E9" w:rsidRPr="0074344C" w:rsidRDefault="00AE1FF0" w:rsidP="00DA0486">
            <w:pPr>
              <w:pStyle w:val="Normal6"/>
              <w:rPr>
                <w:szCs w:val="24"/>
              </w:rPr>
            </w:pPr>
            <w:r>
              <w:t>A.</w:t>
            </w:r>
            <w:r>
              <w:tab/>
              <w:t>considerando che l'UE e il Regno Unito, in quanto parte dello stesso continente e vincolati da valori condivisi, si trova</w:t>
            </w:r>
            <w:r>
              <w:t>no ad affrontare una grave situazione di sicurezza globale instabile, caratterizzata da crescenti tensioni geopolitiche; che hanno dimostrato la propria determinazione politica a collaborare e continuano a essere partner forti nell'affrontare le sfide glob</w:t>
            </w:r>
            <w:r>
              <w:t>ali e le minacce alla sicurezza, soprattutto nel sostenere l'Ucraina a difendersi dall'aggressione russa;</w:t>
            </w:r>
            <w:r>
              <w:rPr>
                <w:b/>
                <w:i/>
              </w:rPr>
              <w:t xml:space="preserve"> che una più stretta cooperazione tra l'UE e il Regno Unito, basata sulla prevedibilità e sulla struttura garantite dall'accordo sugli scambi commercia</w:t>
            </w:r>
            <w:r>
              <w:rPr>
                <w:b/>
                <w:i/>
              </w:rPr>
              <w:t>li e la cooperazione, è più che mai essenziale per salvaguardare gli interessi reciproci e rafforzare la resilienza;</w:t>
            </w:r>
          </w:p>
        </w:tc>
      </w:tr>
    </w:tbl>
    <w:p w:rsidR="007867E9" w:rsidRPr="0074344C" w:rsidRDefault="00AE1FF0" w:rsidP="007867E9">
      <w:pPr>
        <w:rPr>
          <w:szCs w:val="24"/>
        </w:rPr>
      </w:pPr>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5</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J</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 xml:space="preserve">Proposta di </w:t>
            </w:r>
            <w:r>
              <w:t>risoluzione</w:t>
            </w:r>
          </w:p>
        </w:tc>
        <w:tc>
          <w:tcPr>
            <w:tcW w:w="4876" w:type="dxa"/>
          </w:tcPr>
          <w:p w:rsidR="007867E9" w:rsidRPr="0074344C" w:rsidRDefault="00AE1FF0" w:rsidP="00DA0486">
            <w:pPr>
              <w:pStyle w:val="AmColumnHeading"/>
              <w:keepNext/>
            </w:pPr>
            <w:r>
              <w:t>Emendamento</w:t>
            </w:r>
          </w:p>
        </w:tc>
      </w:tr>
      <w:tr w:rsidR="00A513CD" w:rsidTr="00DA0486">
        <w:trPr>
          <w:jc w:val="center"/>
        </w:trPr>
        <w:tc>
          <w:tcPr>
            <w:tcW w:w="4876" w:type="dxa"/>
          </w:tcPr>
          <w:p w:rsidR="007867E9" w:rsidRPr="0074344C" w:rsidRDefault="00AE1FF0" w:rsidP="00DA0486">
            <w:pPr>
              <w:pStyle w:val="NormalWeb"/>
            </w:pPr>
            <w:r>
              <w:rPr>
                <w:b/>
                <w:i/>
              </w:rPr>
              <w:t xml:space="preserve">J. </w:t>
            </w:r>
            <w:r>
              <w:rPr>
                <w:b/>
                <w:i/>
              </w:rPr>
              <w:tab/>
              <w:t xml:space="preserve">considerando che il primo vertice UE-Regno Unito, previsto per il 19 maggio 2025, dovrebbe dare lo slancio per valutare le opportunità di approfondire il partenariato UE-Regno Unito in modo reciprocamente vantaggioso, con la </w:t>
            </w:r>
            <w:r>
              <w:rPr>
                <w:b/>
                <w:i/>
              </w:rPr>
              <w:t>sicurezza e la difesa che saranno probabilmente un settore chiave su cui concentrarsi;</w:t>
            </w:r>
          </w:p>
        </w:tc>
        <w:tc>
          <w:tcPr>
            <w:tcW w:w="4876" w:type="dxa"/>
          </w:tcPr>
          <w:p w:rsidR="007867E9" w:rsidRPr="0074344C" w:rsidRDefault="00AE1FF0" w:rsidP="00DA0486">
            <w:pPr>
              <w:pStyle w:val="Normal6a"/>
              <w:rPr>
                <w:b/>
                <w:i/>
                <w:szCs w:val="24"/>
              </w:rPr>
            </w:pPr>
            <w:r>
              <w:rPr>
                <w:b/>
                <w:i/>
              </w:rPr>
              <w:t>soppresso</w:t>
            </w:r>
          </w:p>
        </w:tc>
      </w:tr>
    </w:tbl>
    <w:p w:rsidR="007867E9" w:rsidRPr="0074344C" w:rsidRDefault="00AE1FF0" w:rsidP="007867E9">
      <w:r w:rsidRPr="00AE1FF0">
        <w:rPr>
          <w:rStyle w:val="HideTWBExt"/>
        </w:rPr>
        <w:t>&lt;/Amend&gt;</w:t>
      </w:r>
    </w:p>
    <w:p w:rsidR="007867E9" w:rsidRPr="0074344C" w:rsidRDefault="00AE1FF0" w:rsidP="007867E9">
      <w:pPr>
        <w:pStyle w:val="AmNumberTabs"/>
      </w:pPr>
      <w:r w:rsidRPr="00AE1FF0">
        <w:rPr>
          <w:rStyle w:val="HideTWBExt"/>
          <w:b w:val="0"/>
        </w:rPr>
        <w:t>&lt;Amend&gt;</w:t>
      </w:r>
      <w:r>
        <w:t>Emendamento</w:t>
      </w:r>
      <w:r>
        <w:tab/>
      </w:r>
      <w:r>
        <w:tab/>
      </w:r>
      <w:r w:rsidRPr="00AE1FF0">
        <w:rPr>
          <w:rStyle w:val="HideTWBExt"/>
          <w:b w:val="0"/>
        </w:rPr>
        <w:t>&lt;NumAm&gt;</w:t>
      </w:r>
      <w:r>
        <w:t>6</w:t>
      </w:r>
      <w:r w:rsidRPr="00AE1FF0">
        <w:rPr>
          <w:rStyle w:val="HideTWBExt"/>
          <w:b w:val="0"/>
        </w:rPr>
        <w:t>&lt;/NumAm&gt;</w:t>
      </w:r>
    </w:p>
    <w:p w:rsidR="007867E9" w:rsidRPr="0074344C" w:rsidRDefault="00AE1FF0" w:rsidP="007867E9">
      <w:pPr>
        <w:pStyle w:val="NormalBold12b"/>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K</w:t>
      </w:r>
      <w:r w:rsidRPr="00AE1F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13CD" w:rsidTr="00DA0486">
        <w:trPr>
          <w:trHeight w:hRule="exact" w:val="240"/>
          <w:jc w:val="center"/>
        </w:trPr>
        <w:tc>
          <w:tcPr>
            <w:tcW w:w="9752" w:type="dxa"/>
            <w:gridSpan w:val="2"/>
            <w:tcBorders>
              <w:top w:val="nil"/>
              <w:left w:val="nil"/>
              <w:bottom w:val="nil"/>
              <w:right w:val="nil"/>
            </w:tcBorders>
          </w:tcPr>
          <w:p w:rsidR="007867E9" w:rsidRPr="0074344C" w:rsidRDefault="007867E9" w:rsidP="00DA0486"/>
        </w:tc>
      </w:tr>
      <w:tr w:rsidR="00A513CD" w:rsidTr="00DA0486">
        <w:trPr>
          <w:trHeight w:val="240"/>
          <w:jc w:val="center"/>
        </w:trPr>
        <w:tc>
          <w:tcPr>
            <w:tcW w:w="4876" w:type="dxa"/>
            <w:tcBorders>
              <w:top w:val="nil"/>
              <w:left w:val="nil"/>
              <w:bottom w:val="nil"/>
              <w:right w:val="nil"/>
            </w:tcBorders>
          </w:tcPr>
          <w:p w:rsidR="007867E9" w:rsidRPr="0074344C" w:rsidRDefault="00AE1FF0" w:rsidP="00DA0486">
            <w:pPr>
              <w:pStyle w:val="AmColumnHeading"/>
            </w:pPr>
            <w:r>
              <w:t>Proposta di risoluzione</w:t>
            </w:r>
          </w:p>
        </w:tc>
        <w:tc>
          <w:tcPr>
            <w:tcW w:w="4876" w:type="dxa"/>
            <w:tcBorders>
              <w:top w:val="nil"/>
              <w:left w:val="nil"/>
              <w:bottom w:val="nil"/>
              <w:right w:val="nil"/>
            </w:tcBorders>
          </w:tcPr>
          <w:p w:rsidR="007867E9" w:rsidRPr="0074344C" w:rsidRDefault="00AE1FF0" w:rsidP="00DA0486">
            <w:pPr>
              <w:pStyle w:val="AmColumnHeading"/>
            </w:pPr>
            <w:r>
              <w:t>Emendamento</w:t>
            </w:r>
          </w:p>
        </w:tc>
      </w:tr>
      <w:tr w:rsidR="00A513CD" w:rsidTr="00DA0486">
        <w:trPr>
          <w:jc w:val="center"/>
        </w:trPr>
        <w:tc>
          <w:tcPr>
            <w:tcW w:w="4876" w:type="dxa"/>
            <w:tcBorders>
              <w:top w:val="nil"/>
              <w:left w:val="nil"/>
              <w:bottom w:val="nil"/>
              <w:right w:val="nil"/>
            </w:tcBorders>
          </w:tcPr>
          <w:p w:rsidR="007867E9" w:rsidRPr="0074344C" w:rsidRDefault="00AE1FF0" w:rsidP="00DA0486">
            <w:pPr>
              <w:pStyle w:val="Normal6a"/>
            </w:pPr>
            <w:r>
              <w:t>K.</w:t>
            </w:r>
            <w:r>
              <w:tab/>
              <w:t>considerando che l'importanza della trasparenza negli scambi e negli investimenti internazionali apporta benefici a tutti i portatori di interessi e le parti interessate; che un contesto commerciale prevedibile che promuova gli scambi e gli</w:t>
            </w:r>
            <w:r>
              <w:t xml:space="preserve"> investimenti tra l'UE e il Regno Unito </w:t>
            </w:r>
            <w:r>
              <w:rPr>
                <w:b/>
                <w:i/>
              </w:rPr>
              <w:t>è accolto con favore</w:t>
            </w:r>
            <w:r>
              <w:t>;</w:t>
            </w:r>
          </w:p>
        </w:tc>
        <w:tc>
          <w:tcPr>
            <w:tcW w:w="4876" w:type="dxa"/>
            <w:tcBorders>
              <w:top w:val="nil"/>
              <w:left w:val="nil"/>
              <w:bottom w:val="nil"/>
              <w:right w:val="nil"/>
            </w:tcBorders>
          </w:tcPr>
          <w:p w:rsidR="007867E9" w:rsidRPr="0074344C" w:rsidRDefault="00AE1FF0" w:rsidP="00DA0486">
            <w:pPr>
              <w:pStyle w:val="Normal6a"/>
            </w:pPr>
            <w:r>
              <w:t>K.</w:t>
            </w:r>
            <w:r>
              <w:tab/>
              <w:t xml:space="preserve">considerando che l'importanza della trasparenza negli scambi e negli investimenti internazionali apporta benefici a tutti i portatori di interessi e le parti interessate; che </w:t>
            </w:r>
            <w:r>
              <w:rPr>
                <w:b/>
                <w:i/>
              </w:rPr>
              <w:t xml:space="preserve">è cruciale </w:t>
            </w:r>
            <w:r>
              <w:t>un co</w:t>
            </w:r>
            <w:r>
              <w:t xml:space="preserve">ntesto commerciale prevedibile che promuova gli scambi e gli investimenti tra l'UE e il Regno Unito </w:t>
            </w:r>
            <w:r>
              <w:rPr>
                <w:b/>
                <w:i/>
              </w:rPr>
              <w:t>e sia propizio alla crescita e all'occupazione</w:t>
            </w:r>
            <w:r>
              <w:t>;</w:t>
            </w:r>
          </w:p>
        </w:tc>
      </w:tr>
    </w:tbl>
    <w:p w:rsidR="007867E9" w:rsidRPr="0074344C" w:rsidRDefault="00AE1FF0" w:rsidP="007867E9">
      <w:r w:rsidRPr="00AE1FF0">
        <w:rPr>
          <w:rStyle w:val="HideTWBExt"/>
        </w:rPr>
        <w:t>&lt;/Amend&gt;</w:t>
      </w:r>
    </w:p>
    <w:p w:rsidR="007867E9" w:rsidRPr="0074344C" w:rsidRDefault="00AE1FF0" w:rsidP="007867E9">
      <w:pPr>
        <w:pStyle w:val="AmNumberTabs"/>
      </w:pPr>
      <w:r w:rsidRPr="00AE1FF0">
        <w:rPr>
          <w:rStyle w:val="HideTWBExt"/>
          <w:b w:val="0"/>
        </w:rPr>
        <w:t>&lt;Amend&gt;</w:t>
      </w:r>
      <w:r>
        <w:t>Emendamento</w:t>
      </w:r>
      <w:r>
        <w:tab/>
      </w:r>
      <w:r>
        <w:tab/>
      </w:r>
      <w:r w:rsidRPr="00AE1FF0">
        <w:rPr>
          <w:rStyle w:val="HideTWBExt"/>
          <w:b w:val="0"/>
        </w:rPr>
        <w:t>&lt;NumAm&gt;</w:t>
      </w:r>
      <w:r>
        <w:t>7</w:t>
      </w:r>
      <w:r w:rsidRPr="00AE1FF0">
        <w:rPr>
          <w:rStyle w:val="HideTWBExt"/>
          <w:b w:val="0"/>
        </w:rPr>
        <w:t>&lt;/NumAm&gt;</w:t>
      </w:r>
    </w:p>
    <w:p w:rsidR="007867E9" w:rsidRPr="0074344C" w:rsidRDefault="00AE1FF0" w:rsidP="007867E9">
      <w:pPr>
        <w:pStyle w:val="NormalBold12b"/>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N</w:t>
      </w:r>
      <w:r w:rsidRPr="00AE1F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13CD" w:rsidTr="00DA0486">
        <w:trPr>
          <w:trHeight w:hRule="exact" w:val="240"/>
          <w:jc w:val="center"/>
        </w:trPr>
        <w:tc>
          <w:tcPr>
            <w:tcW w:w="9752" w:type="dxa"/>
            <w:gridSpan w:val="2"/>
            <w:tcBorders>
              <w:top w:val="nil"/>
              <w:left w:val="nil"/>
              <w:bottom w:val="nil"/>
              <w:right w:val="nil"/>
            </w:tcBorders>
          </w:tcPr>
          <w:p w:rsidR="007867E9" w:rsidRPr="0074344C" w:rsidRDefault="007867E9" w:rsidP="00DA0486"/>
        </w:tc>
      </w:tr>
      <w:tr w:rsidR="00A513CD" w:rsidTr="00DA0486">
        <w:trPr>
          <w:trHeight w:val="240"/>
          <w:jc w:val="center"/>
        </w:trPr>
        <w:tc>
          <w:tcPr>
            <w:tcW w:w="4876" w:type="dxa"/>
            <w:tcBorders>
              <w:top w:val="nil"/>
              <w:left w:val="nil"/>
              <w:bottom w:val="nil"/>
              <w:right w:val="nil"/>
            </w:tcBorders>
          </w:tcPr>
          <w:p w:rsidR="007867E9" w:rsidRPr="0074344C" w:rsidRDefault="00AE1FF0" w:rsidP="00DA0486">
            <w:pPr>
              <w:pStyle w:val="AmColumnHeading"/>
            </w:pPr>
            <w:r>
              <w:t>Proposta di risoluzione</w:t>
            </w:r>
          </w:p>
        </w:tc>
        <w:tc>
          <w:tcPr>
            <w:tcW w:w="4876" w:type="dxa"/>
            <w:tcBorders>
              <w:top w:val="nil"/>
              <w:left w:val="nil"/>
              <w:bottom w:val="nil"/>
              <w:right w:val="nil"/>
            </w:tcBorders>
          </w:tcPr>
          <w:p w:rsidR="007867E9" w:rsidRPr="0074344C" w:rsidRDefault="00AE1FF0" w:rsidP="00DA0486">
            <w:pPr>
              <w:pStyle w:val="AmColumnHeading"/>
            </w:pPr>
            <w:r>
              <w:t>Emendamento</w:t>
            </w:r>
          </w:p>
        </w:tc>
      </w:tr>
      <w:tr w:rsidR="00A513CD" w:rsidTr="00DA0486">
        <w:trPr>
          <w:jc w:val="center"/>
        </w:trPr>
        <w:tc>
          <w:tcPr>
            <w:tcW w:w="4876" w:type="dxa"/>
            <w:tcBorders>
              <w:top w:val="nil"/>
              <w:left w:val="nil"/>
              <w:bottom w:val="nil"/>
              <w:right w:val="nil"/>
            </w:tcBorders>
          </w:tcPr>
          <w:p w:rsidR="007867E9" w:rsidRPr="0074344C" w:rsidRDefault="00AE1FF0" w:rsidP="00DA0486">
            <w:pPr>
              <w:pStyle w:val="Normal6a"/>
            </w:pPr>
            <w:r>
              <w:t>N.</w:t>
            </w:r>
            <w:r>
              <w:tab/>
              <w:t xml:space="preserve">considerando che il Regno Unito applica il suo sistema di sponsorizzazione per i visti di lavoro ai prestatori di servizi dell'UE e che, di conseguenza, un datore di lavoro del Regno Unito </w:t>
            </w:r>
            <w:r>
              <w:t xml:space="preserve">che desidera assumere un lavoratore dell'UE deve ottenere una licenza dal ministero dell'Interno del Regno Unito e poi fornire un certificato di sponsorizzazione al lavoratore dell'UE, nonché pagare delle tasse affinché tale lavoratore possa richiedere un </w:t>
            </w:r>
            <w:r>
              <w:t>visto (con costi aggiuntivi);</w:t>
            </w:r>
          </w:p>
        </w:tc>
        <w:tc>
          <w:tcPr>
            <w:tcW w:w="4876" w:type="dxa"/>
            <w:tcBorders>
              <w:top w:val="nil"/>
              <w:left w:val="nil"/>
              <w:bottom w:val="nil"/>
              <w:right w:val="nil"/>
            </w:tcBorders>
          </w:tcPr>
          <w:p w:rsidR="007867E9" w:rsidRPr="0074344C" w:rsidRDefault="00AE1FF0" w:rsidP="00DA0486">
            <w:pPr>
              <w:pStyle w:val="Normal6a"/>
            </w:pPr>
            <w:r>
              <w:t>N.</w:t>
            </w:r>
            <w:r>
              <w:tab/>
              <w:t>considerando che il Regno Unito applica il suo sistema di sponsorizzazione per i visti di lavoro ai prestatori di servizi dell'UE e che, di conseguenza, un datore di lavoro del Regno Unito che desidera assumere un lavorator</w:t>
            </w:r>
            <w:r>
              <w:t>e dell'UE deve ottenere una licenza dal ministero dell'Interno del Regno Unito e poi fornire un certificato di sponsorizzazione al lavoratore dell'UE, nonché pagare delle tasse affinché tale lavoratore possa richiedere un visto (con costi aggiuntivi</w:t>
            </w:r>
            <w:r>
              <w:rPr>
                <w:b/>
                <w:i/>
              </w:rPr>
              <w:t xml:space="preserve"> pure a</w:t>
            </w:r>
            <w:r>
              <w:rPr>
                <w:b/>
                <w:i/>
              </w:rPr>
              <w:t xml:space="preserve"> suo carico</w:t>
            </w:r>
            <w:r>
              <w:t>);</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8</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R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R bis.</w:t>
            </w:r>
            <w:r>
              <w:tab/>
            </w:r>
            <w:r>
              <w:rPr>
                <w:b/>
                <w:i/>
              </w:rPr>
              <w:t xml:space="preserve">considerando che l'accordo sugli scambi commerciali e la </w:t>
            </w:r>
            <w:r>
              <w:rPr>
                <w:b/>
                <w:i/>
              </w:rPr>
              <w:t>cooperazione prevede il coordinamento della sicurezza sociale per tutelare i diritti di sicurezza sociale delle persone che circolano tra l'UE e il Regno Unito dopo il 1° gennaio 2021; che esso prevede altresì parità di condizioni per garantire una concorr</w:t>
            </w:r>
            <w:r>
              <w:rPr>
                <w:b/>
                <w:i/>
              </w:rPr>
              <w:t>enza leale mantenendo elevati livelli di protezione in una serie di ambiti, compresi i diritti sociali e del lavoro, con meccanismi vincolanti di esecuzione e risoluzione delle controversie per garantire il rispetto delle norme;</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9</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R 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R ter.</w:t>
            </w:r>
            <w:r>
              <w:tab/>
            </w:r>
            <w:r>
              <w:rPr>
                <w:b/>
                <w:i/>
              </w:rPr>
              <w:t xml:space="preserve">considerando che i diritti fondamentali di organizzazione, negoziazione collettiva e </w:t>
            </w:r>
            <w:r>
              <w:rPr>
                <w:b/>
                <w:i/>
              </w:rPr>
              <w:t>azione collettiva sono sanciti dal diritto internazionale e sono imprescindibili per garantire lo sviluppo sostenibile e la parità di condizioni, come stabilito nell'accordo sugli scambi commerciali e la cooperazione;</w:t>
            </w:r>
          </w:p>
        </w:tc>
      </w:tr>
    </w:tbl>
    <w:p w:rsidR="007867E9" w:rsidRPr="0074344C" w:rsidRDefault="00AE1FF0" w:rsidP="007867E9">
      <w:r w:rsidRPr="00AE1FF0">
        <w:rPr>
          <w:rStyle w:val="HideTWBExt"/>
        </w:rPr>
        <w:t>&lt;/Amend&gt;</w:t>
      </w:r>
    </w:p>
    <w:p w:rsidR="007867E9" w:rsidRPr="0074344C" w:rsidRDefault="00AE1FF0" w:rsidP="007867E9">
      <w:pPr>
        <w:pStyle w:val="AMNumberTabs0"/>
        <w:keepNext/>
      </w:pPr>
      <w:r w:rsidRPr="00AE1FF0">
        <w:rPr>
          <w:rStyle w:val="HideTWBExt"/>
          <w:b w:val="0"/>
        </w:rPr>
        <w:t>&lt;Amend&gt;</w:t>
      </w:r>
      <w:r>
        <w:t>Emendamento</w:t>
      </w:r>
      <w:r>
        <w:tab/>
      </w:r>
      <w:r>
        <w:tab/>
      </w:r>
      <w:r w:rsidRPr="00AE1FF0">
        <w:rPr>
          <w:rStyle w:val="HideTWBExt"/>
          <w:b w:val="0"/>
        </w:rPr>
        <w:t>&lt;NumAm&gt;</w:t>
      </w:r>
      <w:r>
        <w:t>1</w:t>
      </w:r>
      <w:r>
        <w:t>0</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R quater (nuovo)</w:t>
      </w:r>
      <w:r w:rsidRPr="00AE1F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hideMark/>
          </w:tcPr>
          <w:p w:rsidR="007867E9" w:rsidRPr="0074344C" w:rsidRDefault="00AE1FF0" w:rsidP="00DA0486">
            <w:pPr>
              <w:pStyle w:val="ColumnHeading"/>
              <w:keepNext/>
            </w:pPr>
            <w:r>
              <w:t>Proposta di risoluzione</w:t>
            </w:r>
          </w:p>
        </w:tc>
        <w:tc>
          <w:tcPr>
            <w:tcW w:w="4876" w:type="dxa"/>
            <w:hideMark/>
          </w:tcPr>
          <w:p w:rsidR="007867E9" w:rsidRPr="0074344C" w:rsidRDefault="00AE1FF0" w:rsidP="00DA0486">
            <w:pPr>
              <w:pStyle w:val="ColumnHeading"/>
              <w:keepNext/>
            </w:pPr>
            <w:r>
              <w:t>Emendamento</w:t>
            </w:r>
          </w:p>
        </w:tc>
      </w:tr>
      <w:tr w:rsidR="00A513CD" w:rsidTr="00DA0486">
        <w:trPr>
          <w:jc w:val="center"/>
        </w:trPr>
        <w:tc>
          <w:tcPr>
            <w:tcW w:w="4876" w:type="dxa"/>
          </w:tcPr>
          <w:p w:rsidR="007867E9" w:rsidRPr="0074344C" w:rsidRDefault="007867E9" w:rsidP="00DA0486">
            <w:pPr>
              <w:pStyle w:val="Normal6"/>
              <w:rPr>
                <w:lang w:val="en-GB"/>
              </w:rPr>
            </w:pPr>
          </w:p>
        </w:tc>
        <w:tc>
          <w:tcPr>
            <w:tcW w:w="4876" w:type="dxa"/>
            <w:hideMark/>
          </w:tcPr>
          <w:p w:rsidR="007867E9" w:rsidRPr="0074344C" w:rsidRDefault="00AE1FF0" w:rsidP="00DA0486">
            <w:pPr>
              <w:pStyle w:val="Normal6"/>
              <w:rPr>
                <w:szCs w:val="24"/>
              </w:rPr>
            </w:pPr>
            <w:r>
              <w:rPr>
                <w:b/>
                <w:i/>
              </w:rPr>
              <w:t>R quater.</w:t>
            </w:r>
            <w:r>
              <w:rPr>
                <w:b/>
                <w:i/>
              </w:rPr>
              <w:tab/>
              <w:t xml:space="preserve">considerando che la legge del Regno Unito sul diritto dell'UE conservato (revoca e riforma) del 2023 </w:t>
            </w:r>
            <w:r>
              <w:rPr>
                <w:b/>
                <w:i/>
              </w:rPr>
              <w:t>ha ricevuto la regia sanzione il 29 giugno 2023; che tale legge disponeva la revoca entro la fine del 2023 di alcune normative dell'UE conservate e la rimozione dello status speciale di cui godeva l'intero diritto dell'UE conservato nell'ordinamento giurid</w:t>
            </w:r>
            <w:r>
              <w:rPr>
                <w:b/>
                <w:i/>
              </w:rPr>
              <w:t>ico del Regno Unito; che la medesima legge delegava alle autorità britanniche poteri sostanziali per revocare, emendare o modificare le normative dell'UE conservate;</w:t>
            </w:r>
          </w:p>
        </w:tc>
      </w:tr>
    </w:tbl>
    <w:p w:rsidR="007867E9" w:rsidRPr="0074344C" w:rsidRDefault="00AE1FF0" w:rsidP="007867E9">
      <w:pPr>
        <w:rPr>
          <w:szCs w:val="24"/>
        </w:rPr>
      </w:pPr>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11</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Considerando R quinquies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widowControl/>
              <w:rPr>
                <w:szCs w:val="24"/>
              </w:rPr>
            </w:pPr>
            <w:r>
              <w:rPr>
                <w:b/>
                <w:i/>
              </w:rPr>
              <w:t>R quinquies.</w:t>
            </w:r>
            <w:r>
              <w:tab/>
            </w:r>
            <w:r>
              <w:rPr>
                <w:b/>
                <w:i/>
              </w:rPr>
              <w:t xml:space="preserve">considerando che la libera circolazione dei lavoratori costituisce un diritto fondamentale nell'UE; che l'UE e il Regno Unito vantano una lunga </w:t>
            </w:r>
            <w:r>
              <w:rPr>
                <w:b/>
                <w:i/>
              </w:rPr>
              <w:t>tradizione in materia di mobilità dei lavoratori e degli studenti dell'istruzione e della formazione professionale; che Erasmus+ è da tempo uno strumento importante a tale riguardo; che è accolto con favore l'accordo tra l'UE e il Regno Unito volto a promu</w:t>
            </w:r>
            <w:r>
              <w:rPr>
                <w:b/>
                <w:i/>
              </w:rPr>
              <w:t>overe l'associazione del Regno Unito al programma Erasmus+ per ampliare le opportunità formative, professionali e culturali dei giovani; che migliorare la mobilità dei lavoratori tra l'UE e il Regno Unito potrebbe contribuire a risolvere la carenza di mano</w:t>
            </w:r>
            <w:r>
              <w:rPr>
                <w:b/>
                <w:i/>
              </w:rPr>
              <w:t>dopera; che vi è necessità di un accordo globale sulla mobilità UE-Regno Unito che garantisca la tutela dei diritti dei lavoratori e la loro circolazione transfrontaliera;</w:t>
            </w:r>
          </w:p>
        </w:tc>
      </w:tr>
    </w:tbl>
    <w:p w:rsidR="007867E9" w:rsidRPr="0074344C" w:rsidRDefault="00AE1FF0" w:rsidP="007867E9">
      <w:r w:rsidRPr="00AE1FF0">
        <w:rPr>
          <w:rStyle w:val="HideTWBExt"/>
        </w:rPr>
        <w:t>&lt;/Amend&gt;</w:t>
      </w:r>
    </w:p>
    <w:p w:rsidR="007867E9" w:rsidRPr="0074344C" w:rsidRDefault="00AE1FF0" w:rsidP="007867E9">
      <w:pPr>
        <w:pStyle w:val="AMNumberTabs0"/>
        <w:keepNext/>
      </w:pPr>
      <w:r w:rsidRPr="00AE1FF0">
        <w:rPr>
          <w:rStyle w:val="HideTWBExt"/>
          <w:b w:val="0"/>
        </w:rPr>
        <w:t>&lt;Amend&gt;</w:t>
      </w:r>
      <w:r>
        <w:t>Emendamento</w:t>
      </w:r>
      <w:r>
        <w:tab/>
      </w:r>
      <w:r>
        <w:tab/>
      </w:r>
      <w:r w:rsidRPr="00AE1FF0">
        <w:rPr>
          <w:rStyle w:val="HideTWBExt"/>
          <w:b w:val="0"/>
        </w:rPr>
        <w:t>&lt;NumAm&gt;</w:t>
      </w:r>
      <w:r>
        <w:t>12</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7</w:t>
      </w:r>
      <w:r w:rsidRPr="00AE1F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hideMark/>
          </w:tcPr>
          <w:p w:rsidR="007867E9" w:rsidRPr="0074344C" w:rsidRDefault="00AE1FF0" w:rsidP="00DA0486">
            <w:pPr>
              <w:pStyle w:val="ColumnHeading"/>
              <w:keepNext/>
            </w:pPr>
            <w:r>
              <w:t>Proposta di risoluzione</w:t>
            </w:r>
          </w:p>
        </w:tc>
        <w:tc>
          <w:tcPr>
            <w:tcW w:w="4876" w:type="dxa"/>
            <w:hideMark/>
          </w:tcPr>
          <w:p w:rsidR="007867E9" w:rsidRPr="0074344C" w:rsidRDefault="00AE1FF0" w:rsidP="00DA0486">
            <w:pPr>
              <w:pStyle w:val="ColumnHeading"/>
              <w:keepNext/>
            </w:pPr>
            <w:r>
              <w:t>Emendamento</w:t>
            </w:r>
          </w:p>
        </w:tc>
      </w:tr>
      <w:tr w:rsidR="00A513CD" w:rsidTr="00DA0486">
        <w:trPr>
          <w:jc w:val="center"/>
        </w:trPr>
        <w:tc>
          <w:tcPr>
            <w:tcW w:w="4876" w:type="dxa"/>
            <w:hideMark/>
          </w:tcPr>
          <w:p w:rsidR="007867E9" w:rsidRPr="0074344C" w:rsidRDefault="00AE1FF0" w:rsidP="00DA0486">
            <w:pPr>
              <w:pStyle w:val="Normal6"/>
            </w:pPr>
            <w:r>
              <w:t>7.</w:t>
            </w:r>
            <w:r>
              <w:tab/>
              <w:t>sottolinea la situazione specifica dell'Irlanda del Nord, data la sua posizione unica con accesso ai mercati interni sia dell'UE che del Regno Unito, a seguito del protoco</w:t>
            </w:r>
            <w:r>
              <w:t>llo su Irlanda/Irlanda del Nord, concluso al fine di salvaguardare l'accordo del Venerdì santo nonostante il recesso del Regno Unito dall'UE; chiede l'attuazione piena, tempestiva e fedele di tutti gli elementi del quadro di Windsor al fine di garantire be</w:t>
            </w:r>
            <w:r>
              <w:t>nefici duraturi nonché certezza e prevedibilità per le imprese e i cittadini dell'Irlanda del Nord, tutelare l'economia di tutte le isole, salvaguardare l'accordo del Venerdì santo in tutte le sue dimensioni e garantire scambi e cooperazione agevoli, nonch</w:t>
            </w:r>
            <w:r>
              <w:t>é proteggere l'integrità del mercato unico e dell'unione doganale; ricorda che l'UE ha reagito rapidamente per attuare il quadro di Windsor e che ora si aspetta che il Regno Unito attui prontamente, pienamente e fedelmente la sua parte di tale quadro;</w:t>
            </w:r>
          </w:p>
        </w:tc>
        <w:tc>
          <w:tcPr>
            <w:tcW w:w="4876" w:type="dxa"/>
            <w:hideMark/>
          </w:tcPr>
          <w:p w:rsidR="007867E9" w:rsidRPr="0074344C" w:rsidRDefault="00AE1FF0" w:rsidP="00DA0486">
            <w:pPr>
              <w:pStyle w:val="Normal6"/>
              <w:rPr>
                <w:szCs w:val="24"/>
              </w:rPr>
            </w:pPr>
            <w:r>
              <w:t>7.</w:t>
            </w:r>
            <w:r>
              <w:tab/>
              <w:t>s</w:t>
            </w:r>
            <w:r>
              <w:t>ottolinea la situazione specifica dell'Irlanda del Nord, data la sua posizione unica con accesso ai mercati interni sia dell'UE che del Regno Unito, a seguito del protocollo su Irlanda/Irlanda del Nord, concluso al fine di salvaguardare l'accordo del Vener</w:t>
            </w:r>
            <w:r>
              <w:t>dì santo nonostante il recesso del Regno Unito dall'UE; chiede l'attuazione piena, tempestiva e fedele di tutti gli elementi del quadro di Windsor</w:t>
            </w:r>
            <w:r>
              <w:rPr>
                <w:b/>
                <w:i/>
              </w:rPr>
              <w:t>, adempiendo agli obblighi sanciti dall'articolo 2 di tale quadro per quanto attiene alla necessità di non ind</w:t>
            </w:r>
            <w:r>
              <w:rPr>
                <w:b/>
                <w:i/>
              </w:rPr>
              <w:t>ebolire i diritti, le garanzie e le disposizioni in materia di uguaglianza,</w:t>
            </w:r>
            <w:r>
              <w:t xml:space="preserve"> al fine di garantire benefici duraturi nonché certezza e prevedibilità per le imprese e i cittadini dell'Irlanda del Nord, tutelare l'economia di tutte le isole, salvaguardare l'ac</w:t>
            </w:r>
            <w:r>
              <w:t>cordo del Venerdì santo in tutte le sue dimensioni e garantire scambi e cooperazione agevoli, nonché proteggere l'integrità del mercato unico e dell'unione doganale; ricorda che l'UE ha reagito rapidamente per attuare il quadro di Windsor e che ora si aspe</w:t>
            </w:r>
            <w:r>
              <w:t>tta che il Regno Unito attui prontamente, pienamente e fedelmente la sua parte di tale quadro;</w:t>
            </w:r>
          </w:p>
        </w:tc>
      </w:tr>
    </w:tbl>
    <w:p w:rsidR="007867E9" w:rsidRPr="0074344C" w:rsidRDefault="00AE1FF0" w:rsidP="007867E9">
      <w:pPr>
        <w:rPr>
          <w:szCs w:val="24"/>
        </w:rPr>
      </w:pPr>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13</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7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rPr>
                <w:lang w:val="fr-FR"/>
              </w:rPr>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7 bis.</w:t>
            </w:r>
            <w:r>
              <w:tab/>
            </w:r>
            <w:r>
              <w:rPr>
                <w:b/>
                <w:i/>
              </w:rPr>
              <w:t>pone in evidenza l'importanza di garantire che non vi siano impedimenti o restrizioni alla facoltà delle persone residenti nell'Irlanda del Nord e in Irlanda di cercare e accettare un impiego oltre confine, in linea con i principi dell</w:t>
            </w:r>
            <w:r>
              <w:rPr>
                <w:b/>
                <w:i/>
              </w:rPr>
              <w:t>'accordo del Venerdì santo; sottolinea l'importanza di proteggere i lavoratori transfrontalieri in tale contesto, compresi i loro diritti sociali e lavorativi;</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14</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13</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rsidR="007867E9" w:rsidRPr="0074344C" w:rsidRDefault="00AE1FF0" w:rsidP="00DA0486">
            <w:pPr>
              <w:pStyle w:val="Normal6a"/>
            </w:pPr>
            <w:r>
              <w:t>13.</w:t>
            </w:r>
            <w:r>
              <w:tab/>
              <w:t xml:space="preserve">accoglie con favore l'impegno della società civile nell'attuazione dell'accordo sugli scambi commerciali e la cooperazione; sottolinea la rappresentanza ben equilibrata nel gruppo </w:t>
            </w:r>
            <w:r>
              <w:t>consultivo interno dell'UE e le sue preziose raccomandazioni; invita il Consiglio di partenariato a continuare a prendere in considerazione le diverse opinioni della società civile;</w:t>
            </w:r>
          </w:p>
        </w:tc>
        <w:tc>
          <w:tcPr>
            <w:tcW w:w="4876" w:type="dxa"/>
            <w:tcBorders>
              <w:top w:val="nil"/>
              <w:left w:val="nil"/>
              <w:bottom w:val="nil"/>
              <w:right w:val="nil"/>
            </w:tcBorders>
            <w:hideMark/>
          </w:tcPr>
          <w:p w:rsidR="007867E9" w:rsidRPr="0074344C" w:rsidRDefault="00AE1FF0" w:rsidP="00DA0486">
            <w:pPr>
              <w:pStyle w:val="Normal6a"/>
            </w:pPr>
            <w:r>
              <w:t>13.</w:t>
            </w:r>
            <w:r>
              <w:tab/>
              <w:t>accoglie con favore l'impegno della società civile nell'attuazione del</w:t>
            </w:r>
            <w:r>
              <w:t>l'accordo sugli scambi commerciali e la cooperazione</w:t>
            </w:r>
            <w:r>
              <w:rPr>
                <w:b/>
                <w:i/>
              </w:rPr>
              <w:t>, tra cui le organizzazioni datoriali e sindacali, nonché le organizzazioni non governative</w:t>
            </w:r>
            <w:r>
              <w:t>; sottolinea la rappresentanza ben equilibrata nel gruppo consultivo interno dell'UE e le sue preziose raccomanda</w:t>
            </w:r>
            <w:r>
              <w:t>zioni</w:t>
            </w:r>
            <w:r>
              <w:rPr>
                <w:b/>
                <w:i/>
              </w:rPr>
              <w:t>;</w:t>
            </w:r>
            <w:r>
              <w:t xml:space="preserve"> </w:t>
            </w:r>
            <w:r>
              <w:rPr>
                <w:b/>
                <w:i/>
              </w:rPr>
              <w:t>sottolinea l'importanza del forum della società civile a tale proposito</w:t>
            </w:r>
            <w:r>
              <w:t>; invita il Consiglio di partenariato a continuare a prendere in considerazione le diverse opinioni della società civile;</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15</w:t>
      </w:r>
      <w:r w:rsidRPr="00AE1FF0">
        <w:rPr>
          <w:rStyle w:val="HideTWBExt"/>
          <w:b w:val="0"/>
        </w:rPr>
        <w:t>&lt;/NumAm&gt;</w:t>
      </w:r>
    </w:p>
    <w:p w:rsidR="007867E9" w:rsidRPr="0074344C" w:rsidRDefault="00AE1FF0" w:rsidP="007867E9">
      <w:pPr>
        <w:pStyle w:val="NormalBold12b"/>
        <w:keepNext/>
      </w:pPr>
      <w:r w:rsidRPr="00AE1FF0">
        <w:rPr>
          <w:rStyle w:val="HideTWBExt"/>
          <w:b w:val="0"/>
        </w:rPr>
        <w:t>&lt;DocAmen</w:t>
      </w:r>
      <w:r w:rsidRPr="00AE1FF0">
        <w:rPr>
          <w:rStyle w:val="HideTWBExt"/>
          <w:b w:val="0"/>
        </w:rPr>
        <w:t>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20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20 bis.</w:t>
            </w:r>
            <w:r>
              <w:tab/>
            </w:r>
            <w:r>
              <w:rPr>
                <w:b/>
                <w:i/>
              </w:rPr>
              <w:t xml:space="preserve">plaude all'impegno assunto in occasione del vertice UE-Regno Unito del 19 maggio 2025, sostanziatosi nell'intesa comune su </w:t>
            </w:r>
            <w:r>
              <w:rPr>
                <w:b/>
                <w:i/>
              </w:rPr>
              <w:t>un'agenda rinnovata per la cooperazione UE-Regno Unito tra la Commissione e il Regno Unito, di instaurare dialoghi strutturati sull'ingresso e il soggiorno temporaneo di persone fisiche per motivi di lavoro e sul reciproco riconoscimento delle qualifiche p</w:t>
            </w:r>
            <w:r>
              <w:rPr>
                <w:b/>
                <w:i/>
              </w:rPr>
              <w:t>rofessionali nell'ambito dell'accordo sugli scambi commerciali e la cooperazione; sottolinea i continui ostacoli incontrati dai cittadini dell'UE e del Regno Unito nell'accesso alle professioni regolamentate; insiste sulla necessità di procedure di riconos</w:t>
            </w:r>
            <w:r>
              <w:rPr>
                <w:b/>
                <w:i/>
              </w:rPr>
              <w:t>cimento chiare e semplificate e del coinvolgimento degli organismi professionali e delle autorità competenti di entrambe le parti; osserva che, ad oggi, è stata ricevuta una sola raccomandazione per un possibile accordo di riconoscimento reciproco nel quad</w:t>
            </w:r>
            <w:r>
              <w:rPr>
                <w:b/>
                <w:i/>
              </w:rPr>
              <w:t xml:space="preserve">ro dell'accordo sugli scambi commerciali e la cooperazione, e questo in relazione alla professione di architetto; invita la Commissione e il Regno Unito ad accelerare l'attuazione dell'articolo 158 dell'accordo sugli scambi commerciali e la cooperazione e </w:t>
            </w:r>
            <w:r>
              <w:rPr>
                <w:b/>
                <w:i/>
              </w:rPr>
              <w:t>a privilegiare ulteriori settori quali l'assistenza sanitaria, l'ingegneria e i servizi giuridici e finanziari;</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16</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20 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20 ter.</w:t>
            </w:r>
            <w:r>
              <w:tab/>
            </w:r>
            <w:r>
              <w:rPr>
                <w:b/>
                <w:i/>
              </w:rPr>
              <w:t>accoglie con favore la dichiarazione di intenti, a seguito del vertice UE-Regno Unito, di lavorare a un programma equilibrato di esperienze giovanili al fine di facilitare la partecipazione dei giovani dell'Uni</w:t>
            </w:r>
            <w:r>
              <w:rPr>
                <w:b/>
                <w:i/>
              </w:rPr>
              <w:t>one europea e del Regno Unito a diverse attività, quali lavoro, studio, collocamento alla pari, volontariato o semplicemente viaggi, per un periodo di tempo limitato; incoraggia entrambe le parti a procedere rapidamente e in modo ambizioso alla sua concezi</w:t>
            </w:r>
            <w:r>
              <w:rPr>
                <w:b/>
                <w:i/>
              </w:rPr>
              <w:t>one e attuazione, garantendo accesso reciproco, chiarezza giuridica e un'adeguata protezione sociale dei partecipanti; sottolinea la necessità di garantire, se del caso, retribuzioni e condizioni di lavoro dignitose per i partecipanti a qualsiasi futuro pr</w:t>
            </w:r>
            <w:r>
              <w:rPr>
                <w:b/>
                <w:i/>
              </w:rPr>
              <w:t xml:space="preserve">ogramma di esperienza per i giovani; </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17</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20 quater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 xml:space="preserve">20 quater. </w:t>
            </w:r>
            <w:r>
              <w:rPr>
                <w:b/>
                <w:i/>
              </w:rPr>
              <w:tab/>
              <w:t xml:space="preserve">accoglie altresì con favore </w:t>
            </w:r>
            <w:r>
              <w:rPr>
                <w:b/>
                <w:i/>
              </w:rPr>
              <w:t>la dichiarazione di intenti del vertice UE-Regno Unito di lavorare ai fini dell'associazione del Regno Unito al programma Erasmus+ dell'UE; invita la Commissione e il Regno Unito ad accelerare i negoziati a tale riguardo;</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18</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bis.</w:t>
            </w:r>
            <w:r>
              <w:tab/>
            </w:r>
            <w:r>
              <w:rPr>
                <w:b/>
                <w:i/>
              </w:rPr>
              <w:t xml:space="preserve">ricorda che l'accordo sugli scambi commerciali e la cooperazione prevede che il partenariato economico </w:t>
            </w:r>
            <w:r>
              <w:rPr>
                <w:b/>
                <w:i/>
              </w:rPr>
              <w:t>tra le due parti si fondi su condizioni di parità per una concorrenza aperta e leale e che il commercio e gli investimenti avvengano in modo da favorire lo sviluppo sostenibile, compresi lo sviluppo economico e sociale e la tutela dell'ambiente; ricorda ch</w:t>
            </w:r>
            <w:r>
              <w:rPr>
                <w:b/>
                <w:i/>
              </w:rPr>
              <w:t>e la tutela dei diritti dei lavoratori è essenziale in questo contesto, come stabilito, tra l'altro, negli articoli 355, 386, 387, 399 e 524 dell'accordo sugli scambi commerciali e la cooperazione; constata che, a norma dell'articolo 355, entrambe le parti</w:t>
            </w:r>
            <w:r>
              <w:rPr>
                <w:b/>
                <w:i/>
              </w:rPr>
              <w:t xml:space="preserve"> si impegnano a mantenere e migliorare le rispettive norme nei settori contemplati dal titolo XI;</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19</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 xml:space="preserve">Proposta di </w:t>
            </w:r>
            <w:r>
              <w:t>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ter.</w:t>
            </w:r>
            <w:r>
              <w:rPr>
                <w:b/>
                <w:i/>
              </w:rPr>
              <w:tab/>
              <w:t xml:space="preserve">plaude alle proposte contenute nel progetto di legge del governo del Regno Unito sui diritti in materia di lavoro (Employment Rights Bill) 2024-2025 per ampliare i diritti di contrattazione collettiva, assicurare ai </w:t>
            </w:r>
            <w:r>
              <w:rPr>
                <w:b/>
                <w:i/>
              </w:rPr>
              <w:t>lavoratori ore garantite e abrogare la legge sugli scioperi (livelli minimi di servizio) del 2023; accoglie con favore, a tale proposito, il progetto di legge sulla buona occupazione ("Good Jobs" Employment Rights Bill), introdotto dall'amministrazione dec</w:t>
            </w:r>
            <w:r>
              <w:rPr>
                <w:b/>
                <w:i/>
              </w:rPr>
              <w:t>entrata dell'Irlanda del Nord a Belfast, che rispetta pienamente le norme dell'UE;</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20</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quater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w:t>
            </w:r>
            <w:r>
              <w:t>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quater.</w:t>
            </w:r>
            <w:r>
              <w:rPr>
                <w:b/>
                <w:i/>
              </w:rPr>
              <w:tab/>
              <w:t xml:space="preserve">rileva che, per quanto riguarda la legge del Regno Unito sul diritto dell'UE conservato (revoca e riforma) del 2023, nella loro risposta ufficiale alla Commissione e in una serie di riunioni tecniche, le autorità britanniche hanno </w:t>
            </w:r>
            <w:r>
              <w:rPr>
                <w:b/>
                <w:i/>
              </w:rPr>
              <w:t>comunicato alla Commissione che l'obiettivo della legge non è quello di ridurre il grado di tutela in materia, tra l'altro, di lavoro nell'ambito dell'accordo sugli scambi commerciali e la cooperazione; invita tuttavia la Commissione a monitorare da vicino</w:t>
            </w:r>
            <w:r>
              <w:rPr>
                <w:b/>
                <w:i/>
              </w:rPr>
              <w:t xml:space="preserve"> la legge per accertare la conformità alla luce dell'ampia discrezionalità di cui godono le autorità del Regno Unito circa la modifica del diritto dell'UE conservato e del ruolo dei giudici del paese nell'interpretare la normativa dell'UE conservata;</w:t>
            </w:r>
          </w:p>
        </w:tc>
      </w:tr>
    </w:tbl>
    <w:p w:rsidR="007867E9" w:rsidRPr="0074344C" w:rsidRDefault="00AE1FF0" w:rsidP="007867E9">
      <w:r w:rsidRPr="00AE1FF0">
        <w:rPr>
          <w:rStyle w:val="HideTWBExt"/>
        </w:rPr>
        <w:t>&lt;/Am</w:t>
      </w:r>
      <w:r w:rsidRPr="00AE1FF0">
        <w:rPr>
          <w:rStyle w:val="HideTWBExt"/>
        </w:rPr>
        <w:t>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21</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quinquies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quinquies.</w:t>
            </w:r>
            <w:r>
              <w:rPr>
                <w:b/>
                <w:i/>
              </w:rPr>
              <w:tab/>
              <w:t xml:space="preserve">rimarca che nell'ottobre 2024 il governo britannico ha annunciato </w:t>
            </w:r>
            <w:r>
              <w:rPr>
                <w:b/>
                <w:i/>
              </w:rPr>
              <w:t>l'intenzione di istituire una nuova agenzia per il lavoro equo in seno al ministero delle Imprese e del commercio (Department for Business and Trade) al fine di sostituire gli esistenti organismi statali di applicazione per la tutela del lavoro;</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22</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sexies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sexies.</w:t>
            </w:r>
            <w:r>
              <w:rPr>
                <w:b/>
                <w:i/>
              </w:rPr>
              <w:tab/>
              <w:t xml:space="preserve">invita la Commissione e l'Assemblea parlamentare di partenariato UE-Regno </w:t>
            </w:r>
            <w:r>
              <w:rPr>
                <w:b/>
                <w:i/>
              </w:rPr>
              <w:t>Unito a monitorare attentamente la non regressione delle norme sul lavoro e altri sviluppi in materia di diritti dei lavoratori nel Regno Unito e di portare avanti il proprio impegno con il governo del Regno Unito per garantire la piena conformità all'acco</w:t>
            </w:r>
            <w:r>
              <w:rPr>
                <w:b/>
                <w:i/>
              </w:rPr>
              <w:t>rdo commerciale e di cooperazione; invita la Commissione a utilizzare tutti i mezzi disponibili per affrontare eventuali preoccupazioni che potrebbero rendere necessaria l'applicazione del titolo XI, capo 6, dell'accordo sugli scambi commerciali e la coope</w:t>
            </w:r>
            <w:r>
              <w:rPr>
                <w:b/>
                <w:i/>
              </w:rPr>
              <w:t>razione, anche attraverso il dialogo nell'Assemblea parlamentare di partenariato UE-Regno Unito e nei comitati specializzati, la consultazione con il gruppo consultivo interno dell'UE e, se necessario, i meccanismi di risoluzione delle controversie previst</w:t>
            </w:r>
            <w:r>
              <w:rPr>
                <w:b/>
                <w:i/>
              </w:rPr>
              <w:t>i dall'articolo 389;</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23</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septies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septies.</w:t>
            </w:r>
            <w:r>
              <w:rPr>
                <w:b/>
                <w:i/>
              </w:rPr>
              <w:tab/>
              <w:t xml:space="preserve">invita l'Unione europea e il Regno Unito a </w:t>
            </w:r>
            <w:r>
              <w:rPr>
                <w:b/>
                <w:i/>
              </w:rPr>
              <w:t>esaminare la possibilità di ulteriore cooperazione e scambio di prassi eccellenti nei settori dell'occupazione e della protezione sociale; riconosce le possibilità di collaborazione reciproca per migliorare l'attuazione e l'applicazione delle politiche del</w:t>
            </w:r>
            <w:r>
              <w:rPr>
                <w:b/>
                <w:i/>
              </w:rPr>
              <w:t xml:space="preserve"> lavoro, garantendo una concorrenza leale, una crescita sostenibile per le imprese e condizioni di lavoro eque per i lavoratori sia nell'UE che nel Regno Unito; ricorda che le parti sociali svolgono un ruolo effettivo sia ai fini del monitoraggio che dell'</w:t>
            </w:r>
            <w:r>
              <w:rPr>
                <w:b/>
                <w:i/>
              </w:rPr>
              <w:t>applicazione dell'accordo sugli scambi commerciali e la cooperazione, anche grazie alla facoltà di presentare reclami ufficiali;</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24</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21 octies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21 octies.</w:t>
            </w:r>
            <w:r>
              <w:rPr>
                <w:b/>
                <w:i/>
              </w:rPr>
              <w:tab/>
              <w:t>accoglie con favore l'accordo politico raggiunto nel giugno 2025 tra l'UE e il Regno Unito sugli aspetti chiave di un futuro accordo UE-Regno Unito su Gibilterra, con l'obiettivo di eliminare tu</w:t>
            </w:r>
            <w:r>
              <w:rPr>
                <w:b/>
                <w:i/>
              </w:rPr>
              <w:t xml:space="preserve">tte le barriere fisiche, i controlli e gli accertamenti per le persone e le merci tra la Spagna e Gibilterra, preservando nel contempo lo spazio Schengen, il mercato interno dell'UE e l'unione doganale; accoglie con favore, in particolare, l'intenzione di </w:t>
            </w:r>
            <w:r>
              <w:rPr>
                <w:b/>
                <w:i/>
              </w:rPr>
              <w:t>garantire condizioni di parità nel settore del lavoro;</w:t>
            </w:r>
          </w:p>
        </w:tc>
      </w:tr>
    </w:tbl>
    <w:p w:rsidR="007867E9" w:rsidRPr="0074344C" w:rsidRDefault="00AE1FF0" w:rsidP="007867E9">
      <w:r w:rsidRPr="00AE1FF0">
        <w:rPr>
          <w:rStyle w:val="HideTWBExt"/>
        </w:rPr>
        <w:t>&lt;/Amend&gt;</w:t>
      </w:r>
    </w:p>
    <w:p w:rsidR="007867E9" w:rsidRPr="0074344C" w:rsidRDefault="00AE1FF0" w:rsidP="007867E9">
      <w:pPr>
        <w:pStyle w:val="AmNumberTabs"/>
      </w:pPr>
      <w:r w:rsidRPr="00AE1FF0">
        <w:rPr>
          <w:rStyle w:val="HideTWBExt"/>
          <w:b w:val="0"/>
        </w:rPr>
        <w:t>&lt;Amend&gt;</w:t>
      </w:r>
      <w:r>
        <w:t>Emendamento</w:t>
      </w:r>
      <w:r>
        <w:tab/>
      </w:r>
      <w:r>
        <w:tab/>
      </w:r>
      <w:r w:rsidRPr="00AE1FF0">
        <w:rPr>
          <w:rStyle w:val="HideTWBExt"/>
          <w:b w:val="0"/>
        </w:rPr>
        <w:t>&lt;NumAm&gt;</w:t>
      </w:r>
      <w:r>
        <w:t>25</w:t>
      </w:r>
      <w:r w:rsidRPr="00AE1FF0">
        <w:rPr>
          <w:rStyle w:val="HideTWBExt"/>
          <w:b w:val="0"/>
        </w:rPr>
        <w:t>&lt;/NumAm&gt;</w:t>
      </w:r>
    </w:p>
    <w:p w:rsidR="007867E9" w:rsidRPr="0074344C" w:rsidRDefault="00AE1FF0" w:rsidP="007867E9">
      <w:pPr>
        <w:pStyle w:val="NormalBold12b"/>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22 bis (nuovo)</w:t>
      </w:r>
      <w:r w:rsidRPr="00AE1F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13CD" w:rsidTr="00DA0486">
        <w:trPr>
          <w:trHeight w:hRule="exact" w:val="240"/>
          <w:jc w:val="center"/>
        </w:trPr>
        <w:tc>
          <w:tcPr>
            <w:tcW w:w="9752" w:type="dxa"/>
            <w:gridSpan w:val="2"/>
            <w:tcBorders>
              <w:top w:val="nil"/>
              <w:left w:val="nil"/>
              <w:bottom w:val="nil"/>
              <w:right w:val="nil"/>
            </w:tcBorders>
          </w:tcPr>
          <w:p w:rsidR="007867E9" w:rsidRPr="0074344C" w:rsidRDefault="007867E9" w:rsidP="00DA0486"/>
        </w:tc>
      </w:tr>
      <w:tr w:rsidR="00A513CD" w:rsidTr="00DA0486">
        <w:trPr>
          <w:trHeight w:val="240"/>
          <w:jc w:val="center"/>
        </w:trPr>
        <w:tc>
          <w:tcPr>
            <w:tcW w:w="4876" w:type="dxa"/>
            <w:tcBorders>
              <w:top w:val="nil"/>
              <w:left w:val="nil"/>
              <w:bottom w:val="nil"/>
              <w:right w:val="nil"/>
            </w:tcBorders>
          </w:tcPr>
          <w:p w:rsidR="007867E9" w:rsidRPr="0074344C" w:rsidRDefault="00AE1FF0" w:rsidP="00DA0486">
            <w:pPr>
              <w:pStyle w:val="AmColumnHeading"/>
            </w:pPr>
            <w:r>
              <w:t>Proposta di risoluzione</w:t>
            </w:r>
          </w:p>
        </w:tc>
        <w:tc>
          <w:tcPr>
            <w:tcW w:w="4876" w:type="dxa"/>
            <w:tcBorders>
              <w:top w:val="nil"/>
              <w:left w:val="nil"/>
              <w:bottom w:val="nil"/>
              <w:right w:val="nil"/>
            </w:tcBorders>
          </w:tcPr>
          <w:p w:rsidR="007867E9" w:rsidRPr="0074344C" w:rsidRDefault="00AE1FF0" w:rsidP="00DA0486">
            <w:pPr>
              <w:pStyle w:val="AmColumnHeading"/>
            </w:pPr>
            <w:r>
              <w:t>Emendamento</w:t>
            </w:r>
          </w:p>
        </w:tc>
      </w:tr>
      <w:tr w:rsidR="00A513CD" w:rsidTr="00DA0486">
        <w:trPr>
          <w:jc w:val="center"/>
        </w:trPr>
        <w:tc>
          <w:tcPr>
            <w:tcW w:w="4876" w:type="dxa"/>
            <w:tcBorders>
              <w:top w:val="nil"/>
              <w:left w:val="nil"/>
              <w:bottom w:val="nil"/>
              <w:right w:val="nil"/>
            </w:tcBorders>
          </w:tcPr>
          <w:p w:rsidR="007867E9" w:rsidRPr="0074344C" w:rsidRDefault="007867E9" w:rsidP="00DA0486">
            <w:pPr>
              <w:pStyle w:val="Normal6a"/>
            </w:pPr>
          </w:p>
        </w:tc>
        <w:tc>
          <w:tcPr>
            <w:tcW w:w="4876" w:type="dxa"/>
            <w:tcBorders>
              <w:top w:val="nil"/>
              <w:left w:val="nil"/>
              <w:bottom w:val="nil"/>
              <w:right w:val="nil"/>
            </w:tcBorders>
          </w:tcPr>
          <w:p w:rsidR="007867E9" w:rsidRPr="0074344C" w:rsidRDefault="00AE1FF0" w:rsidP="00DA0486">
            <w:pPr>
              <w:pStyle w:val="Normal6a"/>
            </w:pPr>
            <w:r>
              <w:rPr>
                <w:b/>
                <w:i/>
              </w:rPr>
              <w:t>22 bis</w:t>
            </w:r>
            <w:r>
              <w:tab/>
            </w:r>
            <w:r>
              <w:rPr>
                <w:b/>
                <w:i/>
              </w:rPr>
              <w:t xml:space="preserve">plaude alla </w:t>
            </w:r>
            <w:r>
              <w:rPr>
                <w:b/>
                <w:i/>
              </w:rPr>
              <w:t>cooperazione in corso tra l'UE e il Regno Unito in seno all'OIL, soprattutto per quanto riguarda lo sviluppo di un nuovo strumento per disciplinare il lavoro tramite piattaforme digitali;</w:t>
            </w:r>
          </w:p>
        </w:tc>
      </w:tr>
    </w:tbl>
    <w:p w:rsidR="007867E9" w:rsidRPr="0074344C" w:rsidRDefault="00AE1FF0" w:rsidP="007867E9">
      <w:r w:rsidRPr="00AE1FF0">
        <w:rPr>
          <w:rStyle w:val="HideTWBExt"/>
        </w:rPr>
        <w:t>&lt;/Amend&gt;</w:t>
      </w:r>
    </w:p>
    <w:p w:rsidR="007867E9" w:rsidRPr="0074344C" w:rsidRDefault="00AE1FF0" w:rsidP="007867E9">
      <w:pPr>
        <w:pStyle w:val="AMNumberTabs0"/>
        <w:keepNext/>
      </w:pPr>
      <w:r w:rsidRPr="00AE1FF0">
        <w:rPr>
          <w:rStyle w:val="HideTWBExt"/>
          <w:b w:val="0"/>
        </w:rPr>
        <w:t>&lt;Amend&gt;</w:t>
      </w:r>
      <w:r>
        <w:t>Emendamento</w:t>
      </w:r>
      <w:r>
        <w:tab/>
      </w:r>
      <w:r>
        <w:tab/>
      </w:r>
      <w:r w:rsidRPr="00AE1FF0">
        <w:rPr>
          <w:rStyle w:val="HideTWBExt"/>
          <w:b w:val="0"/>
        </w:rPr>
        <w:t>&lt;NumAm&gt;</w:t>
      </w:r>
      <w:r>
        <w:t>26</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w:t>
      </w:r>
      <w:r>
        <w:t>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29 bis (nuovo)</w:t>
      </w:r>
      <w:r w:rsidRPr="00AE1F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hideMark/>
          </w:tcPr>
          <w:p w:rsidR="007867E9" w:rsidRPr="0074344C" w:rsidRDefault="00AE1FF0" w:rsidP="00DA0486">
            <w:pPr>
              <w:pStyle w:val="ColumnHeading"/>
              <w:keepNext/>
            </w:pPr>
            <w:r>
              <w:t>Proposta di risoluzione</w:t>
            </w:r>
          </w:p>
        </w:tc>
        <w:tc>
          <w:tcPr>
            <w:tcW w:w="4876" w:type="dxa"/>
            <w:hideMark/>
          </w:tcPr>
          <w:p w:rsidR="007867E9" w:rsidRPr="0074344C" w:rsidRDefault="00AE1FF0" w:rsidP="00DA0486">
            <w:pPr>
              <w:pStyle w:val="ColumnHeading"/>
              <w:keepNext/>
            </w:pPr>
            <w:r>
              <w:t>Emendamento</w:t>
            </w:r>
          </w:p>
        </w:tc>
      </w:tr>
      <w:tr w:rsidR="00A513CD" w:rsidTr="00DA0486">
        <w:trPr>
          <w:jc w:val="center"/>
        </w:trPr>
        <w:tc>
          <w:tcPr>
            <w:tcW w:w="4876" w:type="dxa"/>
          </w:tcPr>
          <w:p w:rsidR="007867E9" w:rsidRPr="0074344C" w:rsidRDefault="007867E9" w:rsidP="00DA0486">
            <w:pPr>
              <w:pStyle w:val="Normal6"/>
              <w:rPr>
                <w:lang w:val="en-GB"/>
              </w:rPr>
            </w:pPr>
          </w:p>
        </w:tc>
        <w:tc>
          <w:tcPr>
            <w:tcW w:w="4876" w:type="dxa"/>
            <w:hideMark/>
          </w:tcPr>
          <w:p w:rsidR="007867E9" w:rsidRPr="0074344C" w:rsidRDefault="00AE1FF0" w:rsidP="00DA0486">
            <w:pPr>
              <w:pStyle w:val="Normal6"/>
              <w:rPr>
                <w:szCs w:val="24"/>
              </w:rPr>
            </w:pPr>
            <w:r>
              <w:rPr>
                <w:b/>
                <w:i/>
              </w:rPr>
              <w:t>29 bis.</w:t>
            </w:r>
            <w:r>
              <w:rPr>
                <w:b/>
                <w:i/>
              </w:rPr>
              <w:tab/>
              <w:t xml:space="preserve">ricorda l'importanza di mantenere norme rigorose in materia di ambiente e lavoro nei progetti energetici; sottolinea la necessità di una </w:t>
            </w:r>
            <w:r>
              <w:rPr>
                <w:b/>
                <w:i/>
              </w:rPr>
              <w:t>cooperazione normativa per garantire che le iniziative energetiche promuovano una convergenza verso l'alto dei diritti dei lavoratori, della salute e della sicurezza nonché della tutela dell'ambiente;</w:t>
            </w:r>
          </w:p>
        </w:tc>
      </w:tr>
    </w:tbl>
    <w:p w:rsidR="007867E9" w:rsidRPr="0074344C" w:rsidRDefault="00AE1FF0" w:rsidP="007867E9">
      <w:pPr>
        <w:rPr>
          <w:szCs w:val="24"/>
        </w:rPr>
      </w:pPr>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27</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32 bis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32 bis.</w:t>
            </w:r>
            <w:r>
              <w:tab/>
            </w:r>
            <w:r>
              <w:rPr>
                <w:b/>
                <w:i/>
              </w:rPr>
              <w:t>si compiace della valutazione della Commissione secondo cui la cooperazione tra l'UE e il Regno Unito nel settore del coo</w:t>
            </w:r>
            <w:r>
              <w:rPr>
                <w:b/>
                <w:i/>
              </w:rPr>
              <w:t>rdinamento della sicurezza sociale è stata costruttiva, senza alcun problema sistemico o strutturale identificato nel 2023 o 2024 e con entrambe le parti impegnate a risolvere possibili problemi che potrebbero insorgere nell'attuazione del protocollo sul c</w:t>
            </w:r>
            <w:r>
              <w:rPr>
                <w:b/>
                <w:i/>
              </w:rPr>
              <w:t>oordinamento della sicurezza sociale dell'accordo sugli scambi commerciali e la cooperazione ("protocollo"); rileva che il comitato specializzato per il coordinamento della sicurezza sociale ha adottato due decisioni riguardanti i lavoratori distaccati e i</w:t>
            </w:r>
            <w:r>
              <w:rPr>
                <w:b/>
                <w:i/>
              </w:rPr>
              <w:t xml:space="preserve"> lavoratori autonomi, in primo luogo per precisare taluni aspetti finanziari; insiste sull'importanza di un protocollo dinamico, che si allinei alle revisioni delle disposizioni sul coordinamento della sicurezza sociale; chiede un impegno costante per semp</w:t>
            </w:r>
            <w:r>
              <w:rPr>
                <w:b/>
                <w:i/>
              </w:rPr>
              <w:t>lificare le procedure, garantire un'interpretazione coerente tra gli Stati membri e il Regno Unito e migliorare l'accesso dei cittadini alla previdenza sociale grazie a migliori orientamenti, strumenti digitali e cooperazione amministrativa;</w:t>
            </w:r>
          </w:p>
        </w:tc>
      </w:tr>
    </w:tbl>
    <w:p w:rsidR="007867E9" w:rsidRPr="0074344C" w:rsidRDefault="00AE1FF0" w:rsidP="007867E9">
      <w:r w:rsidRPr="00AE1FF0">
        <w:rPr>
          <w:rStyle w:val="HideTWBExt"/>
        </w:rPr>
        <w:t>&lt;/Amend&gt;</w:t>
      </w:r>
    </w:p>
    <w:p w:rsidR="007867E9" w:rsidRPr="0074344C" w:rsidRDefault="00AE1FF0" w:rsidP="007867E9">
      <w:pPr>
        <w:pStyle w:val="AmNumberTabs"/>
        <w:keepNext/>
      </w:pPr>
      <w:r w:rsidRPr="00AE1FF0">
        <w:rPr>
          <w:rStyle w:val="HideTWBExt"/>
          <w:b w:val="0"/>
        </w:rPr>
        <w:t>&lt;Amend&gt;</w:t>
      </w:r>
      <w:r>
        <w:t>Emendamento</w:t>
      </w:r>
      <w:r>
        <w:tab/>
      </w:r>
      <w:r>
        <w:tab/>
      </w:r>
      <w:r w:rsidRPr="00AE1FF0">
        <w:rPr>
          <w:rStyle w:val="HideTWBExt"/>
          <w:b w:val="0"/>
        </w:rPr>
        <w:t>&lt;NumAm&gt;</w:t>
      </w:r>
      <w:r>
        <w:t>28</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decisione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32 ter (nuovo)</w:t>
      </w:r>
      <w:r w:rsidRPr="00AE1F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tcPr>
          <w:p w:rsidR="007867E9" w:rsidRPr="0074344C" w:rsidRDefault="00AE1FF0" w:rsidP="00DA0486">
            <w:pPr>
              <w:pStyle w:val="AmColumnHeading"/>
              <w:keepNext/>
            </w:pPr>
            <w:r>
              <w:t>Proposta di risoluzione</w:t>
            </w:r>
          </w:p>
        </w:tc>
        <w:tc>
          <w:tcPr>
            <w:tcW w:w="4876" w:type="dxa"/>
          </w:tcPr>
          <w:p w:rsidR="007867E9" w:rsidRPr="0074344C" w:rsidRDefault="00AE1FF0" w:rsidP="00DA0486">
            <w:pPr>
              <w:pStyle w:val="AmColumnHeading"/>
              <w:keepNext/>
            </w:pPr>
            <w:r>
              <w:t>Emendamento</w:t>
            </w:r>
          </w:p>
        </w:tc>
      </w:tr>
      <w:tr w:rsidR="00A513CD" w:rsidTr="00DA0486">
        <w:tblPrEx>
          <w:tblLook w:val="04A0" w:firstRow="1" w:lastRow="0" w:firstColumn="1" w:lastColumn="0" w:noHBand="0" w:noVBand="1"/>
        </w:tblPrEx>
        <w:trPr>
          <w:jc w:val="center"/>
        </w:trPr>
        <w:tc>
          <w:tcPr>
            <w:tcW w:w="4876" w:type="dxa"/>
          </w:tcPr>
          <w:p w:rsidR="007867E9" w:rsidRPr="0074344C" w:rsidRDefault="007867E9" w:rsidP="00DA0486">
            <w:pPr>
              <w:pStyle w:val="Normal6a"/>
            </w:pPr>
          </w:p>
        </w:tc>
        <w:tc>
          <w:tcPr>
            <w:tcW w:w="4876" w:type="dxa"/>
            <w:hideMark/>
          </w:tcPr>
          <w:p w:rsidR="007867E9" w:rsidRPr="0074344C" w:rsidRDefault="00AE1FF0" w:rsidP="00DA0486">
            <w:pPr>
              <w:pStyle w:val="Normal6a"/>
              <w:rPr>
                <w:szCs w:val="24"/>
              </w:rPr>
            </w:pPr>
            <w:r>
              <w:rPr>
                <w:b/>
                <w:i/>
              </w:rPr>
              <w:t>32 ter.</w:t>
            </w:r>
            <w:r>
              <w:rPr>
                <w:b/>
                <w:i/>
              </w:rPr>
              <w:tab/>
              <w:t>constata che il comitato specializzato per il coordinamento della sicurezza sociale</w:t>
            </w:r>
            <w:r>
              <w:rPr>
                <w:b/>
                <w:i/>
              </w:rPr>
              <w:t xml:space="preserve"> ha svolto un lavoro tecnico su temi quali le modifiche ai documenti elettronici strutturati e ai documenti portatili, le procedure per il rimborso delle prestazioni di malattia e il recepimento delle pertinenti decisioni della commissione amministrativa d</w:t>
            </w:r>
            <w:r>
              <w:rPr>
                <w:b/>
                <w:i/>
              </w:rPr>
              <w:t>ell'UE per il coordinamento dei sistemi di sicurezza sociale;</w:t>
            </w:r>
            <w:r>
              <w:t xml:space="preserve"> </w:t>
            </w:r>
            <w:r>
              <w:rPr>
                <w:b/>
                <w:i/>
              </w:rPr>
              <w:t>invita il comitato a intensificare gli sforzi e a compiere progressi tangibili per il miglioramento delle procedure, per garantire un'interpretazione uniforme negli Stati membri e nel Regno Unit</w:t>
            </w:r>
            <w:r>
              <w:rPr>
                <w:b/>
                <w:i/>
              </w:rPr>
              <w:t>o e per migliorare il coordinamento dei diritti di sicurezza sociale per i lavoratori mobili e transfrontalieri;</w:t>
            </w:r>
          </w:p>
        </w:tc>
      </w:tr>
    </w:tbl>
    <w:p w:rsidR="007867E9" w:rsidRPr="00AE1FF0" w:rsidRDefault="00AE1FF0" w:rsidP="007867E9">
      <w:pPr>
        <w:rPr>
          <w:rStyle w:val="HideTWBExt"/>
        </w:rPr>
      </w:pPr>
      <w:r w:rsidRPr="00AE1FF0">
        <w:rPr>
          <w:rStyle w:val="HideTWBExt"/>
        </w:rPr>
        <w:t>&lt;/Amend&gt;</w:t>
      </w:r>
    </w:p>
    <w:p w:rsidR="007867E9" w:rsidRPr="0074344C" w:rsidRDefault="00AE1FF0" w:rsidP="007867E9">
      <w:pPr>
        <w:pStyle w:val="AmNumberTabs"/>
      </w:pPr>
      <w:r w:rsidRPr="00AE1FF0">
        <w:rPr>
          <w:rStyle w:val="HideTWBExt"/>
          <w:b w:val="0"/>
        </w:rPr>
        <w:t>&lt;Amend&gt;</w:t>
      </w:r>
      <w:r>
        <w:t>Emendamento</w:t>
      </w:r>
      <w:r>
        <w:tab/>
      </w:r>
      <w:r>
        <w:tab/>
      </w:r>
      <w:r w:rsidRPr="00AE1FF0">
        <w:rPr>
          <w:rStyle w:val="HideTWBExt"/>
          <w:b w:val="0"/>
        </w:rPr>
        <w:t>&lt;NumAm&gt;</w:t>
      </w:r>
      <w:r>
        <w:t>29</w:t>
      </w:r>
      <w:r w:rsidRPr="00AE1FF0">
        <w:rPr>
          <w:rStyle w:val="HideTWBExt"/>
          <w:b w:val="0"/>
        </w:rPr>
        <w:t>&lt;/NumAm&gt;</w:t>
      </w:r>
    </w:p>
    <w:p w:rsidR="007867E9" w:rsidRPr="0074344C" w:rsidRDefault="00AE1FF0" w:rsidP="007867E9">
      <w:pPr>
        <w:pStyle w:val="NormalBold12b"/>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32 quater (nuovo)</w:t>
      </w:r>
      <w:r w:rsidRPr="00AE1F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13CD" w:rsidTr="00DA0486">
        <w:trPr>
          <w:trHeight w:hRule="exact" w:val="240"/>
          <w:jc w:val="center"/>
        </w:trPr>
        <w:tc>
          <w:tcPr>
            <w:tcW w:w="9752" w:type="dxa"/>
            <w:gridSpan w:val="2"/>
            <w:tcBorders>
              <w:top w:val="nil"/>
              <w:left w:val="nil"/>
              <w:bottom w:val="nil"/>
              <w:right w:val="nil"/>
            </w:tcBorders>
          </w:tcPr>
          <w:p w:rsidR="007867E9" w:rsidRPr="0074344C" w:rsidRDefault="007867E9" w:rsidP="00DA0486"/>
        </w:tc>
      </w:tr>
      <w:tr w:rsidR="00A513CD" w:rsidTr="00DA0486">
        <w:trPr>
          <w:trHeight w:val="240"/>
          <w:jc w:val="center"/>
        </w:trPr>
        <w:tc>
          <w:tcPr>
            <w:tcW w:w="4876" w:type="dxa"/>
            <w:tcBorders>
              <w:top w:val="nil"/>
              <w:left w:val="nil"/>
              <w:bottom w:val="nil"/>
              <w:right w:val="nil"/>
            </w:tcBorders>
          </w:tcPr>
          <w:p w:rsidR="007867E9" w:rsidRPr="0074344C" w:rsidRDefault="00AE1FF0" w:rsidP="00DA0486">
            <w:pPr>
              <w:pStyle w:val="AmColumnHeading"/>
            </w:pPr>
            <w:r>
              <w:t>Proposta di risoluzione</w:t>
            </w:r>
          </w:p>
        </w:tc>
        <w:tc>
          <w:tcPr>
            <w:tcW w:w="4876" w:type="dxa"/>
            <w:tcBorders>
              <w:top w:val="nil"/>
              <w:left w:val="nil"/>
              <w:bottom w:val="nil"/>
              <w:right w:val="nil"/>
            </w:tcBorders>
          </w:tcPr>
          <w:p w:rsidR="007867E9" w:rsidRPr="0074344C" w:rsidRDefault="00AE1FF0" w:rsidP="00DA0486">
            <w:pPr>
              <w:pStyle w:val="AmColumnHeading"/>
            </w:pPr>
            <w:r>
              <w:t>Emendamento</w:t>
            </w:r>
          </w:p>
        </w:tc>
      </w:tr>
      <w:tr w:rsidR="00A513CD" w:rsidTr="00DA0486">
        <w:trPr>
          <w:jc w:val="center"/>
        </w:trPr>
        <w:tc>
          <w:tcPr>
            <w:tcW w:w="4876" w:type="dxa"/>
            <w:tcBorders>
              <w:top w:val="nil"/>
              <w:left w:val="nil"/>
              <w:bottom w:val="nil"/>
              <w:right w:val="nil"/>
            </w:tcBorders>
          </w:tcPr>
          <w:p w:rsidR="007867E9" w:rsidRPr="0074344C" w:rsidRDefault="007867E9" w:rsidP="00DA0486">
            <w:pPr>
              <w:pStyle w:val="Normal6a"/>
            </w:pPr>
          </w:p>
        </w:tc>
        <w:tc>
          <w:tcPr>
            <w:tcW w:w="4876" w:type="dxa"/>
            <w:tcBorders>
              <w:top w:val="nil"/>
              <w:left w:val="nil"/>
              <w:bottom w:val="nil"/>
              <w:right w:val="nil"/>
            </w:tcBorders>
          </w:tcPr>
          <w:p w:rsidR="007867E9" w:rsidRPr="0074344C" w:rsidRDefault="00AE1FF0" w:rsidP="00DA0486">
            <w:pPr>
              <w:pStyle w:val="Normal6a"/>
              <w:rPr>
                <w:b/>
                <w:i/>
              </w:rPr>
            </w:pPr>
            <w:r>
              <w:rPr>
                <w:b/>
                <w:i/>
              </w:rPr>
              <w:t>32 quater.</w:t>
            </w:r>
            <w:r>
              <w:tab/>
            </w:r>
            <w:r>
              <w:rPr>
                <w:b/>
                <w:i/>
              </w:rPr>
              <w:t>sottolinea l'importanza di garantire condizioni di lavoro dignitose, eque e sicure per i lavoratori stagionali, in particolare in settori essenziali quali l'agricoltura, il turismo e l'edilizia; invita la Co</w:t>
            </w:r>
            <w:r>
              <w:rPr>
                <w:b/>
                <w:i/>
              </w:rPr>
              <w:t>mmissione a promuovere, nel contesto dell'attuazione dell'accordo sugli scambi commerciali e la cooperazione UE-Regno Unito, l'istituzione di un apposito meccanismo per la mobilità dei lavoratori stagionali, tra cui norme comuni sulla durata dell'occupazio</w:t>
            </w:r>
            <w:r>
              <w:rPr>
                <w:b/>
                <w:i/>
              </w:rPr>
              <w:t>ne, l'accesso alla sicurezza sociale e la tutela dallo sfruttamento, con garanzie analoghe a quelle previste dalla direttiva 2014/36/UE</w:t>
            </w:r>
            <w:r>
              <w:rPr>
                <w:b/>
                <w:i/>
                <w:vertAlign w:val="superscript"/>
              </w:rPr>
              <w:t>1 bis</w:t>
            </w:r>
            <w:r>
              <w:rPr>
                <w:b/>
                <w:i/>
              </w:rPr>
              <w:t>;</w:t>
            </w:r>
          </w:p>
          <w:p w:rsidR="007867E9" w:rsidRPr="0074344C" w:rsidRDefault="00AE1FF0" w:rsidP="00DA0486">
            <w:pPr>
              <w:pStyle w:val="Normal6a"/>
              <w:rPr>
                <w:b/>
                <w:i/>
              </w:rPr>
            </w:pPr>
            <w:r>
              <w:rPr>
                <w:b/>
                <w:i/>
              </w:rPr>
              <w:t>_______________</w:t>
            </w:r>
          </w:p>
          <w:p w:rsidR="007867E9" w:rsidRPr="0074344C" w:rsidRDefault="00AE1FF0" w:rsidP="00DA0486">
            <w:pPr>
              <w:pStyle w:val="title-bold"/>
              <w:shd w:val="clear" w:color="auto" w:fill="FFFFFF"/>
              <w:spacing w:before="0" w:beforeAutospacing="0" w:after="75" w:afterAutospacing="0"/>
              <w:rPr>
                <w:b/>
                <w:i/>
                <w:szCs w:val="20"/>
              </w:rPr>
            </w:pPr>
            <w:r>
              <w:rPr>
                <w:b/>
                <w:i/>
              </w:rPr>
              <w:t>Direttiva 2014/36/UE del Parlamento europeo e del Consiglio, del 26 febbraio 2014, sulle condizion</w:t>
            </w:r>
            <w:r>
              <w:rPr>
                <w:b/>
                <w:i/>
              </w:rPr>
              <w:t>i di ingresso e di soggiorno dei cittadini di paesi terzi per motivi di impiego in qualità di lavoratori stagionali (GU L 94 del 28.3.2014, pag. 375, ELI: </w:t>
            </w:r>
            <w:hyperlink r:id="rId10" w:tooltip="Accesso al documento tramite l'URI dell'ELI." w:history="1">
              <w:r w:rsidRPr="00AE1FF0">
                <w:rPr>
                  <w:rStyle w:val="Hyperlink"/>
                  <w:b/>
                  <w:i/>
                </w:rPr>
                <w:t>http://data.europa.eu/eli/dir/2014/36/oj)</w:t>
              </w:r>
            </w:hyperlink>
            <w:r>
              <w:rPr>
                <w:b/>
                <w:i/>
              </w:rPr>
              <w:t>.</w:t>
            </w:r>
          </w:p>
          <w:p w:rsidR="007867E9" w:rsidRPr="0074344C" w:rsidRDefault="007867E9" w:rsidP="00DA0486">
            <w:pPr>
              <w:pStyle w:val="Normal6a"/>
              <w:rPr>
                <w:vertAlign w:val="superscript"/>
              </w:rPr>
            </w:pPr>
          </w:p>
        </w:tc>
      </w:tr>
    </w:tbl>
    <w:p w:rsidR="007867E9" w:rsidRPr="0074344C" w:rsidRDefault="00AE1FF0" w:rsidP="007867E9">
      <w:r w:rsidRPr="00AE1FF0">
        <w:rPr>
          <w:rStyle w:val="HideTWBExt"/>
        </w:rPr>
        <w:t>&lt;/Amend&gt;</w:t>
      </w:r>
    </w:p>
    <w:p w:rsidR="007867E9" w:rsidRPr="0074344C" w:rsidRDefault="00AE1FF0" w:rsidP="007867E9">
      <w:pPr>
        <w:pStyle w:val="AmNumberTabs"/>
      </w:pPr>
      <w:r w:rsidRPr="00AE1FF0">
        <w:rPr>
          <w:rStyle w:val="HideTWBExt"/>
          <w:b w:val="0"/>
        </w:rPr>
        <w:t>&lt;Amend&gt;</w:t>
      </w:r>
      <w:r>
        <w:t>Emendamento</w:t>
      </w:r>
      <w:r>
        <w:tab/>
      </w:r>
      <w:r>
        <w:tab/>
      </w:r>
      <w:r w:rsidRPr="00AE1FF0">
        <w:rPr>
          <w:rStyle w:val="HideTWBExt"/>
          <w:b w:val="0"/>
        </w:rPr>
        <w:t>&lt;NumAm&gt;</w:t>
      </w:r>
      <w:r>
        <w:t>30</w:t>
      </w:r>
      <w:r w:rsidRPr="00AE1FF0">
        <w:rPr>
          <w:rStyle w:val="HideTWBExt"/>
          <w:b w:val="0"/>
        </w:rPr>
        <w:t>&lt;/NumAm&gt;</w:t>
      </w:r>
    </w:p>
    <w:p w:rsidR="007867E9" w:rsidRPr="0074344C" w:rsidRDefault="00AE1FF0" w:rsidP="007867E9">
      <w:pPr>
        <w:pStyle w:val="NormalBold12b"/>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32 quinquies (nuovo)</w:t>
      </w:r>
      <w:r w:rsidRPr="00AE1F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13CD" w:rsidTr="00DA0486">
        <w:trPr>
          <w:trHeight w:hRule="exact" w:val="240"/>
          <w:jc w:val="center"/>
        </w:trPr>
        <w:tc>
          <w:tcPr>
            <w:tcW w:w="9752" w:type="dxa"/>
            <w:gridSpan w:val="2"/>
            <w:tcBorders>
              <w:top w:val="nil"/>
              <w:left w:val="nil"/>
              <w:bottom w:val="nil"/>
              <w:right w:val="nil"/>
            </w:tcBorders>
          </w:tcPr>
          <w:p w:rsidR="007867E9" w:rsidRPr="0074344C" w:rsidRDefault="007867E9" w:rsidP="00DA0486"/>
        </w:tc>
      </w:tr>
      <w:tr w:rsidR="00A513CD" w:rsidTr="00DA0486">
        <w:trPr>
          <w:trHeight w:val="240"/>
          <w:jc w:val="center"/>
        </w:trPr>
        <w:tc>
          <w:tcPr>
            <w:tcW w:w="4876" w:type="dxa"/>
            <w:tcBorders>
              <w:top w:val="nil"/>
              <w:left w:val="nil"/>
              <w:bottom w:val="nil"/>
              <w:right w:val="nil"/>
            </w:tcBorders>
          </w:tcPr>
          <w:p w:rsidR="007867E9" w:rsidRPr="0074344C" w:rsidRDefault="00AE1FF0" w:rsidP="00DA0486">
            <w:pPr>
              <w:pStyle w:val="AmColumnHeading"/>
            </w:pPr>
            <w:r>
              <w:t>Proposta di risoluzione</w:t>
            </w:r>
          </w:p>
        </w:tc>
        <w:tc>
          <w:tcPr>
            <w:tcW w:w="4876" w:type="dxa"/>
            <w:tcBorders>
              <w:top w:val="nil"/>
              <w:left w:val="nil"/>
              <w:bottom w:val="nil"/>
              <w:right w:val="nil"/>
            </w:tcBorders>
          </w:tcPr>
          <w:p w:rsidR="007867E9" w:rsidRPr="0074344C" w:rsidRDefault="00AE1FF0" w:rsidP="00DA0486">
            <w:pPr>
              <w:pStyle w:val="AmColumnHeading"/>
            </w:pPr>
            <w:r>
              <w:t>Emendamento</w:t>
            </w:r>
          </w:p>
        </w:tc>
      </w:tr>
      <w:tr w:rsidR="00A513CD" w:rsidTr="00DA0486">
        <w:trPr>
          <w:jc w:val="center"/>
        </w:trPr>
        <w:tc>
          <w:tcPr>
            <w:tcW w:w="4876" w:type="dxa"/>
            <w:tcBorders>
              <w:top w:val="nil"/>
              <w:left w:val="nil"/>
              <w:bottom w:val="nil"/>
              <w:right w:val="nil"/>
            </w:tcBorders>
          </w:tcPr>
          <w:p w:rsidR="007867E9" w:rsidRPr="0074344C" w:rsidRDefault="007867E9" w:rsidP="00DA0486">
            <w:pPr>
              <w:pStyle w:val="Normal6a"/>
            </w:pPr>
          </w:p>
        </w:tc>
        <w:tc>
          <w:tcPr>
            <w:tcW w:w="4876" w:type="dxa"/>
            <w:tcBorders>
              <w:top w:val="nil"/>
              <w:left w:val="nil"/>
              <w:bottom w:val="nil"/>
              <w:right w:val="nil"/>
            </w:tcBorders>
          </w:tcPr>
          <w:p w:rsidR="007867E9" w:rsidRPr="0074344C" w:rsidRDefault="00AE1FF0" w:rsidP="00DA0486">
            <w:pPr>
              <w:pStyle w:val="Normal6a"/>
            </w:pPr>
            <w:r>
              <w:rPr>
                <w:b/>
                <w:i/>
              </w:rPr>
              <w:t>32 quinquies.</w:t>
            </w:r>
            <w:r>
              <w:tab/>
            </w:r>
            <w:r>
              <w:rPr>
                <w:b/>
                <w:i/>
              </w:rPr>
              <w:t>invita la</w:t>
            </w:r>
            <w:r>
              <w:rPr>
                <w:b/>
                <w:i/>
              </w:rPr>
              <w:t xml:space="preserve"> Commissione a valutare la fattibilità di creare un punto di contatto unico UE-Regno Unito per segnalare violazioni dei diritti dei lavoratori, ostacoli alla fruizione alle prestazioni sociali o questioni relative al riconoscimento dei contratti di lavoro </w:t>
            </w:r>
            <w:r>
              <w:rPr>
                <w:b/>
                <w:i/>
              </w:rPr>
              <w:t>transfrontalieri;</w:t>
            </w:r>
          </w:p>
        </w:tc>
      </w:tr>
    </w:tbl>
    <w:p w:rsidR="007867E9" w:rsidRPr="0074344C" w:rsidRDefault="00AE1FF0" w:rsidP="007867E9">
      <w:r w:rsidRPr="00AE1FF0">
        <w:rPr>
          <w:rStyle w:val="HideTWBExt"/>
        </w:rPr>
        <w:t>&lt;/Amend&gt;</w:t>
      </w:r>
    </w:p>
    <w:p w:rsidR="007867E9" w:rsidRPr="0074344C" w:rsidRDefault="00AE1FF0" w:rsidP="007867E9">
      <w:pPr>
        <w:pStyle w:val="AMNumberTabs0"/>
        <w:keepNext/>
      </w:pPr>
      <w:r w:rsidRPr="00AE1FF0">
        <w:rPr>
          <w:rStyle w:val="HideTWBExt"/>
          <w:b w:val="0"/>
        </w:rPr>
        <w:t>&lt;Amend&gt;</w:t>
      </w:r>
      <w:r>
        <w:t>Emendamento</w:t>
      </w:r>
      <w:r>
        <w:tab/>
      </w:r>
      <w:r>
        <w:tab/>
      </w:r>
      <w:r w:rsidRPr="00AE1FF0">
        <w:rPr>
          <w:rStyle w:val="HideTWBExt"/>
          <w:b w:val="0"/>
        </w:rPr>
        <w:t>&lt;NumAm&gt;</w:t>
      </w:r>
      <w:r>
        <w:t>31</w:t>
      </w:r>
      <w:r w:rsidRPr="00AE1FF0">
        <w:rPr>
          <w:rStyle w:val="HideTWBExt"/>
          <w:b w:val="0"/>
        </w:rPr>
        <w:t>&lt;/NumAm&gt;</w:t>
      </w:r>
    </w:p>
    <w:p w:rsidR="007867E9" w:rsidRPr="0074344C" w:rsidRDefault="00AE1FF0" w:rsidP="007867E9">
      <w:pPr>
        <w:pStyle w:val="NormalBold12b"/>
        <w:keepNext/>
      </w:pPr>
      <w:r w:rsidRPr="00AE1FF0">
        <w:rPr>
          <w:rStyle w:val="HideTWBExt"/>
          <w:b w:val="0"/>
        </w:rPr>
        <w:t>&lt;DocAmend&gt;</w:t>
      </w:r>
      <w:r>
        <w:t>Proposta di risoluzione</w:t>
      </w:r>
      <w:r w:rsidRPr="00AE1FF0">
        <w:rPr>
          <w:rStyle w:val="HideTWBExt"/>
          <w:b w:val="0"/>
        </w:rPr>
        <w:t>&lt;/DocAmend&gt;</w:t>
      </w:r>
    </w:p>
    <w:p w:rsidR="007867E9" w:rsidRPr="0074344C" w:rsidRDefault="00AE1FF0" w:rsidP="007867E9">
      <w:pPr>
        <w:pStyle w:val="NormalBold"/>
      </w:pPr>
      <w:r w:rsidRPr="00AE1FF0">
        <w:rPr>
          <w:rStyle w:val="HideTWBExt"/>
          <w:b w:val="0"/>
        </w:rPr>
        <w:t>&lt;Article&gt;</w:t>
      </w:r>
      <w:r>
        <w:t>Paragrafo 32 sexies (nuovo)</w:t>
      </w:r>
      <w:r w:rsidRPr="00AE1F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13CD" w:rsidTr="00DA0486">
        <w:trPr>
          <w:jc w:val="center"/>
        </w:trPr>
        <w:tc>
          <w:tcPr>
            <w:tcW w:w="9752" w:type="dxa"/>
            <w:gridSpan w:val="2"/>
          </w:tcPr>
          <w:p w:rsidR="007867E9" w:rsidRPr="0074344C" w:rsidRDefault="007867E9" w:rsidP="00DA0486">
            <w:pPr>
              <w:keepNext/>
            </w:pPr>
          </w:p>
        </w:tc>
      </w:tr>
      <w:tr w:rsidR="00A513CD" w:rsidTr="00DA0486">
        <w:trPr>
          <w:jc w:val="center"/>
        </w:trPr>
        <w:tc>
          <w:tcPr>
            <w:tcW w:w="4876" w:type="dxa"/>
            <w:hideMark/>
          </w:tcPr>
          <w:p w:rsidR="007867E9" w:rsidRPr="0074344C" w:rsidRDefault="00AE1FF0" w:rsidP="00DA0486">
            <w:pPr>
              <w:pStyle w:val="ColumnHeading"/>
              <w:keepNext/>
            </w:pPr>
            <w:r>
              <w:t>Proposta di risoluzione</w:t>
            </w:r>
          </w:p>
        </w:tc>
        <w:tc>
          <w:tcPr>
            <w:tcW w:w="4876" w:type="dxa"/>
            <w:hideMark/>
          </w:tcPr>
          <w:p w:rsidR="007867E9" w:rsidRPr="0074344C" w:rsidRDefault="00AE1FF0" w:rsidP="00DA0486">
            <w:pPr>
              <w:pStyle w:val="ColumnHeading"/>
              <w:keepNext/>
            </w:pPr>
            <w:r>
              <w:t>Emendamento</w:t>
            </w:r>
          </w:p>
        </w:tc>
      </w:tr>
      <w:tr w:rsidR="00A513CD" w:rsidTr="00DA0486">
        <w:trPr>
          <w:jc w:val="center"/>
        </w:trPr>
        <w:tc>
          <w:tcPr>
            <w:tcW w:w="4876" w:type="dxa"/>
          </w:tcPr>
          <w:p w:rsidR="007867E9" w:rsidRPr="0074344C" w:rsidRDefault="007867E9" w:rsidP="00DA0486">
            <w:pPr>
              <w:pStyle w:val="Normal6"/>
              <w:rPr>
                <w:lang w:val="en-GB"/>
              </w:rPr>
            </w:pPr>
          </w:p>
        </w:tc>
        <w:tc>
          <w:tcPr>
            <w:tcW w:w="4876" w:type="dxa"/>
            <w:hideMark/>
          </w:tcPr>
          <w:p w:rsidR="007867E9" w:rsidRPr="0074344C" w:rsidRDefault="00AE1FF0" w:rsidP="00DA0486">
            <w:pPr>
              <w:pStyle w:val="Normal6"/>
              <w:rPr>
                <w:szCs w:val="24"/>
              </w:rPr>
            </w:pPr>
            <w:r>
              <w:rPr>
                <w:b/>
                <w:i/>
              </w:rPr>
              <w:t>32 sexies.</w:t>
            </w:r>
            <w:r>
              <w:rPr>
                <w:b/>
                <w:i/>
              </w:rPr>
              <w:tab/>
              <w:t xml:space="preserve">prende atto dell'importanza e del valore del </w:t>
            </w:r>
            <w:r>
              <w:rPr>
                <w:b/>
                <w:i/>
              </w:rPr>
              <w:t>modello sociale dell'UE e invita il governo del Regno Unito a estendere la clausola di non regressione all'intero acquis sociale dell'UE;</w:t>
            </w:r>
          </w:p>
        </w:tc>
      </w:tr>
    </w:tbl>
    <w:p w:rsidR="00F362B8" w:rsidRPr="00AE1FF0" w:rsidRDefault="00AE1FF0" w:rsidP="003402B9">
      <w:pPr>
        <w:rPr>
          <w:rStyle w:val="HideTWBExt"/>
        </w:rPr>
      </w:pPr>
      <w:r w:rsidRPr="00AE1FF0">
        <w:rPr>
          <w:rStyle w:val="HideTWBExt"/>
        </w:rPr>
        <w:t>&lt;/Amend&gt;&lt;/RepeatBlock-Amend&gt;</w:t>
      </w:r>
    </w:p>
    <w:p w:rsidR="007867E9" w:rsidRDefault="007867E9" w:rsidP="00F362B8">
      <w:pPr>
        <w:sectPr w:rsidR="007867E9" w:rsidSect="007867E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867E9" w:rsidRPr="00D7238E" w:rsidRDefault="00AE1FF0" w:rsidP="002B2C72">
      <w:pPr>
        <w:pStyle w:val="PageHeadingNotTOC"/>
      </w:pPr>
      <w:bookmarkStart w:id="1" w:name="FootprintPageAD"/>
      <w:r>
        <w:t>ALLEGATO: ENTITÀ O PERSONE</w:t>
      </w:r>
      <w:r>
        <w:br/>
        <w:t>DA CUI LA RELATRICE PER PARERE HA RICEVUTO CONTRIBUTI</w:t>
      </w:r>
    </w:p>
    <w:p w:rsidR="007867E9" w:rsidRPr="0099178F" w:rsidRDefault="00AE1FF0" w:rsidP="00037518">
      <w:pPr>
        <w:pStyle w:val="Normal24a"/>
      </w:pPr>
      <w:r w:rsidRPr="00AE1FF0">
        <w:rPr>
          <w:rStyle w:val="HideTWBExt"/>
        </w:rPr>
        <w:t>&lt;FootprintIntro&gt;</w:t>
      </w:r>
      <w:r>
        <w:t>Conformemente all'allegato I, articolo 8, del regolamento, la relatrice per parere dichiara di aver ricevuto, nel corso dell'elaborazione del parere, fino alla sua approvazione in commissione, contributi dalle seguenti entità o persone:</w:t>
      </w:r>
      <w:r w:rsidRPr="00AE1FF0">
        <w:rPr>
          <w:rStyle w:val="HideTWBExt"/>
        </w:rPr>
        <w:t>&lt;/Fo</w:t>
      </w:r>
      <w:r w:rsidRPr="00AE1FF0">
        <w:rPr>
          <w:rStyle w:val="HideTWBExt"/>
        </w:rPr>
        <w:t>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513CD" w:rsidTr="007867E9">
        <w:tc>
          <w:tcPr>
            <w:tcW w:w="9060" w:type="dxa"/>
            <w:shd w:val="clear" w:color="auto" w:fill="auto"/>
          </w:tcPr>
          <w:p w:rsidR="007867E9" w:rsidRDefault="00AE1FF0" w:rsidP="007867E9">
            <w:pPr>
              <w:pStyle w:val="NormalBoldCenter"/>
            </w:pPr>
            <w:r>
              <w:t>Entità e/o persona</w:t>
            </w:r>
          </w:p>
        </w:tc>
      </w:tr>
      <w:tr w:rsidR="00A513CD" w:rsidTr="007867E9">
        <w:tc>
          <w:tcPr>
            <w:tcW w:w="9060" w:type="dxa"/>
            <w:shd w:val="clear" w:color="auto" w:fill="auto"/>
          </w:tcPr>
          <w:p w:rsidR="007867E9" w:rsidRDefault="00AE1FF0" w:rsidP="007867E9">
            <w:pPr>
              <w:pStyle w:val="NormalSingle"/>
            </w:pPr>
            <w:r>
              <w:t>European Trade Union Confederation (ETUC)</w:t>
            </w:r>
          </w:p>
        </w:tc>
      </w:tr>
      <w:tr w:rsidR="00A513CD" w:rsidTr="007867E9">
        <w:tc>
          <w:tcPr>
            <w:tcW w:w="9060" w:type="dxa"/>
            <w:shd w:val="clear" w:color="auto" w:fill="auto"/>
          </w:tcPr>
          <w:p w:rsidR="007867E9" w:rsidRPr="0074344C" w:rsidRDefault="00AE1FF0" w:rsidP="007867E9">
            <w:pPr>
              <w:pStyle w:val="NormalSingle"/>
            </w:pPr>
            <w:r>
              <w:t>IndustriAll European Trade Union</w:t>
            </w:r>
          </w:p>
        </w:tc>
      </w:tr>
    </w:tbl>
    <w:p w:rsidR="007867E9" w:rsidRPr="00E9312B" w:rsidRDefault="00AE1FF0" w:rsidP="00B60BF2">
      <w:pPr>
        <w:pStyle w:val="Footprint12b"/>
      </w:pPr>
      <w:r>
        <w:t>L'elenco che precede è compilato sotto l'esclusiva responsabilità della relatrice per parere.</w:t>
      </w:r>
    </w:p>
    <w:p w:rsidR="007867E9" w:rsidRPr="00D7238E" w:rsidRDefault="00AE1FF0" w:rsidP="00802975">
      <w:pPr>
        <w:pStyle w:val="Footprint12b"/>
      </w:pPr>
      <w:r>
        <w:t xml:space="preserve">Quando delle persone fisiche sono identificate </w:t>
      </w:r>
      <w:r>
        <w:t>nell'elenco con il loro nome, la loro funzione o entrambi, la relatrice per parere dichiara di aver sottoposto alle persone fisiche interessate l'informativa del Parlamento europeo sulla protezione dei dati n. 484 (</w:t>
      </w:r>
      <w:hyperlink r:id="rId17" w:history="1">
        <w:r>
          <w:rPr>
            <w:rStyle w:val="Hyperlink"/>
          </w:rPr>
          <w:t>https://www.europarl.europa.eu/data-protect/index.do</w:t>
        </w:r>
      </w:hyperlink>
      <w:r>
        <w:t>), che definisce le condizioni applicabili al trattamento dei loro dati personali e i diritti connessi a tale trattamento.</w:t>
      </w:r>
    </w:p>
    <w:p w:rsidR="007867E9" w:rsidRPr="007867E9" w:rsidRDefault="007867E9" w:rsidP="007867E9"/>
    <w:bookmarkEnd w:id="1"/>
    <w:p w:rsidR="007867E9" w:rsidRDefault="007867E9" w:rsidP="00F362B8">
      <w:pPr>
        <w:sectPr w:rsidR="007867E9" w:rsidSect="007867E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362B8" w:rsidRDefault="00AE1FF0" w:rsidP="00F362B8">
      <w:pPr>
        <w:pStyle w:val="PageHeadingNotTOC"/>
      </w:pPr>
      <w:bookmarkStart w:id="2" w:name="ProcPageAD"/>
      <w:r>
        <w:t>INFORMAZIONI SULL'APPR</w:t>
      </w:r>
      <w:r>
        <w:t>OVAZIONE</w:t>
      </w:r>
      <w:r>
        <w:br/>
        <w:t>DA PARTE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513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362B8" w:rsidRDefault="00F362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362B8" w:rsidRDefault="00F362B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2B8" w:rsidRDefault="00F362B8">
            <w:pPr>
              <w:autoSpaceDE w:val="0"/>
              <w:autoSpaceDN w:val="0"/>
              <w:adjustRightInd w:val="0"/>
              <w:rPr>
                <w:rFonts w:ascii="sans-serif" w:hAnsi="sans-serif" w:cs="sans-serif"/>
                <w:color w:val="000000"/>
                <w:szCs w:val="24"/>
              </w:rPr>
            </w:pPr>
          </w:p>
        </w:tc>
      </w:tr>
      <w:tr w:rsidR="00A513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w:t>
            </w:r>
          </w:p>
          <w:p w:rsidR="00F362B8" w:rsidRDefault="00AE1FF0">
            <w:pPr>
              <w:autoSpaceDE w:val="0"/>
              <w:autoSpaceDN w:val="0"/>
              <w:adjustRightInd w:val="0"/>
              <w:rPr>
                <w:color w:val="000000"/>
                <w:sz w:val="20"/>
              </w:rPr>
            </w:pPr>
            <w:r>
              <w:rPr>
                <w:color w:val="000000"/>
                <w:sz w:val="20"/>
              </w:rPr>
              <w:t>–:</w:t>
            </w:r>
          </w:p>
          <w:p w:rsidR="00F362B8" w:rsidRDefault="00AE1FF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48</w:t>
            </w:r>
          </w:p>
          <w:p w:rsidR="00F362B8" w:rsidRDefault="00AE1FF0">
            <w:pPr>
              <w:autoSpaceDE w:val="0"/>
              <w:autoSpaceDN w:val="0"/>
              <w:adjustRightInd w:val="0"/>
              <w:rPr>
                <w:color w:val="000000"/>
                <w:sz w:val="20"/>
              </w:rPr>
            </w:pPr>
            <w:r>
              <w:rPr>
                <w:color w:val="000000"/>
                <w:sz w:val="20"/>
              </w:rPr>
              <w:t>7</w:t>
            </w:r>
          </w:p>
          <w:p w:rsidR="00F362B8" w:rsidRDefault="00AE1FF0">
            <w:pPr>
              <w:autoSpaceDE w:val="0"/>
              <w:autoSpaceDN w:val="0"/>
              <w:adjustRightInd w:val="0"/>
              <w:rPr>
                <w:color w:val="000000"/>
                <w:sz w:val="20"/>
              </w:rPr>
            </w:pPr>
            <w:r>
              <w:rPr>
                <w:color w:val="000000"/>
                <w:sz w:val="20"/>
              </w:rPr>
              <w:t>1</w:t>
            </w:r>
          </w:p>
        </w:tc>
      </w:tr>
      <w:tr w:rsidR="00A513C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 xml:space="preserve">Maravillas Abadía Jover, Grégory Allione, Marc Angel, Pascal </w:t>
            </w:r>
            <w:r>
              <w:rPr>
                <w:color w:val="000000"/>
                <w:sz w:val="20"/>
              </w:rPr>
              <w:t>Arimont, Konstantinos Arvanitis, Nikola Bartůšek, Gabriele Bischoff, Vilija Blinkevičiūtė, Rachel Blom, Andrzej Buła, David Casa, Estelle Ceulemans, Leila Chaibi, Per Clausen, Henrik Dahl, Johan Danielsson, Marie Dauchy, Mélanie Disdier, Elena Donazzan, Gh</w:t>
            </w:r>
            <w:r>
              <w:rPr>
                <w:color w:val="000000"/>
                <w:sz w:val="20"/>
              </w:rPr>
              <w:t xml:space="preserve">eorghe Falcă, Chiara Gemma, Niels Geuking, Isilda Gomes, Alicia Homs Ginel, Sérgio Humberto, Katrin Langensiepen, Miriam Lexmann, Marit Maij, Marlena Maląg, Jagna Marczułajtis-Walczak, Maria Ohisalo, Branislav Ondruš, Aodhán Ó Ríordáin, Nicola Procaccini, </w:t>
            </w:r>
            <w:r>
              <w:rPr>
                <w:color w:val="000000"/>
                <w:sz w:val="20"/>
              </w:rPr>
              <w:t>Dennis Radtke, Nela Riehl, Liesbet Sommen, Villy Søvndal, Pál Szekeres, Georgiana Teodorescu, Jana Toom, Raffaele Topo, Francesco Torselli, Brigitte van den Berg, Marie-Pierre Vedrenne, Marianne Vind, Petar Volgin, Jan-Peter Warnke, Séverine Werbrouck</w:t>
            </w:r>
          </w:p>
        </w:tc>
      </w:tr>
      <w:tr w:rsidR="00A513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b/>
                <w:bCs/>
                <w:color w:val="000000"/>
                <w:sz w:val="20"/>
              </w:rPr>
            </w:pPr>
            <w:r>
              <w:rPr>
                <w:b/>
                <w:color w:val="000000"/>
                <w:sz w:val="20"/>
              </w:rPr>
              <w:t>Sup</w:t>
            </w:r>
            <w:r>
              <w:rPr>
                <w:b/>
                <w:color w:val="000000"/>
                <w:sz w:val="20"/>
              </w:rPr>
              <w:t>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Regina Doherty, Rosa Estaràs Ferragut, Kathleen Funchion, Rudi Kennes, Hristo Petrov</w:t>
            </w:r>
          </w:p>
        </w:tc>
      </w:tr>
      <w:tr w:rsidR="00A513C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b/>
                <w:bCs/>
                <w:color w:val="000000"/>
                <w:sz w:val="20"/>
              </w:rPr>
            </w:pPr>
            <w:r>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362B8" w:rsidRDefault="00AE1FF0">
            <w:pPr>
              <w:autoSpaceDE w:val="0"/>
              <w:autoSpaceDN w:val="0"/>
              <w:adjustRightInd w:val="0"/>
              <w:rPr>
                <w:color w:val="000000"/>
                <w:sz w:val="20"/>
              </w:rPr>
            </w:pPr>
            <w:r>
              <w:rPr>
                <w:color w:val="000000"/>
                <w:sz w:val="20"/>
              </w:rPr>
              <w:t xml:space="preserve">Mireia Borrás Pabón, </w:t>
            </w:r>
            <w:r>
              <w:rPr>
                <w:color w:val="000000"/>
                <w:sz w:val="20"/>
              </w:rPr>
              <w:t>Paulo Do Nascimento Cabral</w:t>
            </w:r>
          </w:p>
        </w:tc>
      </w:tr>
    </w:tbl>
    <w:p w:rsidR="00F362B8" w:rsidRPr="007867E9" w:rsidRDefault="00F362B8" w:rsidP="007867E9"/>
    <w:bookmarkEnd w:id="2"/>
    <w:p w:rsidR="007867E9" w:rsidRDefault="007867E9" w:rsidP="00F362B8">
      <w:pPr>
        <w:sectPr w:rsidR="007867E9" w:rsidSect="007867E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867E9" w:rsidRPr="0099178F" w:rsidRDefault="00AE1FF0" w:rsidP="00C36610">
      <w:pPr>
        <w:pStyle w:val="PageHeadingNotTOC"/>
      </w:pPr>
      <w:bookmarkStart w:id="3" w:name="RollCallPageAD"/>
      <w:r>
        <w:t>VOTAZIONE FINALE PER APPELLO NOMINALE</w:t>
      </w:r>
      <w:r>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13CD" w:rsidTr="00DA0486">
        <w:trPr>
          <w:cantSplit/>
        </w:trPr>
        <w:tc>
          <w:tcPr>
            <w:tcW w:w="1701" w:type="dxa"/>
            <w:shd w:val="pct10" w:color="000000" w:fill="FFFFFF"/>
            <w:vAlign w:val="center"/>
          </w:tcPr>
          <w:p w:rsidR="007867E9" w:rsidRPr="0074344C" w:rsidRDefault="00AE1FF0" w:rsidP="00DA0486">
            <w:pPr>
              <w:pStyle w:val="RollCallVotes"/>
            </w:pPr>
            <w:r>
              <w:t>48</w:t>
            </w:r>
          </w:p>
        </w:tc>
        <w:tc>
          <w:tcPr>
            <w:tcW w:w="7371" w:type="dxa"/>
            <w:shd w:val="pct10" w:color="000000" w:fill="FFFFFF"/>
          </w:tcPr>
          <w:p w:rsidR="007867E9" w:rsidRPr="0074344C" w:rsidRDefault="00AE1FF0" w:rsidP="00DA0486">
            <w:pPr>
              <w:pStyle w:val="RollCallSymbols14pt"/>
            </w:pPr>
            <w:r>
              <w:t>+</w:t>
            </w:r>
          </w:p>
        </w:tc>
      </w:tr>
      <w:tr w:rsidR="00A513CD" w:rsidTr="00DA0486">
        <w:trPr>
          <w:cantSplit/>
        </w:trPr>
        <w:tc>
          <w:tcPr>
            <w:tcW w:w="1701" w:type="dxa"/>
            <w:shd w:val="clear" w:color="auto" w:fill="FFFFFF"/>
          </w:tcPr>
          <w:p w:rsidR="007867E9" w:rsidRPr="0074344C" w:rsidRDefault="00AE1FF0" w:rsidP="00DA0486">
            <w:pPr>
              <w:pStyle w:val="RollCallTable"/>
            </w:pPr>
            <w:r>
              <w:t>ECR</w:t>
            </w:r>
          </w:p>
        </w:tc>
        <w:tc>
          <w:tcPr>
            <w:tcW w:w="7371" w:type="dxa"/>
            <w:shd w:val="clear" w:color="auto" w:fill="FFFFFF"/>
          </w:tcPr>
          <w:p w:rsidR="007867E9" w:rsidRPr="0074344C" w:rsidRDefault="00AE1FF0" w:rsidP="00DA0486">
            <w:pPr>
              <w:pStyle w:val="RollCallTable"/>
            </w:pPr>
            <w:r>
              <w:t xml:space="preserve">Elena Donazzan, Chiara Gemma, Marlena Maląg, Nicola Procaccini, Georgiana Teodorescu, Francesco </w:t>
            </w:r>
            <w:r>
              <w:t>Torselli</w:t>
            </w:r>
          </w:p>
        </w:tc>
      </w:tr>
      <w:tr w:rsidR="00A513CD" w:rsidTr="00DA0486">
        <w:trPr>
          <w:cantSplit/>
        </w:trPr>
        <w:tc>
          <w:tcPr>
            <w:tcW w:w="1701" w:type="dxa"/>
            <w:shd w:val="clear" w:color="auto" w:fill="FFFFFF"/>
          </w:tcPr>
          <w:p w:rsidR="007867E9" w:rsidRPr="0074344C" w:rsidRDefault="00AE1FF0" w:rsidP="00DA0486">
            <w:pPr>
              <w:pStyle w:val="RollCallTable"/>
            </w:pPr>
            <w:r>
              <w:t>NI</w:t>
            </w:r>
          </w:p>
        </w:tc>
        <w:tc>
          <w:tcPr>
            <w:tcW w:w="7371" w:type="dxa"/>
            <w:shd w:val="clear" w:color="auto" w:fill="FFFFFF"/>
          </w:tcPr>
          <w:p w:rsidR="007867E9" w:rsidRPr="0074344C" w:rsidRDefault="00AE1FF0" w:rsidP="00DA0486">
            <w:pPr>
              <w:pStyle w:val="RollCallTable"/>
            </w:pPr>
            <w:r>
              <w:t>Branislav Ondruš, Jan-Peter Warnke</w:t>
            </w:r>
          </w:p>
        </w:tc>
      </w:tr>
      <w:tr w:rsidR="00A513CD" w:rsidTr="00DA0486">
        <w:trPr>
          <w:cantSplit/>
        </w:trPr>
        <w:tc>
          <w:tcPr>
            <w:tcW w:w="1701" w:type="dxa"/>
            <w:shd w:val="clear" w:color="auto" w:fill="FFFFFF"/>
          </w:tcPr>
          <w:p w:rsidR="007867E9" w:rsidRPr="0074344C" w:rsidRDefault="00AE1FF0" w:rsidP="00DA0486">
            <w:pPr>
              <w:pStyle w:val="RollCallTable"/>
            </w:pPr>
            <w:r>
              <w:t>PPE</w:t>
            </w:r>
          </w:p>
        </w:tc>
        <w:tc>
          <w:tcPr>
            <w:tcW w:w="7371" w:type="dxa"/>
            <w:shd w:val="clear" w:color="auto" w:fill="FFFFFF"/>
          </w:tcPr>
          <w:p w:rsidR="007867E9" w:rsidRPr="0074344C" w:rsidRDefault="00AE1FF0" w:rsidP="00DA0486">
            <w:pPr>
              <w:pStyle w:val="RollCallTable"/>
            </w:pPr>
            <w:r>
              <w:t xml:space="preserve">Maravillas Abadía Jover, Pascal Arimont, Andrzej Buła, David Casa, Henrik Dahl, Regina Doherty, Paulo Do Nascimento Cabral, Rosa Estaràs Ferragut, Gheorghe Falcă, Niels Geuking, Sérgio Humberto, Miriam </w:t>
            </w:r>
            <w:r>
              <w:t>Lexmann, Jagna Marczułajtis-Walczak, Dennis Radtke, Liesbet Sommen</w:t>
            </w:r>
          </w:p>
        </w:tc>
      </w:tr>
      <w:tr w:rsidR="00A513CD" w:rsidTr="00DA0486">
        <w:trPr>
          <w:cantSplit/>
        </w:trPr>
        <w:tc>
          <w:tcPr>
            <w:tcW w:w="1701" w:type="dxa"/>
            <w:shd w:val="clear" w:color="auto" w:fill="FFFFFF"/>
          </w:tcPr>
          <w:p w:rsidR="007867E9" w:rsidRPr="0074344C" w:rsidRDefault="00AE1FF0" w:rsidP="00DA0486">
            <w:pPr>
              <w:pStyle w:val="RollCallTable"/>
            </w:pPr>
            <w:r>
              <w:t>Renew</w:t>
            </w:r>
          </w:p>
        </w:tc>
        <w:tc>
          <w:tcPr>
            <w:tcW w:w="7371" w:type="dxa"/>
            <w:shd w:val="clear" w:color="auto" w:fill="FFFFFF"/>
          </w:tcPr>
          <w:p w:rsidR="007867E9" w:rsidRPr="0074344C" w:rsidRDefault="00AE1FF0" w:rsidP="00DA0486">
            <w:pPr>
              <w:pStyle w:val="RollCallTable"/>
            </w:pPr>
            <w:r>
              <w:t>Grégory Allione, Hristo Petrov, Jana Toom, Brigitte van den Berg, Marie-Pierre Vedrenne</w:t>
            </w:r>
          </w:p>
        </w:tc>
      </w:tr>
      <w:tr w:rsidR="00A513CD" w:rsidTr="00DA0486">
        <w:trPr>
          <w:cantSplit/>
        </w:trPr>
        <w:tc>
          <w:tcPr>
            <w:tcW w:w="1701" w:type="dxa"/>
            <w:shd w:val="clear" w:color="auto" w:fill="FFFFFF"/>
          </w:tcPr>
          <w:p w:rsidR="007867E9" w:rsidRPr="0074344C" w:rsidRDefault="00AE1FF0" w:rsidP="00DA0486">
            <w:pPr>
              <w:pStyle w:val="RollCallTable"/>
            </w:pPr>
            <w:r>
              <w:t>S&amp;D</w:t>
            </w:r>
          </w:p>
        </w:tc>
        <w:tc>
          <w:tcPr>
            <w:tcW w:w="7371" w:type="dxa"/>
            <w:shd w:val="clear" w:color="auto" w:fill="FFFFFF"/>
          </w:tcPr>
          <w:p w:rsidR="007867E9" w:rsidRPr="0074344C" w:rsidRDefault="00AE1FF0" w:rsidP="00DA0486">
            <w:pPr>
              <w:pStyle w:val="RollCallTable"/>
            </w:pPr>
            <w:r>
              <w:t>Marc Angel, Gabriele Bischoff, Vilija Blinkevičiūtė, Estelle Ceulemans, Johan Danielsson,</w:t>
            </w:r>
            <w:r>
              <w:t xml:space="preserve"> Isilda Gomes, Alicia Homs Ginel, Marit Maij, Aodhán Ó Ríordáin, Raffaele Topo, Marianne Vind</w:t>
            </w:r>
          </w:p>
        </w:tc>
      </w:tr>
      <w:tr w:rsidR="00A513CD" w:rsidTr="00DA0486">
        <w:trPr>
          <w:cantSplit/>
        </w:trPr>
        <w:tc>
          <w:tcPr>
            <w:tcW w:w="1701" w:type="dxa"/>
            <w:shd w:val="clear" w:color="auto" w:fill="FFFFFF"/>
          </w:tcPr>
          <w:p w:rsidR="007867E9" w:rsidRPr="0074344C" w:rsidRDefault="00AE1FF0" w:rsidP="00DA0486">
            <w:pPr>
              <w:pStyle w:val="RollCallTable"/>
            </w:pPr>
            <w:r>
              <w:t>The Left</w:t>
            </w:r>
          </w:p>
        </w:tc>
        <w:tc>
          <w:tcPr>
            <w:tcW w:w="7371" w:type="dxa"/>
            <w:shd w:val="clear" w:color="auto" w:fill="FFFFFF"/>
          </w:tcPr>
          <w:p w:rsidR="007867E9" w:rsidRPr="0074344C" w:rsidRDefault="00AE1FF0" w:rsidP="00DA0486">
            <w:pPr>
              <w:pStyle w:val="RollCallTable"/>
            </w:pPr>
            <w:r>
              <w:t>Konstantinos Arvanitis, Leila Chaibi, Per Clausen, Kathleen Funchion, Rudi Kennes</w:t>
            </w:r>
          </w:p>
        </w:tc>
      </w:tr>
      <w:tr w:rsidR="00A513CD" w:rsidTr="00DA0486">
        <w:trPr>
          <w:cantSplit/>
        </w:trPr>
        <w:tc>
          <w:tcPr>
            <w:tcW w:w="1701" w:type="dxa"/>
            <w:shd w:val="clear" w:color="auto" w:fill="FFFFFF"/>
          </w:tcPr>
          <w:p w:rsidR="007867E9" w:rsidRPr="0074344C" w:rsidRDefault="00AE1FF0" w:rsidP="00DA0486">
            <w:pPr>
              <w:pStyle w:val="RollCallTable"/>
            </w:pPr>
            <w:r>
              <w:t>Verts/ALE</w:t>
            </w:r>
          </w:p>
        </w:tc>
        <w:tc>
          <w:tcPr>
            <w:tcW w:w="7371" w:type="dxa"/>
            <w:shd w:val="clear" w:color="auto" w:fill="FFFFFF"/>
          </w:tcPr>
          <w:p w:rsidR="007867E9" w:rsidRPr="0074344C" w:rsidRDefault="00AE1FF0" w:rsidP="00DA0486">
            <w:pPr>
              <w:pStyle w:val="RollCallTable"/>
            </w:pPr>
            <w:r>
              <w:t>Katrin Langensiepen, Maria Ohisalo, Nela Riehl, Villy Søvnd</w:t>
            </w:r>
            <w:r>
              <w:t>al</w:t>
            </w:r>
          </w:p>
        </w:tc>
      </w:tr>
    </w:tbl>
    <w:p w:rsidR="007867E9" w:rsidRPr="0074344C" w:rsidRDefault="007867E9" w:rsidP="007867E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13CD" w:rsidTr="00DA0486">
        <w:trPr>
          <w:cantSplit/>
        </w:trPr>
        <w:tc>
          <w:tcPr>
            <w:tcW w:w="1701" w:type="dxa"/>
            <w:shd w:val="pct10" w:color="000000" w:fill="FFFFFF"/>
            <w:vAlign w:val="center"/>
          </w:tcPr>
          <w:p w:rsidR="007867E9" w:rsidRPr="0074344C" w:rsidRDefault="00AE1FF0" w:rsidP="00DA0486">
            <w:pPr>
              <w:pStyle w:val="RollCallVotes"/>
            </w:pPr>
            <w:r>
              <w:t>7</w:t>
            </w:r>
          </w:p>
        </w:tc>
        <w:tc>
          <w:tcPr>
            <w:tcW w:w="7371" w:type="dxa"/>
            <w:shd w:val="pct10" w:color="000000" w:fill="FFFFFF"/>
          </w:tcPr>
          <w:p w:rsidR="007867E9" w:rsidRPr="0074344C" w:rsidRDefault="00AE1FF0" w:rsidP="00DA0486">
            <w:pPr>
              <w:pStyle w:val="RollCallSymbols14pt"/>
            </w:pPr>
            <w:r>
              <w:t>-</w:t>
            </w:r>
          </w:p>
        </w:tc>
      </w:tr>
      <w:tr w:rsidR="00A513CD" w:rsidTr="00DA0486">
        <w:trPr>
          <w:cantSplit/>
        </w:trPr>
        <w:tc>
          <w:tcPr>
            <w:tcW w:w="1701" w:type="dxa"/>
            <w:shd w:val="clear" w:color="auto" w:fill="FFFFFF"/>
          </w:tcPr>
          <w:p w:rsidR="007867E9" w:rsidRPr="0074344C" w:rsidRDefault="00AE1FF0" w:rsidP="00DA0486">
            <w:pPr>
              <w:pStyle w:val="RollCallTable"/>
            </w:pPr>
            <w:r>
              <w:t>PfE</w:t>
            </w:r>
          </w:p>
        </w:tc>
        <w:tc>
          <w:tcPr>
            <w:tcW w:w="7371" w:type="dxa"/>
            <w:shd w:val="clear" w:color="auto" w:fill="FFFFFF"/>
          </w:tcPr>
          <w:p w:rsidR="007867E9" w:rsidRPr="0074344C" w:rsidRDefault="00AE1FF0" w:rsidP="00DA0486">
            <w:pPr>
              <w:pStyle w:val="RollCallTable"/>
            </w:pPr>
            <w:r>
              <w:t>Nikola Bartůšek, Rachel Blom, Mireia Borrás Pabón, Marie Dauchy, Mélanie Disdier, Pál Szekeres, Séverine Werbrouck</w:t>
            </w:r>
          </w:p>
        </w:tc>
      </w:tr>
    </w:tbl>
    <w:p w:rsidR="007867E9" w:rsidRPr="0074344C" w:rsidRDefault="007867E9" w:rsidP="007867E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513CD" w:rsidTr="00DA0486">
        <w:trPr>
          <w:cantSplit/>
        </w:trPr>
        <w:tc>
          <w:tcPr>
            <w:tcW w:w="1701" w:type="dxa"/>
            <w:shd w:val="pct10" w:color="000000" w:fill="FFFFFF"/>
            <w:vAlign w:val="center"/>
          </w:tcPr>
          <w:p w:rsidR="007867E9" w:rsidRPr="0074344C" w:rsidRDefault="00AE1FF0" w:rsidP="00DA0486">
            <w:pPr>
              <w:pStyle w:val="RollCallVotes"/>
            </w:pPr>
            <w:r>
              <w:t>1</w:t>
            </w:r>
          </w:p>
        </w:tc>
        <w:tc>
          <w:tcPr>
            <w:tcW w:w="7371" w:type="dxa"/>
            <w:shd w:val="pct10" w:color="000000" w:fill="FFFFFF"/>
          </w:tcPr>
          <w:p w:rsidR="007867E9" w:rsidRPr="0074344C" w:rsidRDefault="00AE1FF0" w:rsidP="00DA0486">
            <w:pPr>
              <w:pStyle w:val="RollCallSymbols14pt"/>
            </w:pPr>
            <w:r>
              <w:t>0</w:t>
            </w:r>
          </w:p>
        </w:tc>
      </w:tr>
      <w:tr w:rsidR="00A513CD" w:rsidTr="00DA0486">
        <w:trPr>
          <w:cantSplit/>
        </w:trPr>
        <w:tc>
          <w:tcPr>
            <w:tcW w:w="1701" w:type="dxa"/>
            <w:shd w:val="clear" w:color="auto" w:fill="FFFFFF"/>
          </w:tcPr>
          <w:p w:rsidR="007867E9" w:rsidRPr="0074344C" w:rsidRDefault="00AE1FF0" w:rsidP="00DA0486">
            <w:pPr>
              <w:pStyle w:val="RollCallTable"/>
            </w:pPr>
            <w:r>
              <w:t>ESN</w:t>
            </w:r>
          </w:p>
        </w:tc>
        <w:tc>
          <w:tcPr>
            <w:tcW w:w="7371" w:type="dxa"/>
            <w:shd w:val="clear" w:color="auto" w:fill="FFFFFF"/>
          </w:tcPr>
          <w:p w:rsidR="007867E9" w:rsidRPr="0074344C" w:rsidRDefault="00AE1FF0" w:rsidP="00DA0486">
            <w:pPr>
              <w:pStyle w:val="RollCallTable"/>
            </w:pPr>
            <w:r>
              <w:t>Petar Volgin</w:t>
            </w:r>
          </w:p>
        </w:tc>
      </w:tr>
    </w:tbl>
    <w:p w:rsidR="007867E9" w:rsidRDefault="007867E9" w:rsidP="00147FBF">
      <w:pPr>
        <w:pStyle w:val="Normal12a"/>
      </w:pPr>
    </w:p>
    <w:p w:rsidR="007867E9" w:rsidRDefault="00AE1FF0" w:rsidP="00B735E3">
      <w:r>
        <w:t>Significato dei simboli utilizzati:</w:t>
      </w:r>
    </w:p>
    <w:p w:rsidR="007867E9" w:rsidRDefault="00AE1FF0" w:rsidP="003858C5">
      <w:pPr>
        <w:pStyle w:val="RollCallTabs"/>
      </w:pPr>
      <w:r>
        <w:t>+</w:t>
      </w:r>
      <w:r>
        <w:tab/>
        <w:t>:</w:t>
      </w:r>
      <w:r>
        <w:tab/>
        <w:t>favorevoli</w:t>
      </w:r>
    </w:p>
    <w:p w:rsidR="007867E9" w:rsidRDefault="00AE1FF0" w:rsidP="003858C5">
      <w:pPr>
        <w:pStyle w:val="RollCallTabs"/>
      </w:pPr>
      <w:r>
        <w:t>-</w:t>
      </w:r>
      <w:r>
        <w:tab/>
        <w:t>:</w:t>
      </w:r>
      <w:r>
        <w:tab/>
        <w:t>contrari</w:t>
      </w:r>
    </w:p>
    <w:p w:rsidR="007867E9" w:rsidRDefault="00AE1FF0" w:rsidP="003858C5">
      <w:pPr>
        <w:pStyle w:val="RollCallTabs"/>
      </w:pPr>
      <w:r>
        <w:t>0</w:t>
      </w:r>
      <w:r>
        <w:tab/>
        <w:t>:</w:t>
      </w:r>
      <w:r>
        <w:tab/>
        <w:t>astenuti</w:t>
      </w:r>
    </w:p>
    <w:p w:rsidR="007867E9" w:rsidRDefault="007867E9" w:rsidP="00207509"/>
    <w:bookmarkEnd w:id="3"/>
    <w:p w:rsidR="00BF0AFC" w:rsidRPr="007867E9" w:rsidRDefault="00BF0AFC" w:rsidP="00F362B8"/>
    <w:sectPr w:rsidR="00BF0AFC" w:rsidRPr="007867E9" w:rsidSect="007867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E1FF0">
      <w:r>
        <w:separator/>
      </w:r>
    </w:p>
  </w:endnote>
  <w:endnote w:type="continuationSeparator" w:id="0">
    <w:p w:rsidR="00000000" w:rsidRDefault="00AE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2B8" w:rsidRDefault="00AE1FF0" w:rsidP="00F362B8">
    <w:pPr>
      <w:pStyle w:val="EPFooter"/>
    </w:pPr>
    <w:r>
      <w:t>PE</w:t>
    </w:r>
    <w:r w:rsidRPr="00AE1FF0">
      <w:rPr>
        <w:rStyle w:val="HideTWBExt"/>
      </w:rPr>
      <w:t>&lt;NoPE&gt;</w:t>
    </w:r>
    <w:r>
      <w:t>773.239</w:t>
    </w:r>
    <w:r w:rsidRPr="00AE1FF0">
      <w:rPr>
        <w:rStyle w:val="HideTWBExt"/>
      </w:rPr>
      <w:t>&lt;/NoPE&gt;&lt;Version&gt;</w:t>
    </w:r>
    <w:r>
      <w:t>v02-00</w:t>
    </w:r>
    <w:r w:rsidRPr="00AE1FF0">
      <w:rPr>
        <w:rStyle w:val="HideTWBExt"/>
      </w:rPr>
      <w:t>&lt;/Version&gt;</w:t>
    </w:r>
    <w:r>
      <w:tab/>
    </w:r>
    <w:r>
      <w:fldChar w:fldCharType="begin"/>
    </w:r>
    <w:r>
      <w:instrText xml:space="preserve"> PAGE  \* MERGEFORMAT </w:instrText>
    </w:r>
    <w:r>
      <w:fldChar w:fldCharType="separate"/>
    </w:r>
    <w:r>
      <w:rPr>
        <w:noProof/>
      </w:rPr>
      <w:t>18</w:t>
    </w:r>
    <w:r>
      <w:fldChar w:fldCharType="end"/>
    </w:r>
    <w:r>
      <w:t>/</w:t>
    </w:r>
    <w:r w:rsidR="007867E9">
      <w:fldChar w:fldCharType="begin"/>
    </w:r>
    <w:r>
      <w:instrText xml:space="preserve"> NUMPAGES  \* MERGEFORMAT </w:instrText>
    </w:r>
    <w:r w:rsidR="007867E9">
      <w:fldChar w:fldCharType="separate"/>
    </w:r>
    <w:r>
      <w:rPr>
        <w:noProof/>
      </w:rPr>
      <w:t>22</w:t>
    </w:r>
    <w:r w:rsidR="007867E9">
      <w:rPr>
        <w:noProof/>
      </w:rPr>
      <w:fldChar w:fldCharType="end"/>
    </w:r>
    <w:r>
      <w:tab/>
    </w:r>
    <w:r w:rsidRPr="00AE1FF0">
      <w:rPr>
        <w:rStyle w:val="HideTWBExt"/>
      </w:rPr>
      <w:t>&lt;PathFdR&gt;</w:t>
    </w:r>
    <w:r>
      <w:t>AD\1323587IT.docx</w:t>
    </w:r>
    <w:r w:rsidRPr="00AE1FF0">
      <w:rPr>
        <w:rStyle w:val="HideTWBExt"/>
      </w:rPr>
      <w:t>&lt;/PathFdR&gt;</w:t>
    </w:r>
  </w:p>
  <w:p w:rsidR="002E2F2E" w:rsidRPr="0093685B" w:rsidRDefault="00AE1FF0" w:rsidP="00F362B8">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2B8" w:rsidRDefault="00AE1FF0" w:rsidP="00F362B8">
    <w:pPr>
      <w:pStyle w:val="EPFooter"/>
    </w:pPr>
    <w:r w:rsidRPr="00AE1FF0">
      <w:rPr>
        <w:rStyle w:val="HideTWBExt"/>
      </w:rPr>
      <w:t>&lt;PathFdR&gt;</w:t>
    </w:r>
    <w:r>
      <w:t>AD\1323587IT.docx</w:t>
    </w:r>
    <w:r w:rsidRPr="00AE1FF0">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7867E9">
      <w:fldChar w:fldCharType="begin"/>
    </w:r>
    <w:r>
      <w:instrText xml:space="preserve"> NUMPAGES  \* MERGEFORMAT </w:instrText>
    </w:r>
    <w:r w:rsidR="007867E9">
      <w:fldChar w:fldCharType="separate"/>
    </w:r>
    <w:r>
      <w:rPr>
        <w:noProof/>
      </w:rPr>
      <w:t>22</w:t>
    </w:r>
    <w:r w:rsidR="007867E9">
      <w:rPr>
        <w:noProof/>
      </w:rPr>
      <w:fldChar w:fldCharType="end"/>
    </w:r>
    <w:r>
      <w:tab/>
      <w:t>PE</w:t>
    </w:r>
    <w:r w:rsidRPr="00AE1FF0">
      <w:rPr>
        <w:rStyle w:val="HideTWBExt"/>
      </w:rPr>
      <w:t>&lt;NoPE&gt;</w:t>
    </w:r>
    <w:r>
      <w:t>773.239</w:t>
    </w:r>
    <w:r w:rsidRPr="00AE1FF0">
      <w:rPr>
        <w:rStyle w:val="HideTWBExt"/>
      </w:rPr>
      <w:t>&lt;/NoPE&gt;&lt;Vers</w:t>
    </w:r>
    <w:r w:rsidRPr="00AE1FF0">
      <w:rPr>
        <w:rStyle w:val="HideTWBExt"/>
      </w:rPr>
      <w:t>ion&gt;</w:t>
    </w:r>
    <w:r>
      <w:t>v02-00</w:t>
    </w:r>
    <w:r w:rsidRPr="00AE1FF0">
      <w:rPr>
        <w:rStyle w:val="HideTWBExt"/>
      </w:rPr>
      <w:t>&lt;/Version&gt;</w:t>
    </w:r>
  </w:p>
  <w:p w:rsidR="002E2F2E" w:rsidRPr="0093685B" w:rsidRDefault="00AE1FF0" w:rsidP="00F362B8">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2B8" w:rsidRDefault="00AE1FF0" w:rsidP="00F362B8">
    <w:pPr>
      <w:pStyle w:val="EPFooter"/>
    </w:pPr>
    <w:r w:rsidRPr="00AE1FF0">
      <w:rPr>
        <w:rStyle w:val="HideTWBExt"/>
      </w:rPr>
      <w:t>&lt;PathFdR&gt;</w:t>
    </w:r>
    <w:r>
      <w:t>AD\1323587IT.docx</w:t>
    </w:r>
    <w:r w:rsidRPr="00AE1FF0">
      <w:rPr>
        <w:rStyle w:val="HideTWBExt"/>
      </w:rPr>
      <w:t>&lt;/PathFdR&gt;</w:t>
    </w:r>
    <w:r>
      <w:tab/>
    </w:r>
    <w:r>
      <w:tab/>
      <w:t>PE</w:t>
    </w:r>
    <w:r w:rsidRPr="00AE1FF0">
      <w:rPr>
        <w:rStyle w:val="HideTWBExt"/>
      </w:rPr>
      <w:t>&lt;NoPE&gt;</w:t>
    </w:r>
    <w:r>
      <w:t>773.239</w:t>
    </w:r>
    <w:r w:rsidRPr="00AE1FF0">
      <w:rPr>
        <w:rStyle w:val="HideTWBExt"/>
      </w:rPr>
      <w:t>&lt;/NoPE&gt;&lt;Version&gt;</w:t>
    </w:r>
    <w:r>
      <w:t>v02-00</w:t>
    </w:r>
    <w:r w:rsidRPr="00AE1FF0">
      <w:rPr>
        <w:rStyle w:val="HideTWBExt"/>
      </w:rPr>
      <w:t>&lt;/Version&gt;</w:t>
    </w:r>
  </w:p>
  <w:p w:rsidR="002E2F2E" w:rsidRPr="0093685B" w:rsidRDefault="00AE1FF0" w:rsidP="00F362B8">
    <w:pPr>
      <w:pStyle w:val="EPFooter2"/>
    </w:pPr>
    <w:r>
      <w:t>IT</w:t>
    </w:r>
    <w:r>
      <w:tab/>
    </w:r>
    <w:r w:rsidRPr="00F362B8">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E1FF0">
      <w:r>
        <w:separator/>
      </w:r>
    </w:p>
  </w:footnote>
  <w:footnote w:type="continuationSeparator" w:id="0">
    <w:p w:rsidR="00000000" w:rsidRDefault="00AE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7E9" w:rsidRDefault="00786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7E9" w:rsidRDefault="00786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7E9" w:rsidRDefault="00786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2"/>
    <w:docVar w:name="CJMNU" w:val="2"/>
    <w:docVar w:name="CODEMNU" w:val=" 1"/>
    <w:docVar w:name="COM2KEY" w:val="CJ38"/>
    <w:docVar w:name="COMKEY" w:val="EMPL"/>
    <w:docVar w:name="CONTRIBUTIONMNU" w:val=" 1"/>
    <w:docVar w:name="DDATE" w:val="08/05/2025"/>
    <w:docVar w:name="DOCREFINIMNU" w:val=" 1"/>
    <w:docVar w:name="FONCTIONMNU" w:val=" 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5\fbidi \froman\fcharset238\fprq2 Times New Roman CE;}{\f346\fbidi \froman\fcharset204\fprq2 Times New Roman Cyr;}_x000d__x000a_{\f348\fbidi \froman\fcharset161\fprq2 Times New Roman Greek;}{\f349\fbidi \froman\fcharset162\fprq2 Times New Roman Tur;}{\f350\fbidi \froman\fcharset177\fprq2 Times New Roman (Hebrew);}{\f351\fbidi \froman\fcharset178\fprq2 Times New Roman (Arabic);}_x000d__x000a_{\f352\fbidi \froman\fcharset186\fprq2 Times New Roman Baltic;}{\f353\fbidi \froman\fcharset163\fprq2 Times New Roman (Vietnamese);}{\f355\fbidi \fswiss\fcharset238\fprq2 Arial CE;}{\f356\fbidi \fswiss\fcharset204\fprq2 Arial Cyr;}_x000d__x000a_{\f358\fbidi \fswiss\fcharset161\fprq2 Arial Greek;}{\f359\fbidi \fswiss\fcharset162\fprq2 Arial Tur;}{\f360\fbidi \fswiss\fcharset177\fprq2 Arial (Hebrew);}{\f361\fbidi \fswiss\fcharset178\fprq2 Arial (Arabic);}_x000d__x000a_{\f362\fbidi \fswiss\fcharset186\fprq2 Arial Baltic;}{\f363\fbidi \fswiss\fcharset163\fprq2 Arial (Vietnamese);}{\f685\fbidi \froman\fcharset238\fprq2 Cambria Math CE;}{\f686\fbidi \froman\fcharset204\fprq2 Cambria Math Cyr;}_x000d__x000a_{\f688\fbidi \froman\fcharset161\fprq2 Cambria Math Greek;}{\f689\fbidi \froman\fcharset162\fprq2 Cambria Math Tur;}{\f692\fbidi \froman\fcharset186\fprq2 Cambria Math Baltic;}{\f69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83061 HideTWBExt;}{\*\cs18 \additive \v\f1\fs20\cf15 _x000d__x000a_\spriority0 \styrsid5183061 HideTWBInt;}{\s19\ql \li0\ri0\nowidctlpar\wrapdefault\aspalpha\aspnum\faauto\adjustright\rin0\lin0\itap0 \rtlch\fcs1 \af0\afs20\alang1025 \ltrch\fcs0 \b\fs24\lang2057\langfe2057\cgrid\langnp2057\langfenp2057 _x000d__x000a_\sbasedon0 \snext19 \spriority0 \styrsid5183061 NormalBold;}{\s20\ql \li0\ri0\sa120\nowidctlpar\wrapdefault\aspalpha\aspnum\faauto\adjustright\rin0\lin0\itap0 \rtlch\fcs1 \af0\afs20\alang1025 \ltrch\fcs0 _x000d__x000a_\fs24\lang2057\langfe2057\cgrid\langnp2057\langfenp2057 \sbasedon0 \snext20 \spriority0 \styrsid5183061 Normal6a;}{\s21\qc \li0\ri0\sa240\nowidctlpar\wrapdefault\aspalpha\aspnum\faauto\adjustright\rin0\lin0\itap0 \rtlch\fcs1 \af0\afs20\alang1025 _x000d__x000a_\ltrch\fcs0 \i\fs24\lang2057\langfe2057\cgrid\langnp2057\langfenp2057 \sbasedon0 \snext21 \spriority0 \styrsid518306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183061 AmNumberTabs;}{\s23\ql \li0\ri0\sb240\nowidctlpar\wrapdefault\aspalpha\aspnum\faauto\adjustright\rin0\lin0\itap0 \rtlch\fcs1 _x000d__x000a_\af0\afs20\alang1025 \ltrch\fcs0 \b\fs24\lang2057\langfe2057\cgrid\langnp2057\langfenp2057 \sbasedon0 \snext23 \spriority0 \styrsid5183061 NormalBold12b;}}{\*\rsidtbl \rsid24658\rsid223860\rsid735077\rsid752705\rsid1718133\rsid2892074\rsid3565327_x000d__x000a_\rsid4666813\rsid518306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ITENBERGER Andrea}{\operator LEITENBERGER Andrea}{\creatim\yr2025\mo7\dy2\hr16\min4}{\revtim\yr2025\mo7\dy2\hr16\min4}{\version1}{\edmins0}{\nofpages1}_x000d__x000a_{\nofwords26}{\nofchars207}{\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3061\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752705 \chftnsep _x000d__x000a_\par }}{\*\ftnsepc \ltrpar \pard\plain \ltrpar\ql \li0\ri0\widctlpar\wrapdefault\aspalpha\aspnum\faauto\adjustright\rin0\lin0\itap0 \rtlch\fcs1 \af0\afs20\alang1025 \ltrch\fcs0 \fs24\lang2057\langfe2057\cgrid\langnp2057\langfenp2057 {\rtlch\fcs1 \af0 _x000d__x000a_\ltrch\fcs0 \insrsid752705 \chftnsepc _x000d__x000a_\par }}{\*\aftnsep \ltrpar \pard\plain \ltrpar\ql \li0\ri0\widctlpar\wrapdefault\aspalpha\aspnum\faauto\adjustright\rin0\lin0\itap0 \rtlch\fcs1 \af0\afs20\alang1025 \ltrch\fcs0 \fs24\lang2057\langfe2057\cgrid\langnp2057\langfenp2057 {\rtlch\fcs1 \af0 _x000d__x000a_\ltrch\fcs0 \insrsid752705 \chftnsep _x000d__x000a_\par }}{\*\aftnsepc \ltrpar \pard\plain \ltrpar\ql \li0\ri0\widctlpar\wrapdefault\aspalpha\aspnum\faauto\adjustright\rin0\lin0\itap0 \rtlch\fcs1 \af0\afs20\alang1025 \ltrch\fcs0 \fs24\lang2057\langfe2057\cgrid\langnp2057\langfenp2057 {\rtlch\fcs1 \af0 _x000d__x000a_\ltrch\fcs0 \insrsid752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183061 \rtlch\fcs1 _x000d__x000a_\af0\afs20\alang1025 \ltrch\fcs0 \b\fs24\lang2057\langfe2057\cgrid\langnp2057\langfenp2057 {\rtlch\fcs1 \af0 \ltrch\fcs0 \cs17\b0\v\fs20\cf9\lang1024\langfe1024\loch\af1\hich\af1\dbch\af31501\noproof\insrsid5183061\charrsid12590789 {\*\bkmkstart restart}_x000d__x000a_\hich\af1\dbch\af31501\loch\f1 &lt;Amend&gt;}{\rtlch\fcs1 \af0 \ltrch\fcs0 \insrsid5183061\charrsid12590789 Amendment\tab \tab }{\rtlch\fcs1 \af0 \ltrch\fcs0 _x000d__x000a_\cs17\b0\v\fs20\cf9\lang1024\langfe1024\loch\af1\hich\af1\dbch\af31501\noproof\insrsid5183061\charrsid12590789 \hich\af1\dbch\af31501\loch\f1 &lt;NumAm&gt;}{\rtlch\fcs1 \af0 \ltrch\fcs0 \insrsid5183061\charrsid12590789 #}{\rtlch\fcs1 \af1 \ltrch\fcs0 _x000d__x000a_\cs18\v\f1\fs20\cf15\insrsid5183061\charrsid12590789 ENMIENDA@NRAM@}{\rtlch\fcs1 \af0 \ltrch\fcs0 \insrsid5183061\charrsid12590789 #}{\rtlch\fcs1 \af0 \ltrch\fcs0 _x000d__x000a_\cs17\b0\v\fs20\cf9\lang1024\langfe1024\loch\af1\hich\af1\dbch\af31501\noproof\insrsid5183061\charrsid12590789 \hich\af1\dbch\af31501\loch\f1 &lt;/NumAm&gt;}{\rtlch\fcs1 \af0 \ltrch\fcs0 \insrsid5183061\charrsid12590789 _x000d__x000a_\par }\pard\plain \ltrpar\s23\ql \li0\ri0\sb240\keepn\nowidctlpar\wrapdefault\aspalpha\aspnum\faauto\adjustright\rin0\lin0\itap0\pararsid5183061 \rtlch\fcs1 \af0\afs20\alang1025 \ltrch\fcs0 \b\fs24\lang2057\langfe2057\cgrid\langnp2057\langfenp2057 {_x000d__x000a_\rtlch\fcs1 \af0 \ltrch\fcs0 \cs17\b0\v\fs20\cf9\lang1024\langfe1024\loch\af1\hich\af1\dbch\af31501\noproof\insrsid5183061\charrsid12590789 \hich\af1\dbch\af31501\loch\f1 &lt;DocAmend&gt;}{\rtlch\fcs1 \af0 \ltrch\fcs0 \insrsid5183061\charrsid12590789 #}{_x000d__x000a_\rtlch\fcs1 \af1 \ltrch\fcs0 \cs18\v\f1\fs20\cf15\insrsid5183061\charrsid12590789 MNU[DOC1][DOC2][DOC3][DOC4]@CHOICE@DOCMNU}{\rtlch\fcs1 \af0 \ltrch\fcs0 \insrsid5183061\charrsid12590789 #}{\rtlch\fcs1 \af0 \ltrch\fcs0 _x000d__x000a_\cs17\b0\v\fs20\cf9\lang1024\langfe1024\loch\af1\hich\af1\dbch\af31501\noproof\insrsid5183061\charrsid12590789 \hich\af1\dbch\af31501\loch\f1 &lt;/DocAmend&gt;}{\rtlch\fcs1 \af0 \ltrch\fcs0 \insrsid5183061\charrsid12590789 _x000d__x000a_\par }\pard\plain \ltrpar\s19\ql \li0\ri0\nowidctlpar\wrapdefault\aspalpha\aspnum\faauto\adjustright\rin0\lin0\itap0\pararsid5183061 \rtlch\fcs1 \af0\afs20\alang1025 \ltrch\fcs0 \b\fs24\lang2057\langfe2057\cgrid\langnp2057\langfenp2057 {\rtlch\fcs1 \af0 _x000d__x000a_\ltrch\fcs0 \cs17\b0\v\fs20\cf9\lang1024\langfe1024\loch\af1\hich\af1\dbch\af31501\noproof\insrsid5183061\charrsid12590789 \hich\af1\dbch\af31501\loch\f1 &lt;Article&gt;}{\rtlch\fcs1 \af0 \ltrch\fcs0 \cf10\insrsid5183061\charrsid929758 \u9668\'3f}{\rtlch\fcs1 _x000d__x000a_\af0 \ltrch\fcs0 \insrsid5183061\charrsid12590789 #}{\rtlch\fcs1 \af1 \ltrch\fcs0 \cs18\v\f1\fs20\cf15\insrsid5183061\charrsid12590789 TVTAMACTPART@AMPART@}{\rtlch\fcs1 \af0 \ltrch\fcs0 \insrsid5183061\charrsid12590789 #}{\rtlch\fcs1 \af0 \ltrch\fcs0 _x000d__x000a_\cf10\insrsid5183061\charrsid929758 \u9658\'3f}{\rtlch\fcs1 \af0 \ltrch\fcs0 \cs17\b0\v\fs20\cf9\lang1024\langfe1024\loch\af1\hich\af1\dbch\af31501\noproof\insrsid5183061\charrsid12590789 \hich\af1\dbch\af31501\loch\f1 &lt;/Article&gt;}{\rtlch\fcs1 \af0 _x000d__x000a_\ltrch\fcs0 \insrsid5183061\charrsid12590789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5183061\charrsid12590789 \cell }\pard \ltrpar\ql \li0\ri0\widctlpar\intbl\wrapdefault\aspalpha\aspnum\faauto\adjustright\rin0\lin0 {\rtlch\fcs1 \af0 _x000d__x000a_\ltrch\fcs0 \insrsid5183061\charrsid12590789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5183061\charrsid12590789 #}{\rtlch\fcs1 \af1 \ltrch\fcs0 \cs18\v\f1\fs20\cf15\insrsid5183061\charrsid12590789 MNU[DOC1][DOC2][DOC3][DOC4]@CHOICE@DOCMNU}{\rtlch\fcs1 \af0 \ltrch\fcs0 \insrsid5183061\charrsid12590789 #\cell Amendment\cell _x000d__x000a_}\pard\plain \ltrpar\ql \li0\ri0\widctlpar\intbl\wrapdefault\aspalpha\aspnum\faauto\adjustright\rin0\lin0 \rtlch\fcs1 \af0\afs20\alang1025 \ltrch\fcs0 \fs24\lang2057\langfe2057\cgrid\langnp2057\langfenp2057 {\rtlch\fcs1 \af0 \ltrch\fcs0 _x000d__x000a_\insrsid5183061\charrsid12590789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5183061\charrsid12590789 ##\cell ##}{\rtlch\fcs1 \af0\afs24 \ltrch\fcs0 \insrsid5183061\charrsid12590789 \cell }\pard\plain \ltrpar\ql \li0\ri0\widctlpar\intbl\wrapdefault\aspalpha\aspnum\faauto\adjustright\rin0\lin0 _x000d__x000a_\rtlch\fcs1 \af0\afs20\alang1025 \ltrch\fcs0 \fs24\lang2057\langfe2057\cgrid\langnp2057\langfenp2057 {\rtlch\fcs1 \af0 \ltrch\fcs0 \insrsid5183061\charrsid12590789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183061 {\rtlch\fcs1 \af0 \ltrch\fcs0 \cs17\v\fs20\cf9\lang1024\langfe1024\loch\af1\hich\af1\dbch\af31501\noproof\insrsid5183061\charrsid12590789 _x000d__x000a_\hich\af1\dbch\af31501\loch\f1 &lt;/Amend&gt;}{\rtlch\fcs1 \af0 \ltrch\fcs0 \insrsid518306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8_x000d__x000a_78465a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5\fbidi \froman\fcharset238\fprq2 Times New Roman CE;}{\f346\fbidi \froman\fcharset204\fprq2 Times New Roman Cyr;}_x000d__x000a_{\f348\fbidi \froman\fcharset161\fprq2 Times New Roman Greek;}{\f349\fbidi \froman\fcharset162\fprq2 Times New Roman Tur;}{\f350\fbidi \froman\fcharset177\fprq2 Times New Roman (Hebrew);}{\f351\fbidi \froman\fcharset178\fprq2 Times New Roman (Arabic);}_x000d__x000a_{\f352\fbidi \froman\fcharset186\fprq2 Times New Roman Baltic;}{\f353\fbidi \froman\fcharset163\fprq2 Times New Roman (Vietnamese);}{\f355\fbidi \fswiss\fcharset238\fprq2 Arial CE;}{\f356\fbidi \fswiss\fcharset204\fprq2 Arial Cyr;}_x000d__x000a_{\f358\fbidi \fswiss\fcharset161\fprq2 Arial Greek;}{\f359\fbidi \fswiss\fcharset162\fprq2 Arial Tur;}{\f360\fbidi \fswiss\fcharset177\fprq2 Arial (Hebrew);}{\f361\fbidi \fswiss\fcharset178\fprq2 Arial (Arabic);}_x000d__x000a_{\f362\fbidi \fswiss\fcharset186\fprq2 Arial Baltic;}{\f363\fbidi \fswiss\fcharset163\fprq2 Arial (Vietnamese);}{\f685\fbidi \froman\fcharset238\fprq2 Cambria Math CE;}{\f686\fbidi \froman\fcharset204\fprq2 Cambria Math Cyr;}_x000d__x000a_{\f688\fbidi \froman\fcharset161\fprq2 Cambria Math Greek;}{\f689\fbidi \froman\fcharset162\fprq2 Cambria Math Tur;}{\f692\fbidi \froman\fcharset186\fprq2 Cambria Math Baltic;}{\f69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73788 HideTWBExt;}{_x000d__x000a_\s18\ql \li0\ri0\nowidctlpar\wrapdefault\aspalpha\aspnum\faauto\adjustright\rin0\lin0\itap0 \rtlch\fcs1 \af0\afs20\alang1025 \ltrch\fcs0 \b\fs24\lang2057\langfe2057\cgrid\langnp2057\langfenp2057 \sbasedon0 \snext18 \spriority0 \styrsid2973788 NormalBold;}_x000d__x000a_{\s19\ql \li0\ri0\sa120\nowidctlpar\wrapdefault\aspalpha\aspnum\faauto\adjustright\rin0\lin0\itap0 \rtlch\fcs1 \af0\afs20\alang1025 \ltrch\fcs0 \fs24\lang2057\langfe2057\cgrid\langnp2057\langfenp2057 \sbasedon0 \snext19 \spriority0 \styrsid2973788 _x000d__x000a_Normal6a;}{\s20\qc \li0\ri0\sa240\nowidctlpar\wrapdefault\aspalpha\aspnum\faauto\adjustright\rin0\lin0\itap0 \rtlch\fcs1 \af0\afs20\alang1025 \ltrch\fcs0 \i\fs24\lang2057\langfe2057\cgrid\langnp2057\langfenp2057 _x000d__x000a_\sbasedon0 \snext20 \spriority0 \styrsid29737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973788 AmNumberTabs;}{\s22\ql \li0\ri0\sb240\nowidctlpar\wrapdefault\aspalpha\aspnum\faauto\adjustright\rin0\lin0\itap0 \rtlch\fcs1 _x000d__x000a_\af0\afs20\alang1025 \ltrch\fcs0 \b\fs24\lang2057\langfe2057\cgrid\langnp2057\langfenp2057 \sbasedon0 \snext22 \spriority0 \styrsid2973788 NormalBold12b;}}{\*\rsidtbl \rsid24658\rsid223860\rsid735077\rsid863413\rsid1718133\rsid2892074\rsid297378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ITENBERGER Andrea}{\operator LEITENBERGER Andrea}{\creatim\yr2025\mo7\dy2\hr16\min4}{\revtim\yr2025\mo7\dy2\hr16\min4}{\version1}{\edmins0}{\nofpages1}_x000d__x000a_{\nofwords17}{\nofchars138}{\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73788\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863413 \chftnsep _x000d__x000a_\par }}{\*\ftnsepc \ltrpar \pard\plain \ltrpar\ql \li0\ri0\widctlpar\wrapdefault\aspalpha\aspnum\faauto\adjustright\rin0\lin0\itap0 \rtlch\fcs1 \af0\afs20\alang1025 \ltrch\fcs0 \fs24\lang2057\langfe2057\cgrid\langnp2057\langfenp2057 {\rtlch\fcs1 \af0 _x000d__x000a_\ltrch\fcs0 \insrsid863413 \chftnsepc _x000d__x000a_\par }}{\*\aftnsep \ltrpar \pard\plain \ltrpar\ql \li0\ri0\widctlpar\wrapdefault\aspalpha\aspnum\faauto\adjustright\rin0\lin0\itap0 \rtlch\fcs1 \af0\afs20\alang1025 \ltrch\fcs0 \fs24\lang2057\langfe2057\cgrid\langnp2057\langfenp2057 {\rtlch\fcs1 \af0 _x000d__x000a_\ltrch\fcs0 \insrsid863413 \chftnsep _x000d__x000a_\par }}{\*\aftnsepc \ltrpar \pard\plain \ltrpar\ql \li0\ri0\widctlpar\wrapdefault\aspalpha\aspnum\faauto\adjustright\rin0\lin0\itap0 \rtlch\fcs1 \af0\afs20\alang1025 \ltrch\fcs0 \fs24\lang2057\langfe2057\cgrid\langnp2057\langfenp2057 {\rtlch\fcs1 \af0 _x000d__x000a_\ltrch\fcs0 \insrsid863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973788 \rtlch\fcs1 _x000d__x000a_\af0\afs20\alang1025 \ltrch\fcs0 \b\fs24\lang2057\langfe2057\cgrid\langnp2057\langfenp2057 {\rtlch\fcs1 \af0 \ltrch\fcs0 \cs17\b0\v\fs20\cf9\lang1024\langfe1024\loch\af1\hich\af1\dbch\af31501\noproof\langnp1036\insrsid2973788\charrsid4291528 _x000d__x000a_{\*\bkmkstart restart}\hich\af1\dbch\af31501\loch\f1 &lt;Amend&gt;}{\rtlch\fcs1 \af0 \ltrch\fcs0 \lang1036\langfe2057\langnp1036\insrsid2973788\charrsid4291528 [ZAMENDMENT]\tab \tab }{\rtlch\fcs1 \af0 \ltrch\fcs0 _x000d__x000a_\cs17\b0\v\fs20\cf9\lang1024\langfe1024\loch\af1\hich\af1\dbch\af31501\noproof\langnp1036\insrsid2973788\charrsid4291528 \hich\af1\dbch\af31501\loch\f1 &lt;NumAm&gt;}{\rtlch\fcs1 \af0 \ltrch\fcs0 \lang1036\langfe2057\langnp1036\insrsid2973788\charrsid4291528 _x000d__x000a_[ZNRAM]}{\rtlch\fcs1 \af0 \ltrch\fcs0 \cs17\b0\v\fs20\cf9\lang1024\langfe1024\loch\af1\hich\af1\dbch\af31501\noproof\langnp1036\insrsid2973788\charrsid4291528 \hich\af1\dbch\af31501\loch\f1 &lt;/NumAm&gt;}{\rtlch\fcs1 \af0 \ltrch\fcs0 _x000d__x000a_\lang1036\langfe2057\langnp1036\insrsid2973788\charrsid4291528 _x000d__x000a_\par }\pard\plain \ltrpar\s22\ql \li0\ri0\sb240\keepn\nowidctlpar\wrapdefault\aspalpha\aspnum\faauto\adjustright\rin0\lin0\itap0\pararsid2973788 \rtlch\fcs1 \af0\afs20\alang1025 \ltrch\fcs0 \b\fs24\lang2057\langfe2057\cgrid\langnp2057\langfenp2057 {_x000d__x000a_\rtlch\fcs1 \af0 \ltrch\fcs0 \cs17\b0\v\fs20\cf9\lang1024\langfe1024\loch\af1\hich\af1\dbch\af31501\noproof\langnp1036\insrsid2973788\charrsid4291528 \hich\af1\dbch\af31501\loch\f1 &lt;DocAmend&gt;}{\rtlch\fcs1 \af0 \ltrch\fcs0 _x000d__x000a_\lang1036\langfe2057\langnp1036\insrsid2973788\charrsid4291528 [}{\rtlch\fcs1 \af0 \ltrch\fcs0 \lang1036\langfe2057\langnp1036\insrsid2973788\charrsid3548259 ZPROPOSAL}{\rtlch\fcs1 \af0 \ltrch\fcs0 _x000d__x000a_\lang1036\langfe2057\langnp1036\insrsid2973788\charrsid4291528 ]}{\rtlch\fcs1 \af0 \ltrch\fcs0 \cs17\b0\v\fs20\cf9\lang1024\langfe1024\loch\af1\hich\af1\dbch\af31501\noproof\langnp1036\insrsid2973788\charrsid4291528 \hich\af1\dbch\af31501\loch\f1 _x000d__x000a_&lt;/DocAmend&gt;}{\rtlch\fcs1 \af0 \ltrch\fcs0 \lang1036\langfe2057\langnp1036\insrsid2973788\charrsid4291528 _x000d__x000a_\par }\pard\plain \ltrpar\s18\ql \li0\ri0\nowidctlpar\wrapdefault\aspalpha\aspnum\faauto\adjustright\rin0\lin0\itap0\pararsid2973788 \rtlch\fcs1 \af0\afs20\alang1025 \ltrch\fcs0 \b\fs24\lang2057\langfe2057\cgrid\langnp2057\langfenp2057 {\rtlch\fcs1 \af0 _x000d__x000a_\ltrch\fcs0 \cs17\b0\v\fs20\cf9\lang1024\langfe1024\loch\af1\hich\af1\dbch\af31501\noproof\langnp1036\insrsid2973788\charrsid4291528 \hich\af1\dbch\af31501\loch\f1 &lt;Article&gt;}{\rtlch\fcs1 \af0 \ltrch\fcs0 _x000d__x000a_\lang1036\langfe2057\langnp1036\insrsid2973788\charrsid4291528 [ZAMPART]}{\rtlch\fcs1 \af0 \ltrch\fcs0 \cs17\b0\v\fs20\cf9\lang1024\langfe1024\loch\af1\hich\af1\dbch\af31501\noproof\langnp1036\insrsid2973788\charrsid4291528 \hich\af1\dbch\af31501\loch\f1 _x000d__x000a_&lt;/Article&gt;}{\rtlch\fcs1 \af0 \ltrch\fcs0 \lang1036\langfe2057\langnp1036\insrsid2973788\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2973788\charrsid4291528 \cell }\pard \ltrpar_x000d__x000a_\ql \li0\ri0\widctlpar\intbl\wrapdefault\aspalpha\aspnum\faauto\adjustright\rin0\lin0 {\rtlch\fcs1 \af0 \ltrch\fcs0 \insrsid2973788\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2973788\charrsid6708014 [ZLEFT]\cell [ZRIGHT]\cell }\pard\plain \ltrpar\ql \li0\ri0\widctlpar\intbl\wrapdefault\aspalpha\aspnum\faauto\adjustright\rin0\lin0 \rtlch\fcs1 \af0\afs20\alang1025 \ltrch\fcs0 _x000d__x000a_\fs24\lang2057\langfe2057\cgrid\langnp2057\langfenp2057 {\rtlch\fcs1 \af0 \ltrch\fcs0 \insrsid2973788\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2973788\charrsid6708014 [ZTEXTL]\cell [ZTEXTR]}{\rtlch\fcs1 \af0\afs24 \ltrch\fcs0 \insrsid2973788\charrsid6708014 \cell }\pard\plain \ltrpar\ql \li0\ri0\widctlpar\intbl\wrapdefault\aspalpha\aspnum\faauto\adjustright\rin0\lin0 \rtlch\fcs1 _x000d__x000a_\af0\afs20\alang1025 \ltrch\fcs0 \fs24\lang2057\langfe2057\cgrid\langnp2057\langfenp2057 {\rtlch\fcs1 \af0 \ltrch\fcs0 \insrsid2973788\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973788 {\rtlch\fcs1 \af0 \ltrch\fcs0 \cs17\v\fs20\cf9\lang1024\langfe1024\loch\af1\hich\af1\dbch\af31501\noproof\insrsid2973788\charrsid6708014 _x000d__x000a_\hich\af1\dbch\af31501\loch\f1 &lt;/Amend&gt;}{\rtlch\fcs1 \af0 \ltrch\fcs0 \insrsid29737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0_x000d__x000a_bb495a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IT"/>
    <w:docVar w:name="TXTLANGUEMIN" w:val="it"/>
    <w:docVar w:name="TXTNRPE" w:val="773.239"/>
    <w:docVar w:name="TXTNRPROC" w:val="2024/2108"/>
    <w:docVar w:name="TXTPEorAP" w:val="PE"/>
    <w:docVar w:name="TXTROUTE" w:val="AD\1323587IT.docx"/>
    <w:docVar w:name="TXTTITLE" w:val="Implementation of the EU-UK Trade and Cooperation Agreement"/>
    <w:docVar w:name="TXTVERSION" w:val="02-00"/>
  </w:docVars>
  <w:rsids>
    <w:rsidRoot w:val="00C01EC5"/>
    <w:rsid w:val="0001273B"/>
    <w:rsid w:val="00037518"/>
    <w:rsid w:val="000926F1"/>
    <w:rsid w:val="00093E7C"/>
    <w:rsid w:val="000A7215"/>
    <w:rsid w:val="000C7361"/>
    <w:rsid w:val="000E5926"/>
    <w:rsid w:val="000E7EBF"/>
    <w:rsid w:val="00124F60"/>
    <w:rsid w:val="00135121"/>
    <w:rsid w:val="00140BE6"/>
    <w:rsid w:val="00147F4E"/>
    <w:rsid w:val="00147FBF"/>
    <w:rsid w:val="00154DD0"/>
    <w:rsid w:val="0016635E"/>
    <w:rsid w:val="001746D0"/>
    <w:rsid w:val="001817C3"/>
    <w:rsid w:val="001B7393"/>
    <w:rsid w:val="001D2ED9"/>
    <w:rsid w:val="001D42BC"/>
    <w:rsid w:val="001D5C56"/>
    <w:rsid w:val="001F21C1"/>
    <w:rsid w:val="00207509"/>
    <w:rsid w:val="002B1154"/>
    <w:rsid w:val="002B2C72"/>
    <w:rsid w:val="002D28A7"/>
    <w:rsid w:val="002E2F2E"/>
    <w:rsid w:val="002E4AA3"/>
    <w:rsid w:val="002E6F98"/>
    <w:rsid w:val="00325BCB"/>
    <w:rsid w:val="00331944"/>
    <w:rsid w:val="00332AD9"/>
    <w:rsid w:val="003402B9"/>
    <w:rsid w:val="00347D2C"/>
    <w:rsid w:val="00362463"/>
    <w:rsid w:val="0037356F"/>
    <w:rsid w:val="003858C5"/>
    <w:rsid w:val="00390EB2"/>
    <w:rsid w:val="00396A0E"/>
    <w:rsid w:val="003E2402"/>
    <w:rsid w:val="003F4CF8"/>
    <w:rsid w:val="00444848"/>
    <w:rsid w:val="004667D1"/>
    <w:rsid w:val="00485C5C"/>
    <w:rsid w:val="004B53F7"/>
    <w:rsid w:val="004C28FB"/>
    <w:rsid w:val="004C44C0"/>
    <w:rsid w:val="0052544E"/>
    <w:rsid w:val="005606DC"/>
    <w:rsid w:val="005940C3"/>
    <w:rsid w:val="00594C48"/>
    <w:rsid w:val="005B2F11"/>
    <w:rsid w:val="005C0BDF"/>
    <w:rsid w:val="005D60C6"/>
    <w:rsid w:val="006102E7"/>
    <w:rsid w:val="00640C1B"/>
    <w:rsid w:val="00657AFB"/>
    <w:rsid w:val="006D5BF7"/>
    <w:rsid w:val="006D6426"/>
    <w:rsid w:val="0074344C"/>
    <w:rsid w:val="00743F19"/>
    <w:rsid w:val="0075404C"/>
    <w:rsid w:val="0078559E"/>
    <w:rsid w:val="007867E9"/>
    <w:rsid w:val="0078707D"/>
    <w:rsid w:val="00787F75"/>
    <w:rsid w:val="00802975"/>
    <w:rsid w:val="008134D1"/>
    <w:rsid w:val="008313E7"/>
    <w:rsid w:val="00854CAC"/>
    <w:rsid w:val="008A32C5"/>
    <w:rsid w:val="008A5EA1"/>
    <w:rsid w:val="008C6203"/>
    <w:rsid w:val="008D3158"/>
    <w:rsid w:val="008D61E7"/>
    <w:rsid w:val="008F7002"/>
    <w:rsid w:val="009127B9"/>
    <w:rsid w:val="00913C68"/>
    <w:rsid w:val="0093685B"/>
    <w:rsid w:val="00954CE0"/>
    <w:rsid w:val="0099178F"/>
    <w:rsid w:val="0099493F"/>
    <w:rsid w:val="009B2B17"/>
    <w:rsid w:val="00A16BEA"/>
    <w:rsid w:val="00A312B3"/>
    <w:rsid w:val="00A47E2F"/>
    <w:rsid w:val="00A513CD"/>
    <w:rsid w:val="00A72C35"/>
    <w:rsid w:val="00AB07A4"/>
    <w:rsid w:val="00AB143E"/>
    <w:rsid w:val="00AE180F"/>
    <w:rsid w:val="00AE1FF0"/>
    <w:rsid w:val="00B212BF"/>
    <w:rsid w:val="00B362F7"/>
    <w:rsid w:val="00B5456B"/>
    <w:rsid w:val="00B60BF2"/>
    <w:rsid w:val="00B735E3"/>
    <w:rsid w:val="00B74B53"/>
    <w:rsid w:val="00BC26E4"/>
    <w:rsid w:val="00BD1EAA"/>
    <w:rsid w:val="00BD70D7"/>
    <w:rsid w:val="00BF0AFC"/>
    <w:rsid w:val="00C01EC5"/>
    <w:rsid w:val="00C36610"/>
    <w:rsid w:val="00C460AC"/>
    <w:rsid w:val="00C52739"/>
    <w:rsid w:val="00C827FF"/>
    <w:rsid w:val="00C85D0F"/>
    <w:rsid w:val="00CD34AC"/>
    <w:rsid w:val="00D25A9F"/>
    <w:rsid w:val="00D318E7"/>
    <w:rsid w:val="00D331C2"/>
    <w:rsid w:val="00D7202C"/>
    <w:rsid w:val="00D7238E"/>
    <w:rsid w:val="00DA0486"/>
    <w:rsid w:val="00DA3A16"/>
    <w:rsid w:val="00DA6AF7"/>
    <w:rsid w:val="00DD3AC9"/>
    <w:rsid w:val="00DE19FF"/>
    <w:rsid w:val="00E24162"/>
    <w:rsid w:val="00E81BA6"/>
    <w:rsid w:val="00E856D2"/>
    <w:rsid w:val="00E929A7"/>
    <w:rsid w:val="00E9312B"/>
    <w:rsid w:val="00EA1723"/>
    <w:rsid w:val="00EB1B9B"/>
    <w:rsid w:val="00F362B8"/>
    <w:rsid w:val="00F57D9A"/>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A4801"/>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it-IT"/>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7867E9"/>
    <w:pPr>
      <w:widowControl/>
    </w:pPr>
    <w:rPr>
      <w:rFonts w:eastAsiaTheme="minorHAnsi"/>
      <w:szCs w:val="24"/>
    </w:rPr>
  </w:style>
  <w:style w:type="paragraph" w:customStyle="1" w:styleId="title-bold">
    <w:name w:val="title-bold"/>
    <w:basedOn w:val="Normal"/>
    <w:rsid w:val="007867E9"/>
    <w:pPr>
      <w:widowControl/>
      <w:spacing w:before="100" w:beforeAutospacing="1" w:after="100" w:afterAutospacing="1"/>
    </w:pPr>
    <w:rPr>
      <w:szCs w:val="24"/>
    </w:rPr>
  </w:style>
  <w:style w:type="paragraph" w:customStyle="1" w:styleId="Normal24a">
    <w:name w:val="Normal24a"/>
    <w:basedOn w:val="Normal"/>
    <w:rsid w:val="007867E9"/>
    <w:pPr>
      <w:spacing w:after="480"/>
    </w:pPr>
    <w:rPr>
      <w:szCs w:val="24"/>
    </w:rPr>
  </w:style>
  <w:style w:type="paragraph" w:customStyle="1" w:styleId="NormalBoldCenter">
    <w:name w:val="NormalBoldCenter"/>
    <w:basedOn w:val="Normal"/>
    <w:rsid w:val="007867E9"/>
    <w:pPr>
      <w:jc w:val="center"/>
    </w:pPr>
    <w:rPr>
      <w:b/>
      <w:szCs w:val="24"/>
    </w:rPr>
  </w:style>
  <w:style w:type="paragraph" w:customStyle="1" w:styleId="Footprint12b">
    <w:name w:val="Footprint12b"/>
    <w:basedOn w:val="Normal"/>
    <w:rsid w:val="007867E9"/>
    <w:pPr>
      <w:spacing w:before="240"/>
    </w:pPr>
    <w:rPr>
      <w:szCs w:val="24"/>
    </w:rPr>
  </w:style>
  <w:style w:type="paragraph" w:customStyle="1" w:styleId="NormalSingle">
    <w:name w:val="NormalSingle"/>
    <w:basedOn w:val="Normal"/>
    <w:qFormat/>
    <w:rsid w:val="007867E9"/>
    <w:rPr>
      <w:szCs w:val="24"/>
    </w:rPr>
  </w:style>
  <w:style w:type="paragraph" w:customStyle="1" w:styleId="RollCallSymbols14pt">
    <w:name w:val="RollCallSymbols14pt"/>
    <w:basedOn w:val="Normal"/>
    <w:rsid w:val="007867E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867E9"/>
    <w:pPr>
      <w:tabs>
        <w:tab w:val="center" w:pos="284"/>
        <w:tab w:val="left" w:pos="426"/>
      </w:tabs>
    </w:pPr>
    <w:rPr>
      <w:snapToGrid w:val="0"/>
      <w:lang w:eastAsia="en-US"/>
    </w:rPr>
  </w:style>
  <w:style w:type="paragraph" w:customStyle="1" w:styleId="RollCallVotes">
    <w:name w:val="RollCallVotes"/>
    <w:basedOn w:val="Normal"/>
    <w:rsid w:val="007867E9"/>
    <w:pPr>
      <w:spacing w:before="120" w:after="120"/>
      <w:jc w:val="center"/>
    </w:pPr>
    <w:rPr>
      <w:b/>
      <w:bCs/>
      <w:snapToGrid w:val="0"/>
      <w:sz w:val="16"/>
      <w:lang w:eastAsia="en-US"/>
    </w:rPr>
  </w:style>
  <w:style w:type="paragraph" w:customStyle="1" w:styleId="RollCallTable">
    <w:name w:val="RollCallTable"/>
    <w:basedOn w:val="Normal"/>
    <w:rsid w:val="007867E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ec/2023/698/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data.europa.eu/eli/dir/2014/36/o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dec/2023/1460/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4420</Words>
  <Characters>26742</Characters>
  <Application>Microsoft Office Word</Application>
  <DocSecurity>0</DocSecurity>
  <Lines>1028</Lines>
  <Paragraphs>338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2025-05-12T12:46:00Z</cp:lastPrinted>
  <dcterms:created xsi:type="dcterms:W3CDTF">2025-07-11T09:53:00Z</dcterms:created>
  <dcterms:modified xsi:type="dcterms:W3CDTF">2025-07-11T09:53:00Z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- 2025/07/11 11:53</vt:lpwstr>
  </property>
  <property fmtid="{D5CDD505-2E9C-101B-9397-08002B2CF9AE}" pid="9" name="Created with">
    <vt:lpwstr>10.1.1 Build [20250421]</vt:lpwstr>
  </property>
  <property fmtid="{D5CDD505-2E9C-101B-9397-08002B2CF9AE}" pid="10" name="FooterPath">
    <vt:lpwstr>AD\1323587IT.docx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773.239</vt:lpwstr>
  </property>
  <property fmtid="{D5CDD505-2E9C-101B-9397-08002B2CF9AE}" pid="14" name="SDLStudio">
    <vt:lpwstr/>
  </property>
  <property fmtid="{D5CDD505-2E9C-101B-9397-08002B2CF9AE}" pid="15" name="SendToEpades">
    <vt:lpwstr>OK - 2025/05/08 10:26</vt:lpwstr>
  </property>
</Properties>
</file>