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2488"/>
      </w:tblGrid>
      <w:tr w:rsidR="00A5717A" w:rsidRPr="009055EA" w14:paraId="29FB1AF0" w14:textId="77777777">
        <w:trPr>
          <w:trHeight w:hRule="exact" w:val="1420"/>
        </w:trPr>
        <w:tc>
          <w:tcPr>
            <w:tcW w:w="6804" w:type="dxa"/>
            <w:vAlign w:val="center"/>
          </w:tcPr>
          <w:p w14:paraId="5FF72C54" w14:textId="77777777" w:rsidR="00A5717A" w:rsidRPr="009055EA" w:rsidRDefault="00A77B3E">
            <w:pPr>
              <w:pStyle w:val="EPName"/>
            </w:pPr>
            <w:r w:rsidRPr="009055EA">
              <w:t>Evropský parlament</w:t>
            </w:r>
          </w:p>
          <w:p w14:paraId="286C7379" w14:textId="77777777" w:rsidR="00A5717A" w:rsidRPr="009055EA" w:rsidRDefault="00E86018">
            <w:pPr>
              <w:pStyle w:val="EPTerm"/>
            </w:pPr>
            <w:r w:rsidRPr="009055EA">
              <w:t>2019-2024</w:t>
            </w:r>
          </w:p>
        </w:tc>
        <w:tc>
          <w:tcPr>
            <w:tcW w:w="2488" w:type="dxa"/>
          </w:tcPr>
          <w:p w14:paraId="6396C471" w14:textId="77777777" w:rsidR="00A5717A" w:rsidRPr="009055EA" w:rsidRDefault="00E86018">
            <w:pPr>
              <w:pStyle w:val="EPLogo"/>
            </w:pPr>
            <w:r w:rsidRPr="009055EA">
              <w:rPr>
                <w:noProof/>
                <w:lang w:val="en-GB"/>
              </w:rPr>
              <w:drawing>
                <wp:inline distT="0" distB="0" distL="0" distR="0" wp14:anchorId="6B559286" wp14:editId="4CE31C7C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93373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4534A4" w14:textId="77777777" w:rsidR="00A5717A" w:rsidRPr="009055EA" w:rsidRDefault="00A5717A">
      <w:pPr>
        <w:pStyle w:val="LineTop"/>
      </w:pPr>
    </w:p>
    <w:p w14:paraId="77014E0B" w14:textId="1B097318" w:rsidR="00A5717A" w:rsidRPr="009055EA" w:rsidRDefault="00E86018">
      <w:pPr>
        <w:pStyle w:val="EPBody"/>
      </w:pPr>
      <w:r w:rsidRPr="009055EA">
        <w:rPr>
          <w:rStyle w:val="HideTWBExt"/>
        </w:rPr>
        <w:t>&lt;Commission&gt;</w:t>
      </w:r>
      <w:r w:rsidRPr="009055EA">
        <w:rPr>
          <w:rStyle w:val="HideTWBInt"/>
        </w:rPr>
        <w:t>{FEMM}</w:t>
      </w:r>
      <w:r w:rsidRPr="009055EA">
        <w:t>Výbor pro práva žen a rovnost pohlaví</w:t>
      </w:r>
      <w:r w:rsidRPr="009055EA">
        <w:rPr>
          <w:rStyle w:val="HideTWBExt"/>
        </w:rPr>
        <w:t>&lt;/Commission&gt;</w:t>
      </w:r>
    </w:p>
    <w:p w14:paraId="081BED5E" w14:textId="77777777" w:rsidR="00A5717A" w:rsidRPr="009055EA" w:rsidRDefault="00A5717A">
      <w:pPr>
        <w:pStyle w:val="LineBottom"/>
      </w:pPr>
    </w:p>
    <w:p w14:paraId="326DDBE2" w14:textId="77777777" w:rsidR="00A5717A" w:rsidRPr="009055EA" w:rsidRDefault="00E86018">
      <w:pPr>
        <w:pStyle w:val="CoverReference"/>
      </w:pPr>
      <w:r w:rsidRPr="009055EA">
        <w:rPr>
          <w:rStyle w:val="HideTWBExt"/>
        </w:rPr>
        <w:t>&lt;RefProc&gt;</w:t>
      </w:r>
      <w:r w:rsidRPr="009055EA">
        <w:t>2023/2066(INI)</w:t>
      </w:r>
      <w:r w:rsidRPr="009055EA">
        <w:rPr>
          <w:rStyle w:val="HideTWBExt"/>
        </w:rPr>
        <w:t>&lt;/RefProc&gt;</w:t>
      </w:r>
    </w:p>
    <w:p w14:paraId="3B993170" w14:textId="78B1EF54" w:rsidR="00A5717A" w:rsidRPr="009055EA" w:rsidRDefault="006C2D31">
      <w:pPr>
        <w:pStyle w:val="CoverDate"/>
      </w:pPr>
      <w:r w:rsidRPr="009055EA">
        <w:rPr>
          <w:rStyle w:val="HideTWBExt"/>
        </w:rPr>
        <w:t>&lt;Date&gt;</w:t>
      </w:r>
      <w:r w:rsidRPr="009055EA">
        <w:rPr>
          <w:rStyle w:val="HideTWBInt"/>
        </w:rPr>
        <w:t>{28/09/2023}</w:t>
      </w:r>
      <w:r w:rsidRPr="009055EA">
        <w:t>28.9.2023</w:t>
      </w:r>
      <w:r w:rsidRPr="009055EA">
        <w:rPr>
          <w:rStyle w:val="HideTWBExt"/>
        </w:rPr>
        <w:t>&lt;/Date&gt;</w:t>
      </w:r>
    </w:p>
    <w:p w14:paraId="7F0A6256" w14:textId="574DDD9C" w:rsidR="00A5717A" w:rsidRPr="009055EA" w:rsidRDefault="00E86018">
      <w:pPr>
        <w:pStyle w:val="CoverDocType24a"/>
      </w:pPr>
      <w:r w:rsidRPr="009055EA">
        <w:rPr>
          <w:rStyle w:val="HideTWBExt"/>
        </w:rPr>
        <w:t>&lt;TitreType&gt;</w:t>
      </w:r>
      <w:r w:rsidRPr="009055EA">
        <w:t>STANOVISKO</w:t>
      </w:r>
      <w:r w:rsidRPr="009055EA">
        <w:rPr>
          <w:rStyle w:val="HideTWBExt"/>
        </w:rPr>
        <w:t>&lt;/TitreType&gt;</w:t>
      </w:r>
    </w:p>
    <w:p w14:paraId="4C6B767A" w14:textId="5C60B96C" w:rsidR="00A5717A" w:rsidRPr="009055EA" w:rsidRDefault="00E86018">
      <w:pPr>
        <w:pStyle w:val="CoverNormal24a"/>
      </w:pPr>
      <w:r w:rsidRPr="009055EA">
        <w:rPr>
          <w:rStyle w:val="HideTWBExt"/>
        </w:rPr>
        <w:t>&lt;CommissionResp&gt;</w:t>
      </w:r>
      <w:r w:rsidRPr="009055EA">
        <w:t>Výboru pro práva žen a rovnost pohlaví</w:t>
      </w:r>
      <w:r w:rsidRPr="009055EA">
        <w:rPr>
          <w:rStyle w:val="HideTWBExt"/>
        </w:rPr>
        <w:t>&lt;/CommissionResp&gt;</w:t>
      </w:r>
    </w:p>
    <w:p w14:paraId="51ACFC43" w14:textId="77777777" w:rsidR="00A5717A" w:rsidRPr="009055EA" w:rsidRDefault="00E86018">
      <w:pPr>
        <w:pStyle w:val="CoverNormal24a"/>
      </w:pPr>
      <w:r w:rsidRPr="009055EA">
        <w:rPr>
          <w:rStyle w:val="HideTWBExt"/>
        </w:rPr>
        <w:t>&lt;CommissionInt&gt;</w:t>
      </w:r>
      <w:r w:rsidRPr="009055EA">
        <w:t>pro Výbor pro zaměstnanost a sociální věci</w:t>
      </w:r>
      <w:r w:rsidRPr="009055EA">
        <w:rPr>
          <w:rStyle w:val="HideTWBExt"/>
        </w:rPr>
        <w:t>&lt;/CommissionInt&gt;</w:t>
      </w:r>
    </w:p>
    <w:p w14:paraId="74567D4A" w14:textId="77777777" w:rsidR="00A5717A" w:rsidRPr="009055EA" w:rsidRDefault="00E86018">
      <w:pPr>
        <w:pStyle w:val="CoverNormal"/>
      </w:pPr>
      <w:r w:rsidRPr="009055EA">
        <w:rPr>
          <w:rStyle w:val="HideTWBExt"/>
        </w:rPr>
        <w:t>&lt;Titre&gt;</w:t>
      </w:r>
      <w:r w:rsidRPr="009055EA">
        <w:t>ke snižování nerovností a podpoře sociálního začlenění dětí a jejich rodin v době krize</w:t>
      </w:r>
      <w:r w:rsidRPr="009055EA">
        <w:rPr>
          <w:rStyle w:val="HideTWBExt"/>
        </w:rPr>
        <w:t>&lt;/Titre&gt;</w:t>
      </w:r>
    </w:p>
    <w:p w14:paraId="35116FC0" w14:textId="77777777" w:rsidR="00A5717A" w:rsidRPr="009055EA" w:rsidRDefault="00E86018">
      <w:pPr>
        <w:pStyle w:val="CoverNormal24a"/>
      </w:pPr>
      <w:r w:rsidRPr="009055EA">
        <w:rPr>
          <w:rStyle w:val="HideTWBExt"/>
        </w:rPr>
        <w:t>&lt;DocRef&gt;</w:t>
      </w:r>
      <w:r w:rsidRPr="009055EA">
        <w:t>(2023/2066(INI))</w:t>
      </w:r>
      <w:r w:rsidRPr="009055EA">
        <w:rPr>
          <w:rStyle w:val="HideTWBExt"/>
        </w:rPr>
        <w:t>&lt;/DocRef&gt;</w:t>
      </w:r>
    </w:p>
    <w:p w14:paraId="78F8F9EE" w14:textId="77777777" w:rsidR="00A5717A" w:rsidRPr="009055EA" w:rsidRDefault="00E86018">
      <w:pPr>
        <w:pStyle w:val="CoverNormal24a"/>
      </w:pPr>
      <w:r w:rsidRPr="009055EA">
        <w:t xml:space="preserve">Zpravodajka: </w:t>
      </w:r>
      <w:r w:rsidRPr="009055EA">
        <w:rPr>
          <w:rStyle w:val="HideTWBExt"/>
        </w:rPr>
        <w:t>&lt;Depute&gt;</w:t>
      </w:r>
      <w:r w:rsidRPr="009055EA">
        <w:t>Ewa Kopacz</w:t>
      </w:r>
      <w:r w:rsidRPr="009055EA">
        <w:rPr>
          <w:rStyle w:val="HideTWBExt"/>
        </w:rPr>
        <w:t>&lt;/Depute&gt;</w:t>
      </w:r>
    </w:p>
    <w:p w14:paraId="02990FDC" w14:textId="77777777" w:rsidR="00A5717A" w:rsidRPr="009055EA" w:rsidRDefault="00E86018">
      <w:r w:rsidRPr="009055EA">
        <w:br w:type="page"/>
      </w:r>
      <w:r w:rsidRPr="009055EA">
        <w:lastRenderedPageBreak/>
        <w:t>PA_NonLeg</w:t>
      </w:r>
    </w:p>
    <w:p w14:paraId="450209B8" w14:textId="77777777" w:rsidR="00A5717A" w:rsidRPr="009055EA" w:rsidRDefault="00E86018">
      <w:pPr>
        <w:sectPr w:rsidR="00A5717A" w:rsidRPr="009055EA" w:rsidSect="009055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20"/>
          <w:titlePg/>
          <w:docGrid w:linePitch="360"/>
        </w:sectPr>
      </w:pPr>
      <w:bookmarkStart w:id="0" w:name="_GoBack"/>
      <w:bookmarkEnd w:id="0"/>
      <w:r w:rsidRPr="009055EA">
        <w:br w:type="page"/>
      </w:r>
    </w:p>
    <w:p w14:paraId="7A3BA46B" w14:textId="77777777" w:rsidR="00A5717A" w:rsidRPr="009055EA" w:rsidRDefault="00E86018">
      <w:pPr>
        <w:pStyle w:val="PageHeadingNotTOC"/>
      </w:pPr>
      <w:r w:rsidRPr="009055EA">
        <w:t>NÁVRHY</w:t>
      </w:r>
    </w:p>
    <w:p w14:paraId="7677D492" w14:textId="0500E091" w:rsidR="003D0598" w:rsidRPr="009055EA" w:rsidRDefault="00E86018" w:rsidP="006C5D45">
      <w:pPr>
        <w:pStyle w:val="Normal12a"/>
      </w:pPr>
      <w:r w:rsidRPr="009055EA">
        <w:t>Výbor pro práva žen a rovnost pohlaví vyzývá Výbor pro zaměstnanost a sociální věci jako příslušný výbor, aby do návrhu usnesení, který přijme, začlenil tyto návrhy:</w:t>
      </w:r>
    </w:p>
    <w:p w14:paraId="4BC5D99D" w14:textId="79832ACB" w:rsidR="00AD6806" w:rsidRPr="009055EA" w:rsidRDefault="00F23044" w:rsidP="00F23044">
      <w:pPr>
        <w:pStyle w:val="NormalHanging12a"/>
      </w:pPr>
      <w:r w:rsidRPr="009055EA">
        <w:t>1.</w:t>
      </w:r>
      <w:r w:rsidRPr="009055EA">
        <w:tab/>
        <w:t xml:space="preserve">konstatuje, že krize nezasahují obě pohlaví stejnou měrou a že sociální a genderové nerovnosti v celé EU se prohloubily v důsledku několika po sobě následujících krizí, jako je dopad pandemie COVID-19, útočná válka proti Ukrajině, katastrofy související se změnou klimatu a současný nárůst životních nákladů a nákladů na energie, a negativně ovlivnily děti a jejich rodiny, pokud jde o životní podmínky, příjmy a přístup k zaměstnání, zdravotnictví, vzdělání a dovednostem, bydlení, základním statkům a službám a pečovatelským a sociálním službám, tedy pokud jde o jejich obecné dobré životní podmínky; </w:t>
      </w:r>
    </w:p>
    <w:p w14:paraId="49958A9A" w14:textId="1A265B48" w:rsidR="001D3367" w:rsidRPr="009055EA" w:rsidRDefault="003504CA" w:rsidP="003D0598">
      <w:pPr>
        <w:pStyle w:val="NormalHanging12a"/>
      </w:pPr>
      <w:r w:rsidRPr="009055EA">
        <w:t>2.</w:t>
      </w:r>
      <w:r w:rsidRPr="009055EA">
        <w:tab/>
        <w:t xml:space="preserve">zastává názor, že tzv. úsporná opatření (zahrnující významné omezení sociální podpory dětí a rodin, nárůst nezaměstnanosti, hromadné využívání nejistých pracovních míst a zvýšení daní) a rozpočtové škrty v reakci na finanční krizi v letech 2008–2013 prohloubily nerovnosti a hrály roli při zhoršování životních podmínek dětí; </w:t>
      </w:r>
    </w:p>
    <w:p w14:paraId="47378119" w14:textId="47C2382A" w:rsidR="003D0598" w:rsidRPr="009055EA" w:rsidRDefault="003504CA" w:rsidP="003D0598">
      <w:pPr>
        <w:pStyle w:val="NormalHanging12a"/>
      </w:pPr>
      <w:r w:rsidRPr="009055EA">
        <w:t>3.</w:t>
      </w:r>
      <w:r w:rsidRPr="009055EA">
        <w:tab/>
        <w:t>zdůrazňuje, že současná krize životních nákladů vážně ohrožuje živobytí žen, jejich zdraví a dobré životní podmínky, neboť ženy a jejich rodiny jsou ohroženy tím, že nebudou schopny získat přístup k bydlení a že se sníží jejich kupní síla a schopnost zajišťovat si potraviny a rozšíří se energetická chudoba, sociální vyloučení a nerovnosti; zdůrazňuje, že ženy a děti čelící diskriminaci z důvodu příslušnosti ke dvěma či více skupinám se potýkají s dalšími překážkami při získávání přístupu k základním sociálním službám; zdůrazňuje, že je třeba věnovat zvláštní pozornost opatřením proti dopadům předpojatosti a přetrvávajících stereotypů při zajišťování přístupu k těmto službám a při řešení dopadů rodičovské chudoby, která vede k dětské chudobě; zdůrazňuje, že investice do opatření na podporu žen rovněž zlepšují životní podmínky dětí; v této souvislosti konstatuje, že rodiče samoživitelé jsou více ohroženi chudobou způsobenou krizí a s větší pravděpodobností přenesou chudobu z generace na generaci a že v 85 % rodin s rodičem samoživitelem je hlavou rodiny žena; vyzývá členské státy, aby podporovaly opatření sledování cen energie, dopravy a dalšího základního zboží s cílem snížit dopad nárůstu životních nákladů, a to především na ženy, děti a jejich rodiny;</w:t>
      </w:r>
    </w:p>
    <w:p w14:paraId="3B02502E" w14:textId="77FBCB63" w:rsidR="003D0598" w:rsidRPr="009055EA" w:rsidRDefault="003504CA" w:rsidP="003D0598">
      <w:pPr>
        <w:pStyle w:val="NormalHanging12a"/>
        <w:rPr>
          <w:szCs w:val="24"/>
        </w:rPr>
      </w:pPr>
      <w:r w:rsidRPr="009055EA">
        <w:t>4.</w:t>
      </w:r>
      <w:r w:rsidRPr="009055EA">
        <w:tab/>
        <w:t>připomíná, že pandemie COVID-19 přinášela dětem problémy, zejména pak dětem ve zranitelné situaci, jelikož narušila jejich každodenní režim a sociální vazby a zhoršila stávající nerovnosti mezi ženami a muži, zejména pokud jde o nárůst neplacené pečovatelské práce a nerovnováhy mezi pracovním a soukromým životem, a vedla ke dvojí zátěži mnoha žen, které často mají delší pracovní směny a dodatečnou povinnost neformální péče doma</w:t>
      </w:r>
      <w:r w:rsidR="003D0598" w:rsidRPr="009055EA">
        <w:rPr>
          <w:vertAlign w:val="superscript"/>
        </w:rPr>
        <w:footnoteReference w:id="1"/>
      </w:r>
      <w:r w:rsidRPr="009055EA">
        <w:t>; poukazuje na to, že v dobách krize jsou ženy, zejména ty, které jsou na trhu práce, neúměrně dotčeny svou socioekonomickou situací, jak tomu bylo během krize COVID-19, kdy 42 % žen ve věku 15–24 let, 34 % žen ve věku 25–39 let a 27–29 % žen ve věku 40–54 let a žen ve věku 55 let a starších nebylo schopno vykonávat placenou profesionální činnost tak, jak chtěly</w:t>
      </w:r>
      <w:r w:rsidR="003D0598" w:rsidRPr="009055EA">
        <w:rPr>
          <w:vertAlign w:val="superscript"/>
        </w:rPr>
        <w:footnoteReference w:id="2"/>
      </w:r>
      <w:r w:rsidRPr="009055EA">
        <w:t>; konstatuje, že neúměrnou část zátěže nesly ženy pracující na dálku, jejichž život byl ztížen nutností skloubit práci, péči o děti a domácí práce; zastává názor, že důsledky krize COVID-19 se promítly do míry nezaměstnanosti v členských státech, zejména pokud jde o ženy; domnívá se proto, že je nezbytné zabývat se rozměrem ženské chudoby při zvládání této situace a hledáním řešení; zdůrazňuje, že krize, jako byla pandemie COVID-19, zhoršily stávající nerovnosti, včetně služeb týkajících se sexuálního a reprodukčního zdraví a práv, a nastolily kritickou situaci, pokud jde o přístup k sexuálnímu a reprodukčnímu zdraví a právům;</w:t>
      </w:r>
    </w:p>
    <w:p w14:paraId="6D2A3AB2" w14:textId="5DDE8D98" w:rsidR="003D0598" w:rsidRPr="009055EA" w:rsidRDefault="003504CA" w:rsidP="003D0598">
      <w:pPr>
        <w:pStyle w:val="NormalHanging12a"/>
        <w:rPr>
          <w:szCs w:val="24"/>
        </w:rPr>
      </w:pPr>
      <w:r w:rsidRPr="009055EA">
        <w:t>5.</w:t>
      </w:r>
      <w:r w:rsidRPr="009055EA">
        <w:tab/>
        <w:t>zdůrazňuje, že změna klimatu neúměrně dopadá na ženy, které mají méně možností reagovat na klimatické, přírodní a environmentální katastrofy, a to v důsledku nerovného přístupu žen ke zdrojům, vzdělání, pracovním příležitostem, jakož i v důsledku převládajících sociálních a kulturních norem a nejrůznější diskriminace z důvodu příslušnosti ke dvěma či více skupinám, které čelí</w:t>
      </w:r>
      <w:r w:rsidR="003D0598" w:rsidRPr="009055EA">
        <w:rPr>
          <w:vertAlign w:val="superscript"/>
        </w:rPr>
        <w:footnoteReference w:id="3"/>
      </w:r>
      <w:r w:rsidRPr="009055EA">
        <w:t xml:space="preserve">; poukazuje na to, že klimatická krize a její dopady v této souvislosti prohlubují tyto nerovnosti již nyní a budou je prohlubovat i v budoucnu; </w:t>
      </w:r>
    </w:p>
    <w:p w14:paraId="1D172A29" w14:textId="1E62A7E4" w:rsidR="003D0598" w:rsidRPr="009055EA" w:rsidRDefault="003504CA" w:rsidP="003D0598">
      <w:pPr>
        <w:pStyle w:val="NormalHanging12a"/>
        <w:rPr>
          <w:b/>
          <w:i/>
          <w:szCs w:val="24"/>
        </w:rPr>
      </w:pPr>
      <w:r w:rsidRPr="009055EA">
        <w:t>6.</w:t>
      </w:r>
      <w:r w:rsidRPr="009055EA">
        <w:tab/>
        <w:t>konstatuje, že úsilí o vytvoření skutečně rovnocenné společnosti, včetně politik rovnosti žen a mužů, v dobách krize často zaostává; vyzývá členské státy, aby upřednostnily politiky a investice, které zasáhnou proti nepříznivým dopadům těchto krizí na děti, ženy a jejich rodiny, včetně těch, které zajišťují přístup ke kvalitní péči, vzdělávání, zdraví nebo bydlení a chrání oběti genderově podmíněného násilí; zdůrazňuje význam systematického genderového hlediska pro analýzu problémů a jejich různých dopadů a pro nalézání celostních a spravedlivých řešení; bere na vědomí socioekonomické dopady pandemie COVID-19 a návazný nárůst všech forem násilí páchaného na ženách, jež je zdokumentováno v různých zprávách několika členských států během omezení volného pohybu osob v souvislosti s pandemií COVID-19 a po něm, které odhalilo znepokojivý nárůst domácího a genderově podmíněného násilí, včetně fyzického, psychologického a kybernetického; poukazuje na to, že to má dopad i na děti a že jsou rovněž ohroženy; poukazuje na to, že některým zranitelným kategoriím hrozí, že se stanou oběťmi násilí, například jde o žadatelky o azyl a komunitu LGBTQIA+; zdůrazňuje nutnost navýšit všechny zdroje, veřejné i soukromé, s cílem řešit situace, jež představují rizika pro děti, mladé lidi, starší lidi a osoby se zdravotním postižením, a podpořit skupiny ohrožené chudobou; vyzývá k posílení Evropského sociálního fondu plus (ESF+) za účelem upřednostnění boje proti chudobě a sociálnímu vyloučení; zdůrazňuje, že je třeba zvýšit financování akcí zaměřených na prevenci genderově podmíněného násilí a boj proti němu v rámci segmentu Daphne v programu Občané, rovnost, práva a hodnoty;</w:t>
      </w:r>
      <w:r w:rsidRPr="009055EA">
        <w:rPr>
          <w:b/>
          <w:i/>
        </w:rPr>
        <w:t xml:space="preserve"> </w:t>
      </w:r>
    </w:p>
    <w:p w14:paraId="0AAFE744" w14:textId="4C89AC0B" w:rsidR="003D0598" w:rsidRPr="009055EA" w:rsidRDefault="003504CA" w:rsidP="003D0598">
      <w:pPr>
        <w:pStyle w:val="NormalHanging12a"/>
      </w:pPr>
      <w:r w:rsidRPr="009055EA">
        <w:t>7.</w:t>
      </w:r>
      <w:r w:rsidRPr="009055EA">
        <w:tab/>
        <w:t>konstatuje, že v zájmu snížení těchto nerovností a podpory sociálního začleňování je zásadní vymýtit všechny formy diskriminace, zajistit dlouhodobé politiky a služby, které podporují přístup k důstojným pracovním místům a spravedlivým mzdám, odstraňují rozdíly v odměňování a důchodech, chrání před četnými příčinami chudoby a sociálního vyloučení, usnadňují rovné příležitosti pro návrat rodičů do práce a podporují rovnováhu mezi pracovním a soukromým životem, včetně rovného přístupu pro všechny k cenově dostupným a kvalitním zařízením péče o děti a dlouhodobé péče, a rovné rozdělení pečovatelských a domácích povinností a povinností péče o děti mezi rodiči v rámci jedné rodiny; poukazuje na to, že předškolní vzdělávání jakožto součást kvalitní a profesionální péče o děti nejen umožňuje rodičům pracovat, ale také přispívá k sociálnímu a psychologickému vývoji dítěte; vyzývá členské státy, aby usilovaly o dosažení všeobecné zdravotní péče, jak ji definuje Světová zdravotnická organizace, a zaručily všem ženám prenatální a postnatální péči;</w:t>
      </w:r>
    </w:p>
    <w:p w14:paraId="37BA1575" w14:textId="1C8DA7BC" w:rsidR="003D0598" w:rsidRPr="009055EA" w:rsidRDefault="003504CA" w:rsidP="003D0598">
      <w:pPr>
        <w:pStyle w:val="NormalHanging12a"/>
      </w:pPr>
      <w:r w:rsidRPr="009055EA">
        <w:t>8.</w:t>
      </w:r>
      <w:r w:rsidRPr="009055EA">
        <w:tab/>
        <w:t>připomíná význam rovného rozdělení pečovatelských povinností v domácnosti, protože to umožní ženám s pečovatelskými povinnostmi lepší zastoupení na trhu práce a zlepšení jejich životních podmínek a sociálního začlenění; je si vědom toho, že genderové stereotypy a normy týkající se rozdělení pečovatelských povinností nejenže odrazují muže, aby se plně podíleli na rodičovství a obecněji na pečovatelských povinnostech, ale také jsou škodlivé pro ženy a jejich dobré životní podmínky a jsou nevýhodné pro jejich kariérní růst</w:t>
      </w:r>
      <w:r w:rsidR="003D0598" w:rsidRPr="009055EA">
        <w:rPr>
          <w:vertAlign w:val="superscript"/>
        </w:rPr>
        <w:footnoteReference w:id="4"/>
      </w:r>
      <w:r w:rsidRPr="009055EA">
        <w:t>; konstatuje, že osoby s pečovatelskými povinnostmi by měly mít rovněž právo požádat o pružné uspořádání pracovní doby v práci, jako je zkrácení pracovní doby, pružná pracovní doba a práce z domova; zdůrazňuje, že opatření k dosažení řádné rovnováhy mezi pracovním a soukromým životem jsou důležitá pro zajištění rovnoměrného rozdělení pečovatelských povinností mezi ženy a muže a pro řešení rozdílů v příjmech a zaměstnanosti; konstatuje, že dosažení rovnováhy mezi pracovním a soukromým životem závisí na dostupnosti a přístupnosti kvalitních pečovatelských služeb;</w:t>
      </w:r>
    </w:p>
    <w:p w14:paraId="650E74B0" w14:textId="6B7EB5A9" w:rsidR="003D0598" w:rsidRPr="009055EA" w:rsidRDefault="003504CA" w:rsidP="004C7F87">
      <w:pPr>
        <w:widowControl/>
        <w:spacing w:after="240"/>
        <w:ind w:left="567" w:hanging="567"/>
      </w:pPr>
      <w:r w:rsidRPr="009055EA">
        <w:t>9.</w:t>
      </w:r>
      <w:r w:rsidRPr="009055EA">
        <w:tab/>
        <w:t>připomíná, že v roce 2021 v EU-27 27,9 % žen ve věku 25–49 let, které nejsou součástí pracovní síly, uvedlo, že hlavním důvodem, proč nehledají zaměstnání, je péče o děti nebo dospělé osoby, které potřebují péči</w:t>
      </w:r>
      <w:r w:rsidR="008907B5" w:rsidRPr="009055EA">
        <w:rPr>
          <w:vertAlign w:val="superscript"/>
        </w:rPr>
        <w:footnoteReference w:id="5"/>
      </w:r>
      <w:r w:rsidRPr="009055EA">
        <w:t>; poukazuje na to, že zvýšení zaměstnanosti žen rovněž přispěje k řešení výzev souvisejících se stárnutím obyvatelstva EU a ke zlepšení hospodářské stability členských států; připomíná, že genderová nerovnováha v oblasti péče a zaměstnanosti může vést k rozdílům ve výši důchodů žen a mužů a k vysokým rozdílům v míře chudoby ve vyšším věku; konstatuje, že rodiny s dětmi jsou více zasaženy nedostatkem přístupu na trh práce a příjmovými nerovnostmi; konstatuje, že zatímco procentuální rozdíl v míře zaměstnanosti bezdětných mužů a žen činí 1 %, u osob, které mají dítě mladší šesti let, činí 21 % a u osob se třemi dětmi dosahuje až 37 %</w:t>
      </w:r>
      <w:r w:rsidR="003D0598" w:rsidRPr="009055EA">
        <w:rPr>
          <w:vertAlign w:val="superscript"/>
        </w:rPr>
        <w:footnoteReference w:id="6"/>
      </w:r>
      <w:r w:rsidRPr="009055EA">
        <w:t>; domnívá se, že rodiny s rodičem samoživitelem, zejména matkami samoživitelkami, jsou více ohroženy chudobou nebo sociálním vyloučením (42,1 % oproti 29,6 % v domácnostech se dvěma dospělými a třemi nebo více dětmi), a to z důvodu feminizace chudoby, nadprůměrného podílu žen v nejistých zaměstnáních a zaměstnáních na částečný úvazek, nepřiměřeného času, který ženy věnují málo placené práci, přerušení kariéry, kterou ženy vykonávají, aby pečovaly o své děti nebo jiné rodinné příslušníky, a rozdílů v odměňování žen a mužů</w:t>
      </w:r>
      <w:r w:rsidR="003D0598" w:rsidRPr="009055EA">
        <w:rPr>
          <w:vertAlign w:val="superscript"/>
        </w:rPr>
        <w:footnoteReference w:id="7"/>
      </w:r>
      <w:r w:rsidRPr="009055EA">
        <w:t>; zdůrazňuje význam návrhu dalších opatření na ochranu rodičů a pečujících osob před diskriminací a propuštěním, jak je uvedeno v právních předpisech týkajících se rovnováhy mezi pracovním a soukromým životem v rámci evropského pilíře sociálních práv; podporuje genderově vyvážené využívání pracovního volna z rodinných důvodů a pružných způsobů organizace práce;</w:t>
      </w:r>
    </w:p>
    <w:p w14:paraId="6D77224C" w14:textId="3778F02C" w:rsidR="00CF7AE5" w:rsidRPr="009055EA" w:rsidRDefault="003504CA" w:rsidP="00CF7AE5">
      <w:pPr>
        <w:pStyle w:val="NormalHanging12a"/>
      </w:pPr>
      <w:r w:rsidRPr="009055EA">
        <w:t>10.</w:t>
      </w:r>
      <w:r w:rsidRPr="009055EA">
        <w:tab/>
        <w:t>vyzývá členské státy, aby zavedly komplexní soubor pravidel, která zakážou přetrvávající praxi dotazování žen při pracovních pohovorech, zda mohou být v jiném stavu nebo zda jsou v jiném stavu v době, kdy se ucházejí o danou práci; zdůrazňuje, že se jedná o formu pracovního obtěžování, a odmítá nátlak, který je na pracující matky vyvíjen;</w:t>
      </w:r>
    </w:p>
    <w:p w14:paraId="59A2CA0E" w14:textId="22BEC317" w:rsidR="00A41063" w:rsidRPr="009055EA" w:rsidRDefault="003504CA" w:rsidP="009A7E21">
      <w:pPr>
        <w:pStyle w:val="NormalHanging12a"/>
      </w:pPr>
      <w:r w:rsidRPr="009055EA">
        <w:t>11.</w:t>
      </w:r>
      <w:r w:rsidRPr="009055EA">
        <w:tab/>
        <w:t>zdůrazňuje významné přínosy žen v oblasti zaměstnanosti, kultury, vzdělávání, vědy a výzkumu; je si vědom zásadního zhoršení životních podmínek žen zaměstnaných v oblasti umění a kultury a v mikropodnicích a malých zemědělských a venkovských podnicích v důsledku nedostatečných investic do hospodářských a kulturních činností a podpory těchto činností;</w:t>
      </w:r>
    </w:p>
    <w:p w14:paraId="541003D0" w14:textId="12595997" w:rsidR="003D0598" w:rsidRPr="009055EA" w:rsidRDefault="003504CA" w:rsidP="003D0598">
      <w:pPr>
        <w:pStyle w:val="NormalHanging12a"/>
        <w:rPr>
          <w:szCs w:val="24"/>
        </w:rPr>
      </w:pPr>
      <w:r w:rsidRPr="009055EA">
        <w:t>12.</w:t>
      </w:r>
      <w:r w:rsidRPr="009055EA">
        <w:tab/>
        <w:t>domnívá se, že ženy jsou chudobou více ohroženy než muži a že boj proti chudobě žen je nejen důležitý sám o sobě, ale i kvůli svému zásadnímu významu v úsilí o snížení dětské chudoby; připomíná, že menstruační chudoba, čímž se rozumí omezený přístup k hygienickým výrobkům, se týká přibližně každé desáté ženy v Evropě; zdůrazňuje, že stud, neléčená bolest při menstruaci a tradiční diskriminace vedou k předčasnému ukončování školní docházky a k nižší docházce dívek ve škole a přítomnosti žen v zaměstnání; zdůrazňuje, že pochopení vazeb mezi menstruační hygienou a nemocností matek, úmrtností a neplodností, sexuálně přenosnými infekcemi / HIV a rakovinou děložního čípku je klíčem k odstranění nerovností v oblasti zdraví a může podpořit včasnou diagnózu a záchranu životů; konstatuje, že v roce 2021 bylo 24,4 % dětí (do 18 let) v EU (19,8 milionu) ohroženo chudobou nebo sociálním vyloučením; konstatuje, že v některých zemích toto číslo přesahuje 30 %; domnívá se, že pro děti, které vyrůstají v chudobě, je obtížnější uspět ve škole, udržet si zdraví a v pozdějším věku plně rozvinout svůj potenciál; konstatuje, že sociální investice do individuálních schopností během raného věku dítěte mají zvlášť velký přínos pro děti ze znevýhodněného prostředí; zastává názor, že podle Úmluvy OSN o právech dítěte, jejímiž signatáři jsou všechny členské státy EU, musí mít všechny děti právo na vzdělání, služby zdravotní péče, bydlení a ochranu, odpočinek a volný čas a vyváženou stranu, jakož i právo na účast na rozhodnutích, která se jich týkají, a na péči v rodinném prostředí;</w:t>
      </w:r>
    </w:p>
    <w:p w14:paraId="617ECAF5" w14:textId="7C9EDAE7" w:rsidR="003D0598" w:rsidRPr="009055EA" w:rsidRDefault="003504CA" w:rsidP="003D0598">
      <w:pPr>
        <w:pStyle w:val="NormalHanging12a"/>
        <w:rPr>
          <w:b/>
          <w:i/>
        </w:rPr>
      </w:pPr>
      <w:r w:rsidRPr="009055EA">
        <w:t>13.</w:t>
      </w:r>
      <w:r w:rsidRPr="009055EA">
        <w:tab/>
        <w:t>vítá strategii EU v oblasti péče a revizi barcelonských cílů v oblasti předškolního vzdělávání a péče jakožto hlavní hnací síly účasti žen na trhu práce; poukazuje na význam takového kvalitního vzdělávání a péče v raném dětském věku s cílem bojovat proti nerovnostem a sociálnímu zvýhodnění pro děti a jejich rodiny</w:t>
      </w:r>
      <w:r w:rsidR="00E33320" w:rsidRPr="009055EA">
        <w:rPr>
          <w:rStyle w:val="FootnoteReference"/>
        </w:rPr>
        <w:footnoteReference w:id="8"/>
      </w:r>
      <w:r w:rsidRPr="009055EA">
        <w:t xml:space="preserve">; vyzývá k přijetí souboru politik, programů a doporučení, jakož i k investicím na evropské úrovni s cílem uznat péči jako právo a základ naší společnosti; zdůrazňuje, že to vše by mělo zaujímat integrovaný, holistický a celoživotní přístup k péči, zvyšovat přitažlivost práce v odvětví péče, a to jak pro ženy, tak pro muže, a řešit diskriminaci a genderové rozdíly v tomto odvětví; zdůrazňuje však, že stávající kvalita a objem celoživotní péče a péče o děti je nedostatečná, zejména v raném dětství; </w:t>
      </w:r>
    </w:p>
    <w:p w14:paraId="575DDB3A" w14:textId="5112D74E" w:rsidR="003D0598" w:rsidRPr="009055EA" w:rsidRDefault="003504CA" w:rsidP="003D0598">
      <w:pPr>
        <w:pStyle w:val="NormalHanging12a"/>
      </w:pPr>
      <w:r w:rsidRPr="009055EA">
        <w:t>14.</w:t>
      </w:r>
      <w:r w:rsidRPr="009055EA">
        <w:tab/>
        <w:t>připomíná význam barcelonských cílů pro rok 2030, mezi něž patří, že nejméně 50 % dětí mladších tří let a nejméně 96 % dětí ve věku od tří let do věku zahájení povinné základní školní docházky by se mělo účastnit předškolního vzdělávání a péče; zdůrazňuje ústřední úlohu žen v důležitých oblastech veřejné sféry, jako je sociální zabezpečení, péče, vzdělávání a zdravotnictví, které jsou všechny pojivem našeho hospodářství a společnosti, ale v krizi jsou často prvními, které jsou postiženy škrty; zastává názor, že předškolní vzdělávání a péče mají rozhodující vliv na kognitivní rozvoj dětí, neboť se u dětí v prvních pěti letech jejich života rozvíjejí základní schopnosti, a že přístup ke kvalitnímu vzdělávání je základem pro pozdější úspěch v životě, pokud jde o vzdělávání, dobré životní podmínky, zaměstnatelnost a sociální integraci, a má významný dopad na sebeúctu; domnívá se, že péče o děti a předškolní vzdělávání hraje významnou úlohu při vyrovnávání socioekonomického postavení dětí ohrožených chudobou a při podpoře začlenění rodičů, zejména matek, na trhu práce; domnívá se, že inkluzivní vzdělávání se obrací na všechny žáky tím, že posiluje hodnotu učení a kulturní a komunitní hodnoty; konstatuje, že rozdíly ve vzdělávání dětí z různých socioekonomických prostředí se prohloubily; doporučuje, aby členské státy zaručily všem dětem všeobecný přístup k inkluzivnímu a kvalitnímu vzdělávání, ať už formálnímu nebo neformálnímu, veřejnému nebo soukromému, ve všech věkových kategoriích, které podpoří jejich emocionální, sociální, kognitivní a tělesný vývoj, zaručí dobré životní podmínky a zajistí, aby všechny děti mohly těžit z inkluzivního kvalitního vzdělávání, a maximalizuje tak dopad vzdělávacího systému, pokud jde o prosazování rovných příležitostí a prolomení cyklů vyloučení;</w:t>
      </w:r>
    </w:p>
    <w:p w14:paraId="16AE0828" w14:textId="021ACE07" w:rsidR="00B45A9E" w:rsidRPr="009055EA" w:rsidRDefault="003504CA" w:rsidP="00B45A9E">
      <w:pPr>
        <w:pStyle w:val="NormalHanging12a"/>
        <w:rPr>
          <w:szCs w:val="24"/>
        </w:rPr>
      </w:pPr>
      <w:r w:rsidRPr="009055EA">
        <w:t>15.</w:t>
      </w:r>
      <w:r w:rsidRPr="009055EA">
        <w:tab/>
        <w:t>doporučuje, aby členské státy poskytly nezbytnou podporu k zajištění práva na kulturu, sport a volný čas a přístupu k otevřeným prostorám a zdravému životnímu prostředí pro všechny děti, zejména k zajištění spravedlivého a kvalitního přístupu v případě dětí žijících v chudobě, dětí z odlehlých oblastí, dětí se zdravotním postižením, dětí patřících k národnostním, etnickým, náboženským nebo jazykovým menšinám, dětí migrantů, dětí pohybujících se v rámci EU bez ohledu na jejich státní příslušnost a opuštěných dětí; připomíná právo na volný čas a účast na hrách a volnočasových aktivitách, jak je stanoveno v Úmluvě OSN o právech dítěte;</w:t>
      </w:r>
    </w:p>
    <w:p w14:paraId="72D1AA30" w14:textId="12CD5FDD" w:rsidR="003D0598" w:rsidRPr="009055EA" w:rsidRDefault="003504CA" w:rsidP="003D0598">
      <w:pPr>
        <w:pStyle w:val="NormalHanging12a"/>
        <w:rPr>
          <w:b/>
          <w:i/>
        </w:rPr>
      </w:pPr>
      <w:r w:rsidRPr="009055EA">
        <w:t>16.</w:t>
      </w:r>
      <w:r w:rsidRPr="009055EA">
        <w:tab/>
        <w:t>zdůrazňuje, že řešení rozdílů v odměňování a ve výši důchodů žen a mužů má pozitivní dopad na snižování chudoby a sociálního začleňování a je zásadní při dosahování genderové rovnosti; zdůrazňuje, že široce dostupné, kvalitní služby péče o děti, sociální péče a péče o domácnost jsou zásadní, protože pokud nebudou k dispozici nebo budou dostupné jen omezené, povede to k tomu, že ženy omezí účast na trhu práce nebo jej úplně opustí, aby se mohly věnovat neplaceným pečovatelským povinnostem; vyzývá k ambicióznímu provádění směrnice o transparentnosti odměňování</w:t>
      </w:r>
      <w:r w:rsidR="00183B11" w:rsidRPr="009055EA">
        <w:rPr>
          <w:rStyle w:val="FootnoteReference"/>
        </w:rPr>
        <w:footnoteReference w:id="9"/>
      </w:r>
      <w:r w:rsidRPr="009055EA">
        <w:t xml:space="preserve"> a k přijetí konkrétních opatření pro boj proti nejistým pracovním místům, chudobě pracujících, horizontální a vertikální segregaci trhu práce a podhodnocování práce vykonávané většinou ženami, která by měla být přehodnocena a spravedlivě odměňována;</w:t>
      </w:r>
    </w:p>
    <w:p w14:paraId="74D69875" w14:textId="0F50546C" w:rsidR="003D0598" w:rsidRPr="009055EA" w:rsidRDefault="003504CA" w:rsidP="003D0598">
      <w:pPr>
        <w:pStyle w:val="NormalHanging12a"/>
      </w:pPr>
      <w:r w:rsidRPr="009055EA">
        <w:t>17.</w:t>
      </w:r>
      <w:r w:rsidRPr="009055EA">
        <w:tab/>
        <w:t>bere na vědomí důležitou úlohu rodiny v krizových situacích; poukazuje na význam odpovídající péče o děti, sociální péče a služeb péče o domácnost pro rodiče samoživitele, zejména pro ženy, neboť matky samoživitelky byly neúměrně zasaženy krizí COVID-19 a jsou zranitelné vůči pečovatelským potřebám svých příbuzných, takže jsou méně dostupné pro profesní činnost</w:t>
      </w:r>
      <w:r w:rsidR="003D0598" w:rsidRPr="009055EA">
        <w:rPr>
          <w:vertAlign w:val="superscript"/>
        </w:rPr>
        <w:footnoteReference w:id="10"/>
      </w:r>
      <w:r w:rsidRPr="009055EA">
        <w:t>; vyzývá Komisi a členské státy k ambicióznímu provádění a posílení záruky pro děti s cílem zajistit, aby všechny děti v EU, včetně dětí v odlehlých oblastech, měly přístup ke zdravé výživě, odpovídajícímu bydlení, zdravotní péči, vzdělávání, péči a volnočasovým aktivitám; připomíná význam začlenění práv dětí do všech vnitřních i vnějších politik, činností a programů EU (legislativních i nelegislativních), které se mohou přímo či nepřímo dotýkat dětí, a zajištění jednoty a soudržnosti; zdůrazňuje význam provádění doporučení týkajícího se záruky pro děti</w:t>
      </w:r>
      <w:r w:rsidR="0064023F" w:rsidRPr="009055EA">
        <w:rPr>
          <w:rStyle w:val="FootnoteReference"/>
        </w:rPr>
        <w:footnoteReference w:id="11"/>
      </w:r>
      <w:r w:rsidRPr="009055EA">
        <w:t>;</w:t>
      </w:r>
    </w:p>
    <w:p w14:paraId="32F46077" w14:textId="023E78C3" w:rsidR="003D0598" w:rsidRPr="009055EA" w:rsidRDefault="003504CA" w:rsidP="004C7F87">
      <w:pPr>
        <w:widowControl/>
        <w:spacing w:after="240"/>
        <w:ind w:left="567" w:hanging="567"/>
        <w:rPr>
          <w:szCs w:val="24"/>
        </w:rPr>
      </w:pPr>
      <w:r w:rsidRPr="009055EA">
        <w:t>18.</w:t>
      </w:r>
      <w:r w:rsidRPr="009055EA">
        <w:tab/>
        <w:t>zdůrazňuje, že každé páté dítě v Evropě je obětí určité formy sexuálního násilí, že k většině případů zneužívání dochází v hypotetickém vztahu důvěry a že děti představují asi jednu čtvrtinu obětí obchodování s lidmi, většinou pak jde o dívky, které se často stávají obětí pohlavního vykořisťování</w:t>
      </w:r>
      <w:r w:rsidR="009D17BD" w:rsidRPr="009055EA">
        <w:rPr>
          <w:vertAlign w:val="superscript"/>
        </w:rPr>
        <w:footnoteReference w:id="12"/>
      </w:r>
      <w:r w:rsidRPr="009055EA">
        <w:t>; konstatuje, že mladé žadatelky o azyl čelí genderově podmíněnému násilí; odsuzuje všechny formy násilí, zneužívání, vykořisťování a zanedbávání dětí; naléhavě vyzývá členské státy, aby se zapojením škol a zdravotnických systémů vytvořily a uplatňovaly integrované systémy prevence a ochrany dětí s cílem odstranit násilí, zneužívání, vykořisťování a zanedbávání, včetně veřejných služeb, s cílem vytvořit podmínky rychlé reakce, zajistit ochranné prostředí a pomoci posílit postavení dětí; zdůrazňuje, že všechny děti mají právo na ochranu před zneužíváním, násilím a zanedbáváním;</w:t>
      </w:r>
    </w:p>
    <w:p w14:paraId="4C7B3BDF" w14:textId="4754ACE1" w:rsidR="003D0598" w:rsidRPr="009055EA" w:rsidRDefault="003504CA" w:rsidP="003D0598">
      <w:pPr>
        <w:pStyle w:val="NormalHanging12a"/>
        <w:rPr>
          <w:b/>
          <w:i/>
        </w:rPr>
      </w:pPr>
      <w:r w:rsidRPr="009055EA">
        <w:t>19.</w:t>
      </w:r>
      <w:r w:rsidRPr="009055EA">
        <w:tab/>
        <w:t>poukazuje na význam vzdělávání dívek a žen a posílení jejich postavení jako faktoru snižování genderových nerovností a sociálního vyloučení; v tomto ohledu zdůrazňuje význam školních programů, které se kriticky zabývají stereotypy a jejich negativním dopadem na dívky a ženy, ale také na chlapce a muže, s cílem tyto stereotypy odstranit; doporučuje, aby členské státy zajistily, aby všechny děti měly přístup k inkluzivnímu a kvalitnímu vzdělávání v každém věku, ať už formálnímu nebo neformálnímu; zdůrazňuje, že komplexní sexuální výchova pro všechny děti je zásadním opatřením pro skoncování s nerovnostmi a při vytváření společnosti bez násilí, neboť rozbíjí škodlivé genderové stereotypy a podporuje rozmanitost, tělesnou autonomii a fyzickou a duševní nedotknutelnost;</w:t>
      </w:r>
    </w:p>
    <w:p w14:paraId="6E698149" w14:textId="3D1ED788" w:rsidR="000D50FF" w:rsidRPr="009055EA" w:rsidRDefault="003504CA" w:rsidP="00B45A9E">
      <w:pPr>
        <w:pStyle w:val="NormalHanging12a"/>
        <w:rPr>
          <w:b/>
          <w:i/>
        </w:rPr>
      </w:pPr>
      <w:r w:rsidRPr="009055EA">
        <w:t>20.</w:t>
      </w:r>
      <w:r w:rsidRPr="009055EA">
        <w:tab/>
        <w:t>uznává zásadní význam školního prostředí jako poskytovatele každodenního výživného jídla (v mnoha případech jediného) a propagátora vzdělávání v oblasti výživy, který přesahuje rámec školy; vyzývá členské státy, aby na všech stupních povinné školní docházky zajistily alespoň jedno kvalitní jídlo zdarma;</w:t>
      </w:r>
    </w:p>
    <w:p w14:paraId="32E2A4B1" w14:textId="4A9DB347" w:rsidR="000D50FF" w:rsidRPr="009055EA" w:rsidRDefault="003504CA" w:rsidP="000735B1">
      <w:pPr>
        <w:pStyle w:val="NormalHanging12a"/>
      </w:pPr>
      <w:r w:rsidRPr="009055EA">
        <w:t>21.</w:t>
      </w:r>
      <w:r w:rsidRPr="009055EA">
        <w:tab/>
        <w:t>považuje za nezbytné, aby členské státy vypracovaly politiky, které by řešily problém rozšíření dětské práce v EU; v této souvislosti poukazuje na doporučení Mezinárodní organizace práce, v nichž se zdůrazňuje, že s cílem omezit chudobu a nejistotu, která vede k dětské práci, je nutné rozšířit sociální ochranu dětí a jejich rodin; je nutné zajistit, aby narození každého dítěte bylo registrováno, aby děti měly právní identitu a mohly od narození požívat svých práv; je třeba podporovat důstojnou práci, která zajišťuje spravedlivou mzdu, se zvláštním důrazem na pracovníky v neformální ekonomice; je zapotřebí podporovat vhodná specifika života na venkově, mimo jiné podporou diverzifikace hospodářství, investicemi do infrastruktury a služeb a rozšířením ochrany a plánování plodin, zejména v rámci rodinných zemědělských podniků, které jsou při uplatňování zemědělských postupů stále částečně závislé na celé domácnosti; je nutné zajistit, aby existovaly právní předpisy na ochranu dětí podpořené státními nástroji nezbytnými pro provádění těchto předpisů; a je třeba řešit genderové otázky a otázky diskriminace, které zvyšují riziko dětské práce související s neplacenou prací v domácnosti, zejména v případě dívek;</w:t>
      </w:r>
    </w:p>
    <w:p w14:paraId="513A9BD5" w14:textId="59D8E456" w:rsidR="00925647" w:rsidRPr="009055EA" w:rsidRDefault="003504CA" w:rsidP="00925647">
      <w:pPr>
        <w:pStyle w:val="NormalHanging12a"/>
      </w:pPr>
      <w:r w:rsidRPr="009055EA">
        <w:t>22.</w:t>
      </w:r>
      <w:r w:rsidRPr="009055EA">
        <w:tab/>
        <w:t>konstatuje, že mezi nejvíce postižené chudobou patří děti z různých prostředí, např. migranti, uprchlíci, žadatelé o azyl, děti bez dokladů a děti bez doprovodu; konstatuje, že chudobou jsou ohroženy také děti žijící v rodinách s rodičem samoživitelem nebo velké znevýhodněné rodiny, děti se zdravotním postižením a děti patřící k etnickým menšinám</w:t>
      </w:r>
      <w:r w:rsidR="00925647" w:rsidRPr="009055EA">
        <w:rPr>
          <w:vertAlign w:val="superscript"/>
        </w:rPr>
        <w:footnoteReference w:id="13"/>
      </w:r>
      <w:r w:rsidRPr="009055EA">
        <w:t>; zdůrazňuje, že v přístupu ke zdravotní péči a vzdělání pro nejchudší a nejzranitelnější děti existují rozdíly; podtrhuje, že romské děti a podle odhadů 11 milionů dětí se zdravotním postižením patří k nejvíce znevýhodněným, pokud jde o přístup ke kvalitnímu vzdělání; konstatuje, že zatímco u romských dětí v Evropě je vyšší pravděpodobnost, že předčasně ukončí základní nebo sekundární úroveň školního vzdělávání, aniž by získaly základní dovednosti, děti se zdravotním postižením zůstávají ze školy a kvalitního učení vyloučeny úplně</w:t>
      </w:r>
      <w:r w:rsidR="00925647" w:rsidRPr="009055EA">
        <w:rPr>
          <w:vertAlign w:val="superscript"/>
        </w:rPr>
        <w:footnoteReference w:id="14"/>
      </w:r>
      <w:r w:rsidRPr="009055EA">
        <w:t>; zdůrazňuje, že podle globálního indexu zdraví žen nebylo v EU za posledních 12 měsíců testováno na žádné ze čtyř kritických onemocnění žen přibližně 44 % všech žen; konstatuje, že genderová nerovnost brání ženám a dívkám v přístupu k informacím o zdraví a ke kritickým službám; zdůrazňuje význam snižování rozdílů v oblasti zdravotní péče pro ženy; vyzývá Komisi a členské státy, aby ve vnitrostátních strategiích týkajících se Romů upřednostňovaly práva dětí a zajistily, aby romské děti měly rovný přístup k základním službám, se zvláštním zaměřením na předškolní vzdělávání a péči a primární a sekundární vzdělávání, zdravotní péči, výživu a důstojné bydlení; je si vědom toho, že pro dívky, které čelí vícenásobné diskriminaci, jsou překážky bránící jim v přístupu k jejich právům a překonání chudoby ještě složitější; konstatuje, že z tohoto důvodu je pravděpodobné, že budou v plánech na řešení potřeb zranitelných skupin přehlíženy; zdůrazňuje význam investic do soukromého i veřejného vzdělávání, které zajistí cílené výukové metody a individualizovaný přístup pro děti patřící ke zranitelnějším sociálním skupinám, jako jsou rodiny a komunity, které jsou vystaveny vyloučení; zdůrazňuje, že tento přístup by měl zahrnovat spolupráci mezi učiteli, sociálními a pedagogickými odborníky, rodinami a komunitami; vyzývá Komisi a členské státy, aby začlenily práva dětí do evropské strategie práv osob se zdravotním postižením na období 2020–2030 a podporovaly rodiny investicemi do posilování postavení dětí a jejich rodin a do práva na nezávislý život;</w:t>
      </w:r>
    </w:p>
    <w:p w14:paraId="51094E81" w14:textId="0E7B1445" w:rsidR="00925647" w:rsidRPr="009055EA" w:rsidRDefault="003504CA" w:rsidP="00925647">
      <w:pPr>
        <w:pStyle w:val="NormalHanging12a"/>
        <w:rPr>
          <w:szCs w:val="24"/>
        </w:rPr>
      </w:pPr>
      <w:r w:rsidRPr="009055EA">
        <w:t>23.</w:t>
      </w:r>
      <w:r w:rsidRPr="009055EA">
        <w:tab/>
        <w:t>připomíná, že v Evropě trpí devět milionů dospívajících (ve věku od deseti do devatenácti let) duševními poruchami, přičemž ve více než polovině všech případů se jedná o úzkosti a deprese; zdůrazňuje, že duševní nepohoda je výraznější u žen a členů komunity LGBTQIA+ v důsledku diskriminace a marginalizace</w:t>
      </w:r>
      <w:r w:rsidR="000A1CC1" w:rsidRPr="009055EA">
        <w:rPr>
          <w:rStyle w:val="FootnoteReference"/>
        </w:rPr>
        <w:footnoteReference w:id="15"/>
      </w:r>
      <w:r w:rsidRPr="009055EA">
        <w:t>; dále zdůrazňuje, že se také často vyskytují poruchy duševního zdraví u dětí bez doprovodu a dospívajících migrantů, protože situace, jíž jsou tyto děti vystaveny, má značný dopad na duševní zdraví; konstatuje, že omezení v souvislosti s onemocněním COVID-19 výrazně snížila sociální příležitosti a interakci dětí, což způsobilo rozsáhlé narušení a větší výskyt příznaků deprese, zejména u dospívajících dívek</w:t>
      </w:r>
      <w:r w:rsidR="00925647" w:rsidRPr="009055EA">
        <w:rPr>
          <w:rStyle w:val="FootnoteReference"/>
        </w:rPr>
        <w:footnoteReference w:id="16"/>
      </w:r>
      <w:r w:rsidRPr="009055EA">
        <w:t>; konstatuje, že školy usnadňují přístup k duševnímu zdraví a psychosociální podpoře; připomíná, že fond UNICEF zdůraznil osvědčené strategie, jako je provádění programů zaměřených na budování povědomí a posílení dovedností dospívajících vypořádat se emocionálně s jejich situací, začlenění poradenských služeb v oblasti duševního zdraví do vzdělávání, odbornou přípravu učitelů a zaměstnanců ohledně toho, jak posilovat dobré životní podmínky studentů, a na vytváření bezpečných prostor pro diskusi a sdílení obav dětí</w:t>
      </w:r>
      <w:r w:rsidR="00925647" w:rsidRPr="009055EA">
        <w:rPr>
          <w:rStyle w:val="FootnoteReference"/>
        </w:rPr>
        <w:footnoteReference w:id="17"/>
      </w:r>
      <w:r w:rsidRPr="009055EA">
        <w:t>; zdůrazňuje, že členské státy musí vyčlenit dostatečné finanční prostředky na léčbu duševních a psychosociálních problémů a zlepšit regionální infrastrukturu prostřednictvím programu fondu ESF+ a Evropského fondu pro regionální rozvoj, včetně cílených programů pro zranitelné skupiny;</w:t>
      </w:r>
    </w:p>
    <w:p w14:paraId="4CB368B1" w14:textId="048011E6" w:rsidR="001A3449" w:rsidRPr="009055EA" w:rsidRDefault="003504CA" w:rsidP="001A3449">
      <w:pPr>
        <w:pStyle w:val="NormalHanging12a"/>
        <w:rPr>
          <w:color w:val="000000"/>
        </w:rPr>
      </w:pPr>
      <w:r w:rsidRPr="009055EA">
        <w:t>24.</w:t>
      </w:r>
      <w:r w:rsidRPr="009055EA">
        <w:tab/>
        <w:t>konstatuje, že nerovnosti v oblasti zdraví mezi ženami významně souvisí se socioekonomickým statusem a zeměpisným regionem a že je zásadní zohlednit sociální a hospodářské faktory, které ovlivňují životy žen a jejich zdraví v různých životních fázích; poukazuje na to, že ve všech členských státech, včetně venkovských oblastí, je nedostatek kvalitních, přístupných a prakticky a cenově dostupných pečovatelských služeb; poukazuje na to, že v důsledku široké škály právních, finančních, praktických, sociálních a kulturních překážek a omezení se přístup k sexuálnímu a reprodukčnímu zdraví a právům, včetně bezpečných a legálních potratů, v rámci jednotlivých členských států EU i mezi nimi značně liší; připomíná, že sexuální a reprodukční zdraví a práva jsou jedním z výchozích předpokladů genderové rovnosti;</w:t>
      </w:r>
    </w:p>
    <w:p w14:paraId="19988C27" w14:textId="6CB0A10A" w:rsidR="00735830" w:rsidRPr="009055EA" w:rsidRDefault="003504CA">
      <w:pPr>
        <w:pStyle w:val="NormalHanging12a"/>
      </w:pPr>
      <w:r w:rsidRPr="009055EA">
        <w:t>25.</w:t>
      </w:r>
      <w:r w:rsidRPr="009055EA">
        <w:tab/>
        <w:t xml:space="preserve">připomíná, že mnoho ukrajinských uprchlic prchajících před útočnou válkou žije v různých členských státech EU i v jiných státech </w:t>
      </w:r>
      <w:sdt>
        <w:sdtPr>
          <w:tag w:val="goog_rdk_142"/>
          <w:id w:val="-402918426"/>
        </w:sdtPr>
        <w:sdtEndPr/>
        <w:sdtContent/>
      </w:sdt>
      <w:r w:rsidRPr="009055EA">
        <w:t xml:space="preserve">v Evropě a že mají specifické potřeby související s péčí o děti, které je třeba řešit, a to nejen proto, aby se usnadnil jejich přístup na trh práce, </w:t>
      </w:r>
      <w:sdt>
        <w:sdtPr>
          <w:tag w:val="goog_rdk_143"/>
          <w:id w:val="-1716109226"/>
        </w:sdtPr>
        <w:sdtEndPr/>
        <w:sdtContent/>
      </w:sdt>
      <w:r w:rsidRPr="009055EA">
        <w:t>ale také jazykové vzdělávání a sociální začlenění jejich dětí; zdůrazňuje, že válka na Ukrajině oslabila přístup ke zdravotní péči, včetně sexuálního a reprodukčního zdraví a práv, a vedla k tomu, že nastala kritická situace, pokud jde o potřeby v oblasti sexuálního a reprodukčního zdraví a práv vysídlených osob</w:t>
      </w:r>
      <w:r w:rsidRPr="009055EA">
        <w:rPr>
          <w:b/>
          <w:i/>
        </w:rPr>
        <w:t>;</w:t>
      </w:r>
    </w:p>
    <w:p w14:paraId="590ECADC" w14:textId="6586C4F7" w:rsidR="003D0598" w:rsidRPr="009055EA" w:rsidRDefault="003504CA" w:rsidP="003D0598">
      <w:pPr>
        <w:pStyle w:val="NormalHanging12a"/>
        <w:rPr>
          <w:szCs w:val="24"/>
        </w:rPr>
      </w:pPr>
      <w:r w:rsidRPr="009055EA">
        <w:t>26.</w:t>
      </w:r>
      <w:r w:rsidRPr="009055EA">
        <w:tab/>
        <w:t>vyzývá členské státy, aby řešily výzvy, jimž čelí ukrajinské uprchlice, jako jsou jazykové bariéry, větší pravděpodobnost sociální izolace a omezené sociální sítě; konstatuje, že ukrajinští uprchlíci mohou být dále ohroženi chudobou a sociálním vyloučením; konstatuje, že povinnosti v oblasti péče jsou překážkou zaměstnanosti ukrajinských žen (33 %) ve srovnání s ukrajinskými muži (9 %); vyzývá členské státy, aby tyto výzvy řešily tím, že nabídnou specializovanou podporu na péči o děti, jako je podpora nebo dávky na péči o děti</w:t>
      </w:r>
      <w:r w:rsidR="003D0598" w:rsidRPr="009055EA">
        <w:rPr>
          <w:vertAlign w:val="superscript"/>
        </w:rPr>
        <w:footnoteReference w:id="18"/>
      </w:r>
      <w:r w:rsidRPr="009055EA">
        <w:t>;</w:t>
      </w:r>
    </w:p>
    <w:p w14:paraId="1DD82088" w14:textId="6ADD0AAD" w:rsidR="003D0598" w:rsidRPr="009055EA" w:rsidRDefault="003504CA" w:rsidP="003D0598">
      <w:pPr>
        <w:pStyle w:val="NormalHanging12a"/>
      </w:pPr>
      <w:r w:rsidRPr="009055EA">
        <w:t>27.</w:t>
      </w:r>
      <w:r w:rsidRPr="009055EA">
        <w:tab/>
        <w:t>zdůrazňuje, že podle zprávy organizace Save the Children</w:t>
      </w:r>
      <w:r w:rsidR="003D0598" w:rsidRPr="009055EA">
        <w:rPr>
          <w:vertAlign w:val="superscript"/>
        </w:rPr>
        <w:footnoteReference w:id="19"/>
      </w:r>
      <w:r w:rsidRPr="009055EA">
        <w:t xml:space="preserve"> žije v oblastech zasažených ozbrojenými konflikty více dětí než kdykoli dříve v uplynulých dvou desetiletích (zejména v Afghánistánu, Jemenu, Jižním Súdánu, Středoafrické republice, Demokratické republice Kongo, Sýrii, Iráku, Mali, Nigérii a Somálsku), přičemž v důsledku konfliktů každoročně umírá na 100 000 dětí; připomíná, že v roce 2017 žilo v oblastech postižených konflikty 420 milionů dětí (18 % všech dětí na světě), což je o 30 milionů více než v předcházejícím roce;</w:t>
      </w:r>
    </w:p>
    <w:p w14:paraId="59035918" w14:textId="632F30E2" w:rsidR="009E1A9D" w:rsidRPr="009055EA" w:rsidRDefault="003504CA" w:rsidP="004C7F87">
      <w:pPr>
        <w:pStyle w:val="NormalHanging12a"/>
      </w:pPr>
      <w:r w:rsidRPr="009055EA">
        <w:t>28.</w:t>
      </w:r>
      <w:r w:rsidRPr="009055EA">
        <w:tab/>
        <w:t xml:space="preserve">vyzývá Komisi a členské státy, aby bojovaly proti strukturální diskriminaci a umožnily všem neomezený a nediskriminační přístup na trh práce, </w:t>
      </w:r>
      <w:sdt>
        <w:sdtPr>
          <w:tag w:val="goog_rdk_151"/>
          <w:id w:val="-1134406881"/>
        </w:sdtPr>
        <w:sdtEndPr/>
        <w:sdtContent/>
      </w:sdt>
      <w:r w:rsidRPr="009055EA">
        <w:t>což také zlepšuje vývoj dětí, posiluje sociální začlenění a spravedlnost a snižuje chudobu; vyzývá Komisi a členské státy, aby předložily konkrétní opatření na podporu přístupu k pracovním místům a bezpečnosti pro uprchlíky a migranty; vyzdvihuje v tomto ohledu evropskou směrnici o transparentnosti odměňování a směrnici o minimální mzdě</w:t>
      </w:r>
      <w:r w:rsidR="00167109" w:rsidRPr="009055EA">
        <w:rPr>
          <w:rStyle w:val="FootnoteReference"/>
        </w:rPr>
        <w:footnoteReference w:id="20"/>
      </w:r>
      <w:r w:rsidRPr="009055EA">
        <w:t xml:space="preserve">, což jsou další opatření, která mají za cíl odstranit rozdíly v odměňování žen a mužů; poukazuje na to, že spravedlivé odměňování pomáhá udržitelně bojovat proti chudobě žen; zdůrazňuje, že finanční prostředky EU umožňují na vnitrostátní úrovni investovat do boje proti chudobě dětí a do jejich sociálního začleňování a podporovat je; </w:t>
      </w:r>
    </w:p>
    <w:p w14:paraId="1136A268" w14:textId="4B09EE99" w:rsidR="009E1A9D" w:rsidRPr="009055EA" w:rsidRDefault="003504CA" w:rsidP="009E1A9D">
      <w:pPr>
        <w:pStyle w:val="NormalHanging12a"/>
      </w:pPr>
      <w:r w:rsidRPr="009055EA">
        <w:t>29.</w:t>
      </w:r>
      <w:r w:rsidRPr="009055EA">
        <w:tab/>
        <w:t>vyzývá Komisi, aby předložila soubor opatření a doporučení zaměřených na podporu přechodu k takové ekonomice, která by postavila péči do středu zájmu politik EU a členských států a zaručila včasný a rovný přístup ke kvalitním pečovatelským službám, například prostřednictvím vzdělávání v oblasti poskytování péče, a zároveň účinně využívala dostupné nástroje EU a vyčlenila dostatečné finanční prostředky na tuto oblast; připomíná, že kromě fondu ESF+ lze k financování programů, které ovlivňují život dětí a jejich rodin, přímo či nepřímo využít i další zdroje financování EU, jako je Evropský fond pro regionální rozvoj nebo Fond evropské pomoci nejchudším osobám;</w:t>
      </w:r>
    </w:p>
    <w:p w14:paraId="0C9C58C9" w14:textId="716FE33F" w:rsidR="003D0598" w:rsidRPr="009055EA" w:rsidRDefault="003504CA" w:rsidP="003D0598">
      <w:pPr>
        <w:pStyle w:val="NormalHanging12a"/>
      </w:pPr>
      <w:r w:rsidRPr="009055EA">
        <w:t>30.</w:t>
      </w:r>
      <w:r w:rsidRPr="009055EA">
        <w:tab/>
        <w:t>vyzývá Komisi a členské státy, aby v souladu s doporučeními Světové zdravotnické organizace vytvořily systém sledování kojení na úrovni EU, který by poskytoval informace o situaci a přispíval k rozvoji politiky na podporu kojení;</w:t>
      </w:r>
    </w:p>
    <w:p w14:paraId="3CF0BE39" w14:textId="25F8380C" w:rsidR="009E1A9D" w:rsidRPr="009055EA" w:rsidRDefault="003504CA" w:rsidP="009E1A9D">
      <w:pPr>
        <w:pStyle w:val="NormalHanging12a"/>
      </w:pPr>
      <w:r w:rsidRPr="009055EA">
        <w:t>31.</w:t>
      </w:r>
      <w:r w:rsidRPr="009055EA">
        <w:tab/>
        <w:t>požaduje, aby se zásady genderového mainstreamingu a genderového rozpočtování promítly do všech oblastí politiky a také do návrhu opatření, jejichž cílem je reagovat na konkrétní krize postihující ženy a dívky; proto zdůrazňuje nutnost shromažďovat konkrétně rozčleněná data a rozvíjet odborné znalosti týkající se tematiky genderu a posouzení dopadů na genderovou rovnost s cílem zajistit, aby byl plně začleňován genderový rozměr a aby byly lépe pochopeny účinky těchto politik na ženy a byla přijata náležitá opatření; žádá opatření zaměřená na rovnost žen a mužů prostřednictvím vyčlenění finančních prostředků, která by řešila specifické potřeby žen v návaznosti na negativní dopady vícenásobných krizí, zejména v oblasti zaměstnanosti, genderově podmíněného násilí a v oblasti sexuálního a reprodukčního zdraví a práv, a to případně i pokud jde o programy a nástroje v rámci nástroje Next Generation EU a dlouhodobého rozpočtu EU na období 2021–2027.</w:t>
      </w:r>
    </w:p>
    <w:p w14:paraId="2EF6B1D5" w14:textId="2A3214B0" w:rsidR="00254C6D" w:rsidRPr="009055EA" w:rsidRDefault="009E1A9D" w:rsidP="00254C6D">
      <w:pPr>
        <w:pStyle w:val="NormalHanging12a"/>
        <w:rPr>
          <w:b/>
        </w:rPr>
      </w:pPr>
      <w:r w:rsidRPr="009055EA">
        <w:br w:type="page"/>
      </w:r>
      <w:bookmarkStart w:id="1" w:name="ProcPageAD"/>
      <w:r w:rsidRPr="009055EA">
        <w:rPr>
          <w:b/>
        </w:rPr>
        <w:t>INFORMACE O PŘIJETÍ VE VÝBORU POŽÁDANÉM O STANOVISKO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254C6D" w:rsidRPr="009055EA" w14:paraId="519C55C9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111178" w14:textId="77777777" w:rsidR="00254C6D" w:rsidRPr="009055EA" w:rsidRDefault="00254C6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55EA"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ED8014F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19.9.2023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FB70FF0" w14:textId="77777777" w:rsidR="00254C6D" w:rsidRPr="009055EA" w:rsidRDefault="00254C6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EB34AB" w14:textId="77777777" w:rsidR="00254C6D" w:rsidRPr="009055EA" w:rsidRDefault="00254C6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504CBB" w14:textId="77777777" w:rsidR="00254C6D" w:rsidRPr="009055EA" w:rsidRDefault="00254C6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254C6D" w:rsidRPr="009055EA" w14:paraId="26962EF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93CE2B" w14:textId="77777777" w:rsidR="00254C6D" w:rsidRPr="009055EA" w:rsidRDefault="00254C6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55EA"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5932C5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+:</w:t>
            </w:r>
          </w:p>
          <w:p w14:paraId="72FD7FD0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–:</w:t>
            </w:r>
          </w:p>
          <w:p w14:paraId="021D3D03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BA45AD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24</w:t>
            </w:r>
          </w:p>
          <w:p w14:paraId="230FD06C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2</w:t>
            </w:r>
          </w:p>
          <w:p w14:paraId="30BB9028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4</w:t>
            </w:r>
          </w:p>
        </w:tc>
      </w:tr>
      <w:tr w:rsidR="00254C6D" w:rsidRPr="009055EA" w14:paraId="432ECF4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948ACD" w14:textId="77777777" w:rsidR="00254C6D" w:rsidRPr="009055EA" w:rsidRDefault="00254C6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55EA">
              <w:rPr>
                <w:b/>
                <w:color w:val="000000"/>
                <w:sz w:val="20"/>
              </w:rPr>
              <w:t>Členové přítomní při konečném hlasování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F9DC8D7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Isabella Adinolfi, Christine Anderson, Robert Biedroń, Vilija Blinkevičiūtė, Annika Bruna, Maria da Graça Carvalho, Margarita de la Pisa Carrión, Gwendoline Delbos-Corfield, Lina Gálvez Muñoz, Lívia Járóka, Arba Kokalari, Alice Kuhnke, Elżbieta Katarzyna Łukacijewska, Karen Melchior, Johan Nissinen, Maria Noichl, Carina Ohlsson, Pina Picierno, Evelyn Regner, Diana Riba i Giner, Eugenia Rodríguez Palop, María Soraya Rodríguez Ramos, Maria Veronica Rossi, Christine Schneider, Sylwia Spurek</w:t>
            </w:r>
          </w:p>
        </w:tc>
      </w:tr>
      <w:tr w:rsidR="00254C6D" w:rsidRPr="009055EA" w14:paraId="6DC73743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D385BA" w14:textId="77777777" w:rsidR="00254C6D" w:rsidRPr="009055EA" w:rsidRDefault="00254C6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55EA">
              <w:rPr>
                <w:b/>
                <w:color w:val="000000"/>
                <w:sz w:val="20"/>
              </w:rPr>
              <w:t>Náhradníci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EBE18B8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Abir Al-Sahlani, Silvia Modig, Eleni Stavrou, Hilde Vautmans</w:t>
            </w:r>
          </w:p>
        </w:tc>
      </w:tr>
      <w:tr w:rsidR="00254C6D" w:rsidRPr="009055EA" w14:paraId="31EA1D0C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E9FFF2D" w14:textId="77777777" w:rsidR="00254C6D" w:rsidRPr="009055EA" w:rsidRDefault="00254C6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55EA">
              <w:rPr>
                <w:b/>
                <w:color w:val="000000"/>
                <w:sz w:val="20"/>
              </w:rPr>
              <w:t>Náhradníci (čl. 209 odst. 7)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B0D2250" w14:textId="77777777" w:rsidR="00254C6D" w:rsidRPr="009055EA" w:rsidRDefault="00254C6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55EA">
              <w:rPr>
                <w:color w:val="000000"/>
                <w:sz w:val="20"/>
              </w:rPr>
              <w:t>Laura Ballarín Cereza</w:t>
            </w:r>
          </w:p>
        </w:tc>
      </w:tr>
    </w:tbl>
    <w:p w14:paraId="7D6921DC" w14:textId="77777777" w:rsidR="00254C6D" w:rsidRPr="009055EA" w:rsidRDefault="00254C6D"/>
    <w:bookmarkEnd w:id="1"/>
    <w:p w14:paraId="6A72F834" w14:textId="7E5AA260" w:rsidR="00254C6D" w:rsidRPr="009055EA" w:rsidRDefault="00254C6D" w:rsidP="00254C6D">
      <w:pPr>
        <w:sectPr w:rsidR="00254C6D" w:rsidRPr="009055EA" w:rsidSect="003D0598"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space="720"/>
          <w:docGrid w:linePitch="360"/>
        </w:sectPr>
      </w:pPr>
    </w:p>
    <w:p w14:paraId="78FE4B63" w14:textId="6F87DBA9" w:rsidR="003D0598" w:rsidRPr="009055EA" w:rsidRDefault="003D0598" w:rsidP="00254C6D">
      <w:pPr>
        <w:pStyle w:val="PageHeadingNotTOC"/>
      </w:pPr>
      <w:bookmarkStart w:id="2" w:name="RollCallPageAD"/>
      <w:r w:rsidRPr="009055EA">
        <w:t>JMENOVITÉ KONEČNÉ HLASOVÁNÍ VE VÝBORU POŽÁDANÉM O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D0598" w:rsidRPr="009055EA" w14:paraId="72CA7DC6" w14:textId="77777777" w:rsidTr="00C853D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E9EFFBD" w14:textId="00AC72DA" w:rsidR="003D0598" w:rsidRPr="009055EA" w:rsidRDefault="003D0598" w:rsidP="00C853D1">
            <w:pPr>
              <w:pStyle w:val="RollCallVotes"/>
            </w:pPr>
            <w:r w:rsidRPr="009055EA">
              <w:t>24</w:t>
            </w:r>
          </w:p>
        </w:tc>
        <w:tc>
          <w:tcPr>
            <w:tcW w:w="7371" w:type="dxa"/>
            <w:shd w:val="pct10" w:color="000000" w:fill="FFFFFF"/>
          </w:tcPr>
          <w:p w14:paraId="44C5C95B" w14:textId="77777777" w:rsidR="003D0598" w:rsidRPr="009055EA" w:rsidRDefault="003D0598" w:rsidP="00C853D1">
            <w:pPr>
              <w:pStyle w:val="RollCallSymbols14pt"/>
            </w:pPr>
            <w:r w:rsidRPr="009055EA">
              <w:t>+</w:t>
            </w:r>
          </w:p>
        </w:tc>
      </w:tr>
      <w:tr w:rsidR="003D0598" w:rsidRPr="009055EA" w14:paraId="6CCD19CF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5D480D57" w14:textId="4E844016" w:rsidR="003D0598" w:rsidRPr="009055EA" w:rsidRDefault="003D0598" w:rsidP="00C853D1">
            <w:pPr>
              <w:pStyle w:val="RollCallTable"/>
            </w:pPr>
            <w:r w:rsidRPr="009055EA">
              <w:t>ID</w:t>
            </w:r>
          </w:p>
        </w:tc>
        <w:tc>
          <w:tcPr>
            <w:tcW w:w="7371" w:type="dxa"/>
            <w:shd w:val="clear" w:color="auto" w:fill="FFFFFF"/>
          </w:tcPr>
          <w:p w14:paraId="3034988D" w14:textId="7EDE9B2C" w:rsidR="003D0598" w:rsidRPr="009055EA" w:rsidRDefault="003D0598" w:rsidP="00C853D1">
            <w:pPr>
              <w:pStyle w:val="RollCallTable"/>
            </w:pPr>
            <w:r w:rsidRPr="009055EA">
              <w:t>Annika Bruna</w:t>
            </w:r>
          </w:p>
        </w:tc>
      </w:tr>
      <w:tr w:rsidR="003D0598" w:rsidRPr="009055EA" w14:paraId="212314CA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46E7D7E1" w14:textId="64864A48" w:rsidR="003D0598" w:rsidRPr="009055EA" w:rsidRDefault="003D0598" w:rsidP="00C853D1">
            <w:pPr>
              <w:pStyle w:val="RollCallTable"/>
            </w:pPr>
            <w:r w:rsidRPr="009055EA">
              <w:t>PPE</w:t>
            </w:r>
          </w:p>
        </w:tc>
        <w:tc>
          <w:tcPr>
            <w:tcW w:w="7371" w:type="dxa"/>
            <w:shd w:val="clear" w:color="auto" w:fill="FFFFFF"/>
          </w:tcPr>
          <w:p w14:paraId="47519DE4" w14:textId="2FF76F6C" w:rsidR="003D0598" w:rsidRPr="009055EA" w:rsidRDefault="003D0598" w:rsidP="00C853D1">
            <w:pPr>
              <w:pStyle w:val="RollCallTable"/>
            </w:pPr>
            <w:r w:rsidRPr="009055EA">
              <w:t>Isabella Adinolfi, Maria da Graça Carvalho, Elżbieta Katarzyna Łukacijewska, Christine Schneider, Eleni Stavrou</w:t>
            </w:r>
          </w:p>
        </w:tc>
      </w:tr>
      <w:tr w:rsidR="003D0598" w:rsidRPr="009055EA" w14:paraId="317461B5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36F0EA22" w14:textId="2DB1BFA6" w:rsidR="003D0598" w:rsidRPr="009055EA" w:rsidRDefault="003D0598" w:rsidP="00C853D1">
            <w:pPr>
              <w:pStyle w:val="RollCallTable"/>
            </w:pPr>
            <w:r w:rsidRPr="009055EA">
              <w:t>Renew</w:t>
            </w:r>
          </w:p>
        </w:tc>
        <w:tc>
          <w:tcPr>
            <w:tcW w:w="7371" w:type="dxa"/>
            <w:shd w:val="clear" w:color="auto" w:fill="FFFFFF"/>
          </w:tcPr>
          <w:p w14:paraId="5352FB02" w14:textId="262FD8C1" w:rsidR="003D0598" w:rsidRPr="009055EA" w:rsidRDefault="003D0598" w:rsidP="00C853D1">
            <w:pPr>
              <w:pStyle w:val="RollCallTable"/>
            </w:pPr>
            <w:r w:rsidRPr="009055EA">
              <w:t>Abir Al-Sahlani, Karen Melchior, María Soraya Rodríguez Ramos, Hilde Vautmans</w:t>
            </w:r>
          </w:p>
        </w:tc>
      </w:tr>
      <w:tr w:rsidR="003D0598" w:rsidRPr="009055EA" w14:paraId="5022C016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535FD6B6" w14:textId="0BCADAE7" w:rsidR="003D0598" w:rsidRPr="009055EA" w:rsidRDefault="003D0598" w:rsidP="00C853D1">
            <w:pPr>
              <w:pStyle w:val="RollCallTable"/>
            </w:pPr>
            <w:r w:rsidRPr="009055EA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1EBCE826" w14:textId="475AB6B0" w:rsidR="003D0598" w:rsidRPr="009055EA" w:rsidRDefault="003D0598" w:rsidP="00C853D1">
            <w:pPr>
              <w:pStyle w:val="RollCallTable"/>
            </w:pPr>
            <w:r w:rsidRPr="009055EA">
              <w:t>Laura Ballarín Cereza, Robert Biedroń, Vilija Blinkevičiūtė, Lina Gálvez Muñoz, Maria Noichl, Carina Ohlsson, Pina Picierno, Evelyn Regner</w:t>
            </w:r>
          </w:p>
        </w:tc>
      </w:tr>
      <w:tr w:rsidR="003D0598" w:rsidRPr="009055EA" w14:paraId="6DA2EF4E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37917EB4" w14:textId="4E9F310E" w:rsidR="003D0598" w:rsidRPr="009055EA" w:rsidRDefault="003D0598" w:rsidP="00C853D1">
            <w:pPr>
              <w:pStyle w:val="RollCallTable"/>
            </w:pPr>
            <w:r w:rsidRPr="009055EA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63B68F43" w14:textId="0021B4FB" w:rsidR="003D0598" w:rsidRPr="009055EA" w:rsidRDefault="003D0598" w:rsidP="00C853D1">
            <w:pPr>
              <w:pStyle w:val="RollCallTable"/>
            </w:pPr>
            <w:r w:rsidRPr="009055EA">
              <w:t>Silvia Modig, Eugenia Rodríguez Palop</w:t>
            </w:r>
          </w:p>
        </w:tc>
      </w:tr>
      <w:tr w:rsidR="003D0598" w:rsidRPr="009055EA" w14:paraId="056EE74E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61F0BD71" w14:textId="1F054C33" w:rsidR="003D0598" w:rsidRPr="009055EA" w:rsidRDefault="003D0598" w:rsidP="00C853D1">
            <w:pPr>
              <w:pStyle w:val="RollCallTable"/>
            </w:pPr>
            <w:r w:rsidRPr="009055EA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6BA07329" w14:textId="763B8B73" w:rsidR="003D0598" w:rsidRPr="009055EA" w:rsidRDefault="003D0598" w:rsidP="00C853D1">
            <w:pPr>
              <w:pStyle w:val="RollCallTable"/>
            </w:pPr>
            <w:r w:rsidRPr="009055EA">
              <w:t>Gwendoline Delbos-Corfield, Alice Kuhnke, Diana Riba i Giner, Sylwia Spurek</w:t>
            </w:r>
          </w:p>
        </w:tc>
      </w:tr>
    </w:tbl>
    <w:p w14:paraId="13640A12" w14:textId="77777777" w:rsidR="003D0598" w:rsidRPr="009055EA" w:rsidRDefault="003D0598" w:rsidP="00C853D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D0598" w:rsidRPr="009055EA" w14:paraId="21F1554D" w14:textId="77777777" w:rsidTr="00C853D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FE30F5B" w14:textId="7367040A" w:rsidR="003D0598" w:rsidRPr="009055EA" w:rsidRDefault="003D0598" w:rsidP="00C853D1">
            <w:pPr>
              <w:pStyle w:val="RollCallVotes"/>
            </w:pPr>
            <w:r w:rsidRPr="009055EA">
              <w:t>2</w:t>
            </w:r>
          </w:p>
        </w:tc>
        <w:tc>
          <w:tcPr>
            <w:tcW w:w="7371" w:type="dxa"/>
            <w:shd w:val="pct10" w:color="000000" w:fill="FFFFFF"/>
          </w:tcPr>
          <w:p w14:paraId="44D10673" w14:textId="77777777" w:rsidR="003D0598" w:rsidRPr="009055EA" w:rsidRDefault="003D0598" w:rsidP="00C853D1">
            <w:pPr>
              <w:pStyle w:val="RollCallSymbols14pt"/>
            </w:pPr>
            <w:r w:rsidRPr="009055EA">
              <w:t>-</w:t>
            </w:r>
          </w:p>
        </w:tc>
      </w:tr>
      <w:tr w:rsidR="003D0598" w:rsidRPr="009055EA" w14:paraId="2A4AED8A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4262378D" w14:textId="7774B7AD" w:rsidR="003D0598" w:rsidRPr="009055EA" w:rsidRDefault="003D0598" w:rsidP="00C853D1">
            <w:pPr>
              <w:pStyle w:val="RollCallTable"/>
            </w:pPr>
            <w:r w:rsidRPr="009055EA">
              <w:t>ECR</w:t>
            </w:r>
          </w:p>
        </w:tc>
        <w:tc>
          <w:tcPr>
            <w:tcW w:w="7371" w:type="dxa"/>
            <w:shd w:val="clear" w:color="auto" w:fill="FFFFFF"/>
          </w:tcPr>
          <w:p w14:paraId="4CF9E820" w14:textId="2F5C2BD9" w:rsidR="003D0598" w:rsidRPr="009055EA" w:rsidRDefault="003D0598" w:rsidP="00C853D1">
            <w:pPr>
              <w:pStyle w:val="RollCallTable"/>
            </w:pPr>
            <w:r w:rsidRPr="009055EA">
              <w:t>Johan Nissinen</w:t>
            </w:r>
          </w:p>
        </w:tc>
      </w:tr>
      <w:tr w:rsidR="003D0598" w:rsidRPr="009055EA" w14:paraId="3DFD4A70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0E21E4BB" w14:textId="7CA239BA" w:rsidR="003D0598" w:rsidRPr="009055EA" w:rsidRDefault="003D0598" w:rsidP="00C853D1">
            <w:pPr>
              <w:pStyle w:val="RollCallTable"/>
            </w:pPr>
            <w:r w:rsidRPr="009055EA">
              <w:t>ID</w:t>
            </w:r>
          </w:p>
        </w:tc>
        <w:tc>
          <w:tcPr>
            <w:tcW w:w="7371" w:type="dxa"/>
            <w:shd w:val="clear" w:color="auto" w:fill="FFFFFF"/>
          </w:tcPr>
          <w:p w14:paraId="45508B50" w14:textId="36D660E3" w:rsidR="003D0598" w:rsidRPr="009055EA" w:rsidRDefault="003D0598" w:rsidP="00C853D1">
            <w:pPr>
              <w:pStyle w:val="RollCallTable"/>
            </w:pPr>
            <w:r w:rsidRPr="009055EA">
              <w:t>Christine Anderson</w:t>
            </w:r>
          </w:p>
        </w:tc>
      </w:tr>
    </w:tbl>
    <w:p w14:paraId="17879FC7" w14:textId="77777777" w:rsidR="003D0598" w:rsidRPr="009055EA" w:rsidRDefault="003D0598" w:rsidP="00C853D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D0598" w:rsidRPr="009055EA" w14:paraId="660BE538" w14:textId="77777777" w:rsidTr="00C853D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9094433" w14:textId="089636EC" w:rsidR="003D0598" w:rsidRPr="009055EA" w:rsidRDefault="003D0598" w:rsidP="00C853D1">
            <w:pPr>
              <w:pStyle w:val="RollCallVotes"/>
            </w:pPr>
            <w:r w:rsidRPr="009055EA">
              <w:t>4</w:t>
            </w:r>
          </w:p>
        </w:tc>
        <w:tc>
          <w:tcPr>
            <w:tcW w:w="7371" w:type="dxa"/>
            <w:shd w:val="pct10" w:color="000000" w:fill="FFFFFF"/>
          </w:tcPr>
          <w:p w14:paraId="038A2722" w14:textId="77777777" w:rsidR="003D0598" w:rsidRPr="009055EA" w:rsidRDefault="003D0598" w:rsidP="00C853D1">
            <w:pPr>
              <w:pStyle w:val="RollCallSymbols14pt"/>
            </w:pPr>
            <w:r w:rsidRPr="009055EA">
              <w:t>0</w:t>
            </w:r>
          </w:p>
        </w:tc>
      </w:tr>
      <w:tr w:rsidR="003D0598" w:rsidRPr="009055EA" w14:paraId="06ED0E3F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71657314" w14:textId="7DAAE527" w:rsidR="003D0598" w:rsidRPr="009055EA" w:rsidRDefault="003D0598" w:rsidP="00C853D1">
            <w:pPr>
              <w:pStyle w:val="RollCallTable"/>
            </w:pPr>
            <w:r w:rsidRPr="009055EA">
              <w:t>ECR</w:t>
            </w:r>
          </w:p>
        </w:tc>
        <w:tc>
          <w:tcPr>
            <w:tcW w:w="7371" w:type="dxa"/>
            <w:shd w:val="clear" w:color="auto" w:fill="FFFFFF"/>
          </w:tcPr>
          <w:p w14:paraId="5BFCA905" w14:textId="72DBD0D7" w:rsidR="003D0598" w:rsidRPr="009055EA" w:rsidRDefault="003D0598" w:rsidP="00C853D1">
            <w:pPr>
              <w:pStyle w:val="RollCallTable"/>
            </w:pPr>
            <w:r w:rsidRPr="009055EA">
              <w:t>Margarita de la Pisa Carrión</w:t>
            </w:r>
          </w:p>
        </w:tc>
      </w:tr>
      <w:tr w:rsidR="003D0598" w:rsidRPr="009055EA" w14:paraId="483DF69A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2E3C095E" w14:textId="48C94A83" w:rsidR="003D0598" w:rsidRPr="009055EA" w:rsidRDefault="003D0598" w:rsidP="00C853D1">
            <w:pPr>
              <w:pStyle w:val="RollCallTable"/>
            </w:pPr>
            <w:r w:rsidRPr="009055EA">
              <w:t>ID</w:t>
            </w:r>
          </w:p>
        </w:tc>
        <w:tc>
          <w:tcPr>
            <w:tcW w:w="7371" w:type="dxa"/>
            <w:shd w:val="clear" w:color="auto" w:fill="FFFFFF"/>
          </w:tcPr>
          <w:p w14:paraId="504027A6" w14:textId="55810B0A" w:rsidR="003D0598" w:rsidRPr="009055EA" w:rsidRDefault="003D0598" w:rsidP="00C853D1">
            <w:pPr>
              <w:pStyle w:val="RollCallTable"/>
            </w:pPr>
            <w:r w:rsidRPr="009055EA">
              <w:t>Maria Veronica Rossi</w:t>
            </w:r>
          </w:p>
        </w:tc>
      </w:tr>
      <w:tr w:rsidR="003D0598" w:rsidRPr="009055EA" w14:paraId="16AE10CA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3DB06E9B" w14:textId="56012767" w:rsidR="003D0598" w:rsidRPr="009055EA" w:rsidRDefault="003D0598" w:rsidP="00C853D1">
            <w:pPr>
              <w:pStyle w:val="RollCallTable"/>
            </w:pPr>
            <w:r w:rsidRPr="009055EA">
              <w:t>NI</w:t>
            </w:r>
          </w:p>
        </w:tc>
        <w:tc>
          <w:tcPr>
            <w:tcW w:w="7371" w:type="dxa"/>
            <w:shd w:val="clear" w:color="auto" w:fill="FFFFFF"/>
          </w:tcPr>
          <w:p w14:paraId="34901623" w14:textId="25C23624" w:rsidR="003D0598" w:rsidRPr="009055EA" w:rsidRDefault="003D0598" w:rsidP="00C853D1">
            <w:pPr>
              <w:pStyle w:val="RollCallTable"/>
            </w:pPr>
            <w:r w:rsidRPr="009055EA">
              <w:t>Lívia Járóka</w:t>
            </w:r>
          </w:p>
        </w:tc>
      </w:tr>
      <w:tr w:rsidR="003D0598" w:rsidRPr="009055EA" w14:paraId="01935E14" w14:textId="77777777" w:rsidTr="00C853D1">
        <w:trPr>
          <w:cantSplit/>
        </w:trPr>
        <w:tc>
          <w:tcPr>
            <w:tcW w:w="1701" w:type="dxa"/>
            <w:shd w:val="clear" w:color="auto" w:fill="FFFFFF"/>
          </w:tcPr>
          <w:p w14:paraId="440EF849" w14:textId="55B15FC6" w:rsidR="003D0598" w:rsidRPr="009055EA" w:rsidRDefault="003D0598" w:rsidP="00C853D1">
            <w:pPr>
              <w:pStyle w:val="RollCallTable"/>
            </w:pPr>
            <w:r w:rsidRPr="009055EA">
              <w:t>PPE</w:t>
            </w:r>
          </w:p>
        </w:tc>
        <w:tc>
          <w:tcPr>
            <w:tcW w:w="7371" w:type="dxa"/>
            <w:shd w:val="clear" w:color="auto" w:fill="FFFFFF"/>
          </w:tcPr>
          <w:p w14:paraId="0D57EFB3" w14:textId="073E31B7" w:rsidR="003D0598" w:rsidRPr="009055EA" w:rsidRDefault="003D0598" w:rsidP="00C853D1">
            <w:pPr>
              <w:pStyle w:val="RollCallTable"/>
            </w:pPr>
            <w:r w:rsidRPr="009055EA">
              <w:t>Arba Kokalari</w:t>
            </w:r>
          </w:p>
        </w:tc>
      </w:tr>
    </w:tbl>
    <w:p w14:paraId="4F4829CD" w14:textId="77777777" w:rsidR="003D0598" w:rsidRPr="009055EA" w:rsidRDefault="003D0598" w:rsidP="00C853D1">
      <w:pPr>
        <w:pStyle w:val="Normal12a"/>
      </w:pPr>
    </w:p>
    <w:p w14:paraId="1E78900A" w14:textId="35939F8C" w:rsidR="003D0598" w:rsidRPr="009055EA" w:rsidRDefault="003D0598" w:rsidP="00C853D1">
      <w:r w:rsidRPr="009055EA">
        <w:t>Význam zkratek:</w:t>
      </w:r>
    </w:p>
    <w:p w14:paraId="123A9F0F" w14:textId="7642CE52" w:rsidR="003D0598" w:rsidRPr="009055EA" w:rsidRDefault="003D0598" w:rsidP="00C853D1">
      <w:pPr>
        <w:pStyle w:val="RollCallTabs"/>
      </w:pPr>
      <w:r w:rsidRPr="009055EA">
        <w:t>+</w:t>
      </w:r>
      <w:r w:rsidRPr="009055EA">
        <w:tab/>
        <w:t>:</w:t>
      </w:r>
      <w:r w:rsidRPr="009055EA">
        <w:tab/>
        <w:t>pro</w:t>
      </w:r>
    </w:p>
    <w:p w14:paraId="6DF4CA9A" w14:textId="1C663181" w:rsidR="003D0598" w:rsidRPr="009055EA" w:rsidRDefault="003D0598" w:rsidP="00C853D1">
      <w:pPr>
        <w:pStyle w:val="RollCallTabs"/>
      </w:pPr>
      <w:r w:rsidRPr="009055EA">
        <w:t>-</w:t>
      </w:r>
      <w:r w:rsidRPr="009055EA">
        <w:tab/>
        <w:t>:</w:t>
      </w:r>
      <w:r w:rsidRPr="009055EA">
        <w:tab/>
        <w:t>proti</w:t>
      </w:r>
    </w:p>
    <w:p w14:paraId="630D7313" w14:textId="55189B5E" w:rsidR="003D0598" w:rsidRPr="009055EA" w:rsidRDefault="003D0598" w:rsidP="00C853D1">
      <w:pPr>
        <w:pStyle w:val="RollCallTabs"/>
      </w:pPr>
      <w:r w:rsidRPr="009055EA">
        <w:t>0</w:t>
      </w:r>
      <w:r w:rsidRPr="009055EA">
        <w:tab/>
        <w:t>:</w:t>
      </w:r>
      <w:r w:rsidRPr="009055EA">
        <w:tab/>
        <w:t>zdrželi se</w:t>
      </w:r>
    </w:p>
    <w:p w14:paraId="160486EE" w14:textId="77777777" w:rsidR="003D0598" w:rsidRPr="009055EA" w:rsidRDefault="003D0598" w:rsidP="00C853D1"/>
    <w:bookmarkEnd w:id="2"/>
    <w:p w14:paraId="702C3762" w14:textId="43500894" w:rsidR="00A5717A" w:rsidRPr="009055EA" w:rsidRDefault="00A5717A" w:rsidP="003D0598"/>
    <w:sectPr w:rsidR="00A5717A" w:rsidRPr="009055EA" w:rsidSect="003D0598">
      <w:footnotePr>
        <w:numRestart w:val="eachSect"/>
      </w:footnotePr>
      <w:pgSz w:w="11906" w:h="16838"/>
      <w:pgMar w:top="1134" w:right="1417" w:bottom="1417" w:left="1417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52266" w14:textId="77777777" w:rsidR="00C15561" w:rsidRPr="009055EA" w:rsidRDefault="00C15561">
      <w:r w:rsidRPr="009055EA">
        <w:separator/>
      </w:r>
    </w:p>
  </w:endnote>
  <w:endnote w:type="continuationSeparator" w:id="0">
    <w:p w14:paraId="2FACCB51" w14:textId="77777777" w:rsidR="00C15561" w:rsidRPr="009055EA" w:rsidRDefault="00C15561">
      <w:r w:rsidRPr="00905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F94F5" w14:textId="5EB7E6B9" w:rsidR="009055EA" w:rsidRPr="009055EA" w:rsidRDefault="009055EA" w:rsidP="009055EA">
    <w:pPr>
      <w:pStyle w:val="EPFooter"/>
    </w:pPr>
    <w:r w:rsidRPr="009055EA">
      <w:t>PE</w:t>
    </w:r>
    <w:r w:rsidRPr="009055EA">
      <w:rPr>
        <w:rStyle w:val="HideTWBExt"/>
      </w:rPr>
      <w:t>&lt;NoPE&gt;</w:t>
    </w:r>
    <w:r w:rsidRPr="009055EA">
      <w:t>749.891</w:t>
    </w:r>
    <w:r w:rsidRPr="009055EA">
      <w:rPr>
        <w:rStyle w:val="HideTWBExt"/>
      </w:rPr>
      <w:t>&lt;/NoPE&gt;&lt;Version&gt;</w:t>
    </w:r>
    <w:r w:rsidRPr="009055EA">
      <w:t>v02-00</w:t>
    </w:r>
    <w:r w:rsidRPr="009055EA">
      <w:rPr>
        <w:rStyle w:val="HideTWBExt"/>
      </w:rPr>
      <w:t>&lt;/Version&gt;</w:t>
    </w:r>
    <w:r w:rsidRPr="009055EA">
      <w:tab/>
    </w:r>
    <w:r w:rsidRPr="009055EA">
      <w:fldChar w:fldCharType="begin"/>
    </w:r>
    <w:r w:rsidRPr="009055EA">
      <w:instrText xml:space="preserve"> PAGE  \* MERGEFORMAT </w:instrText>
    </w:r>
    <w:r w:rsidRPr="009055EA">
      <w:fldChar w:fldCharType="separate"/>
    </w:r>
    <w:r w:rsidR="00A15E1F">
      <w:rPr>
        <w:noProof/>
      </w:rPr>
      <w:t>2</w:t>
    </w:r>
    <w:r w:rsidRPr="009055EA">
      <w:fldChar w:fldCharType="end"/>
    </w:r>
    <w:r w:rsidRPr="009055EA">
      <w:t>/</w:t>
    </w:r>
    <w:r w:rsidR="00A15E1F">
      <w:fldChar w:fldCharType="begin"/>
    </w:r>
    <w:r w:rsidR="00A15E1F">
      <w:instrText xml:space="preserve"> NUMPAGES  \* MERGEFORMAT </w:instrText>
    </w:r>
    <w:r w:rsidR="00A15E1F">
      <w:fldChar w:fldCharType="separate"/>
    </w:r>
    <w:r w:rsidR="00A15E1F">
      <w:rPr>
        <w:noProof/>
      </w:rPr>
      <w:t>14</w:t>
    </w:r>
    <w:r w:rsidR="00A15E1F">
      <w:rPr>
        <w:noProof/>
      </w:rPr>
      <w:fldChar w:fldCharType="end"/>
    </w:r>
    <w:r w:rsidRPr="009055EA">
      <w:tab/>
    </w:r>
    <w:r w:rsidRPr="009055EA">
      <w:rPr>
        <w:rStyle w:val="HideTWBExt"/>
      </w:rPr>
      <w:t>&lt;PathFdR&gt;</w:t>
    </w:r>
    <w:r w:rsidRPr="009055EA">
      <w:t>AD\1286056CS.docx</w:t>
    </w:r>
    <w:r w:rsidRPr="009055EA">
      <w:rPr>
        <w:rStyle w:val="HideTWBExt"/>
      </w:rPr>
      <w:t>&lt;/PathFdR&gt;</w:t>
    </w:r>
  </w:p>
  <w:p w14:paraId="4FA08D3B" w14:textId="4BC28A98" w:rsidR="00C15561" w:rsidRPr="009055EA" w:rsidRDefault="009055EA" w:rsidP="009055EA">
    <w:pPr>
      <w:pStyle w:val="EPFooter2"/>
    </w:pPr>
    <w:r w:rsidRPr="009055E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344FA" w14:textId="46AB62B4" w:rsidR="009055EA" w:rsidRPr="009055EA" w:rsidRDefault="009055EA" w:rsidP="009055EA">
    <w:pPr>
      <w:pStyle w:val="EPFooter"/>
    </w:pPr>
    <w:r w:rsidRPr="009055EA">
      <w:rPr>
        <w:rStyle w:val="HideTWBExt"/>
      </w:rPr>
      <w:t>&lt;PathFdR&gt;</w:t>
    </w:r>
    <w:r w:rsidRPr="009055EA">
      <w:t>AD\1286056CS.docx</w:t>
    </w:r>
    <w:r w:rsidRPr="009055EA">
      <w:rPr>
        <w:rStyle w:val="HideTWBExt"/>
      </w:rPr>
      <w:t>&lt;/PathFdR&gt;</w:t>
    </w:r>
    <w:r w:rsidRPr="009055EA">
      <w:tab/>
    </w:r>
    <w:r w:rsidRPr="009055EA">
      <w:fldChar w:fldCharType="begin"/>
    </w:r>
    <w:r w:rsidRPr="009055EA">
      <w:instrText xml:space="preserve"> PAGE  \* MERGEFORMAT </w:instrText>
    </w:r>
    <w:r w:rsidRPr="009055EA">
      <w:fldChar w:fldCharType="separate"/>
    </w:r>
    <w:r w:rsidR="00A15E1F">
      <w:rPr>
        <w:noProof/>
      </w:rPr>
      <w:t>13</w:t>
    </w:r>
    <w:r w:rsidRPr="009055EA">
      <w:fldChar w:fldCharType="end"/>
    </w:r>
    <w:r w:rsidRPr="009055EA">
      <w:t>/</w:t>
    </w:r>
    <w:r w:rsidR="00A15E1F">
      <w:fldChar w:fldCharType="begin"/>
    </w:r>
    <w:r w:rsidR="00A15E1F">
      <w:instrText xml:space="preserve"> NUMPAGES  \* MERGEFORMAT </w:instrText>
    </w:r>
    <w:r w:rsidR="00A15E1F">
      <w:fldChar w:fldCharType="separate"/>
    </w:r>
    <w:r w:rsidR="00A15E1F">
      <w:rPr>
        <w:noProof/>
      </w:rPr>
      <w:t>13</w:t>
    </w:r>
    <w:r w:rsidR="00A15E1F">
      <w:rPr>
        <w:noProof/>
      </w:rPr>
      <w:fldChar w:fldCharType="end"/>
    </w:r>
    <w:r w:rsidRPr="009055EA">
      <w:tab/>
      <w:t>PE</w:t>
    </w:r>
    <w:r w:rsidRPr="009055EA">
      <w:rPr>
        <w:rStyle w:val="HideTWBExt"/>
      </w:rPr>
      <w:t>&lt;NoPE&gt;</w:t>
    </w:r>
    <w:r w:rsidRPr="009055EA">
      <w:t>749.891</w:t>
    </w:r>
    <w:r w:rsidRPr="009055EA">
      <w:rPr>
        <w:rStyle w:val="HideTWBExt"/>
      </w:rPr>
      <w:t>&lt;/NoPE&gt;&lt;Version&gt;</w:t>
    </w:r>
    <w:r w:rsidRPr="009055EA">
      <w:t>v02-00</w:t>
    </w:r>
    <w:r w:rsidRPr="009055EA">
      <w:rPr>
        <w:rStyle w:val="HideTWBExt"/>
      </w:rPr>
      <w:t>&lt;/Version&gt;</w:t>
    </w:r>
  </w:p>
  <w:p w14:paraId="32F763A7" w14:textId="035AECD5" w:rsidR="00C15561" w:rsidRPr="009055EA" w:rsidRDefault="009055EA" w:rsidP="009055EA">
    <w:pPr>
      <w:pStyle w:val="EPFooter2"/>
    </w:pPr>
    <w:r w:rsidRPr="009055EA">
      <w:tab/>
    </w:r>
    <w:r w:rsidRPr="009055E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07604" w14:textId="77777777" w:rsidR="009055EA" w:rsidRPr="009055EA" w:rsidRDefault="009055EA" w:rsidP="009055EA">
    <w:pPr>
      <w:pStyle w:val="EPFooter"/>
    </w:pPr>
    <w:r w:rsidRPr="009055EA">
      <w:rPr>
        <w:rStyle w:val="HideTWBExt"/>
      </w:rPr>
      <w:t>&lt;PathFdR&gt;</w:t>
    </w:r>
    <w:r w:rsidRPr="009055EA">
      <w:t>AD\1286056CS.docx</w:t>
    </w:r>
    <w:r w:rsidRPr="009055EA">
      <w:rPr>
        <w:rStyle w:val="HideTWBExt"/>
      </w:rPr>
      <w:t>&lt;/PathFdR&gt;</w:t>
    </w:r>
    <w:r w:rsidRPr="009055EA">
      <w:tab/>
    </w:r>
    <w:r w:rsidRPr="009055EA">
      <w:tab/>
      <w:t>PE</w:t>
    </w:r>
    <w:r w:rsidRPr="009055EA">
      <w:rPr>
        <w:rStyle w:val="HideTWBExt"/>
      </w:rPr>
      <w:t>&lt;NoPE&gt;</w:t>
    </w:r>
    <w:r w:rsidRPr="009055EA">
      <w:t>749.891</w:t>
    </w:r>
    <w:r w:rsidRPr="009055EA">
      <w:rPr>
        <w:rStyle w:val="HideTWBExt"/>
      </w:rPr>
      <w:t>&lt;/NoPE&gt;&lt;Version&gt;</w:t>
    </w:r>
    <w:r w:rsidRPr="009055EA">
      <w:t>v02-00</w:t>
    </w:r>
    <w:r w:rsidRPr="009055EA">
      <w:rPr>
        <w:rStyle w:val="HideTWBExt"/>
      </w:rPr>
      <w:t>&lt;/Version&gt;</w:t>
    </w:r>
  </w:p>
  <w:p w14:paraId="190DCF24" w14:textId="2CD8708E" w:rsidR="00C15561" w:rsidRPr="009055EA" w:rsidRDefault="009055EA" w:rsidP="009055EA">
    <w:pPr>
      <w:pStyle w:val="EPFooter2"/>
    </w:pPr>
    <w:r w:rsidRPr="009055EA">
      <w:t>CS</w:t>
    </w:r>
    <w:r w:rsidRPr="009055EA">
      <w:tab/>
    </w:r>
    <w:r w:rsidRPr="009055EA">
      <w:rPr>
        <w:b w:val="0"/>
        <w:i/>
        <w:color w:val="C0C0C0"/>
        <w:sz w:val="22"/>
      </w:rPr>
      <w:t>Jednotná v rozmanitosti</w:t>
    </w:r>
    <w:r w:rsidRPr="009055EA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CCBAC" w14:textId="77777777" w:rsidR="00C15561" w:rsidRPr="009055EA" w:rsidRDefault="00C15561">
      <w:r w:rsidRPr="009055EA">
        <w:separator/>
      </w:r>
    </w:p>
  </w:footnote>
  <w:footnote w:type="continuationSeparator" w:id="0">
    <w:p w14:paraId="7725CAEA" w14:textId="77777777" w:rsidR="00C15561" w:rsidRPr="009055EA" w:rsidRDefault="00C15561">
      <w:r w:rsidRPr="009055EA">
        <w:continuationSeparator/>
      </w:r>
    </w:p>
  </w:footnote>
  <w:footnote w:id="1">
    <w:p w14:paraId="62CABDFD" w14:textId="0A4794C1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Usnesení Evropského parlamentu ze dne 5. července 2022 Směrem ke společným evropským opatřením v oblasti péče (Úř. věst. C 47, 7.2.2023, s. 30).</w:t>
      </w:r>
    </w:p>
  </w:footnote>
  <w:footnote w:id="2">
    <w:p w14:paraId="16E7857A" w14:textId="69C53E99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rPr>
          <w:rStyle w:val="FootnoteReference"/>
          <w:vertAlign w:val="baseline"/>
        </w:rPr>
        <w:t>Oddělení Evropského parlamentu pro sledování veřejného mínění</w:t>
      </w:r>
      <w:r w:rsidRPr="009055EA">
        <w:t>, „Bleskový průzkum Eurobarometr 2022 – Ženy v době pandemie COVID-19“, březen 2022.</w:t>
      </w:r>
    </w:p>
  </w:footnote>
  <w:footnote w:id="3">
    <w:p w14:paraId="081AC0BE" w14:textId="2A5046D0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Usnesení Evropského parlamentu ze dne 17. února 2022 o prioritách EU pro 67. zasedání Komise OSN pro postavení žen (Úř. věst. C 342, 6.9.2022, s. 276).</w:t>
      </w:r>
    </w:p>
  </w:footnote>
  <w:footnote w:id="4">
    <w:p w14:paraId="78D5EEF6" w14:textId="732642A5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Evropská komise, „</w:t>
      </w:r>
      <w:hyperlink r:id="rId1" w:history="1">
        <w:r w:rsidRPr="009055EA">
          <w:rPr>
            <w:rStyle w:val="Hyperlink"/>
          </w:rPr>
          <w:t>Women’s situation in the labour market</w:t>
        </w:r>
      </w:hyperlink>
      <w:r w:rsidRPr="009055EA">
        <w:t>“ (Situace žen na trhu práce), navštíveno dne 2. října 2023.</w:t>
      </w:r>
    </w:p>
  </w:footnote>
  <w:footnote w:id="5">
    <w:p w14:paraId="52097A11" w14:textId="5124FBCD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Eurostat, tabulka databáze LFSA_IGAR, „</w:t>
      </w:r>
      <w:r w:rsidRPr="009055EA">
        <w:rPr>
          <w:i/>
          <w:iCs/>
        </w:rPr>
        <w:t>Inactive population not seeking employment by sex, age and main reason – Care of adults with disabilities or children and other family or personal reasons – from 15 to 64 years old</w:t>
      </w:r>
      <w:r w:rsidRPr="009055EA">
        <w:t>“ (Neaktivní obyvatelstvo nehledající zaměstnání podle pohlaví, věku a hlavního důvodu – péče o dospělé se zdravotním postižením nebo o děti a jiné rodinné nebo osobní důvody – od 15 do 64 let věku), poslední aktualizace dne 14. září 2023.</w:t>
      </w:r>
    </w:p>
  </w:footnote>
  <w:footnote w:id="6">
    <w:p w14:paraId="228DB639" w14:textId="2AC8F939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Eurofound, „Život a práce v Evropě 2021“, Úřad pro publikace Evropské unie, Lucemburk, 9. května 2022, s. 73.</w:t>
      </w:r>
    </w:p>
  </w:footnote>
  <w:footnote w:id="7">
    <w:p w14:paraId="31946E18" w14:textId="1DD79799" w:rsidR="00C15561" w:rsidRPr="009055EA" w:rsidRDefault="00C15561" w:rsidP="001A3449">
      <w:pPr>
        <w:pStyle w:val="FootnoteText"/>
        <w:rPr>
          <w:rStyle w:val="FootnoteReference"/>
        </w:rPr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Eurostat, „</w:t>
      </w:r>
      <w:hyperlink r:id="rId2" w:history="1">
        <w:r w:rsidRPr="009055EA">
          <w:rPr>
            <w:rStyle w:val="Hyperlink"/>
            <w:i/>
            <w:iCs/>
          </w:rPr>
          <w:t>1 in 4 children in the EU at risk of poverty or social exclusion</w:t>
        </w:r>
      </w:hyperlink>
      <w:r w:rsidRPr="009055EA">
        <w:t>“ (Každé čtvrté dítě v EU je ohroženo chudobou nebo sociálním vyloučením), 28. října 2021.</w:t>
      </w:r>
    </w:p>
  </w:footnote>
  <w:footnote w:id="8">
    <w:p w14:paraId="5E052849" w14:textId="28B656C7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rPr>
          <w:color w:val="000000"/>
        </w:rPr>
        <w:t>V roce 2021 v EU-27 27,9 % žen ve věku 25–49 let mimo pracovní sílu uvedlo, že hlavním důvodem, proč nehledají zaměstnání, je péče o děti nebo dospělé osoby, které potřebují péči (Eurostat 2021 – šetření pracovních sil).</w:t>
      </w:r>
    </w:p>
  </w:footnote>
  <w:footnote w:id="9">
    <w:p w14:paraId="58149E8A" w14:textId="50EEA2B1" w:rsidR="00183B11" w:rsidRPr="009055EA" w:rsidRDefault="00183B11">
      <w:pPr>
        <w:pStyle w:val="FootnoteText"/>
      </w:pPr>
      <w:r w:rsidRPr="009055EA">
        <w:rPr>
          <w:rStyle w:val="FootnoteReference"/>
        </w:rPr>
        <w:footnoteRef/>
      </w:r>
      <w:r w:rsidRPr="009055EA">
        <w:t xml:space="preserve"> Směrnice Evropského parlamentu a Rady (EU) 2023/970 ze dne 10. května 2023, kterou se posiluje uplatňování zásady stejné odměny mužů a žen za stejnou práci nebo práci stejné hodnoty prostřednictvím transparentnosti odměňování a mechanismů prosazování (Úř. věst. L 132, 17.5.2023, s. 21).</w:t>
      </w:r>
    </w:p>
  </w:footnote>
  <w:footnote w:id="10">
    <w:p w14:paraId="67A3A5F4" w14:textId="3427F8B4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Eurofound, „</w:t>
      </w:r>
      <w:r w:rsidRPr="009055EA">
        <w:rPr>
          <w:i/>
          <w:iCs/>
        </w:rPr>
        <w:t>Economic and social inequalities in Europe in the aftermath of the Covid-19 pandemic</w:t>
      </w:r>
      <w:r w:rsidRPr="009055EA">
        <w:t>“ (Hospodářské a sociální nerovnosti v Evropě po pandemii COVID-19), Úřad pro publikace Evropské unie, Lucemburk, 24. ledna 2023.</w:t>
      </w:r>
    </w:p>
  </w:footnote>
  <w:footnote w:id="11">
    <w:p w14:paraId="1C146504" w14:textId="2E6CAEF3" w:rsidR="0064023F" w:rsidRPr="009055EA" w:rsidRDefault="0064023F">
      <w:pPr>
        <w:pStyle w:val="FootnoteText"/>
      </w:pPr>
      <w:r w:rsidRPr="009055EA">
        <w:rPr>
          <w:rStyle w:val="FootnoteReference"/>
        </w:rPr>
        <w:footnoteRef/>
      </w:r>
      <w:r w:rsidRPr="009055EA">
        <w:t xml:space="preserve"> Doporučení Rady (EU) 2021/1004 ze dne 14. června 2021, kterým se zavádí evropská záruka pro děti (Úř. věst. L 223, 22.6.2021, s. 14).</w:t>
      </w:r>
    </w:p>
  </w:footnote>
  <w:footnote w:id="12">
    <w:p w14:paraId="32CE97DC" w14:textId="716EB886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Sdělení Komise ze dne 24. března 2021 „Strategie EU pro práva dítěte“ (COM(2021)0142).</w:t>
      </w:r>
    </w:p>
  </w:footnote>
  <w:footnote w:id="13">
    <w:p w14:paraId="3B3B3855" w14:textId="06057654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Save the Children, „</w:t>
      </w:r>
      <w:hyperlink r:id="rId3" w:history="1">
        <w:r w:rsidRPr="009055EA">
          <w:rPr>
            <w:rStyle w:val="Hyperlink"/>
            <w:i/>
            <w:iCs/>
          </w:rPr>
          <w:t>Over 200,000 more children are at risk of poverty in the European Union:</w:t>
        </w:r>
      </w:hyperlink>
      <w:hyperlink r:id="rId4" w:history="1">
        <w:r w:rsidRPr="009055EA">
          <w:rPr>
            <w:rStyle w:val="Hyperlink"/>
            <w:i/>
            <w:iCs/>
          </w:rPr>
          <w:t xml:space="preserve"> Save the Children report</w:t>
        </w:r>
      </w:hyperlink>
      <w:r w:rsidRPr="009055EA">
        <w:t xml:space="preserve">“ (Dalších více než 200 000 dětí v Evropské unii je ohroženo chudobou: zpráva organizace Save the Children), 7. března 2023. </w:t>
      </w:r>
    </w:p>
  </w:footnote>
  <w:footnote w:id="14">
    <w:p w14:paraId="69ECEF77" w14:textId="1A991F01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Regionální kancelář fondu UNICEF pro Evropu a Střední Asii, „</w:t>
      </w:r>
      <w:hyperlink r:id="rId5" w:history="1">
        <w:r w:rsidRPr="009055EA">
          <w:rPr>
            <w:rStyle w:val="Hyperlink"/>
            <w:i/>
            <w:iCs/>
          </w:rPr>
          <w:t>Situation of Children in Europe and Central Asia</w:t>
        </w:r>
      </w:hyperlink>
      <w:r w:rsidRPr="009055EA">
        <w:t xml:space="preserve">“ (Situace dětí v Evropě a ve Střední Asii), leden 2023. </w:t>
      </w:r>
    </w:p>
  </w:footnote>
  <w:footnote w:id="15">
    <w:p w14:paraId="2D0722ED" w14:textId="7F471C76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UNICEF, „</w:t>
      </w:r>
      <w:hyperlink r:id="rId6" w:history="1">
        <w:r w:rsidRPr="009055EA">
          <w:rPr>
            <w:rStyle w:val="Hyperlink"/>
            <w:i/>
            <w:iCs/>
          </w:rPr>
          <w:t>The Mental Health Burden Affecting Europe’s Children</w:t>
        </w:r>
      </w:hyperlink>
      <w:r w:rsidRPr="009055EA">
        <w:t xml:space="preserve">“ (Břímě duševního zdraví doléhá na evropské děti), 4. října 2021. </w:t>
      </w:r>
    </w:p>
  </w:footnote>
  <w:footnote w:id="16">
    <w:p w14:paraId="41AB9939" w14:textId="563BBF6F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Save the Children, „</w:t>
      </w:r>
      <w:r w:rsidRPr="009055EA">
        <w:rPr>
          <w:i/>
          <w:iCs/>
        </w:rPr>
        <w:t>Guaranteeing Children’s Future:</w:t>
      </w:r>
      <w:r w:rsidRPr="009055EA">
        <w:t xml:space="preserve"> </w:t>
      </w:r>
      <w:r w:rsidRPr="009055EA">
        <w:rPr>
          <w:i/>
          <w:iCs/>
        </w:rPr>
        <w:t>How COVID-19, cost-of-living and climate crises affect children in poverty and what governments in Europe need to do</w:t>
      </w:r>
      <w:r w:rsidRPr="009055EA">
        <w:t>“ (Zaručení budoucnosti dětí: jak pandemie COVID-19, krize životních nákladů a klimatická krize ovlivňují děti trpící chudobou a co musí udělat evropské vlády), březen 2023.</w:t>
      </w:r>
    </w:p>
  </w:footnote>
  <w:footnote w:id="17">
    <w:p w14:paraId="6F21F63F" w14:textId="661BD66C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UNICEF, „</w:t>
      </w:r>
      <w:hyperlink r:id="rId7" w:history="1">
        <w:r w:rsidRPr="009055EA">
          <w:rPr>
            <w:rStyle w:val="Hyperlink"/>
            <w:i/>
            <w:iCs/>
          </w:rPr>
          <w:t>The Mental Health Burden Affecting Europe’s Children</w:t>
        </w:r>
      </w:hyperlink>
      <w:r w:rsidRPr="009055EA">
        <w:t>“ (Břímě duševního zdraví doléhá na evropské děti), 4. října 2021.</w:t>
      </w:r>
    </w:p>
  </w:footnote>
  <w:footnote w:id="18">
    <w:p w14:paraId="566847F1" w14:textId="54FDDB4E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Organizace pro hospodářskou spolupráci a rozvoj, „</w:t>
      </w:r>
      <w:hyperlink r:id="rId8" w:history="1">
        <w:r w:rsidRPr="009055EA">
          <w:rPr>
            <w:rStyle w:val="Hyperlink"/>
            <w:i/>
            <w:iCs/>
          </w:rPr>
          <w:t>What are the integration challenges of Ukrainian refugee women?</w:t>
        </w:r>
      </w:hyperlink>
      <w:r w:rsidRPr="009055EA">
        <w:t>“ (Jakým výzvám čelí ukrajinské uprchlice při integraci?), 30. května 2023.</w:t>
      </w:r>
    </w:p>
  </w:footnote>
  <w:footnote w:id="19">
    <w:p w14:paraId="0764D674" w14:textId="3D996D83" w:rsidR="00C15561" w:rsidRPr="009055EA" w:rsidRDefault="00C15561" w:rsidP="001A3449">
      <w:pPr>
        <w:pStyle w:val="FootnoteText"/>
      </w:pPr>
      <w:r w:rsidRPr="009055EA">
        <w:rPr>
          <w:rStyle w:val="FootnoteReference"/>
        </w:rPr>
        <w:footnoteRef/>
      </w:r>
      <w:r w:rsidRPr="009055EA">
        <w:rPr>
          <w:rStyle w:val="FootnoteReference"/>
        </w:rPr>
        <w:t xml:space="preserve"> </w:t>
      </w:r>
      <w:r w:rsidRPr="009055EA">
        <w:t>Save the Children, „</w:t>
      </w:r>
      <w:r w:rsidRPr="009055EA">
        <w:rPr>
          <w:i/>
          <w:iCs/>
        </w:rPr>
        <w:t>Stop the War on Children:</w:t>
      </w:r>
      <w:r w:rsidRPr="009055EA">
        <w:t xml:space="preserve"> </w:t>
      </w:r>
      <w:r w:rsidRPr="009055EA">
        <w:rPr>
          <w:i/>
          <w:iCs/>
        </w:rPr>
        <w:t>Protecting children in 21st century conflict</w:t>
      </w:r>
      <w:r w:rsidRPr="009055EA">
        <w:t>“ (Zastavte válku proti dětem: ochrana dětí v 21. století během konfliktu), 2019.</w:t>
      </w:r>
    </w:p>
  </w:footnote>
  <w:footnote w:id="20">
    <w:p w14:paraId="2DBFA15B" w14:textId="0F69DDC4" w:rsidR="00167109" w:rsidRPr="009055EA" w:rsidRDefault="00167109">
      <w:pPr>
        <w:pStyle w:val="FootnoteText"/>
      </w:pPr>
      <w:r w:rsidRPr="009055EA">
        <w:rPr>
          <w:rStyle w:val="FootnoteReference"/>
        </w:rPr>
        <w:footnoteRef/>
      </w:r>
      <w:r w:rsidRPr="009055EA">
        <w:t xml:space="preserve"> Směrnice Evropského parlamentu a Rady (EU) 2022/2041 ze dne 19. října 2022 o přiměřených minimálních mzdách v Evropské unii (Úř. věst. L 275, 25.10.2022, s. 33).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19E86" w14:textId="77777777" w:rsidR="007F2780" w:rsidRDefault="007F27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36A46" w14:textId="77777777" w:rsidR="007F2780" w:rsidRDefault="007F27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00E2D" w14:textId="77777777" w:rsidR="007F2780" w:rsidRDefault="007F27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456A"/>
    <w:multiLevelType w:val="hybridMultilevel"/>
    <w:tmpl w:val="6D3625A0"/>
    <w:lvl w:ilvl="0" w:tplc="ED24238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538D7"/>
    <w:multiLevelType w:val="hybridMultilevel"/>
    <w:tmpl w:val="B4A836B6"/>
    <w:lvl w:ilvl="0" w:tplc="8BBC1CB6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E19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5A0E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AF1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05A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9ED1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09E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4ADE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C024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53249"/>
  </w:hdrShapeDefaults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KEY" w:val="FEMM"/>
    <w:docVar w:name="LastAMInserted" w:val="29"/>
    <w:docVar w:name="LastEditedSection" w:val=" 1"/>
    <w:docVar w:name="NumberAMInserted" w:val="29"/>
    <w:docVar w:name="strDocTypeID" w:val="PA_NonLeg"/>
    <w:docVar w:name="strSubDir" w:val="1286"/>
    <w:docVar w:name="TXTLANGUE" w:val="CS"/>
    <w:docVar w:name="TXTLANGUEMIN" w:val="cs"/>
    <w:docVar w:name="TXTNRPE" w:val="749.891"/>
    <w:docVar w:name="TXTPEorAP" w:val="PE"/>
    <w:docVar w:name="TXTROUTE" w:val="AD\1286056CS.docx"/>
    <w:docVar w:name="TXTVERSION" w:val="02-00"/>
  </w:docVars>
  <w:rsids>
    <w:rsidRoot w:val="00A77B3E"/>
    <w:rsid w:val="00011AB9"/>
    <w:rsid w:val="00022124"/>
    <w:rsid w:val="00023319"/>
    <w:rsid w:val="000735B1"/>
    <w:rsid w:val="000775C7"/>
    <w:rsid w:val="000A1CC1"/>
    <w:rsid w:val="000C21D9"/>
    <w:rsid w:val="000D14D6"/>
    <w:rsid w:val="000D50FF"/>
    <w:rsid w:val="0012082F"/>
    <w:rsid w:val="0012565D"/>
    <w:rsid w:val="00142E2A"/>
    <w:rsid w:val="00147B51"/>
    <w:rsid w:val="00152929"/>
    <w:rsid w:val="00167109"/>
    <w:rsid w:val="00183B11"/>
    <w:rsid w:val="001A3449"/>
    <w:rsid w:val="001D3367"/>
    <w:rsid w:val="001F3B64"/>
    <w:rsid w:val="0022017F"/>
    <w:rsid w:val="0025402D"/>
    <w:rsid w:val="00254C6D"/>
    <w:rsid w:val="0025627F"/>
    <w:rsid w:val="00263AEE"/>
    <w:rsid w:val="003130AF"/>
    <w:rsid w:val="003504CA"/>
    <w:rsid w:val="003A1094"/>
    <w:rsid w:val="003B24F4"/>
    <w:rsid w:val="003B440E"/>
    <w:rsid w:val="003D0598"/>
    <w:rsid w:val="004038CF"/>
    <w:rsid w:val="00410255"/>
    <w:rsid w:val="004332C4"/>
    <w:rsid w:val="00453945"/>
    <w:rsid w:val="00460A4C"/>
    <w:rsid w:val="0046125B"/>
    <w:rsid w:val="0048761C"/>
    <w:rsid w:val="004B0C6E"/>
    <w:rsid w:val="004C17F7"/>
    <w:rsid w:val="004C7F87"/>
    <w:rsid w:val="005005ED"/>
    <w:rsid w:val="00513F01"/>
    <w:rsid w:val="00521E5B"/>
    <w:rsid w:val="005324BE"/>
    <w:rsid w:val="005A0EF9"/>
    <w:rsid w:val="005A4E0E"/>
    <w:rsid w:val="0064023F"/>
    <w:rsid w:val="006519D7"/>
    <w:rsid w:val="00674A48"/>
    <w:rsid w:val="00674DBD"/>
    <w:rsid w:val="006A5040"/>
    <w:rsid w:val="006B031E"/>
    <w:rsid w:val="006B3828"/>
    <w:rsid w:val="006C2D31"/>
    <w:rsid w:val="006C5D45"/>
    <w:rsid w:val="006D7F4E"/>
    <w:rsid w:val="00715AD6"/>
    <w:rsid w:val="00735830"/>
    <w:rsid w:val="007375FD"/>
    <w:rsid w:val="007B4939"/>
    <w:rsid w:val="007D4235"/>
    <w:rsid w:val="007F017D"/>
    <w:rsid w:val="007F2780"/>
    <w:rsid w:val="008124C0"/>
    <w:rsid w:val="00847866"/>
    <w:rsid w:val="008907B5"/>
    <w:rsid w:val="008C0871"/>
    <w:rsid w:val="008C44CD"/>
    <w:rsid w:val="008F2DCB"/>
    <w:rsid w:val="009055EA"/>
    <w:rsid w:val="00925647"/>
    <w:rsid w:val="00960D00"/>
    <w:rsid w:val="0096568D"/>
    <w:rsid w:val="009707C9"/>
    <w:rsid w:val="009A7E21"/>
    <w:rsid w:val="009D17BD"/>
    <w:rsid w:val="009E1A9D"/>
    <w:rsid w:val="009F07DF"/>
    <w:rsid w:val="00A1365B"/>
    <w:rsid w:val="00A15E1F"/>
    <w:rsid w:val="00A30369"/>
    <w:rsid w:val="00A41063"/>
    <w:rsid w:val="00A4220C"/>
    <w:rsid w:val="00A53037"/>
    <w:rsid w:val="00A5717A"/>
    <w:rsid w:val="00A763A6"/>
    <w:rsid w:val="00A77B3E"/>
    <w:rsid w:val="00A967CE"/>
    <w:rsid w:val="00AD6806"/>
    <w:rsid w:val="00B23A91"/>
    <w:rsid w:val="00B37D77"/>
    <w:rsid w:val="00B42B98"/>
    <w:rsid w:val="00B45A9E"/>
    <w:rsid w:val="00B56560"/>
    <w:rsid w:val="00B86526"/>
    <w:rsid w:val="00B91EF1"/>
    <w:rsid w:val="00BA502A"/>
    <w:rsid w:val="00BB4004"/>
    <w:rsid w:val="00C15561"/>
    <w:rsid w:val="00C3606A"/>
    <w:rsid w:val="00C4138F"/>
    <w:rsid w:val="00C81256"/>
    <w:rsid w:val="00C853D1"/>
    <w:rsid w:val="00C90E4F"/>
    <w:rsid w:val="00CA2A55"/>
    <w:rsid w:val="00CE059F"/>
    <w:rsid w:val="00CF7AE5"/>
    <w:rsid w:val="00D00622"/>
    <w:rsid w:val="00D020CA"/>
    <w:rsid w:val="00D553D1"/>
    <w:rsid w:val="00DD1EF2"/>
    <w:rsid w:val="00DE39E2"/>
    <w:rsid w:val="00DF6B0B"/>
    <w:rsid w:val="00E054B7"/>
    <w:rsid w:val="00E110F8"/>
    <w:rsid w:val="00E30D83"/>
    <w:rsid w:val="00E33320"/>
    <w:rsid w:val="00E45A68"/>
    <w:rsid w:val="00E7208F"/>
    <w:rsid w:val="00E74D88"/>
    <w:rsid w:val="00E86018"/>
    <w:rsid w:val="00ED6BF0"/>
    <w:rsid w:val="00F101A5"/>
    <w:rsid w:val="00F23044"/>
    <w:rsid w:val="00F24874"/>
    <w:rsid w:val="00F421F2"/>
    <w:rsid w:val="00F74FD7"/>
    <w:rsid w:val="00FA3C67"/>
    <w:rsid w:val="00FA5C93"/>
    <w:rsid w:val="00FB49E7"/>
    <w:rsid w:val="00FC1773"/>
    <w:rsid w:val="00F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79C6A364"/>
  <w15:docId w15:val="{4420DD0D-D532-4C03-9470-9903B757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12a"/>
    <w:next w:val="Normal12a"/>
    <w:qFormat/>
    <w:rsid w:val="00DC11F3"/>
    <w:pPr>
      <w:keepNext/>
      <w:spacing w:before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F06867"/>
    <w:pPr>
      <w:spacing w:after="240"/>
    </w:pPr>
    <w:rPr>
      <w:i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44AF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B44A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8B277F"/>
    <w:pPr>
      <w:spacing w:before="240" w:after="240"/>
      <w:jc w:val="right"/>
    </w:pPr>
  </w:style>
  <w:style w:type="paragraph" w:customStyle="1" w:styleId="Normal6a">
    <w:name w:val="Normal6a"/>
    <w:basedOn w:val="Normal"/>
    <w:rsid w:val="008B277F"/>
    <w:pPr>
      <w:spacing w:after="120"/>
    </w:pPr>
  </w:style>
  <w:style w:type="paragraph" w:customStyle="1" w:styleId="CoverReference">
    <w:name w:val="CoverReference"/>
    <w:basedOn w:val="Normal"/>
    <w:rsid w:val="005D698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A235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Bold">
    <w:name w:val="NormalBold"/>
    <w:basedOn w:val="Normal"/>
    <w:rsid w:val="008B277F"/>
    <w:rPr>
      <w:b/>
    </w:rPr>
  </w:style>
  <w:style w:type="paragraph" w:customStyle="1" w:styleId="AmColumnHeading">
    <w:name w:val="AmColumnHeading"/>
    <w:basedOn w:val="Normal"/>
    <w:rsid w:val="008B27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B27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B277F"/>
    <w:pPr>
      <w:spacing w:before="240"/>
    </w:pPr>
    <w:rPr>
      <w:b/>
    </w:rPr>
  </w:style>
  <w:style w:type="paragraph" w:customStyle="1" w:styleId="AmCrossRef">
    <w:name w:val="AmCrossRef"/>
    <w:basedOn w:val="Normal"/>
    <w:rsid w:val="00DE43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6867"/>
    <w:pPr>
      <w:keepNext/>
      <w:spacing w:before="240" w:after="240"/>
      <w:jc w:val="center"/>
    </w:pPr>
    <w:rPr>
      <w:i/>
    </w:rPr>
  </w:style>
  <w:style w:type="paragraph" w:customStyle="1" w:styleId="EPFooter">
    <w:name w:val="EPFooter"/>
    <w:basedOn w:val="Normal"/>
    <w:rsid w:val="00A235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B44AFC"/>
    <w:rPr>
      <w:sz w:val="24"/>
    </w:rPr>
  </w:style>
  <w:style w:type="paragraph" w:customStyle="1" w:styleId="Arial14CentreBold">
    <w:name w:val="Arial14CentreBold"/>
    <w:basedOn w:val="Normal"/>
    <w:qFormat/>
    <w:rsid w:val="00DA7A40"/>
    <w:pPr>
      <w:jc w:val="center"/>
    </w:pPr>
    <w:rPr>
      <w:rFonts w:ascii="Arial" w:hAnsi="Arial"/>
      <w:b/>
      <w:sz w:val="28"/>
    </w:rPr>
  </w:style>
  <w:style w:type="character" w:customStyle="1" w:styleId="Bold">
    <w:name w:val="Bold"/>
    <w:uiPriority w:val="1"/>
    <w:rsid w:val="007E4DED"/>
    <w:rPr>
      <w:b/>
    </w:rPr>
  </w:style>
  <w:style w:type="character" w:customStyle="1" w:styleId="BoldItalic">
    <w:name w:val="BoldItalic"/>
    <w:uiPriority w:val="1"/>
    <w:rsid w:val="007E4DED"/>
    <w:rPr>
      <w:b/>
      <w:i/>
      <w:u w:val="none"/>
    </w:rPr>
  </w:style>
  <w:style w:type="paragraph" w:customStyle="1" w:styleId="CoverNormal12a">
    <w:name w:val="CoverNormal12a"/>
    <w:basedOn w:val="Normal"/>
    <w:rsid w:val="00DA7A40"/>
    <w:pPr>
      <w:spacing w:after="240"/>
      <w:ind w:left="1418"/>
    </w:pPr>
  </w:style>
  <w:style w:type="paragraph" w:customStyle="1" w:styleId="CoverDocType">
    <w:name w:val="CoverDocType"/>
    <w:basedOn w:val="Normal"/>
    <w:rsid w:val="00DA7A40"/>
    <w:pPr>
      <w:ind w:left="1418"/>
    </w:pPr>
    <w:rPr>
      <w:rFonts w:ascii="Arial" w:hAnsi="Arial"/>
      <w:b/>
      <w:sz w:val="48"/>
    </w:rPr>
  </w:style>
  <w:style w:type="paragraph" w:customStyle="1" w:styleId="EPFooter2Landscape">
    <w:name w:val="EPFooter2Landscape"/>
    <w:qFormat/>
    <w:rsid w:val="00DA7A4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E04FE2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DA7A4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7E4DED"/>
    <w:rPr>
      <w:i/>
    </w:rPr>
  </w:style>
  <w:style w:type="paragraph" w:customStyle="1" w:styleId="ProcedureTable">
    <w:name w:val="ProcedureTable"/>
    <w:basedOn w:val="Normal"/>
    <w:rsid w:val="000203F7"/>
    <w:rPr>
      <w:sz w:val="20"/>
    </w:rPr>
  </w:style>
  <w:style w:type="paragraph" w:customStyle="1" w:styleId="ProcedureTableBold">
    <w:name w:val="ProcedureTableBold"/>
    <w:basedOn w:val="Normal"/>
    <w:rsid w:val="000203F7"/>
    <w:rPr>
      <w:b/>
      <w:sz w:val="20"/>
    </w:rPr>
  </w:style>
  <w:style w:type="paragraph" w:customStyle="1" w:styleId="NormalCenter">
    <w:name w:val="NormalCenter"/>
    <w:basedOn w:val="Normal"/>
    <w:rsid w:val="007417D2"/>
    <w:pPr>
      <w:jc w:val="center"/>
    </w:pPr>
  </w:style>
  <w:style w:type="paragraph" w:customStyle="1" w:styleId="Normal12a12b">
    <w:name w:val="Normal12a12b"/>
    <w:basedOn w:val="Normal"/>
    <w:rsid w:val="00DA7A40"/>
    <w:pPr>
      <w:spacing w:before="240" w:after="240"/>
    </w:pPr>
  </w:style>
  <w:style w:type="character" w:customStyle="1" w:styleId="NormalBI">
    <w:name w:val="NormalBI"/>
    <w:basedOn w:val="DefaultParagraphFont"/>
    <w:uiPriority w:val="1"/>
    <w:qFormat/>
    <w:rsid w:val="001659AC"/>
    <w:rPr>
      <w:rFonts w:ascii="Times New Roman" w:hAnsi="Times New Roman"/>
      <w:b/>
      <w:i/>
      <w:sz w:val="24"/>
    </w:rPr>
  </w:style>
  <w:style w:type="paragraph" w:customStyle="1" w:styleId="Normal12aBullet1">
    <w:name w:val="Normal12aBullet1"/>
    <w:basedOn w:val="Normal12a"/>
    <w:qFormat/>
    <w:rsid w:val="00DA7A40"/>
    <w:pPr>
      <w:numPr>
        <w:numId w:val="1"/>
      </w:numPr>
    </w:pPr>
  </w:style>
  <w:style w:type="paragraph" w:customStyle="1" w:styleId="NormalHanging12a1">
    <w:name w:val="NormalHanging12a1"/>
    <w:basedOn w:val="Normal"/>
    <w:qFormat/>
    <w:rsid w:val="006400BF"/>
    <w:pPr>
      <w:spacing w:after="240"/>
      <w:ind w:left="992" w:hanging="425"/>
    </w:pPr>
  </w:style>
  <w:style w:type="paragraph" w:customStyle="1" w:styleId="NormalHanging12a2">
    <w:name w:val="NormalHanging12a2"/>
    <w:basedOn w:val="Normal"/>
    <w:qFormat/>
    <w:rsid w:val="00DA7A40"/>
    <w:pPr>
      <w:spacing w:after="240"/>
      <w:ind w:left="1417" w:hanging="425"/>
    </w:pPr>
  </w:style>
  <w:style w:type="paragraph" w:customStyle="1" w:styleId="NormalHanging12a3">
    <w:name w:val="NormalHanging12a3"/>
    <w:basedOn w:val="NormalHanging12a2"/>
    <w:qFormat/>
    <w:rsid w:val="00DA7A40"/>
    <w:pPr>
      <w:ind w:left="1843"/>
    </w:pPr>
  </w:style>
  <w:style w:type="paragraph" w:customStyle="1" w:styleId="NormalHanging12a4">
    <w:name w:val="NormalHanging12a4"/>
    <w:basedOn w:val="NormalHanging12a3"/>
    <w:qFormat/>
    <w:rsid w:val="00DA7A40"/>
    <w:pPr>
      <w:ind w:left="2268"/>
    </w:pPr>
  </w:style>
  <w:style w:type="paragraph" w:customStyle="1" w:styleId="NormalHanging12a5">
    <w:name w:val="NormalHanging12a5"/>
    <w:basedOn w:val="NormalHanging12a4"/>
    <w:qFormat/>
    <w:rsid w:val="00DA7A40"/>
    <w:pPr>
      <w:ind w:left="2693"/>
    </w:pPr>
  </w:style>
  <w:style w:type="paragraph" w:customStyle="1" w:styleId="NormalHanging12a6">
    <w:name w:val="NormalHanging12a6"/>
    <w:basedOn w:val="NormalHanging12a5"/>
    <w:qFormat/>
    <w:rsid w:val="00DA7A40"/>
    <w:pPr>
      <w:ind w:left="3118"/>
    </w:pPr>
  </w:style>
  <w:style w:type="paragraph" w:customStyle="1" w:styleId="NormalHanging12a7">
    <w:name w:val="NormalHanging12a7"/>
    <w:basedOn w:val="NormalHanging12a6"/>
    <w:qFormat/>
    <w:rsid w:val="00DA7A40"/>
    <w:pPr>
      <w:ind w:left="3544"/>
    </w:pPr>
  </w:style>
  <w:style w:type="paragraph" w:customStyle="1" w:styleId="NormalHanging12a8">
    <w:name w:val="NormalHanging12a8"/>
    <w:basedOn w:val="NormalHanging12a7"/>
    <w:qFormat/>
    <w:rsid w:val="00DA7A40"/>
    <w:pPr>
      <w:ind w:left="3969"/>
    </w:pPr>
  </w:style>
  <w:style w:type="paragraph" w:customStyle="1" w:styleId="Normal12HangingCenter">
    <w:name w:val="Normal12HangingCenter"/>
    <w:basedOn w:val="Normal"/>
    <w:qFormat/>
    <w:rsid w:val="00DA7A40"/>
    <w:pPr>
      <w:spacing w:after="240"/>
      <w:ind w:left="567" w:hanging="567"/>
      <w:jc w:val="center"/>
    </w:pPr>
  </w:style>
  <w:style w:type="paragraph" w:customStyle="1" w:styleId="Normal12HangingJustified">
    <w:name w:val="Normal12HangingJustified"/>
    <w:basedOn w:val="Normal"/>
    <w:qFormat/>
    <w:rsid w:val="00DA7A40"/>
    <w:pPr>
      <w:spacing w:after="240"/>
      <w:ind w:left="714" w:hanging="357"/>
      <w:jc w:val="both"/>
    </w:pPr>
  </w:style>
  <w:style w:type="paragraph" w:customStyle="1" w:styleId="Normal2">
    <w:name w:val="Normal2"/>
    <w:next w:val="Normal"/>
    <w:qFormat/>
    <w:rsid w:val="00DA7A40"/>
    <w:pPr>
      <w:spacing w:line="120" w:lineRule="auto"/>
    </w:pPr>
    <w:rPr>
      <w:color w:val="000000"/>
      <w:sz w:val="4"/>
      <w:szCs w:val="24"/>
    </w:rPr>
  </w:style>
  <w:style w:type="paragraph" w:customStyle="1" w:styleId="NormalBoldCenter">
    <w:name w:val="NormalBoldCenter"/>
    <w:basedOn w:val="Normal"/>
    <w:rsid w:val="00DA7A40"/>
    <w:pPr>
      <w:jc w:val="center"/>
    </w:pPr>
    <w:rPr>
      <w:b/>
    </w:rPr>
  </w:style>
  <w:style w:type="paragraph" w:customStyle="1" w:styleId="NormalBoldItalic6a">
    <w:name w:val="NormalBoldItalic6a"/>
    <w:basedOn w:val="Normal6a"/>
    <w:qFormat/>
    <w:rsid w:val="00DA7A40"/>
    <w:rPr>
      <w:b/>
      <w:i/>
    </w:rPr>
  </w:style>
  <w:style w:type="paragraph" w:customStyle="1" w:styleId="NormalBoldItalicCenter6a">
    <w:name w:val="NormalBoldItalicCenter6a"/>
    <w:basedOn w:val="Normal6a"/>
    <w:qFormat/>
    <w:rsid w:val="00DA7A4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DA7A40"/>
    <w:rPr>
      <w:i/>
    </w:rPr>
  </w:style>
  <w:style w:type="character" w:customStyle="1" w:styleId="Sub">
    <w:name w:val="Sub"/>
    <w:uiPriority w:val="1"/>
    <w:qFormat/>
    <w:rsid w:val="007E4DED"/>
    <w:rPr>
      <w:vertAlign w:val="subscript"/>
    </w:rPr>
  </w:style>
  <w:style w:type="character" w:customStyle="1" w:styleId="SubBold">
    <w:name w:val="SubBold"/>
    <w:uiPriority w:val="1"/>
    <w:qFormat/>
    <w:rsid w:val="007E4DED"/>
    <w:rPr>
      <w:b/>
      <w:vertAlign w:val="subscript"/>
    </w:rPr>
  </w:style>
  <w:style w:type="character" w:customStyle="1" w:styleId="SubBoldItalic">
    <w:name w:val="SubBoldItalic"/>
    <w:uiPriority w:val="1"/>
    <w:rsid w:val="007E4DED"/>
    <w:rPr>
      <w:b/>
      <w:i/>
      <w:vertAlign w:val="subscript"/>
    </w:rPr>
  </w:style>
  <w:style w:type="character" w:customStyle="1" w:styleId="SubItalic">
    <w:name w:val="SubItalic"/>
    <w:uiPriority w:val="1"/>
    <w:qFormat/>
    <w:rsid w:val="007E4DED"/>
    <w:rPr>
      <w:b/>
      <w:i/>
      <w:vertAlign w:val="subscript"/>
    </w:rPr>
  </w:style>
  <w:style w:type="character" w:customStyle="1" w:styleId="Sup">
    <w:name w:val="Sup"/>
    <w:uiPriority w:val="1"/>
    <w:rsid w:val="007E4DED"/>
    <w:rPr>
      <w:vertAlign w:val="superscript"/>
    </w:rPr>
  </w:style>
  <w:style w:type="character" w:customStyle="1" w:styleId="SupBoldItalic">
    <w:name w:val="SupBoldItalic"/>
    <w:uiPriority w:val="1"/>
    <w:qFormat/>
    <w:rsid w:val="007E4DED"/>
    <w:rPr>
      <w:b/>
      <w:i/>
      <w:vertAlign w:val="superscript"/>
    </w:rPr>
  </w:style>
  <w:style w:type="paragraph" w:customStyle="1" w:styleId="PageHeading">
    <w:name w:val="PageHeading"/>
    <w:basedOn w:val="Normal12a12b"/>
    <w:rsid w:val="00DA7A40"/>
    <w:pPr>
      <w:keepNext/>
      <w:jc w:val="center"/>
    </w:pPr>
    <w:rPr>
      <w:rFonts w:ascii="Arial" w:hAnsi="Arial"/>
      <w:b/>
    </w:rPr>
  </w:style>
  <w:style w:type="paragraph" w:customStyle="1" w:styleId="Olang">
    <w:name w:val="Olang"/>
    <w:basedOn w:val="Normal"/>
    <w:rsid w:val="00DA7A40"/>
    <w:pPr>
      <w:spacing w:before="240" w:after="240"/>
      <w:jc w:val="right"/>
    </w:pPr>
    <w:rPr>
      <w:noProof/>
    </w:rPr>
  </w:style>
  <w:style w:type="paragraph" w:customStyle="1" w:styleId="TOCPage">
    <w:name w:val="TOC Page"/>
    <w:basedOn w:val="Normal12a"/>
    <w:next w:val="TOC1"/>
    <w:rsid w:val="00DA7A40"/>
    <w:pPr>
      <w:keepNext/>
      <w:jc w:val="right"/>
    </w:pPr>
    <w:rPr>
      <w:rFonts w:ascii="Arial" w:hAnsi="Arial"/>
      <w:b/>
    </w:rPr>
  </w:style>
  <w:style w:type="character" w:customStyle="1" w:styleId="Underline">
    <w:name w:val="Underline"/>
    <w:uiPriority w:val="1"/>
    <w:rsid w:val="007E4DED"/>
    <w:rPr>
      <w:u w:val="single"/>
    </w:rPr>
  </w:style>
  <w:style w:type="character" w:customStyle="1" w:styleId="HideTermComment">
    <w:name w:val="HideTermComment"/>
    <w:uiPriority w:val="1"/>
    <w:qFormat/>
    <w:rsid w:val="0046408C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46408C"/>
    <w:rPr>
      <w:rFonts w:ascii="Arial" w:hAnsi="Arial"/>
      <w:vanish/>
      <w:color w:val="538135" w:themeColor="accent6" w:themeShade="BF"/>
      <w:sz w:val="18"/>
    </w:rPr>
  </w:style>
  <w:style w:type="paragraph" w:customStyle="1" w:styleId="NormalCenter12a">
    <w:name w:val="NormalCenter12a"/>
    <w:basedOn w:val="Normal"/>
    <w:rsid w:val="00975932"/>
    <w:pPr>
      <w:spacing w:after="240"/>
      <w:jc w:val="center"/>
    </w:pPr>
  </w:style>
  <w:style w:type="paragraph" w:customStyle="1" w:styleId="NormalHanging12a">
    <w:name w:val="NormalHanging12a"/>
    <w:basedOn w:val="Normal"/>
    <w:link w:val="NormalHanging12aChar"/>
    <w:rsid w:val="00160E3B"/>
    <w:pPr>
      <w:spacing w:after="240"/>
      <w:ind w:left="567" w:hanging="567"/>
    </w:pPr>
  </w:style>
  <w:style w:type="paragraph" w:customStyle="1" w:styleId="Subheading">
    <w:name w:val="Subheading"/>
    <w:basedOn w:val="Normal"/>
    <w:rsid w:val="00312D68"/>
    <w:pPr>
      <w:spacing w:before="480" w:after="240"/>
    </w:pPr>
    <w:rPr>
      <w:b/>
      <w:i/>
      <w:szCs w:val="24"/>
    </w:rPr>
  </w:style>
  <w:style w:type="character" w:customStyle="1" w:styleId="BoldItalicUnderline">
    <w:name w:val="BoldItalicUnderline"/>
    <w:uiPriority w:val="1"/>
    <w:rsid w:val="007E4DED"/>
    <w:rPr>
      <w:b/>
      <w:i/>
      <w:u w:val="single"/>
    </w:rPr>
  </w:style>
  <w:style w:type="character" w:customStyle="1" w:styleId="BoldUnderline">
    <w:name w:val="BoldUnderline"/>
    <w:uiPriority w:val="1"/>
    <w:rsid w:val="007E4DED"/>
    <w:rPr>
      <w:b/>
      <w:u w:val="single"/>
    </w:rPr>
  </w:style>
  <w:style w:type="character" w:customStyle="1" w:styleId="ItalicUnderline">
    <w:name w:val="ItalicUnderline"/>
    <w:uiPriority w:val="1"/>
    <w:rsid w:val="007E4DED"/>
    <w:rPr>
      <w:i/>
      <w:u w:val="single"/>
    </w:rPr>
  </w:style>
  <w:style w:type="character" w:customStyle="1" w:styleId="SubBoldItalicUnderline">
    <w:name w:val="SubBoldItalicUnderline"/>
    <w:uiPriority w:val="1"/>
    <w:rsid w:val="007E4DE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7E4DE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7E4DE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7E4DED"/>
    <w:rPr>
      <w:u w:val="single"/>
      <w:vertAlign w:val="subscript"/>
    </w:rPr>
  </w:style>
  <w:style w:type="character" w:customStyle="1" w:styleId="SupBold">
    <w:name w:val="SupBold"/>
    <w:uiPriority w:val="1"/>
    <w:rsid w:val="007E4DED"/>
    <w:rPr>
      <w:b/>
      <w:vertAlign w:val="superscript"/>
    </w:rPr>
  </w:style>
  <w:style w:type="character" w:customStyle="1" w:styleId="SupBoldItalicUnderline">
    <w:name w:val="SupBoldItalicUnderline"/>
    <w:uiPriority w:val="1"/>
    <w:rsid w:val="007E4DE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7E4DED"/>
    <w:rPr>
      <w:b/>
      <w:u w:val="single"/>
      <w:vertAlign w:val="superscript"/>
    </w:rPr>
  </w:style>
  <w:style w:type="character" w:customStyle="1" w:styleId="SupItalic">
    <w:name w:val="SupItalic"/>
    <w:uiPriority w:val="1"/>
    <w:rsid w:val="007E4DED"/>
    <w:rPr>
      <w:i/>
      <w:vertAlign w:val="superscript"/>
    </w:rPr>
  </w:style>
  <w:style w:type="character" w:customStyle="1" w:styleId="SupItalicUnderline">
    <w:name w:val="SupItalicUnderline"/>
    <w:uiPriority w:val="1"/>
    <w:rsid w:val="007E4DE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7E4DED"/>
    <w:rPr>
      <w:u w:val="single"/>
      <w:vertAlign w:val="superscript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link w:val="FootnoteTextChar"/>
    <w:rsid w:val="00805BCE"/>
    <w:rPr>
      <w:sz w:val="20"/>
    </w:rPr>
  </w:style>
  <w:style w:type="character" w:styleId="CommentReference">
    <w:name w:val="annotation reference"/>
    <w:basedOn w:val="DefaultParagraphFont"/>
    <w:semiHidden/>
    <w:unhideWhenUsed/>
    <w:rsid w:val="00142E2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2E2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42E2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42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42E2A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142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2E2A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FE54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E54F2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3D0598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3D0598"/>
  </w:style>
  <w:style w:type="paragraph" w:customStyle="1" w:styleId="RollCallSymbols14pt">
    <w:name w:val="RollCallSymbols14pt"/>
    <w:basedOn w:val="Normal"/>
    <w:rsid w:val="003D059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D059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D059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D0598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nhideWhenUsed/>
    <w:rsid w:val="001A34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cd.org/ukraine-hub/policy-responses/what-are-the-integration-challenges-of-ukrainian-refugee-women-bb17dc64/" TargetMode="External"/><Relationship Id="rId3" Type="http://schemas.openxmlformats.org/officeDocument/2006/relationships/hyperlink" Target="https://www.savethechildren.net/news/over-200000-more-children-are-risk-poverty-european-union-save-children-report" TargetMode="External"/><Relationship Id="rId7" Type="http://schemas.openxmlformats.org/officeDocument/2006/relationships/hyperlink" Target="https://www.unicef.org/eu/stories/mental-health-burden-affecting-europes-children" TargetMode="External"/><Relationship Id="rId2" Type="http://schemas.openxmlformats.org/officeDocument/2006/relationships/hyperlink" Target="https://ec.europa.eu/eurostat/en/web/products-eurostat-news/-/ddn-20211028-1" TargetMode="External"/><Relationship Id="rId1" Type="http://schemas.openxmlformats.org/officeDocument/2006/relationships/hyperlink" Target="https://commission.europa.eu/strategy-and-policy/policies/justice-and-fundamental-rights/gender-equality/women-labour-market-work-life-balance/womens-situation-labour-market_en" TargetMode="External"/><Relationship Id="rId6" Type="http://schemas.openxmlformats.org/officeDocument/2006/relationships/hyperlink" Target="https://www.unicef.org/eu/stories/mental-health-burden-affecting-europes-children" TargetMode="External"/><Relationship Id="rId5" Type="http://schemas.openxmlformats.org/officeDocument/2006/relationships/hyperlink" Target="https://www.unicef.org/eca/media/27346/file/Report.pdf" TargetMode="External"/><Relationship Id="rId4" Type="http://schemas.openxmlformats.org/officeDocument/2006/relationships/hyperlink" Target="https://www.savethechildren.net/news/over-200000-more-children-are-risk-poverty-european-union-save-children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DFDB4-017C-4B38-BDA0-DB4FEBE30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4687</Words>
  <Characters>27093</Characters>
  <Application>Microsoft Office Word</Application>
  <DocSecurity>0</DocSecurity>
  <Lines>467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31667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2023-10-02T09:05:00Z</cp:lastPrinted>
  <dcterms:created xsi:type="dcterms:W3CDTF">2023-10-09T14:53:00Z</dcterms:created>
  <dcterms:modified xsi:type="dcterms:W3CDTF">2023-10-09T14:53:00Z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1286056</vt:lpwstr>
  </property>
  <property fmtid="{D5CDD505-2E9C-101B-9397-08002B2CF9AE}" pid="4" name="&lt;Model&gt;">
    <vt:lpwstr>PA_NonLeg</vt:lpwstr>
  </property>
  <property fmtid="{D5CDD505-2E9C-101B-9397-08002B2CF9AE}" pid="5" name="&lt;Type&gt;">
    <vt:lpwstr>AD</vt:lpwstr>
  </property>
  <property fmtid="{D5CDD505-2E9C-101B-9397-08002B2CF9AE}" pid="6" name="DMXMLUID">
    <vt:lpwstr>20230608-184211-001109-554797</vt:lpwstr>
  </property>
  <property fmtid="{D5CDD505-2E9C-101B-9397-08002B2CF9AE}" pid="7" name="FooterPath">
    <vt:lpwstr>AD\1286056CS.docx</vt:lpwstr>
  </property>
  <property fmtid="{D5CDD505-2E9C-101B-9397-08002B2CF9AE}" pid="8" name="PE Number">
    <vt:lpwstr>749.891</vt:lpwstr>
  </property>
  <property fmtid="{D5CDD505-2E9C-101B-9397-08002B2CF9AE}" pid="9" name="UID">
    <vt:lpwstr>eu.europa.europarl-DIN1-2023-0000086321_01.01-en-01.00_text-xml</vt:lpwstr>
  </property>
  <property fmtid="{D5CDD505-2E9C-101B-9397-08002B2CF9AE}" pid="10" name="LastEdited with">
    <vt:lpwstr>9.16.1 Build [20230915]</vt:lpwstr>
  </property>
  <property fmtid="{D5CDD505-2E9C-101B-9397-08002B2CF9AE}" pid="11" name="Bookout">
    <vt:lpwstr>OK - 2023/10/09 16:53</vt:lpwstr>
  </property>
  <property fmtid="{D5CDD505-2E9C-101B-9397-08002B2CF9AE}" pid="12" name="SendToEpades">
    <vt:lpwstr>OK - 2023/09/28 19:09</vt:lpwstr>
  </property>
  <property fmtid="{D5CDD505-2E9C-101B-9397-08002B2CF9AE}" pid="13" name="SDLStudio">
    <vt:lpwstr/>
  </property>
</Properties>
</file>