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4CAC" w:rsidRPr="00BE7870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BE7870" w:rsidRDefault="00BE7870" w:rsidP="00C85D0F">
            <w:pPr>
              <w:pStyle w:val="EPName"/>
            </w:pPr>
            <w:r>
              <w:t>Evropský parlament</w:t>
            </w:r>
          </w:p>
          <w:p w:rsidR="00854CAC" w:rsidRPr="00187BCF" w:rsidRDefault="00187BCF" w:rsidP="00187BCF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BE7870" w:rsidRDefault="00854CAC" w:rsidP="00C85D0F">
            <w:pPr>
              <w:pStyle w:val="EPLogo"/>
            </w:pPr>
            <w:r w:rsidRPr="00BE7870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BE7870" w:rsidRDefault="001746D0" w:rsidP="001746D0">
      <w:pPr>
        <w:pStyle w:val="LineTop"/>
      </w:pPr>
    </w:p>
    <w:p w:rsidR="001746D0" w:rsidRPr="00BE7870" w:rsidRDefault="001746D0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Výbor pro práva žen a rovnost pohlaví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BE7870" w:rsidRDefault="001746D0" w:rsidP="001746D0">
      <w:pPr>
        <w:pStyle w:val="LineBottom"/>
      </w:pPr>
    </w:p>
    <w:p w:rsidR="002E2F2E" w:rsidRPr="00BE7870" w:rsidRDefault="002E2F2E">
      <w:pPr>
        <w:pStyle w:val="CoverReference"/>
      </w:pPr>
      <w:r>
        <w:rPr>
          <w:rStyle w:val="HideTWBExt"/>
          <w:b w:val="0"/>
        </w:rPr>
        <w:t>&lt;RefProc&gt;</w:t>
      </w:r>
      <w:r>
        <w:t>2023/2129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BE7870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{25/01/2024}</w:t>
      </w:r>
      <w:r>
        <w:t>25.1.2024</w:t>
      </w:r>
      <w:r>
        <w:rPr>
          <w:rStyle w:val="HideTWBExt"/>
        </w:rPr>
        <w:t>&lt;/Date&gt;</w:t>
      </w:r>
    </w:p>
    <w:p w:rsidR="002E2F2E" w:rsidRPr="00BE7870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STANOVISKO</w:t>
      </w:r>
      <w:r>
        <w:rPr>
          <w:rStyle w:val="HideTWBExt"/>
          <w:b w:val="0"/>
        </w:rPr>
        <w:t>&lt;/TitreType&gt;</w:t>
      </w:r>
    </w:p>
    <w:p w:rsidR="002E2F2E" w:rsidRPr="00BE7870" w:rsidRDefault="002E2F2E">
      <w:pPr>
        <w:pStyle w:val="CoverNormal24a"/>
      </w:pPr>
      <w:r>
        <w:rPr>
          <w:rStyle w:val="HideTWBExt"/>
        </w:rPr>
        <w:t>&lt;CommissionResp&gt;</w:t>
      </w:r>
      <w:r>
        <w:t>Výboru pro práva žen a rovnost pohlaví</w:t>
      </w:r>
      <w:r>
        <w:rPr>
          <w:rStyle w:val="HideTWBExt"/>
        </w:rPr>
        <w:t>&lt;/CommissionResp&gt;</w:t>
      </w:r>
    </w:p>
    <w:p w:rsidR="002E2F2E" w:rsidRPr="00BE7870" w:rsidRDefault="002E2F2E">
      <w:pPr>
        <w:pStyle w:val="CoverNormal24a"/>
      </w:pPr>
      <w:r>
        <w:rPr>
          <w:rStyle w:val="HideTWBExt"/>
        </w:rPr>
        <w:t>&lt;CommissionInt&gt;</w:t>
      </w:r>
      <w:r>
        <w:t>pro Výbor pro rozpočtovou kontrolu</w:t>
      </w:r>
      <w:r>
        <w:rPr>
          <w:rStyle w:val="HideTWBExt"/>
        </w:rPr>
        <w:t>&lt;/CommissionInt&gt;</w:t>
      </w:r>
    </w:p>
    <w:p w:rsidR="002E2F2E" w:rsidRPr="00BE7870" w:rsidRDefault="002E2F2E">
      <w:pPr>
        <w:pStyle w:val="CoverNormal"/>
      </w:pPr>
      <w:r>
        <w:rPr>
          <w:rStyle w:val="HideTWBExt"/>
        </w:rPr>
        <w:t>&lt;Titre&gt;</w:t>
      </w:r>
      <w:r>
        <w:t>k udělení absolutoria za rok 2022: souhrnný rozpočet EU – Evropská komise</w:t>
      </w:r>
      <w:r>
        <w:rPr>
          <w:rStyle w:val="HideTWBExt"/>
        </w:rPr>
        <w:t>&lt;/Titre&gt;</w:t>
      </w:r>
    </w:p>
    <w:p w:rsidR="002E2F2E" w:rsidRPr="00BE7870" w:rsidRDefault="002E2F2E">
      <w:pPr>
        <w:pStyle w:val="CoverNormal24a"/>
      </w:pPr>
      <w:r>
        <w:rPr>
          <w:rStyle w:val="HideTWBExt"/>
        </w:rPr>
        <w:t>&lt;DocRef&gt;</w:t>
      </w:r>
      <w:r>
        <w:t>(2023/2129(DEC))</w:t>
      </w:r>
      <w:r>
        <w:rPr>
          <w:rStyle w:val="HideTWBExt"/>
        </w:rPr>
        <w:t>&lt;/DocRef&gt;</w:t>
      </w:r>
    </w:p>
    <w:p w:rsidR="002E2F2E" w:rsidRPr="00BE7870" w:rsidRDefault="00187BCF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Robert Biedroń</w:t>
      </w:r>
      <w:r>
        <w:rPr>
          <w:rStyle w:val="HideTWBExt"/>
        </w:rPr>
        <w:t>&lt;/Depute&gt;</w:t>
      </w:r>
    </w:p>
    <w:p w:rsidR="00A72C35" w:rsidRPr="00BE7870" w:rsidRDefault="00A72C35" w:rsidP="00A72C35">
      <w:pPr>
        <w:pStyle w:val="CoverNormal"/>
      </w:pPr>
    </w:p>
    <w:p w:rsidR="002E2F2E" w:rsidRPr="00BE7870" w:rsidRDefault="002E2F2E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BE7870" w:rsidRDefault="002E2F2E">
      <w:pPr>
        <w:pStyle w:val="PageHeadingNotTOC"/>
      </w:pPr>
      <w:r>
        <w:br w:type="page"/>
      </w:r>
      <w:r>
        <w:lastRenderedPageBreak/>
        <w:t>NÁVRHY</w:t>
      </w:r>
    </w:p>
    <w:p w:rsidR="002E2F2E" w:rsidRPr="00BE7870" w:rsidRDefault="00187BCF" w:rsidP="008313E7">
      <w:pPr>
        <w:pStyle w:val="Normal12a"/>
      </w:pPr>
      <w:r>
        <w:t>Výbor pro práva žen a rovnost pohlaví vyzývá Výbor pro rozpočtovou kontrolu jako příslušný výbor, aby do návrhu usnesení, který přijme, začlenil tyto návrhy: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A.</w:t>
      </w:r>
      <w:r>
        <w:tab/>
        <w:t>vzhledem k tomu, že rovnost žen a mužů je základní hodnotou Unie zakotvenou v článku 2 Smlouvy o Evropské unii; vzhledem k tomu, že článek 8 SFEU zavazuje Unii k odstranění nerovností, podpoře rovnosti žen a mužů a začleňování hlediska rovnosti žen a mužů;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B.</w:t>
      </w:r>
      <w:r>
        <w:tab/>
        <w:t>vzhledem k tomu, že Evropský parlament opakovaně žádal Komisi, aby prosazovala a prováděla začleňování hlediska rovnosti žen a mužů, sestavování rozpočtu s ohledem na rovnost žen a mužů a posuzování dopadů na rovnost žen a mužů ve všech oblastech politiky Unie, jako je plnění rozpočtu Unie a podávání zpráv;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C.</w:t>
      </w:r>
      <w:r>
        <w:tab/>
        <w:t>vzhledem k tomu, že v řadě členských států s nízkou porodností by si ženy a páry přály mít děti, ale kvůli ekonomickým problémům se toho vzdávají, a to nikoli na základě volby, ale v důsledku obtížnějších životních a pracovních podmínek, které vedou k vyšší míře nezaměstnanosti žen a ztěžují jim, stejně jako rodičům, výkon jejich příslušných práv v mateřství a otcovství na pracovišti a zhoršují přístup ke kvalitním veřejným službám a zařízením péče o děti; vzhledem k tomu, že je nezbytné zaručit ženám právo na práci, v rámci níž jsou dodržována příslušná práva a kterou není dotčeno právo na mateřství, neboť ženy jsou i nadále nejvíce postiženy a nejvíce diskriminovány; vzhledem k tomu, že příklady této diskriminace zahrnují nátlak zaměstnavatelů při pracovních pohovorech, kdy se žen dotazují na děti a jejich věk, a ekonomický a pracovní tlak na zaměstnankyně, aby nečerpaly mateřskou dovolenou;</w:t>
      </w:r>
    </w:p>
    <w:p w:rsidR="004C1502" w:rsidRPr="004808C5" w:rsidRDefault="004C1502" w:rsidP="004C1502">
      <w:pPr>
        <w:pStyle w:val="NormalHanging12a"/>
      </w:pPr>
      <w:r>
        <w:t>D.</w:t>
      </w:r>
      <w:r>
        <w:tab/>
        <w:t>vzhledem k tomu, že rovnost žen a mužů v Unii byla obzvláště zasažena důsledky války na Ukrajině, krizí životních nákladů, jíž jsou ženy neúměrně postiženy, a odmítavého postoje k rovnosti žen a mužů a právům žen, zejména v souvislosti se sexuálním a reprodukčním zdravím a právy v několika členských státech; vzhledem k tomu, že to dále prohlubuje nerovnosti a brání rovnosti žen a mužů;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1.</w:t>
      </w:r>
      <w:r>
        <w:tab/>
        <w:t>zdůrazňuje, že hledisko rovnosti žen a mužů by mělo být zohledněno a zajištěno ve všech oblastech politiky, ve všech fázích a ve všech opatřeních na zmírnění dopadů, zejména s ohledem na genderové aspekty probíhajících krizí, jako jsou války, klimatická a energetická krize, inflace a odmítavý postoj vůči právům žen, zejména sexuálnímu a reprodukčnímu zdraví a právům v Unii a na celém světě; zdůrazňuje význam genderového rozpočtování ve všech opatřeních na podporu oživení a zmírnění s cílem využít programů EU ke zmírnění dopadů různých krizí na rovnost žen a mužů;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2.</w:t>
      </w:r>
      <w:r>
        <w:tab/>
        <w:t>opakuje své znepokojení nad vzájemným vztahem mezi útoky na právní stát, demokracii a lidská práva a odmítavým postojem vůči rovnosti žen a mužů a právům žen; vyzývá Komisi, aby pokračovala ve svém úsilí o posílení právního státu v Unii, zejména pokud jde o právní návrhy zaměřené na ochranu rozpočtu EU v případě všeobecných nedostatků týkajících se právního státu, porušování lidských práv, včetně práv žen, a porušování základních hodnot Evropské unie; vyzývá Komisi, aby prozkoumala hlavní poslání těch, kterým jsou poskytovány finanční prostředky EU, a aby přestala financovat subjekty, které využívají unijní finanční prostředky k oslabení lidských práv, zejména základních práv žen a rovnosti žen a mužů, včetně sexuálního a reprodukčního zdraví a práv a práv žen na tělesnou integritu, autonomii a sebeurčení, a zajistila, aby žádnému takovému subjektu nebyly finanční prostředky EU poskytnuty; vyzývá členské státy, aby chránily sexuální a reprodukční zdraví a práva, včetně přístupu k legální a bezpečné péči při umělém přerušení těhotenství, zejména tím, že zajistí dostupnost programů a služeb v oblasti reprodukčního zdraví, které poskytují takové druhy péče a léků, které jsou předpokladem pro dobrovolné plánování rodičovství a pro zdraví matek a novorozenců;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3.</w:t>
      </w:r>
      <w:r>
        <w:tab/>
        <w:t>bere na vědomí metodiku Komise pro sledování genderových aspektů výdajů od roku 2023; připomíná, že pouze u 2 % rozpočtu Unie bylo vyhodnoceno, že se jedná o rozpočet, jehož hlavním cílem je zlepšit rovnost žen a mužů; vyzývá Komisi, aby toto skóre zlepšila začleňováním hlediska rovnosti žen a mužů od počátku navrhování programu; opakuje, že k plnému pochopení většiny výdajů (73 %), které jsou v současné době hodnoceny jako výdaje s nulovým potenciálem přispět k rovnosti žen a mužů, je zapotřebí dalších informací; se znepokojením konstatuje, že zvláštní zpráva č. 10/2021 zveřejněná Účetním dvorem potvrdila, že rozpočtový cyklus Unie dosud dostatečně nezohledňuje rovnost žen a mužů, neboť hlavní prvky, jako je genderová analýza, genderové cíle a ukazatele a odpovědnost zohledňující rovnost žen a mužů prostřednictvím podávání zpráv, z velké části chybí;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4.</w:t>
      </w:r>
      <w:r>
        <w:tab/>
        <w:t>vítá práci Komise na nové klasifikaci pro měření dopadu výdajů Unie na rovnost žen a mužů; vyzývá Komisi, aby zajistila, že se tato klasifikace zaměří na přesné a komplexní zachycení dopadu programů na rovnost žen a mužů; vyzývá Komisi, aby s ohledem na konec tohoto volebního období pokračovala ve své práci v oblasti rovnosti žen a mužů, a vyzývá k tomu, aby byl v příštím volebním období jmenován komisař pro rovnost žen a mužů; vítá skutečnost, že rovnost žen a mužů a její systematické začleňování je jednou z horizontálních zásad pro fondy Unie ve víceletém finančním rámci (VFR) na období 2021–2027 a v Nástroji pro oživení a odolnost; nicméně Komisi vyzývá, aby plně provedla doporučení Evropského účetního dvora, a to i v rámci přezkumu stávajícího víceletého finančního rámce v polovině období a provádění Nástroje pro oživení a odolnost; vyzývá Komisi, aby zajistila, že se tato klasifikace zaměří na přesné a komplexní znázornění dopadu všech stávajících programů a fondů; v této souvislosti opakuje, že komplexní metodika sledování rovnosti žen a mužů musí zahrnovat podávání zpráv o negativních dopadech na rovnost žen a mužů;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5.</w:t>
      </w:r>
      <w:r>
        <w:tab/>
        <w:t>připomíná, že ženy a muži by z Nástroje pro oživení a odolnost měli mít stejný prospěch, zejména s ohledem na rozdíl v odměňování žen a mužů v Unii ve výši 13 %; připomíná, že Komise zavedla posouzení plánů členských států na podporu oživení a odolnosti z hlediska rovnosti žen a mužů pouze ex ante, které odhalilo, že některé členské státy nemají žádná opatření označená jako opatření zaměřená na rovnost žen a mužů; zdůrazňuje proto, že je důležité stanovit takové požadavky na shromažďování údajů, které umožní systematické a komplexní shromažďování údajů rozčleněných podle pohlaví v kontextu všech příslušných politik EU; naléhavě vyzývá Komisi, aby to považovala za prioritu a využila příležitostí ke zlepšení požadavků na shromažďování údajů a ukazatelů v nových právních předpisech a přezkumech, jako je přepracování finančních pravidel pro souhrnný rozpočet Unie; vyzývá Komisi, aby dostála pozitivnímu závazku předsedkyně von der Leyenové prosazovat rovnost žen a mužů při veškeré tvorbě politik, a vyzývá Komisi, aby dostála svým závazkům v rámci strategie pro rovnost žen a mužů na období 2020–2025, a zdůrazňuje rovněž, že je třeba učinit mnohem více, neboť v hlavních návrzích Komise v oblasti klimatu, životního prostředí a hospodářství hledisko rovnosti žen a mužů chybí; zdůrazňuje, že v posledních deseti letech se s příchodem hospodářské a finanční krize ztížily životní podmínky žen a dívek v důsledku nerovností v hospodářské, sociální, pracovní a genderové oblasti v rámci členských států i mezi nimi; v této souvislosti připomíná významnou úlohu Evropského institutu pro rovnost žen a mužů při zvyšování informovanosti o rozsahu a příčinách genderové nerovnosti v Unii; vyzývá proto ke zvýšení jeho rozpočtu, počtu zaměstnanců a nezávislosti;</w:t>
      </w:r>
    </w:p>
    <w:p w:rsidR="004C1502" w:rsidRPr="004808C5" w:rsidRDefault="004C1502" w:rsidP="004C1502">
      <w:pPr>
        <w:pStyle w:val="NormalHanging12a"/>
        <w:rPr>
          <w:szCs w:val="24"/>
        </w:rPr>
      </w:pPr>
      <w:r>
        <w:t>6.</w:t>
      </w:r>
      <w:r>
        <w:tab/>
        <w:t>opakuje svou výzvu k vytvoření zvláštní rozpočtové položky pro rovnost žen a mužů, zejména v rámci programu Daphne, a to s ohledem na kritickou situaci v oblasti genderově podmíněného násilí, jíž Unie čelí; zdůrazňuje, že je důležité posílit konkrétně zaměřenou iniciativu Daphne navýšením jejích zdrojů, zejména opatření, jejichž cílem je bojovat proti všem úrovním a všem formám genderově podmíněného násilí páchaného na ženách a dívkách a domácího násilí v souladu s čl. 7 odst. 6 nařízení (EU) 2021/692 a náležitě podporovat oběti; dále zdůrazňuje, že je důležité využívat evropské strukturální a investiční fondy, jako je Evropský sociální fond plus (ESF+), na podporu rovnosti žen a mužů, zaměstnanosti žen, posílení postavení žen, zapojení žen do podnikání, vedení a řízení, jakož i zařízení dlouhodobé péče; konstatuje, že studie, kterou si vyžádal výbor FEMM</w:t>
      </w:r>
      <w:r w:rsidRPr="004808C5">
        <w:rPr>
          <w:vertAlign w:val="superscript"/>
        </w:rPr>
        <w:footnoteReference w:id="1"/>
      </w:r>
      <w:r>
        <w:t>, ukazuje, že muži jsou často upřednostňováni před ženami a marginalizovanými skupinami, pokud jde o koncepci dotací a podpory v rámci balíčku „Fit for 55“, jakož i v jiných politikách, programech a financování ekologické transformace;</w:t>
      </w:r>
    </w:p>
    <w:p w:rsidR="004C1502" w:rsidRPr="004808C5" w:rsidRDefault="004C1502" w:rsidP="004C1502">
      <w:pPr>
        <w:pStyle w:val="NormalHanging12a"/>
      </w:pPr>
      <w:r>
        <w:t>7.</w:t>
      </w:r>
      <w:r>
        <w:tab/>
        <w:t>na základě údajů, které jsou v současné době k dispozici, dochází k názoru, že absolutorium za plnění souhrnného rozpočtu EU na rozpočtový rok 2022 lze udělit.</w:t>
      </w:r>
    </w:p>
    <w:p w:rsidR="004C1502" w:rsidRDefault="004C1502" w:rsidP="00117205">
      <w:pPr>
        <w:sectPr w:rsidR="004C1502" w:rsidSect="004C15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4C1502" w:rsidRDefault="004C1502" w:rsidP="002B2C72">
      <w:pPr>
        <w:pStyle w:val="PageHeadingNotTOC"/>
        <w:rPr>
          <w:noProof/>
        </w:rPr>
      </w:pPr>
      <w:bookmarkStart w:id="0" w:name="FootprintPageAD"/>
      <w:r>
        <w:t>PŘÍLOHA: SUBJEKTY NEBO OSOBY,</w:t>
      </w:r>
      <w:r>
        <w:br/>
        <w:t>OD NICHŽ ZPRAVODAJ OBDRŽEL PODNĚTY</w:t>
      </w:r>
    </w:p>
    <w:p w:rsidR="004C1502" w:rsidRPr="0099178F" w:rsidRDefault="004C1502" w:rsidP="00037518">
      <w:pPr>
        <w:pStyle w:val="Normal24a"/>
      </w:pPr>
      <w:r>
        <w:rPr>
          <w:rStyle w:val="HideTWBExt"/>
        </w:rPr>
        <w:t>&lt;FootprintIntro&gt;</w:t>
      </w:r>
      <w:r>
        <w:t>Zpravodaj prohlašuje na svou výhradní odpovědnost, že neobdržel žádný podnět od subjektu nebo osoby, který musí být uveden v této příloze v souladu s článkem 8 přílohy I jednacího řádu.</w:t>
      </w:r>
      <w:r>
        <w:rPr>
          <w:rStyle w:val="HideTWBExt"/>
        </w:rPr>
        <w:t>&lt;/FootprintIntro&gt;</w:t>
      </w:r>
    </w:p>
    <w:p w:rsidR="004C1502" w:rsidRDefault="004C1502" w:rsidP="00AD5932"/>
    <w:p w:rsidR="004C1502" w:rsidRPr="004C1502" w:rsidRDefault="004C1502" w:rsidP="004C1502"/>
    <w:bookmarkEnd w:id="0"/>
    <w:p w:rsidR="004C1502" w:rsidRDefault="004C1502" w:rsidP="00117205">
      <w:pPr>
        <w:sectPr w:rsidR="004C1502" w:rsidSect="004C150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17205" w:rsidRPr="00117205" w:rsidRDefault="00117205" w:rsidP="00117205"/>
    <w:p w:rsidR="00117205" w:rsidRDefault="00117205" w:rsidP="00117205">
      <w:pPr>
        <w:pStyle w:val="PageHeadingNotTOC"/>
      </w:pPr>
      <w:bookmarkStart w:id="1" w:name="ProcPageAD"/>
      <w:r>
        <w:t>INFORMACE O PŘIJETÍ VE VÝBORU POŽÁDANÉM O STANOVISKO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11720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11720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</w:t>
            </w:r>
          </w:p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1720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Členové přítomní při konečném hlasování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Christine Anderson, Robert Biedroń, Vilija Blinkevičiūtė, Maria da Graça Carvalho, Margarita de la Pisa Carrión, Gwendoline Delbos-Corfield, Frances Fitzgerald, Lívia Járóka, Arba Kokalari, Alice Kuhnke, Elżbieta Katarzyna Łukacijewska, Andżelika Anna Możdżanowska, Johan Nissinen, Carina Ohlsson, Sandra Pereira, Samira Rafaela, Evelyn Regner, Diana Riba i Giner, Eugenia Rodríguez Palop, María Soraya Rodríguez Ramos, Maria Veronica Rossi, Sylwia Spurek, Marco Zullo</w:t>
            </w:r>
          </w:p>
        </w:tc>
      </w:tr>
      <w:tr w:rsidR="0011720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Náhradníci přítomní při konečném hlasování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11720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Náhradníci (čl. 209 odst. 7) přítomní při konečném hlasování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17205" w:rsidRDefault="0011720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Milan Brglez, Rainer Wieland</w:t>
            </w:r>
          </w:p>
        </w:tc>
      </w:tr>
    </w:tbl>
    <w:p w:rsidR="00117205" w:rsidRDefault="00117205"/>
    <w:bookmarkEnd w:id="1"/>
    <w:p w:rsidR="004C1502" w:rsidRDefault="004C1502">
      <w:pPr>
        <w:widowControl/>
        <w:sectPr w:rsidR="004C1502" w:rsidSect="004C150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1502" w:rsidRDefault="004C1502">
      <w:pPr>
        <w:widowControl/>
      </w:pPr>
    </w:p>
    <w:p w:rsidR="004C1502" w:rsidRPr="004C1502" w:rsidRDefault="004C1502" w:rsidP="004C1502"/>
    <w:p w:rsidR="004C1502" w:rsidRPr="004C1502" w:rsidRDefault="004C1502" w:rsidP="004C1502">
      <w:pPr>
        <w:sectPr w:rsidR="004C1502" w:rsidRPr="004C1502" w:rsidSect="004C150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1502" w:rsidRPr="0099178F" w:rsidRDefault="004C1502" w:rsidP="00C36610">
      <w:pPr>
        <w:pStyle w:val="PageHeadingNotTOC"/>
      </w:pPr>
      <w:bookmarkStart w:id="2" w:name="RollCallPageAD"/>
      <w:r>
        <w:t xml:space="preserve">JMENOVITÉ KONEČNÉ HLASOVÁNÍ </w:t>
      </w:r>
      <w:r w:rsidR="00E06207">
        <w:br/>
      </w:r>
      <w:bookmarkStart w:id="3" w:name="_GoBack"/>
      <w:bookmarkEnd w:id="3"/>
      <w:r>
        <w:t>VE VÝBORU POŽÁDANÉM O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C1502" w:rsidRPr="004808C5" w:rsidTr="00B50AF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C1502" w:rsidRPr="004808C5" w:rsidRDefault="004C1502" w:rsidP="00B50AF5">
            <w:pPr>
              <w:pStyle w:val="RollCallVotes"/>
            </w:pPr>
            <w:r>
              <w:t>23</w:t>
            </w:r>
          </w:p>
        </w:tc>
        <w:tc>
          <w:tcPr>
            <w:tcW w:w="7371" w:type="dxa"/>
            <w:shd w:val="pct10" w:color="000000" w:fill="FFFFFF"/>
          </w:tcPr>
          <w:p w:rsidR="004C1502" w:rsidRPr="004808C5" w:rsidRDefault="004C1502" w:rsidP="00B50AF5">
            <w:pPr>
              <w:pStyle w:val="RollCallSymbols14pt"/>
            </w:pPr>
            <w:r>
              <w:t>+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Maria da Graça Carvalho, Frances Fitzgerald, Arba Kokalari, Elżbieta Katarzyna Łukacijewska, Eleni Stavrou, Rainer Wieland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Sylvie Brunet, Samira Rafaela, María Soraya Rodríguez Ramos, Marco Zullo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Laura Ballarín Cereza, Robert Biedroń, Vilija Blinkevičiūtė, Milan Brglez, Marina Kaljurand, Carina Ohlsson, Evelyn Regner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Sandra Pereira, Eugenia Rodríguez Palop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Gwendoline Delbos-Corfield, Alice Kuhnke, Diana Riba i Giner, Sylwia Spurek</w:t>
            </w:r>
          </w:p>
        </w:tc>
      </w:tr>
    </w:tbl>
    <w:p w:rsidR="004C1502" w:rsidRPr="004808C5" w:rsidRDefault="004C1502" w:rsidP="004C150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C1502" w:rsidRPr="004808C5" w:rsidTr="00B50AF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C1502" w:rsidRPr="004808C5" w:rsidRDefault="004C1502" w:rsidP="00B50AF5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:rsidR="004C1502" w:rsidRPr="004808C5" w:rsidRDefault="004C1502" w:rsidP="00B50AF5">
            <w:pPr>
              <w:pStyle w:val="RollCallSymbols14pt"/>
            </w:pPr>
            <w:r>
              <w:t>-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Johan Nissinen, Margarita de la Pisa Carrión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Christine Anderson, Maria Veronica Rossi</w:t>
            </w:r>
          </w:p>
        </w:tc>
      </w:tr>
    </w:tbl>
    <w:p w:rsidR="004C1502" w:rsidRPr="004808C5" w:rsidRDefault="004C1502" w:rsidP="004C150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C1502" w:rsidRPr="004808C5" w:rsidTr="00B50AF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C1502" w:rsidRPr="004808C5" w:rsidRDefault="004C1502" w:rsidP="00B50AF5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:rsidR="004C1502" w:rsidRPr="004808C5" w:rsidRDefault="004C1502" w:rsidP="00B50AF5">
            <w:pPr>
              <w:pStyle w:val="RollCallSymbols14pt"/>
            </w:pPr>
            <w:r>
              <w:t>0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Andżelika Anna Możdżanowska</w:t>
            </w:r>
          </w:p>
        </w:tc>
      </w:tr>
      <w:tr w:rsidR="004C1502" w:rsidRPr="004808C5" w:rsidTr="00B50AF5">
        <w:trPr>
          <w:cantSplit/>
        </w:trPr>
        <w:tc>
          <w:tcPr>
            <w:tcW w:w="170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4C1502" w:rsidRPr="004808C5" w:rsidRDefault="004C1502" w:rsidP="00B50AF5">
            <w:pPr>
              <w:pStyle w:val="RollCallTable"/>
            </w:pPr>
            <w:r>
              <w:t>Lívia Járóka</w:t>
            </w:r>
          </w:p>
        </w:tc>
      </w:tr>
    </w:tbl>
    <w:p w:rsidR="004C1502" w:rsidRDefault="004C1502" w:rsidP="00147FBF">
      <w:pPr>
        <w:pStyle w:val="Normal12a"/>
      </w:pPr>
    </w:p>
    <w:p w:rsidR="004C1502" w:rsidRDefault="004C1502" w:rsidP="00B735E3">
      <w:r>
        <w:t>Význam zkratek:</w:t>
      </w:r>
    </w:p>
    <w:p w:rsidR="004C1502" w:rsidRDefault="004C1502" w:rsidP="003858C5">
      <w:pPr>
        <w:pStyle w:val="RollCallTabs"/>
      </w:pPr>
      <w:r>
        <w:t>+</w:t>
      </w:r>
      <w:r>
        <w:tab/>
        <w:t>:</w:t>
      </w:r>
      <w:r>
        <w:tab/>
        <w:t>pro</w:t>
      </w:r>
    </w:p>
    <w:p w:rsidR="004C1502" w:rsidRDefault="004C1502" w:rsidP="003858C5">
      <w:pPr>
        <w:pStyle w:val="RollCallTabs"/>
      </w:pPr>
      <w:r>
        <w:t>-</w:t>
      </w:r>
      <w:r>
        <w:tab/>
        <w:t>:</w:t>
      </w:r>
      <w:r>
        <w:tab/>
        <w:t>proti</w:t>
      </w:r>
    </w:p>
    <w:p w:rsidR="004C1502" w:rsidRDefault="004C1502" w:rsidP="003858C5">
      <w:pPr>
        <w:pStyle w:val="RollCallTabs"/>
      </w:pPr>
      <w:r>
        <w:t>0</w:t>
      </w:r>
      <w:r>
        <w:tab/>
        <w:t>:</w:t>
      </w:r>
      <w:r>
        <w:tab/>
        <w:t>zdrželi se</w:t>
      </w:r>
    </w:p>
    <w:p w:rsidR="004C1502" w:rsidRDefault="004C1502" w:rsidP="00207509"/>
    <w:bookmarkEnd w:id="2"/>
    <w:p w:rsidR="002E6F98" w:rsidRPr="004C1502" w:rsidRDefault="002E6F98" w:rsidP="004C1502"/>
    <w:sectPr w:rsidR="002E6F98" w:rsidRPr="004C1502" w:rsidSect="004C15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870" w:rsidRPr="00BE7870" w:rsidRDefault="00BE7870">
      <w:r w:rsidRPr="00BE7870">
        <w:separator/>
      </w:r>
    </w:p>
  </w:endnote>
  <w:endnote w:type="continuationSeparator" w:id="0">
    <w:p w:rsidR="00BE7870" w:rsidRPr="00BE7870" w:rsidRDefault="00BE7870">
      <w:r w:rsidRPr="00BE78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205" w:rsidRDefault="00117205" w:rsidP="00117205">
    <w:pPr>
      <w:pStyle w:val="EPFooter"/>
    </w:pPr>
    <w:r>
      <w:t>PE</w:t>
    </w:r>
    <w:r w:rsidRPr="00117205">
      <w:rPr>
        <w:rStyle w:val="HideTWBExt"/>
      </w:rPr>
      <w:t>&lt;NoPE&gt;</w:t>
    </w:r>
    <w:r>
      <w:t>754.838</w:t>
    </w:r>
    <w:r w:rsidRPr="00117205">
      <w:rPr>
        <w:rStyle w:val="HideTWBExt"/>
      </w:rPr>
      <w:t>&lt;/NoPE&gt;&lt;Version&gt;</w:t>
    </w:r>
    <w:r>
      <w:t>v02-00</w:t>
    </w:r>
    <w:r w:rsidRPr="00117205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E06207">
      <w:rPr>
        <w:noProof/>
      </w:rPr>
      <w:t>8</w:t>
    </w:r>
    <w:r>
      <w:fldChar w:fldCharType="end"/>
    </w:r>
    <w:r>
      <w:t>/</w:t>
    </w:r>
    <w:r w:rsidR="00E06207">
      <w:fldChar w:fldCharType="begin"/>
    </w:r>
    <w:r w:rsidR="00E06207">
      <w:instrText xml:space="preserve"> NUMPAGES  \* MERGEFORMAT </w:instrText>
    </w:r>
    <w:r w:rsidR="00E06207">
      <w:fldChar w:fldCharType="separate"/>
    </w:r>
    <w:r w:rsidR="00E06207">
      <w:rPr>
        <w:noProof/>
      </w:rPr>
      <w:t>9</w:t>
    </w:r>
    <w:r w:rsidR="00E06207">
      <w:rPr>
        <w:noProof/>
      </w:rPr>
      <w:fldChar w:fldCharType="end"/>
    </w:r>
    <w:r>
      <w:tab/>
    </w:r>
    <w:r w:rsidRPr="00117205">
      <w:rPr>
        <w:rStyle w:val="HideTWBExt"/>
      </w:rPr>
      <w:t>&lt;PathFdR&gt;</w:t>
    </w:r>
    <w:r>
      <w:t>AD\1294925CS.docx</w:t>
    </w:r>
    <w:r w:rsidRPr="00117205">
      <w:rPr>
        <w:rStyle w:val="HideTWBExt"/>
      </w:rPr>
      <w:t>&lt;/PathFdR&gt;</w:t>
    </w:r>
  </w:p>
  <w:p w:rsidR="002E2F2E" w:rsidRPr="00BE7870" w:rsidRDefault="00117205" w:rsidP="00117205">
    <w:pPr>
      <w:pStyle w:val="EPFooter2"/>
    </w:pPr>
    <w:r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205" w:rsidRDefault="00117205" w:rsidP="00117205">
    <w:pPr>
      <w:pStyle w:val="EPFooter"/>
    </w:pPr>
    <w:r w:rsidRPr="00117205">
      <w:rPr>
        <w:rStyle w:val="HideTWBExt"/>
      </w:rPr>
      <w:t>&lt;PathFdR&gt;</w:t>
    </w:r>
    <w:r>
      <w:t>AD\1294925CS.docx</w:t>
    </w:r>
    <w:r w:rsidRPr="00117205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E06207">
      <w:rPr>
        <w:noProof/>
      </w:rPr>
      <w:t>9</w:t>
    </w:r>
    <w:r>
      <w:fldChar w:fldCharType="end"/>
    </w:r>
    <w:r>
      <w:t>/</w:t>
    </w:r>
    <w:r w:rsidR="00E06207">
      <w:fldChar w:fldCharType="begin"/>
    </w:r>
    <w:r w:rsidR="00E06207">
      <w:instrText xml:space="preserve"> NUMPAGES  \* MERGEFORMAT </w:instrText>
    </w:r>
    <w:r w:rsidR="00E06207">
      <w:fldChar w:fldCharType="separate"/>
    </w:r>
    <w:r w:rsidR="00E06207">
      <w:rPr>
        <w:noProof/>
      </w:rPr>
      <w:t>9</w:t>
    </w:r>
    <w:r w:rsidR="00E06207">
      <w:rPr>
        <w:noProof/>
      </w:rPr>
      <w:fldChar w:fldCharType="end"/>
    </w:r>
    <w:r>
      <w:tab/>
      <w:t>PE</w:t>
    </w:r>
    <w:r w:rsidRPr="00117205">
      <w:rPr>
        <w:rStyle w:val="HideTWBExt"/>
      </w:rPr>
      <w:t>&lt;NoPE&gt;</w:t>
    </w:r>
    <w:r>
      <w:t>754.838</w:t>
    </w:r>
    <w:r w:rsidRPr="00117205">
      <w:rPr>
        <w:rStyle w:val="HideTWBExt"/>
      </w:rPr>
      <w:t>&lt;/NoPE&gt;&lt;Version&gt;</w:t>
    </w:r>
    <w:r>
      <w:t>v02-00</w:t>
    </w:r>
    <w:r w:rsidRPr="00117205">
      <w:rPr>
        <w:rStyle w:val="HideTWBExt"/>
      </w:rPr>
      <w:t>&lt;/Version&gt;</w:t>
    </w:r>
  </w:p>
  <w:p w:rsidR="002E2F2E" w:rsidRPr="00BE7870" w:rsidRDefault="00117205" w:rsidP="00117205">
    <w:pPr>
      <w:pStyle w:val="EPFooter2"/>
    </w:pPr>
    <w:r>
      <w:tab/>
    </w:r>
    <w:r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205" w:rsidRDefault="00117205" w:rsidP="00117205">
    <w:pPr>
      <w:pStyle w:val="EPFooter"/>
    </w:pPr>
    <w:r w:rsidRPr="00117205">
      <w:rPr>
        <w:rStyle w:val="HideTWBExt"/>
      </w:rPr>
      <w:t>&lt;PathFdR&gt;</w:t>
    </w:r>
    <w:r>
      <w:t>AD\1294925CS.docx</w:t>
    </w:r>
    <w:r w:rsidRPr="00117205">
      <w:rPr>
        <w:rStyle w:val="HideTWBExt"/>
      </w:rPr>
      <w:t>&lt;/PathFdR&gt;</w:t>
    </w:r>
    <w:r>
      <w:tab/>
    </w:r>
    <w:r>
      <w:tab/>
      <w:t>PE</w:t>
    </w:r>
    <w:r w:rsidRPr="00117205">
      <w:rPr>
        <w:rStyle w:val="HideTWBExt"/>
      </w:rPr>
      <w:t>&lt;NoPE&gt;</w:t>
    </w:r>
    <w:r>
      <w:t>754.838</w:t>
    </w:r>
    <w:r w:rsidRPr="00117205">
      <w:rPr>
        <w:rStyle w:val="HideTWBExt"/>
      </w:rPr>
      <w:t>&lt;/NoPE&gt;&lt;Version&gt;</w:t>
    </w:r>
    <w:r>
      <w:t>v02-00</w:t>
    </w:r>
    <w:r w:rsidRPr="00117205">
      <w:rPr>
        <w:rStyle w:val="HideTWBExt"/>
      </w:rPr>
      <w:t>&lt;/Version&gt;</w:t>
    </w:r>
  </w:p>
  <w:p w:rsidR="002E2F2E" w:rsidRPr="00BE7870" w:rsidRDefault="00117205" w:rsidP="00117205">
    <w:pPr>
      <w:pStyle w:val="EPFooter2"/>
    </w:pPr>
    <w:r>
      <w:t>CS</w:t>
    </w:r>
    <w:r>
      <w:tab/>
    </w:r>
    <w:r w:rsidRPr="00117205">
      <w:rPr>
        <w:b w:val="0"/>
        <w:i/>
        <w:color w:val="C0C0C0"/>
        <w:sz w:val="22"/>
      </w:rPr>
      <w:t>Jednotná v rozmanitosti</w:t>
    </w:r>
    <w:r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870" w:rsidRPr="00BE7870" w:rsidRDefault="00BE7870">
      <w:r w:rsidRPr="00BE7870">
        <w:separator/>
      </w:r>
    </w:p>
  </w:footnote>
  <w:footnote w:type="continuationSeparator" w:id="0">
    <w:p w:rsidR="00BE7870" w:rsidRPr="00BE7870" w:rsidRDefault="00BE7870">
      <w:r w:rsidRPr="00BE7870">
        <w:continuationSeparator/>
      </w:r>
    </w:p>
  </w:footnote>
  <w:footnote w:id="1">
    <w:p w:rsidR="004C1502" w:rsidRPr="001C3E23" w:rsidRDefault="004C1502" w:rsidP="004C1502">
      <w:pPr>
        <w:pStyle w:val="FootnoteText"/>
      </w:pPr>
      <w:r>
        <w:rPr>
          <w:rStyle w:val="FootnoteReference"/>
        </w:rPr>
        <w:footnoteRef/>
      </w:r>
      <w:r>
        <w:t xml:space="preserve">  https://www.europarl.europa.eu/RegData/etudes/STUD/2022/736899/IPOL_STU(2022)736899_EN.pdf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02" w:rsidRDefault="004C15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02" w:rsidRDefault="004C15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02" w:rsidRDefault="004C15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CONT"/>
    <w:docVar w:name="COMKEY" w:val="FEMM"/>
    <w:docVar w:name="CONTRIBUTIONMNU" w:val=" 2"/>
    <w:docVar w:name="FONCTIONMNU" w:val=" 1"/>
    <w:docVar w:name="LastEditedSection" w:val=" 5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5344734 HideTWBInt;}{_x000d__x000a_\s18\ql \fi-567\li567\ri0\sa240\nowidctlpar\wrapdefault\aspalpha\aspnum\faauto\adjustright\rin0\lin567\itap0 \rtlch\fcs1 \af0\afs20\alang1025 \ltrch\fcs0 \fs24\lang1029\langfe2057\cgrid\langnp1029\langfenp2057 _x000d__x000a_\sbasedon0 \snext18 \spriority0 \styrsid15344734 NormalHanging12a;}}{\*\rsidtbl \rsid24658\rsid223860\rsid735077\rsid1718133\rsid2193287\rsid2892074\rsid3565327\rsid4666813\rsid6641733\rsid7823322\rsid9636012\rsid10377208\rsid11215221\rsid11549030_x000d__x000a_\rsid12154954\rsid14382809\rsid14424199\rsid15204470\rsid15285974\rsid15344734\rsid15950462\rsid16324206\rsid16662270}{\mmathPr\mmathFont34\mbrkBin0\mbrkBinSub0\msmallFrac0\mdispDef1\mlMargin0\mrMargin0\mdefJc1\mwrapIndent1440\mintLim0\mnaryLim1}{\info_x000d__x000a_{\author VYROUBALOVA Jana}{\operator VYROUBALOVA Jana}{\creatim\yr2024\mo1\dy26\hr10\min23}{\revtim\yr2024\mo1\dy26\hr10\min23}{\version1}{\edmins0}{\nofpages1}{\nofwords1}{\nofchars11}{\nofcharsws11}{\vern109}}{\*\xmlnstbl {\xmlns1 http://schemas.microso_x000d__x000a_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34473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VYRO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19328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9328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9328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9328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5344734 \rtlch\fcs1 \af0\afs20\alang1025 \ltrch\fcs0 \fs24\lang1029\langfe2057\cgrid\langnp1029\langfenp2057 {\rtlch\fcs1 \af0 _x000d__x000a_\ltrch\fcs0 \insrsid15344734\charrsid5335954 {\*\bkmkstart restart}#}{\rtlch\fcs1 \af1 \ltrch\fcs0 \cs17\v\f1\fs20\cf15\insrsid15344734\charrsid5335954 NRMSG}{\rtlch\fcs1 \af0 \ltrch\fcs0 \insrsid15344734\charrsid5335954 #\tab ##}{\rtlch\fcs1 \af0 _x000d__x000a_\ltrch\fcs0 \insrsid15344734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5_x000d__x000a_1160395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9907418 NormalHanging12a;}}{\*\rsidtbl \rsid24658\rsid223860\rsid609947\rsid735077\rsid1718133\rsid2892074\rsid3565327\rsid4666813\rsid6641733\rsid7823322_x000d__x000a_\rsid9636012\rsid9907418\rsid10377208\rsid11215221\rsid11549030\rsid12154954\rsid14382809\rsid14424199\rsid15204470\rsid15285974\rsid15950462\rsid16324206\rsid16662270}{\mmathPr\mmathFont34\mbrkBin0\mbrkBinSub0\msmallFrac0\mdispDef1\mlMargin0\mrMargin0_x000d__x000a_\mdefJc1\mwrapIndent1440\mintLim0\mnaryLim1}{\info{\author VYROUBALOVA Jana}{\operator VYROUBALOVA Jana}{\creatim\yr2024\mo1\dy26\hr10\min24}{\revtim\yr2024\mo1\dy26\hr10\min24}{\version1}{\edmins0}{\nofpages1}{\nofwords5}{\nofchars30}{\nofcharsws34}_x000d__x000a_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9074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VYRO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0994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0994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0994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0994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9907418 \rtlch\fcs1 \af0\afs20\alang1025 \ltrch\fcs0 \fs24\lang2057\langfe2057\cgrid\langnp2057\langfenp2057 {\rtlch\fcs1 \af0 _x000d__x000a_\ltrch\fcs0 \insrsid9907418\charrsid1525456 {\*\bkmkstart restart}[ZSUGGESTIONNR]\tab [ZSUGGESTIONTEXT]}{\rtlch\fcs1 \af0 \ltrch\fcs0 \insrsid9907418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4_x000d__x000a_3066395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CS"/>
    <w:docVar w:name="TXTLANGUEMIN" w:val="cs"/>
    <w:docVar w:name="TXTNRPE" w:val="754.838"/>
    <w:docVar w:name="TXTNRPROC" w:val="2023/2129"/>
    <w:docVar w:name="TXTPEorAP" w:val="PE"/>
    <w:docVar w:name="TXTROUTE" w:val="AD\1294925CS.docx"/>
    <w:docVar w:name="TXTTITLE" w:val="on the 2022 discharge: General budget of the EU - European Commission"/>
    <w:docVar w:name="TXTVERSION" w:val="02-00"/>
  </w:docVars>
  <w:rsids>
    <w:rsidRoot w:val="00BE7870"/>
    <w:rsid w:val="000E7EBF"/>
    <w:rsid w:val="00117205"/>
    <w:rsid w:val="00124F60"/>
    <w:rsid w:val="00135121"/>
    <w:rsid w:val="00140BE6"/>
    <w:rsid w:val="00147F4E"/>
    <w:rsid w:val="0016635E"/>
    <w:rsid w:val="001746D0"/>
    <w:rsid w:val="00187BCF"/>
    <w:rsid w:val="001B7393"/>
    <w:rsid w:val="001D2ED9"/>
    <w:rsid w:val="001F21C1"/>
    <w:rsid w:val="002D28A7"/>
    <w:rsid w:val="002E2F2E"/>
    <w:rsid w:val="002E6F98"/>
    <w:rsid w:val="00310031"/>
    <w:rsid w:val="00325BCB"/>
    <w:rsid w:val="00331944"/>
    <w:rsid w:val="00332AD9"/>
    <w:rsid w:val="00347D2C"/>
    <w:rsid w:val="0037356F"/>
    <w:rsid w:val="00390EB2"/>
    <w:rsid w:val="00396A0E"/>
    <w:rsid w:val="003E2402"/>
    <w:rsid w:val="004C1502"/>
    <w:rsid w:val="004C28FB"/>
    <w:rsid w:val="004C44C0"/>
    <w:rsid w:val="0052544E"/>
    <w:rsid w:val="005940C3"/>
    <w:rsid w:val="00594C48"/>
    <w:rsid w:val="005B2F11"/>
    <w:rsid w:val="005C0BDF"/>
    <w:rsid w:val="005D60C6"/>
    <w:rsid w:val="006102E7"/>
    <w:rsid w:val="00640C1B"/>
    <w:rsid w:val="00643102"/>
    <w:rsid w:val="00657AFB"/>
    <w:rsid w:val="006D5BF7"/>
    <w:rsid w:val="008313E7"/>
    <w:rsid w:val="00854CAC"/>
    <w:rsid w:val="00880A2F"/>
    <w:rsid w:val="008A32C5"/>
    <w:rsid w:val="008C6203"/>
    <w:rsid w:val="008D61E7"/>
    <w:rsid w:val="008F7002"/>
    <w:rsid w:val="0099493F"/>
    <w:rsid w:val="00A16BEA"/>
    <w:rsid w:val="00A312B3"/>
    <w:rsid w:val="00A72C35"/>
    <w:rsid w:val="00AE180F"/>
    <w:rsid w:val="00B362F7"/>
    <w:rsid w:val="00B5456B"/>
    <w:rsid w:val="00B74B53"/>
    <w:rsid w:val="00BC26E4"/>
    <w:rsid w:val="00BD1EAA"/>
    <w:rsid w:val="00BE7870"/>
    <w:rsid w:val="00C52739"/>
    <w:rsid w:val="00C70324"/>
    <w:rsid w:val="00C827FF"/>
    <w:rsid w:val="00CD34AC"/>
    <w:rsid w:val="00DE19FF"/>
    <w:rsid w:val="00E06207"/>
    <w:rsid w:val="00E81BA6"/>
    <w:rsid w:val="00E856D2"/>
    <w:rsid w:val="00E929A7"/>
    <w:rsid w:val="00F4417D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78305C7"/>
  <w15:chartTrackingRefBased/>
  <w15:docId w15:val="{713E80F2-B60C-4B29-AED2-FC5C4141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187B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87BCF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rsid w:val="004C1502"/>
    <w:rPr>
      <w:sz w:val="24"/>
    </w:rPr>
  </w:style>
  <w:style w:type="paragraph" w:styleId="FootnoteText">
    <w:name w:val="footnote text"/>
    <w:basedOn w:val="Normal"/>
    <w:link w:val="FootnoteTextChar"/>
    <w:rsid w:val="004C150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C1502"/>
    <w:rPr>
      <w:lang w:val="cs-CZ"/>
    </w:rPr>
  </w:style>
  <w:style w:type="character" w:styleId="FootnoteReference">
    <w:name w:val="footnote reference"/>
    <w:basedOn w:val="DefaultParagraphFont"/>
    <w:rsid w:val="004C1502"/>
    <w:rPr>
      <w:vertAlign w:val="superscript"/>
    </w:rPr>
  </w:style>
  <w:style w:type="paragraph" w:customStyle="1" w:styleId="Normal24a">
    <w:name w:val="Normal24a"/>
    <w:basedOn w:val="Normal"/>
    <w:rsid w:val="004C1502"/>
    <w:pPr>
      <w:spacing w:after="480"/>
    </w:pPr>
  </w:style>
  <w:style w:type="paragraph" w:customStyle="1" w:styleId="NormalBoldCenter">
    <w:name w:val="NormalBoldCenter"/>
    <w:basedOn w:val="Normal"/>
    <w:rsid w:val="004C1502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4C150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C150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C150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C1502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1685</Words>
  <Characters>9691</Characters>
  <Application>Microsoft Office Word</Application>
  <DocSecurity>0</DocSecurity>
  <Lines>248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2024-02-07T18:09:00Z</dcterms:created>
  <dcterms:modified xsi:type="dcterms:W3CDTF">2024-02-07T18:09:00Z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9.17.1 Build [20240111]</vt:lpwstr>
  </property>
  <property fmtid="{D5CDD505-2E9C-101B-9397-08002B2CF9AE}" pid="5" name="&lt;FdR&gt;">
    <vt:lpwstr>1294925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\\eiciLUXpr1\pdocep$\DocEP\DOCS\General\PA\PA_NonLeg\PA_NonLeg.dotx(18/09/2023 11:25:02)</vt:lpwstr>
  </property>
  <property fmtid="{D5CDD505-2E9C-101B-9397-08002B2CF9AE}" pid="8" name="&lt;ModelTra&gt;">
    <vt:lpwstr>\\eiciLUXpr1\pdocep$\DocEP\TRANSFIL\CS\PA_NonLeg.CS(18/09/2023 11:08:00)</vt:lpwstr>
  </property>
  <property fmtid="{D5CDD505-2E9C-101B-9397-08002B2CF9AE}" pid="9" name="&lt;Model&gt;">
    <vt:lpwstr>PA_NonLeg</vt:lpwstr>
  </property>
  <property fmtid="{D5CDD505-2E9C-101B-9397-08002B2CF9AE}" pid="10" name="FooterPath">
    <vt:lpwstr>AD\1294925CS.docx</vt:lpwstr>
  </property>
  <property fmtid="{D5CDD505-2E9C-101B-9397-08002B2CF9AE}" pid="11" name="PE number">
    <vt:lpwstr>754.838</vt:lpwstr>
  </property>
  <property fmtid="{D5CDD505-2E9C-101B-9397-08002B2CF9AE}" pid="12" name="Bookout">
    <vt:lpwstr>OK - 2024/02/02 09:39</vt:lpwstr>
  </property>
  <property fmtid="{D5CDD505-2E9C-101B-9397-08002B2CF9AE}" pid="13" name="SDLStudio">
    <vt:lpwstr/>
  </property>
</Properties>
</file>