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357E13" w:rsidRPr="005E38DD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5E38DD" w:rsidRDefault="005E38DD" w:rsidP="005E38DD">
            <w:pPr>
              <w:pStyle w:val="EPName"/>
              <w:widowControl/>
            </w:pPr>
            <w:r w:rsidRPr="005E38DD">
              <w:t>Euroopan parlamentti</w:t>
            </w:r>
          </w:p>
          <w:p w:rsidR="00854CAC" w:rsidRPr="005E38DD" w:rsidRDefault="005E38DD" w:rsidP="005E38DD">
            <w:pPr>
              <w:pStyle w:val="EPTerm"/>
              <w:widowControl/>
            </w:pPr>
            <w:r w:rsidRPr="005E38DD">
              <w:t>2019-2024</w:t>
            </w:r>
          </w:p>
        </w:tc>
        <w:tc>
          <w:tcPr>
            <w:tcW w:w="2268" w:type="dxa"/>
            <w:shd w:val="clear" w:color="auto" w:fill="auto"/>
          </w:tcPr>
          <w:p w:rsidR="00854CAC" w:rsidRPr="005E38DD" w:rsidRDefault="005E38DD" w:rsidP="005E38DD">
            <w:pPr>
              <w:pStyle w:val="EPLogo"/>
              <w:widowControl/>
            </w:pPr>
            <w:r w:rsidRPr="005E38DD">
              <w:rPr>
                <w:noProof/>
                <w:lang w:bidi="ne-NP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5E38DD" w:rsidRDefault="001746D0" w:rsidP="005E38DD">
      <w:pPr>
        <w:pStyle w:val="LineTop"/>
        <w:widowControl/>
      </w:pPr>
    </w:p>
    <w:p w:rsidR="001746D0" w:rsidRPr="005E38DD" w:rsidRDefault="005E38DD" w:rsidP="005E38DD">
      <w:pPr>
        <w:pStyle w:val="EPBody"/>
        <w:widowControl/>
      </w:pPr>
      <w:r w:rsidRPr="005E38DD">
        <w:rPr>
          <w:rStyle w:val="HideTWBExt"/>
        </w:rPr>
        <w:t>&lt;</w:t>
      </w:r>
      <w:r w:rsidRPr="005E38DD">
        <w:rPr>
          <w:rStyle w:val="HideTWBExt"/>
          <w:i w:val="0"/>
        </w:rPr>
        <w:t>Commission</w:t>
      </w:r>
      <w:r w:rsidRPr="005E38DD">
        <w:rPr>
          <w:rStyle w:val="HideTWBExt"/>
        </w:rPr>
        <w:t>&gt;</w:t>
      </w:r>
      <w:r w:rsidRPr="005E38DD">
        <w:rPr>
          <w:rStyle w:val="HideTWBInt"/>
          <w:color w:val="auto"/>
        </w:rPr>
        <w:t>{FEMM}</w:t>
      </w:r>
      <w:r w:rsidRPr="005E38DD">
        <w:t>Naisten oikeuksien ja sukupuolten tasa-arvon valiokunta</w:t>
      </w:r>
      <w:r w:rsidRPr="005E38DD">
        <w:rPr>
          <w:rStyle w:val="HideTWBExt"/>
        </w:rPr>
        <w:t>&lt;/</w:t>
      </w:r>
      <w:r w:rsidRPr="005E38DD">
        <w:rPr>
          <w:rStyle w:val="HideTWBExt"/>
          <w:i w:val="0"/>
        </w:rPr>
        <w:t>Commission</w:t>
      </w:r>
      <w:r w:rsidRPr="005E38DD">
        <w:rPr>
          <w:rStyle w:val="HideTWBExt"/>
        </w:rPr>
        <w:t>&gt;</w:t>
      </w:r>
    </w:p>
    <w:p w:rsidR="001746D0" w:rsidRPr="005E38DD" w:rsidRDefault="001746D0" w:rsidP="005E38DD">
      <w:pPr>
        <w:pStyle w:val="LineBottom"/>
        <w:widowControl/>
      </w:pPr>
    </w:p>
    <w:p w:rsidR="002E2F2E" w:rsidRPr="005E38DD" w:rsidRDefault="005E38DD" w:rsidP="005E38DD">
      <w:pPr>
        <w:pStyle w:val="CoverReference"/>
        <w:widowControl/>
      </w:pPr>
      <w:r w:rsidRPr="005E38DD">
        <w:rPr>
          <w:rStyle w:val="HideTWBExt"/>
          <w:b w:val="0"/>
        </w:rPr>
        <w:t>&lt;RefProc&gt;</w:t>
      </w:r>
      <w:r w:rsidRPr="005E38DD">
        <w:t>2023/2129</w:t>
      </w:r>
      <w:r w:rsidRPr="005E38DD">
        <w:rPr>
          <w:rStyle w:val="HideTWBExt"/>
          <w:b w:val="0"/>
        </w:rPr>
        <w:t>&lt;/RefProc&gt;&lt;RefTypeProc&gt;</w:t>
      </w:r>
      <w:r w:rsidRPr="005E38DD">
        <w:t>(DEC)</w:t>
      </w:r>
      <w:r w:rsidRPr="005E38DD">
        <w:rPr>
          <w:rStyle w:val="HideTWBExt"/>
          <w:b w:val="0"/>
        </w:rPr>
        <w:t>&lt;/RefTypeProc&gt;</w:t>
      </w:r>
    </w:p>
    <w:p w:rsidR="002E2F2E" w:rsidRPr="005E38DD" w:rsidRDefault="005E38DD" w:rsidP="005E38DD">
      <w:pPr>
        <w:pStyle w:val="CoverDate"/>
        <w:widowControl/>
      </w:pPr>
      <w:r w:rsidRPr="005E38DD">
        <w:rPr>
          <w:rStyle w:val="HideTWBExt"/>
        </w:rPr>
        <w:t>&lt;Date&gt;</w:t>
      </w:r>
      <w:r w:rsidRPr="005E38DD">
        <w:rPr>
          <w:rStyle w:val="HideTWBInt"/>
          <w:color w:val="auto"/>
        </w:rPr>
        <w:t>{25/01/2024}</w:t>
      </w:r>
      <w:r w:rsidRPr="005E38DD">
        <w:t>25.1.2024</w:t>
      </w:r>
      <w:r w:rsidRPr="005E38DD">
        <w:rPr>
          <w:rStyle w:val="HideTWBExt"/>
        </w:rPr>
        <w:t>&lt;/Date&gt;</w:t>
      </w:r>
    </w:p>
    <w:p w:rsidR="002E2F2E" w:rsidRPr="005E38DD" w:rsidRDefault="005E38DD" w:rsidP="005E38DD">
      <w:pPr>
        <w:pStyle w:val="CoverDocType24a"/>
        <w:widowControl/>
      </w:pPr>
      <w:r w:rsidRPr="005E38DD">
        <w:rPr>
          <w:rStyle w:val="HideTWBExt"/>
          <w:b w:val="0"/>
        </w:rPr>
        <w:t>&lt;TitreType&gt;</w:t>
      </w:r>
      <w:r w:rsidRPr="005E38DD">
        <w:t>LAUSUNTO</w:t>
      </w:r>
      <w:r w:rsidRPr="005E38DD">
        <w:rPr>
          <w:rStyle w:val="HideTWBExt"/>
          <w:b w:val="0"/>
        </w:rPr>
        <w:t>&lt;/TitreType&gt;</w:t>
      </w:r>
    </w:p>
    <w:p w:rsidR="002E2F2E" w:rsidRPr="005E38DD" w:rsidRDefault="005E38DD" w:rsidP="005E38DD">
      <w:pPr>
        <w:pStyle w:val="CoverNormal24a"/>
        <w:widowControl/>
      </w:pPr>
      <w:r w:rsidRPr="005E38DD">
        <w:rPr>
          <w:rStyle w:val="HideTWBExt"/>
        </w:rPr>
        <w:t>&lt;CommissionResp&gt;</w:t>
      </w:r>
      <w:r w:rsidRPr="005E38DD">
        <w:t>naisten oikeuksien ja sukupuolten tasa-arvon valiokunnalta</w:t>
      </w:r>
      <w:r w:rsidRPr="005E38DD">
        <w:rPr>
          <w:rStyle w:val="HideTWBExt"/>
        </w:rPr>
        <w:t>&lt;/CommissionResp&gt;</w:t>
      </w:r>
    </w:p>
    <w:p w:rsidR="002E2F2E" w:rsidRPr="005E38DD" w:rsidRDefault="005E38DD" w:rsidP="005E38DD">
      <w:pPr>
        <w:pStyle w:val="CoverNormal24a"/>
        <w:widowControl/>
      </w:pPr>
      <w:r w:rsidRPr="005E38DD">
        <w:rPr>
          <w:rStyle w:val="HideTWBExt"/>
        </w:rPr>
        <w:t>&lt;CommissionInt&gt;</w:t>
      </w:r>
      <w:r w:rsidRPr="005E38DD">
        <w:t>talousarvion valvontavaliokunnalle</w:t>
      </w:r>
      <w:r w:rsidRPr="005E38DD">
        <w:rPr>
          <w:rStyle w:val="HideTWBExt"/>
        </w:rPr>
        <w:t>&lt;/CommissionInt&gt;</w:t>
      </w:r>
    </w:p>
    <w:p w:rsidR="002E2F2E" w:rsidRPr="005E38DD" w:rsidRDefault="005E38DD" w:rsidP="005E38DD">
      <w:pPr>
        <w:pStyle w:val="CoverNormal"/>
        <w:widowControl/>
      </w:pPr>
      <w:r w:rsidRPr="005E38DD">
        <w:rPr>
          <w:rStyle w:val="HideTWBExt"/>
        </w:rPr>
        <w:t>&lt;Titre&gt;</w:t>
      </w:r>
      <w:r w:rsidRPr="005E38DD">
        <w:t>vastuuvapaudesta 2022: EU:n yleinen talousarvio – komissio</w:t>
      </w:r>
      <w:r w:rsidRPr="005E38DD">
        <w:rPr>
          <w:rStyle w:val="HideTWBExt"/>
        </w:rPr>
        <w:t>&lt;/Titre&gt;</w:t>
      </w:r>
    </w:p>
    <w:p w:rsidR="002E2F2E" w:rsidRPr="005E38DD" w:rsidRDefault="005E38DD" w:rsidP="005E38DD">
      <w:pPr>
        <w:pStyle w:val="CoverNormal24a"/>
        <w:widowControl/>
      </w:pPr>
      <w:r w:rsidRPr="005E38DD">
        <w:rPr>
          <w:rStyle w:val="HideTWBExt"/>
        </w:rPr>
        <w:t>&lt;DocRef&gt;</w:t>
      </w:r>
      <w:r w:rsidRPr="005E38DD">
        <w:t>(2023/2129(DEC))</w:t>
      </w:r>
      <w:r w:rsidRPr="005E38DD">
        <w:rPr>
          <w:rStyle w:val="HideTWBExt"/>
        </w:rPr>
        <w:t>&lt;/DocRef&gt;</w:t>
      </w:r>
    </w:p>
    <w:p w:rsidR="002E2F2E" w:rsidRPr="005E38DD" w:rsidRDefault="005E38DD" w:rsidP="005E38DD">
      <w:pPr>
        <w:pStyle w:val="CoverNormal24a"/>
        <w:widowControl/>
      </w:pPr>
      <w:r w:rsidRPr="005E38DD">
        <w:t xml:space="preserve">Valmistelija: </w:t>
      </w:r>
      <w:r w:rsidRPr="005E38DD">
        <w:rPr>
          <w:rStyle w:val="HideTWBExt"/>
        </w:rPr>
        <w:t>&lt;Depute&gt;</w:t>
      </w:r>
      <w:r w:rsidRPr="005E38DD">
        <w:t>Robert Biedroń</w:t>
      </w:r>
      <w:r w:rsidRPr="005E38DD">
        <w:rPr>
          <w:rStyle w:val="HideTWBExt"/>
        </w:rPr>
        <w:t>&lt;/Depute&gt;</w:t>
      </w:r>
    </w:p>
    <w:p w:rsidR="00A72C35" w:rsidRPr="005E38DD" w:rsidRDefault="00A72C35" w:rsidP="005E38DD">
      <w:pPr>
        <w:pStyle w:val="CoverNormal"/>
        <w:widowControl/>
      </w:pPr>
    </w:p>
    <w:p w:rsidR="002E2F2E" w:rsidRPr="005E38DD" w:rsidRDefault="005E38DD" w:rsidP="005E38DD">
      <w:pPr>
        <w:widowControl/>
        <w:tabs>
          <w:tab w:val="center" w:pos="4677"/>
        </w:tabs>
      </w:pPr>
      <w:r w:rsidRPr="005E38DD">
        <w:br w:type="page"/>
      </w:r>
      <w:r w:rsidRPr="005E38DD">
        <w:lastRenderedPageBreak/>
        <w:t>PA_NonLeg</w:t>
      </w:r>
    </w:p>
    <w:p w:rsidR="002E2F2E" w:rsidRPr="005E38DD" w:rsidRDefault="005E38DD" w:rsidP="005E38DD">
      <w:pPr>
        <w:pStyle w:val="PageHeadingNotTOC"/>
        <w:widowControl/>
      </w:pPr>
      <w:r w:rsidRPr="005E38DD">
        <w:br w:type="page"/>
      </w:r>
      <w:r w:rsidRPr="005E38DD">
        <w:lastRenderedPageBreak/>
        <w:t>EHDOTUKSET</w:t>
      </w:r>
    </w:p>
    <w:p w:rsidR="002E2F2E" w:rsidRPr="005E38DD" w:rsidRDefault="005E38DD" w:rsidP="005E38DD">
      <w:pPr>
        <w:pStyle w:val="Normal12a"/>
        <w:widowControl/>
      </w:pPr>
      <w:r w:rsidRPr="005E38DD">
        <w:t xml:space="preserve">Naisten oikeuksien ja sukupuolten tasa-arvon valiokunta pyytää asiasta vastaavaa talousarvion valvontavaliokuntaa sisällyttämään seuraavat ehdotukset päätöslauselmaesitykseen, </w:t>
      </w:r>
      <w:r w:rsidRPr="005E38DD">
        <w:t>jonka se myöhemmin hyväksyy: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A.</w:t>
      </w:r>
      <w:r w:rsidRPr="005E38DD">
        <w:tab/>
        <w:t>ottaa huomioon, että sukupuolten tasa-arvo on yksi Euroopan unionista tehdyn sopimuksen 2 artiklassa vahvistetuista unionin perusarvoista; toteaa, että Euroopan unionin toiminnasta tehdyn sopimuksen 8 artikla velvoittaa unio</w:t>
      </w:r>
      <w:r w:rsidRPr="005E38DD">
        <w:t>nin poistamaan eriarvoisuutta sekä edistämään miesten ja naisten välistä tasa-arvoa ja sukupuolten tasa-arvon valtavirtaistamista;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B.</w:t>
      </w:r>
      <w:r w:rsidRPr="005E38DD">
        <w:tab/>
        <w:t>ottaa huomioon, että Euroopan parlamentti on toistuvasti pyytänyt komissiota edistämään sukupuolten tasa-arvon valtavirtai</w:t>
      </w:r>
      <w:r w:rsidRPr="005E38DD">
        <w:t>stamisen, sukupuolitietoisen budjetoinnin ja sukupuolivaikutusten arviointien käyttöä ja panemaan ne täytäntöön kaikilla unionin politiikan aloilla, kuten unionin talousarvion toteuttamisessa ja raportoinnissa;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C.</w:t>
      </w:r>
      <w:r w:rsidRPr="005E38DD">
        <w:tab/>
        <w:t>ottaa huomioon, että monissa jäsenvaltiois</w:t>
      </w:r>
      <w:r w:rsidRPr="005E38DD">
        <w:t>sa, joissa syntyvyys on alhainen, naiset ja pariskunnat haluaisivat saada lapsia, mutta he eivät käytännössä pysty tekemään niin taloudellisten vaikeuksien vuoksi, eivät omasta valinnastaan vaan vaikeampien elin- ja työolojen vuoksi, mikä lisää naisten työ</w:t>
      </w:r>
      <w:r w:rsidRPr="005E38DD">
        <w:t>ttömyyttä ja vaikeuttaa heidän ja vanhempien mahdollisuuksia käyttää äitiyteen ja isyyteen liittyviä oikeuksiaan työpaikalla ja vaikeuttaa laadukkaiden julkisten palvelujen ja lastenhoitopalvelujen saatavuutta; katsoo, että on ratkaisevan tärkeää taata nai</w:t>
      </w:r>
      <w:r w:rsidRPr="005E38DD">
        <w:t>sille oikeus työntekijöiden oikeuksia kunnioittaviin työpaikkoihin ja niin että se ei vaikuta oikeuteen äitiyteen, sillä naiset ovat edelleen heikoimmassa asemassa ja heitä syrjitään eniten; katsoo, että esimerkkejä tällaisesta syrjinnästä ovat muun muassa</w:t>
      </w:r>
      <w:r w:rsidRPr="005E38DD">
        <w:t xml:space="preserve"> työnantajien naisiin kohdistama painostus työhönottohaastatteluissa, joissa heiltä kysellään, onko heillä lapsia ja minkä ikäisiä he ovat, sekä naispuolisten työntekijöiden taloudellinen painostus työpaikoilla, jotta he eivät käyttäisi äitiysvapaitaan;</w:t>
      </w:r>
    </w:p>
    <w:p w:rsidR="001E38DF" w:rsidRPr="005E38DD" w:rsidRDefault="005E38DD" w:rsidP="005E38DD">
      <w:pPr>
        <w:pStyle w:val="NormalHanging12a"/>
        <w:widowControl/>
      </w:pPr>
      <w:r w:rsidRPr="005E38DD">
        <w:t>D.</w:t>
      </w:r>
      <w:r w:rsidRPr="005E38DD">
        <w:tab/>
        <w:t>ottaa huomioon, että sukupuolten tasa-arvoon unionissa ovat vaikuttaneet erityisesti Ukrainan sodan seuraukset, elinkustannuskriisi, josta naiset kärsivät suhteettomasti, sekä sukupuolten tasa-arvon ja naisten oikeuksien, erityisesti seksuaali- ja lisäänt</w:t>
      </w:r>
      <w:r w:rsidRPr="005E38DD">
        <w:t>ymisterveyden ja -oikeuksien, heikentäminen useissa jäsenvaltioissa; toteaa, että tämä syventää entisestään eriarvoisuutta ja haittaa sukupuolten tasa-arvoa;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1.</w:t>
      </w:r>
      <w:r w:rsidRPr="005E38DD">
        <w:tab/>
        <w:t>korostaa, että sukupuolten tasa-arvoa koskeva näkökulma olisi sisällytettävä ja varmistettava k</w:t>
      </w:r>
      <w:r w:rsidRPr="005E38DD">
        <w:t>aikilla politiikan aloilla, eri vaiheissa ja lievittämistoimissa, erityisesti kun otetaan huomioon meneillään olevien kriisien sukupuolinäkökohdat, kuten sodat, ilmasto- ja energiakriisi, inflaatio sekä naisten oikeuksien, erityisesti seksuaali- ja lisäänt</w:t>
      </w:r>
      <w:r w:rsidRPr="005E38DD">
        <w:t>ymisterveyden ja -oikeuksien, heikentäminen unionissa ja maailmanlaajuisesti; korostaa sukupuolitietoisen budjetoinnin merkitystä kaikissa elpymis- ja lievittämistoimissa, jotta voidaan hyödyntää EU:n ohjelmia sukupuolistuneiden vaikutusten lievittämisessä</w:t>
      </w:r>
      <w:r w:rsidRPr="005E38DD">
        <w:t xml:space="preserve"> erilaisten kriisien yhteydessä;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2.</w:t>
      </w:r>
      <w:r w:rsidRPr="005E38DD">
        <w:tab/>
        <w:t xml:space="preserve">toistaa huolensa oikeusvaltioperiaatteeseen, demokratiaan ja ihmisoikeuksiin kohdistuvien hyökkäysten sekä sukupuolten tasa-arvon ja naisten oikeuksien </w:t>
      </w:r>
      <w:r w:rsidRPr="005E38DD">
        <w:lastRenderedPageBreak/>
        <w:t>heikentämispyrkimysten välisestä yhteydestä; kehottaa komissiota jat</w:t>
      </w:r>
      <w:r w:rsidRPr="005E38DD">
        <w:t>kamaan pyrkimyksiään vahvistaa oikeusvaltioperiaatetta unionissa ja erityisesti niitä lainsäädäntöehdotuksia, joilla pyritään suojelemaan EU:n talousarviota tilanteissa, joissa oikeusvaltioperiaatteen ja ihmisoikeuksien, naisten oikeudet ja Euroopan unioni</w:t>
      </w:r>
      <w:r w:rsidRPr="005E38DD">
        <w:t xml:space="preserve">n perusarvot mukaan lukien, noudattamisessa on yleisiä puutteita; kehottaa komissiota tutkimaan niiden henkilöiden ydintehtävää, joille EU:n varoja on myönnetty, ja epäämään EU:n rahoituksen kaikilta sellaisilta toimijoilta, jotka pyrkivät käyttämään EU:n </w:t>
      </w:r>
      <w:r w:rsidRPr="005E38DD">
        <w:t>varoja heikentääkseen ihmisoikeuksia, erityisesti naisten perusoikeuksia ja sukupuolten tasa-arvoa, mukaan lukien seksuaali- ja lisääntymisterveys ja -oikeudet ja naisten oikeus ruumiilliseen koskemattomuuteen, autonomiaan ja itsemääräämisoikeuteen; kehott</w:t>
      </w:r>
      <w:r w:rsidRPr="005E38DD">
        <w:t>aa jäsenvaltioita turvaamaan seksuaali- ja lisääntymisterveyden ja niitä koskevat oikeudet, mukaan lukien turvallisen ja laillisen aborttihoidon saatavuus, ja erityisesti varmistamalla, että lisääntymisterveysohjelmat ja palvelut, jotka tarjoavat vapaaehto</w:t>
      </w:r>
      <w:r w:rsidRPr="005E38DD">
        <w:t>iseen perhesuunnitteluun ja äitien ja vastasyntyneiden terveydestä huolehtimiseen tarvittavaa hoitoa ja lääkkeitä, ovat saatavilla;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3.</w:t>
      </w:r>
      <w:r w:rsidRPr="005E38DD">
        <w:tab/>
        <w:t>panee merkille komission menetelmän menojen sukupuolinäkökohtien seuraamiseksi vuodesta 2023 alkaen; muistuttaa, että vai</w:t>
      </w:r>
      <w:r w:rsidRPr="005E38DD">
        <w:t xml:space="preserve">n kahdella prosentilla unionin talousarviosta arvioitiin olevan sukupuolten tasa-arvon parantamista koskeva periaatteellinen tavoite; kehottaa komissiota parantamaan tätä tulosta valtavirtaistamalla sukupuolten tasa-arvo ohjelmasuunnittelun alusta alkaen; </w:t>
      </w:r>
      <w:r w:rsidRPr="005E38DD">
        <w:t>toistaa, että tarkennuksia tarvitaan, jotta suurin osa menoista (73 prosenttia), joissa arvioidaan tällä hetkellä olevan 0* ”mahdollisuus edistää sukupuolten tasa-arvoa”, voidaan ymmärtää täysimääräisesti; panee huolestuneena merkille, että tilintarkastust</w:t>
      </w:r>
      <w:r w:rsidRPr="005E38DD">
        <w:t>uomioistuimen julkaisemassa erityiskertomuksessa nro 10/2021 vahvistettiin, että sukupuolten tasa-arvoa ei vielä oteta riittävästi huomioon unionin talousarviosyklissä, koska keskeiset tekijät, kuten tasa-arvoanalyysi, sukupuoleen liittyvät tavoitteet, ind</w:t>
      </w:r>
      <w:r w:rsidRPr="005E38DD">
        <w:t>ikaattorit ja raportoinnin kautta tapahtuva vastuuvelvollisuus, puuttuvat suurelta osin;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4.</w:t>
      </w:r>
      <w:r w:rsidRPr="005E38DD">
        <w:tab/>
        <w:t>suhtautuu myönteisesti komission työhön, joka koskee uutta luokittelua unionin menojen sukupuolivaikutusten mittaamiseksi; kehottaa komissiota varmistamaan, että tä</w:t>
      </w:r>
      <w:r w:rsidRPr="005E38DD">
        <w:t>ssä luokittelussa keskitytään kuvaamaan tarkasti ja kattavasti ohjelmien vaikutusta sukupuolten tasa-arvoon; kehottaa komissiota tämän vaalikauden lopussa jatkamaan sukupuolten tasa-arvoa koskevaa työtään ja kehottaa nimittämään sukupuolten tasa-arvosta va</w:t>
      </w:r>
      <w:r w:rsidRPr="005E38DD">
        <w:t>staavan komission jäsenen seuraavalle vaalikaudelle; pitää myönteisenä, että sukupuolten tasa-arvo ja sen valtavirtaistaminen ovat yksi unionin rahastojen monialaisista periaatteista vuosien 2021–2027 monivuotisessa rahoituskehyksessä ja elpymis- ja palaut</w:t>
      </w:r>
      <w:r w:rsidRPr="005E38DD">
        <w:t xml:space="preserve">umistukivälineessä; kehottaa kuitenkin komissiota panemaan Euroopan tilintarkastustuomioistuimen suositukset täysimääräisesti täytäntöön, myös nykyisen monivuotisen rahoituskehyksen väliarvioinnissa ja elpymis- ja palautumistukivälineen täytäntöönpanossa; </w:t>
      </w:r>
      <w:r w:rsidRPr="005E38DD">
        <w:t>kehottaa komissiota varmistamaan, että tässä luokittelussa keskitytään kuvaamaan tarkasti ja kattavasti kaikkien nykyisten ohjelmien ja varojen vaikutuksia; toistaa tässä yhteydessä, että kattavaan sukupuolten tasa-arvon seurantamenetelmään on sisällyttävä</w:t>
      </w:r>
      <w:r w:rsidRPr="005E38DD">
        <w:t xml:space="preserve"> raportointi sukupuolten tasa-arvoon kohdistuvista kielteisistä vaikutuksista;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5.</w:t>
      </w:r>
      <w:r w:rsidRPr="005E38DD">
        <w:tab/>
        <w:t>painottaa, että naisten ja miesten olisi hyödyttävä tasapuolisesti elpymis- ja palautumistukivälineestä, erityisesti kun otetaan h</w:t>
      </w:r>
      <w:r>
        <w:t xml:space="preserve">uomioon unionissa vallitseva </w:t>
      </w:r>
      <w:r>
        <w:lastRenderedPageBreak/>
        <w:t>13 </w:t>
      </w:r>
      <w:r w:rsidRPr="005E38DD">
        <w:t>prosentin su</w:t>
      </w:r>
      <w:r w:rsidRPr="005E38DD">
        <w:t xml:space="preserve">uruinen sukupuolten palkkaero; muistuttaa, että komissio otti käyttöön jäsenvaltioiden elpymis- ja palautumissuunnitelmien sukupuoliarvioinnin vain ennakkoarviointina, mikä paljasti, että joissakin jäsenvaltioissa ei ollut lainkaan sukupuolten tasa-arvoon </w:t>
      </w:r>
      <w:r w:rsidRPr="005E38DD">
        <w:t>keskittyviä toimenpiteitä; korostaa siksi tiedonkeruuvaatimusten merkitystä, jotta mahdollistetaan sukupuolen mukaan eriteltyjen tietojen järjestelmällinen ja kattava kerääminen kaikkien asiaankuuluvien EU:n politiikkojen yhteydessä; kehottaa komissiota kä</w:t>
      </w:r>
      <w:r w:rsidRPr="005E38DD">
        <w:t>sittelemään tätä ensisijaisena asiana ja hyödyntämään mahdollisuuksia parantaa tiedonkeruuta koskevia vaatimuksia ja indikaattoreita uudessa lainsäädännössä ja uudelleentarkasteluissa, kuten unionin yleiseen talousarvioon sovellettavien varainhoitosääntöje</w:t>
      </w:r>
      <w:r w:rsidRPr="005E38DD">
        <w:t>n uudelleenlaatimisessa; kehottaa komissiota täyttämään puheenjohtaja von der Leyenin myönteisen sitoumuksen edistää sukupuolten tasa-arvoa kaikessa päätöksenteossa ja kehottaa komissiota täyttämään sukupuolten tasa-arvostrategian 2020–2025 mukaiset sitoum</w:t>
      </w:r>
      <w:r w:rsidRPr="005E38DD">
        <w:t>uksensa, ja korostaa, että on tehtävä paljon enemmän, koska sukupuolinäkökulma puuttuu komission tärkeimmistä ilmastoon, ympäristöön ja talouteen liittyvistä ehdotuksista; korostaa, että viime vuosikymmenellä alkaneen talous- ja finanssikriisin myötä talou</w:t>
      </w:r>
      <w:r w:rsidRPr="005E38DD">
        <w:t xml:space="preserve">dellinen, sosiaalinen, työelämään liittyvä ja sukupuolten välinen eriarvoisuus jäsenvaltioiden sisällä ja niiden välillä on tehnyt naisten ja tyttöjen elämästä vaikeampaa; tätä varten muistuttaa Euroopan tasa-arvoinstituutin tärkeästä roolista sukupuolten </w:t>
      </w:r>
      <w:r w:rsidRPr="005E38DD">
        <w:t>eriarvoisuuden määrää ja syitä koskevan tietoisuuden lisäämisessä EU:ssa; kehottaa siksi vahvistamaan tasa-arvoinstituutin talousarviota, henkilöstöä ja riippumattomuutta;</w:t>
      </w:r>
    </w:p>
    <w:p w:rsidR="001E38DF" w:rsidRPr="005E38DD" w:rsidRDefault="005E38DD" w:rsidP="005E38DD">
      <w:pPr>
        <w:pStyle w:val="NormalHanging12a"/>
        <w:widowControl/>
        <w:rPr>
          <w:szCs w:val="24"/>
        </w:rPr>
      </w:pPr>
      <w:r w:rsidRPr="005E38DD">
        <w:t>6.</w:t>
      </w:r>
      <w:r w:rsidRPr="005E38DD">
        <w:tab/>
        <w:t>kehottaa jälleen lisäämään sukupuolten tasa-arvoa koskevan budjettikohdan erityis</w:t>
      </w:r>
      <w:r w:rsidRPr="005E38DD">
        <w:t>esti Daphne-ohjelmaan, kun otetaan huomioon unionin kohtaama sukupuolistuneen väkivallan kriisi; korostaa, että on tärkeää vahvistaa Daphne-erityisaloitetta lisäämällä sen resursseja erityisesti toimenpiteisiin, joilla torjutaan kaikilla tasoilla naisiin j</w:t>
      </w:r>
      <w:r w:rsidRPr="005E38DD">
        <w:t>a tyttöihin kohdistuvaa kaikenlaista sukupuolistunutta väkivaltaa asetuksen (EU) 2021/692 7 artiklan 6 kohdan mukaisesti, ja uhrien asianmukaiseen tukemiseen; korostaa lisäksi, että on tärkeää käyttää Euroopan rakenne- ja investointirahastoja, kuten Euroop</w:t>
      </w:r>
      <w:r w:rsidRPr="005E38DD">
        <w:t>an sosiaalirahasto plussaa (ESR+), sukupuolten tasa-arvon, naisten työllisyyden, naisten voimaannuttamisen, yrittäjyyden, johtajuuden ja johtamisroolien sekä pitkäaikaishoitopalvelujen edistämiseen; panee merkille, että naisten oikeuksien ja sukupuolten ta</w:t>
      </w:r>
      <w:r w:rsidRPr="005E38DD">
        <w:t>sa-arvon valiokunnan tilaama tutkimus</w:t>
      </w:r>
      <w:r w:rsidRPr="005E38DD">
        <w:rPr>
          <w:vertAlign w:val="superscript"/>
        </w:rPr>
        <w:footnoteReference w:id="1"/>
      </w:r>
      <w:r w:rsidRPr="005E38DD">
        <w:t xml:space="preserve"> osoittaa, että miehiä suositaan usein naisiin ja syrjäytyneisiin ryhmiin verrattuna 55-valmiuspaketin mukaisten tukien ja tukirakenteiden suunnittelussa sekä muissa vihreän siirtymän politiikoissa, ohjelmissa ja rahoi</w:t>
      </w:r>
      <w:r w:rsidRPr="005E38DD">
        <w:t>tuksessa;</w:t>
      </w:r>
    </w:p>
    <w:p w:rsidR="001E38DF" w:rsidRPr="005E38DD" w:rsidRDefault="005E38DD" w:rsidP="005E38DD">
      <w:pPr>
        <w:pStyle w:val="NormalHanging12a"/>
        <w:widowControl/>
      </w:pPr>
      <w:r w:rsidRPr="005E38DD">
        <w:t>7.</w:t>
      </w:r>
      <w:r w:rsidRPr="005E38DD">
        <w:tab/>
        <w:t>katsoo tällä hetkellä käytettävissä olevien tietojen perusteella, että EU:n yleisen talousarvion toteuttamisesta voidaan myöntää vastuuvapaus varainhoitovuonna 2021.</w:t>
      </w:r>
    </w:p>
    <w:p w:rsidR="00526DDB" w:rsidRPr="005E38DD" w:rsidRDefault="005E38DD" w:rsidP="005E38DD">
      <w:pPr>
        <w:widowControl/>
      </w:pPr>
      <w:r w:rsidRPr="005E38DD">
        <w:br w:type="page"/>
      </w:r>
    </w:p>
    <w:p w:rsidR="00314030" w:rsidRPr="005E38DD" w:rsidRDefault="005E38DD" w:rsidP="005E38DD">
      <w:pPr>
        <w:pStyle w:val="PageHeadingNotTOC"/>
        <w:widowControl/>
        <w:rPr>
          <w:noProof/>
        </w:rPr>
      </w:pPr>
      <w:r w:rsidRPr="005E38DD">
        <w:lastRenderedPageBreak/>
        <w:t>LIITE: YHTEISÖT TAI HENKILÖT, JOILTA VALMISTELIJA ON SAANUT TIETOJA</w:t>
      </w:r>
    </w:p>
    <w:p w:rsidR="00314030" w:rsidRPr="005E38DD" w:rsidRDefault="005E38DD" w:rsidP="005E38DD">
      <w:pPr>
        <w:pStyle w:val="Normal24a"/>
        <w:widowControl/>
      </w:pPr>
      <w:r w:rsidRPr="005E38DD">
        <w:rPr>
          <w:rStyle w:val="HideTWBExt"/>
        </w:rPr>
        <w:t>&lt;Footpr</w:t>
      </w:r>
      <w:r w:rsidRPr="005E38DD">
        <w:rPr>
          <w:rStyle w:val="HideTWBExt"/>
        </w:rPr>
        <w:t>intIntro&gt;</w:t>
      </w:r>
      <w:r w:rsidRPr="005E38DD">
        <w:t>Valmistelija ilmoittaa yksinomaisella vastuullaan, ettei hän ole saanut tietoja miltään yhteisöltä tai henkilöltä, joka olisi mainittava tässä liitteessä työjärjestyksen liitteessä I olevan 8 artiklan mukaisesti.</w:t>
      </w:r>
      <w:r w:rsidRPr="005E38DD">
        <w:rPr>
          <w:rStyle w:val="HideTWBExt"/>
        </w:rPr>
        <w:t>&lt;/FootprintIntro&gt;</w:t>
      </w: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</w:p>
    <w:p w:rsidR="00314030" w:rsidRPr="005E38DD" w:rsidRDefault="00314030" w:rsidP="005E38DD">
      <w:pPr>
        <w:widowControl/>
        <w:autoSpaceDE w:val="0"/>
        <w:autoSpaceDN w:val="0"/>
        <w:adjustRightInd w:val="0"/>
        <w:spacing w:before="240" w:after="240"/>
        <w:jc w:val="center"/>
      </w:pPr>
      <w:bookmarkStart w:id="0" w:name="_GoBack"/>
      <w:bookmarkEnd w:id="0"/>
    </w:p>
    <w:p w:rsidR="004808C5" w:rsidRPr="005E38DD" w:rsidRDefault="005E38DD" w:rsidP="005E38DD">
      <w:pPr>
        <w:pStyle w:val="PageHeadingNotTOC"/>
        <w:widowControl/>
      </w:pPr>
      <w:bookmarkStart w:id="1" w:name="ProcPageAD"/>
      <w:r w:rsidRPr="005E38DD">
        <w:t xml:space="preserve">TIEDOT HYVÄKSYMISESTÄ </w:t>
      </w:r>
      <w:r w:rsidRPr="005E38DD">
        <w:br/>
        <w:t>LAUSUNNON ANTAVASSA VALIOKUNNASSA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357E13" w:rsidRPr="005E38D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E38DD">
              <w:rPr>
                <w:b/>
                <w:color w:val="000000"/>
                <w:sz w:val="20"/>
              </w:rPr>
              <w:t>Hyväksytty (pvä)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24.1.2024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4808C5" w:rsidP="005E38DD">
            <w:pPr>
              <w:widowControl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4808C5" w:rsidP="005E38DD">
            <w:pPr>
              <w:widowControl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4808C5" w:rsidP="005E38DD">
            <w:pPr>
              <w:widowControl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357E13" w:rsidRPr="005E38D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E38DD">
              <w:rPr>
                <w:b/>
                <w:color w:val="000000"/>
                <w:sz w:val="20"/>
              </w:rPr>
              <w:t>Lopullisen äänestyksen tulos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+:</w:t>
            </w:r>
          </w:p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–:</w:t>
            </w:r>
          </w:p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23</w:t>
            </w:r>
          </w:p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4</w:t>
            </w:r>
          </w:p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2</w:t>
            </w:r>
          </w:p>
        </w:tc>
      </w:tr>
      <w:tr w:rsidR="00357E13" w:rsidRPr="005E38D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E38DD">
              <w:rPr>
                <w:b/>
                <w:color w:val="000000"/>
                <w:sz w:val="20"/>
              </w:rPr>
              <w:t>Lopullisessa äänestyksessä läsnä olleet jäsenet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 xml:space="preserve">Christine Anderson, Robert Biedroń, Vilija Blinkevičiūtė, Maria da </w:t>
            </w:r>
            <w:r w:rsidRPr="005E38DD">
              <w:rPr>
                <w:color w:val="000000"/>
                <w:sz w:val="20"/>
              </w:rPr>
              <w:t>Graça Carvalho, Margarita de la Pisa Carrión, Gwendoline Delbos-Corfield, Frances Fitzgerald, Lívia Járóka, Arba Kokalari, Alice Kuhnke, Elżbieta Katarzyna Łukacijewska, Andżelika Anna Możdżanowska, Johan Nissinen, Carina Ohlsson, Sandra Pereira, Samira Ra</w:t>
            </w:r>
            <w:r w:rsidRPr="005E38DD">
              <w:rPr>
                <w:color w:val="000000"/>
                <w:sz w:val="20"/>
              </w:rPr>
              <w:t>faela, Evelyn Regner, Diana Riba i Giner, Eugenia Rodríguez Palop, María Soraya Rodríguez Ramos, Maria Veronica Rossi, Sylwia Spurek, Marco Zullo</w:t>
            </w:r>
          </w:p>
        </w:tc>
      </w:tr>
      <w:tr w:rsidR="00357E13" w:rsidRPr="005E38DD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E38DD">
              <w:rPr>
                <w:b/>
                <w:color w:val="000000"/>
                <w:sz w:val="20"/>
              </w:rPr>
              <w:t>Lopullisessa äänestyksessä läsnä olleet varajäsenet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 xml:space="preserve">Laura Ballarín Cereza, Sylvie Brunet, Marina Kaljurand, </w:t>
            </w:r>
            <w:r w:rsidRPr="005E38DD">
              <w:rPr>
                <w:color w:val="000000"/>
                <w:sz w:val="20"/>
              </w:rPr>
              <w:t>Eleni Stavrou</w:t>
            </w:r>
          </w:p>
        </w:tc>
      </w:tr>
      <w:tr w:rsidR="00357E13" w:rsidRPr="005E38DD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5E38DD">
              <w:rPr>
                <w:b/>
                <w:color w:val="000000"/>
                <w:sz w:val="20"/>
              </w:rPr>
              <w:t>Lopullisessa äänestyksessä läsnä olleet sijaiset (209 art. 7 kohta)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4808C5" w:rsidRPr="005E38DD" w:rsidRDefault="005E38DD" w:rsidP="005E38DD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E38DD">
              <w:rPr>
                <w:color w:val="000000"/>
                <w:sz w:val="20"/>
              </w:rPr>
              <w:t>Milan Brglez, Rainer Wieland</w:t>
            </w:r>
          </w:p>
        </w:tc>
      </w:tr>
    </w:tbl>
    <w:p w:rsidR="004808C5" w:rsidRPr="005E38DD" w:rsidRDefault="004808C5" w:rsidP="005E38DD">
      <w:pPr>
        <w:widowControl/>
      </w:pPr>
    </w:p>
    <w:p w:rsidR="00D464A2" w:rsidRPr="005E38DD" w:rsidRDefault="00D464A2" w:rsidP="005E38DD">
      <w:pPr>
        <w:widowControl/>
      </w:pPr>
    </w:p>
    <w:bookmarkEnd w:id="1"/>
    <w:p w:rsidR="00D74EFA" w:rsidRPr="005E38DD" w:rsidRDefault="00D74EFA" w:rsidP="005E38DD">
      <w:pPr>
        <w:widowControl/>
      </w:pPr>
    </w:p>
    <w:p w:rsidR="00D74EFA" w:rsidRPr="005E38DD" w:rsidRDefault="00D74EFA" w:rsidP="005E38DD">
      <w:pPr>
        <w:widowControl/>
        <w:sectPr w:rsidR="00D74EFA" w:rsidRPr="005E38DD" w:rsidSect="0069614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D74EFA" w:rsidRPr="005E38DD" w:rsidRDefault="005E38DD" w:rsidP="005E38DD">
      <w:pPr>
        <w:pStyle w:val="PageHeadingNotTOC"/>
        <w:widowControl/>
      </w:pPr>
      <w:bookmarkStart w:id="2" w:name="RollCallPageAD"/>
      <w:r w:rsidRPr="005E38DD">
        <w:t xml:space="preserve">LOPULLINEN ÄÄNESTYS NIMENHUUTOÄÄNESTYKSENÄ </w:t>
      </w:r>
      <w:r w:rsidRPr="005E38DD">
        <w:br/>
        <w:t>LAUSUNNON ANTAVASSA VALIOKUNNASSA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57E13" w:rsidRPr="005E38DD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74EFA" w:rsidRPr="005E38DD" w:rsidRDefault="005E38DD" w:rsidP="005E38DD">
            <w:pPr>
              <w:pStyle w:val="RollCallVotes"/>
              <w:widowControl/>
            </w:pPr>
            <w:r w:rsidRPr="005E38DD">
              <w:t>23</w:t>
            </w:r>
          </w:p>
        </w:tc>
        <w:tc>
          <w:tcPr>
            <w:tcW w:w="7371" w:type="dxa"/>
            <w:shd w:val="pct10" w:color="000000" w:fill="FFFFFF"/>
          </w:tcPr>
          <w:p w:rsidR="00D74EFA" w:rsidRPr="005E38DD" w:rsidRDefault="005E38DD" w:rsidP="005E38DD">
            <w:pPr>
              <w:pStyle w:val="RollCallSymbols14pt"/>
              <w:widowControl/>
            </w:pPr>
            <w:r w:rsidRPr="005E38DD">
              <w:t>+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PPE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 xml:space="preserve">Maria da Graça Carvalho, Frances </w:t>
            </w:r>
            <w:r w:rsidRPr="005E38DD">
              <w:t>Fitzgerald, Arba Kokalari, Elżbieta Katarzyna Łukacijewska, Eleni Stavrou, Rainer Wieland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Renew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Sylvie Brunet, Samira Rafaela, María Soraya Rodríguez Ramos, Marco Zullo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S&amp;D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Laura Ballarín Cereza, Robert Biedroń, Vilija Blinkevičiūtė, Milan Brglez, Marina</w:t>
            </w:r>
            <w:r w:rsidRPr="005E38DD">
              <w:t xml:space="preserve"> Kaljurand, Carina Ohlsson, Evelyn Regner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The Left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Sandra Pereira, Eugenia Rodríguez Palop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Gwendoline Delbos-Corfield, Alice Kuhnke, Diana Riba i Giner, Sylwia Spurek</w:t>
            </w:r>
          </w:p>
        </w:tc>
      </w:tr>
    </w:tbl>
    <w:p w:rsidR="00D74EFA" w:rsidRPr="005E38DD" w:rsidRDefault="00D74EFA" w:rsidP="005E38DD">
      <w:pPr>
        <w:widowControl/>
      </w:pP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57E13" w:rsidRPr="005E38DD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74EFA" w:rsidRPr="005E38DD" w:rsidRDefault="005E38DD" w:rsidP="005E38DD">
            <w:pPr>
              <w:pStyle w:val="RollCallVotes"/>
              <w:widowControl/>
            </w:pPr>
            <w:r w:rsidRPr="005E38DD">
              <w:t>4</w:t>
            </w:r>
          </w:p>
        </w:tc>
        <w:tc>
          <w:tcPr>
            <w:tcW w:w="7371" w:type="dxa"/>
            <w:shd w:val="pct10" w:color="000000" w:fill="FFFFFF"/>
          </w:tcPr>
          <w:p w:rsidR="00D74EFA" w:rsidRPr="005E38DD" w:rsidRDefault="005E38DD" w:rsidP="005E38DD">
            <w:pPr>
              <w:pStyle w:val="RollCallSymbols14pt"/>
              <w:widowControl/>
            </w:pPr>
            <w:r w:rsidRPr="005E38DD">
              <w:t>-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ECR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Johan Nissinen, Margarita de la Pisa Carrión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ID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 xml:space="preserve">Christine </w:t>
            </w:r>
            <w:r w:rsidRPr="005E38DD">
              <w:t>Anderson, Maria Veronica Rossi</w:t>
            </w:r>
          </w:p>
        </w:tc>
      </w:tr>
    </w:tbl>
    <w:p w:rsidR="00D74EFA" w:rsidRPr="005E38DD" w:rsidRDefault="00D74EFA" w:rsidP="005E38DD">
      <w:pPr>
        <w:widowControl/>
      </w:pP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357E13" w:rsidRPr="005E38DD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74EFA" w:rsidRPr="005E38DD" w:rsidRDefault="005E38DD" w:rsidP="005E38DD">
            <w:pPr>
              <w:pStyle w:val="RollCallVotes"/>
              <w:widowControl/>
            </w:pPr>
            <w:r w:rsidRPr="005E38DD">
              <w:t>2</w:t>
            </w:r>
          </w:p>
        </w:tc>
        <w:tc>
          <w:tcPr>
            <w:tcW w:w="7371" w:type="dxa"/>
            <w:shd w:val="pct10" w:color="000000" w:fill="FFFFFF"/>
          </w:tcPr>
          <w:p w:rsidR="00D74EFA" w:rsidRPr="005E38DD" w:rsidRDefault="005E38DD" w:rsidP="005E38DD">
            <w:pPr>
              <w:pStyle w:val="RollCallSymbols14pt"/>
              <w:widowControl/>
            </w:pPr>
            <w:r w:rsidRPr="005E38DD">
              <w:t>0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ECR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Andżelika Anna Możdżanowska</w:t>
            </w:r>
          </w:p>
        </w:tc>
      </w:tr>
      <w:tr w:rsidR="00357E13" w:rsidRPr="005E38DD" w:rsidTr="008920AC">
        <w:trPr>
          <w:cantSplit/>
        </w:trPr>
        <w:tc>
          <w:tcPr>
            <w:tcW w:w="170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NI</w:t>
            </w:r>
          </w:p>
        </w:tc>
        <w:tc>
          <w:tcPr>
            <w:tcW w:w="7371" w:type="dxa"/>
            <w:shd w:val="clear" w:color="auto" w:fill="FFFFFF"/>
          </w:tcPr>
          <w:p w:rsidR="00D74EFA" w:rsidRPr="005E38DD" w:rsidRDefault="005E38DD" w:rsidP="005E38DD">
            <w:pPr>
              <w:pStyle w:val="RollCallTable"/>
              <w:widowControl/>
            </w:pPr>
            <w:r w:rsidRPr="005E38DD">
              <w:t>Lívia Járóka</w:t>
            </w:r>
          </w:p>
        </w:tc>
      </w:tr>
    </w:tbl>
    <w:p w:rsidR="00D74EFA" w:rsidRPr="005E38DD" w:rsidRDefault="00D74EFA" w:rsidP="005E38DD">
      <w:pPr>
        <w:pStyle w:val="Normal12a"/>
        <w:widowControl/>
      </w:pPr>
    </w:p>
    <w:p w:rsidR="00D74EFA" w:rsidRPr="005E38DD" w:rsidRDefault="005E38DD" w:rsidP="005E38DD">
      <w:pPr>
        <w:widowControl/>
      </w:pPr>
      <w:r>
        <w:t>Symbolien selitys</w:t>
      </w:r>
      <w:r w:rsidRPr="005E38DD">
        <w:t>:</w:t>
      </w:r>
    </w:p>
    <w:p w:rsidR="00D74EFA" w:rsidRPr="005E38DD" w:rsidRDefault="005E38DD" w:rsidP="005E38DD">
      <w:pPr>
        <w:pStyle w:val="RollCallTabs"/>
        <w:widowControl/>
      </w:pPr>
      <w:r w:rsidRPr="005E38DD">
        <w:t>+</w:t>
      </w:r>
      <w:r w:rsidRPr="005E38DD">
        <w:tab/>
        <w:t>:</w:t>
      </w:r>
      <w:r w:rsidRPr="005E38DD">
        <w:tab/>
        <w:t>puolesta</w:t>
      </w:r>
    </w:p>
    <w:p w:rsidR="00D74EFA" w:rsidRPr="005E38DD" w:rsidRDefault="005E38DD" w:rsidP="005E38DD">
      <w:pPr>
        <w:pStyle w:val="RollCallTabs"/>
        <w:widowControl/>
      </w:pPr>
      <w:r w:rsidRPr="005E38DD">
        <w:t>-</w:t>
      </w:r>
      <w:r w:rsidRPr="005E38DD">
        <w:tab/>
        <w:t>:</w:t>
      </w:r>
      <w:r w:rsidRPr="005E38DD">
        <w:tab/>
        <w:t>vastaan</w:t>
      </w:r>
    </w:p>
    <w:p w:rsidR="00D74EFA" w:rsidRPr="005E38DD" w:rsidRDefault="005E38DD" w:rsidP="005E38DD">
      <w:pPr>
        <w:pStyle w:val="RollCallTabs"/>
        <w:widowControl/>
      </w:pPr>
      <w:r w:rsidRPr="005E38DD">
        <w:t>0</w:t>
      </w:r>
      <w:r w:rsidRPr="005E38DD">
        <w:tab/>
        <w:t>:</w:t>
      </w:r>
      <w:r w:rsidRPr="005E38DD">
        <w:tab/>
        <w:t>tyhjää</w:t>
      </w:r>
    </w:p>
    <w:bookmarkEnd w:id="2"/>
    <w:sectPr w:rsidR="00D74EFA" w:rsidRPr="005E38DD" w:rsidSect="00D74EFA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69614B" w:rsidRDefault="005E38DD">
      <w:r w:rsidRPr="0069614B">
        <w:separator/>
      </w:r>
    </w:p>
  </w:endnote>
  <w:endnote w:type="continuationSeparator" w:id="0">
    <w:p w:rsidR="00000000" w:rsidRPr="0069614B" w:rsidRDefault="005E38DD">
      <w:r w:rsidRPr="0069614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14B" w:rsidRPr="0069614B" w:rsidRDefault="0069614B" w:rsidP="0069614B">
    <w:pPr>
      <w:pStyle w:val="EPFooter"/>
    </w:pPr>
    <w:r w:rsidRPr="0069614B">
      <w:t>PE</w:t>
    </w:r>
    <w:r w:rsidRPr="0069614B">
      <w:rPr>
        <w:rStyle w:val="HideTWBExt"/>
      </w:rPr>
      <w:t>&lt;NoPE&gt;</w:t>
    </w:r>
    <w:r w:rsidRPr="0069614B">
      <w:t>754.838</w:t>
    </w:r>
    <w:r w:rsidRPr="0069614B">
      <w:rPr>
        <w:rStyle w:val="HideTWBExt"/>
      </w:rPr>
      <w:t>&lt;/NoPE&gt;&lt;Version&gt;</w:t>
    </w:r>
    <w:r w:rsidRPr="0069614B">
      <w:t>v02-00</w:t>
    </w:r>
    <w:r w:rsidRPr="0069614B">
      <w:rPr>
        <w:rStyle w:val="HideTWBExt"/>
      </w:rPr>
      <w:t>&lt;/Version&gt;</w:t>
    </w:r>
    <w:r w:rsidRPr="0069614B">
      <w:tab/>
    </w:r>
    <w:r w:rsidRPr="0069614B">
      <w:fldChar w:fldCharType="begin"/>
    </w:r>
    <w:r w:rsidRPr="0069614B">
      <w:instrText xml:space="preserve"> PAGE  \* MERGEFORMAT </w:instrText>
    </w:r>
    <w:r w:rsidRPr="0069614B">
      <w:fldChar w:fldCharType="separate"/>
    </w:r>
    <w:r w:rsidR="005E38DD">
      <w:rPr>
        <w:noProof/>
      </w:rPr>
      <w:t>6</w:t>
    </w:r>
    <w:r w:rsidRPr="0069614B">
      <w:fldChar w:fldCharType="end"/>
    </w:r>
    <w:r w:rsidRPr="0069614B">
      <w:t>/</w:t>
    </w:r>
    <w:fldSimple w:instr=" NUMPAGES  \* MERGEFORMAT ">
      <w:r w:rsidR="005E38DD">
        <w:rPr>
          <w:noProof/>
        </w:rPr>
        <w:t>8</w:t>
      </w:r>
    </w:fldSimple>
    <w:r w:rsidRPr="0069614B">
      <w:tab/>
    </w:r>
    <w:r w:rsidRPr="0069614B">
      <w:rPr>
        <w:rStyle w:val="HideTWBExt"/>
      </w:rPr>
      <w:t>&lt;PathFdR&gt;</w:t>
    </w:r>
    <w:r w:rsidRPr="0069614B">
      <w:t>AD\1294925FI.docx</w:t>
    </w:r>
    <w:r w:rsidRPr="0069614B">
      <w:rPr>
        <w:rStyle w:val="HideTWBExt"/>
      </w:rPr>
      <w:t>&lt;/PathFdR&gt;</w:t>
    </w:r>
  </w:p>
  <w:p w:rsidR="002E2F2E" w:rsidRPr="0069614B" w:rsidRDefault="0069614B" w:rsidP="0069614B">
    <w:pPr>
      <w:pStyle w:val="EPFooter2"/>
    </w:pPr>
    <w:r w:rsidRPr="0069614B">
      <w:t>FI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14B" w:rsidRPr="0069614B" w:rsidRDefault="0069614B" w:rsidP="0069614B">
    <w:pPr>
      <w:pStyle w:val="EPFooter"/>
    </w:pPr>
    <w:r w:rsidRPr="0069614B">
      <w:rPr>
        <w:rStyle w:val="HideTWBExt"/>
      </w:rPr>
      <w:t>&lt;PathFdR&gt;</w:t>
    </w:r>
    <w:r w:rsidRPr="0069614B">
      <w:t>AD\1294925FI.docx</w:t>
    </w:r>
    <w:r w:rsidRPr="0069614B">
      <w:rPr>
        <w:rStyle w:val="HideTWBExt"/>
      </w:rPr>
      <w:t>&lt;/PathFdR&gt;</w:t>
    </w:r>
    <w:r w:rsidRPr="0069614B">
      <w:tab/>
    </w:r>
    <w:r w:rsidRPr="0069614B">
      <w:fldChar w:fldCharType="begin"/>
    </w:r>
    <w:r w:rsidRPr="0069614B">
      <w:instrText xml:space="preserve"> PAGE  \* MERGEFORMAT </w:instrText>
    </w:r>
    <w:r w:rsidRPr="0069614B">
      <w:fldChar w:fldCharType="separate"/>
    </w:r>
    <w:r w:rsidR="005E38DD">
      <w:rPr>
        <w:noProof/>
      </w:rPr>
      <w:t>7</w:t>
    </w:r>
    <w:r w:rsidRPr="0069614B">
      <w:fldChar w:fldCharType="end"/>
    </w:r>
    <w:r w:rsidRPr="0069614B">
      <w:t>/</w:t>
    </w:r>
    <w:fldSimple w:instr=" NUMPAGES  \* MERGEFORMAT ">
      <w:r w:rsidR="005E38DD">
        <w:rPr>
          <w:noProof/>
        </w:rPr>
        <w:t>8</w:t>
      </w:r>
    </w:fldSimple>
    <w:r w:rsidRPr="0069614B">
      <w:tab/>
      <w:t>PE</w:t>
    </w:r>
    <w:r w:rsidRPr="0069614B">
      <w:rPr>
        <w:rStyle w:val="HideTWBExt"/>
      </w:rPr>
      <w:t>&lt;NoPE&gt;</w:t>
    </w:r>
    <w:r w:rsidRPr="0069614B">
      <w:t>754.838</w:t>
    </w:r>
    <w:r w:rsidRPr="0069614B">
      <w:rPr>
        <w:rStyle w:val="HideTWBExt"/>
      </w:rPr>
      <w:t>&lt;/NoPE&gt;&lt;Version&gt;</w:t>
    </w:r>
    <w:r w:rsidRPr="0069614B">
      <w:t>v02-00</w:t>
    </w:r>
    <w:r w:rsidRPr="0069614B">
      <w:rPr>
        <w:rStyle w:val="HideTWBExt"/>
      </w:rPr>
      <w:t>&lt;/Version&gt;</w:t>
    </w:r>
  </w:p>
  <w:p w:rsidR="002E2F2E" w:rsidRPr="0069614B" w:rsidRDefault="0069614B" w:rsidP="0069614B">
    <w:pPr>
      <w:pStyle w:val="EPFooter2"/>
    </w:pPr>
    <w:r w:rsidRPr="0069614B">
      <w:tab/>
    </w:r>
    <w:r w:rsidRPr="0069614B">
      <w:tab/>
      <w:t>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14B" w:rsidRPr="0069614B" w:rsidRDefault="0069614B" w:rsidP="0069614B">
    <w:pPr>
      <w:pStyle w:val="EPFooter"/>
    </w:pPr>
    <w:r w:rsidRPr="0069614B">
      <w:rPr>
        <w:rStyle w:val="HideTWBExt"/>
      </w:rPr>
      <w:t>&lt;PathFdR&gt;</w:t>
    </w:r>
    <w:r w:rsidRPr="0069614B">
      <w:t>AD\1294925FI.docx</w:t>
    </w:r>
    <w:r w:rsidRPr="0069614B">
      <w:rPr>
        <w:rStyle w:val="HideTWBExt"/>
      </w:rPr>
      <w:t>&lt;/PathFdR&gt;</w:t>
    </w:r>
    <w:r w:rsidRPr="0069614B">
      <w:tab/>
    </w:r>
    <w:r w:rsidRPr="0069614B">
      <w:tab/>
      <w:t>PE</w:t>
    </w:r>
    <w:r w:rsidRPr="0069614B">
      <w:rPr>
        <w:rStyle w:val="HideTWBExt"/>
      </w:rPr>
      <w:t>&lt;NoPE&gt;</w:t>
    </w:r>
    <w:r w:rsidRPr="0069614B">
      <w:t>754.838</w:t>
    </w:r>
    <w:r w:rsidRPr="0069614B">
      <w:rPr>
        <w:rStyle w:val="HideTWBExt"/>
      </w:rPr>
      <w:t>&lt;/NoPE&gt;&lt;Version&gt;</w:t>
    </w:r>
    <w:r w:rsidRPr="0069614B">
      <w:t>v02-00</w:t>
    </w:r>
    <w:r w:rsidRPr="0069614B">
      <w:rPr>
        <w:rStyle w:val="HideTWBExt"/>
      </w:rPr>
      <w:t>&lt;/Version&gt;</w:t>
    </w:r>
  </w:p>
  <w:p w:rsidR="002E2F2E" w:rsidRPr="0069614B" w:rsidRDefault="0069614B" w:rsidP="0069614B">
    <w:pPr>
      <w:pStyle w:val="EPFooter2"/>
    </w:pPr>
    <w:r w:rsidRPr="0069614B">
      <w:t>FI</w:t>
    </w:r>
    <w:r w:rsidRPr="0069614B">
      <w:tab/>
    </w:r>
    <w:r w:rsidRPr="0069614B">
      <w:rPr>
        <w:b w:val="0"/>
        <w:i/>
        <w:color w:val="C0C0C0"/>
        <w:sz w:val="22"/>
      </w:rPr>
      <w:t>Moninaisuudessaan yhtenäinen</w:t>
    </w:r>
    <w:r w:rsidRPr="0069614B">
      <w:tab/>
      <w:t>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B14" w:rsidRPr="0069614B" w:rsidRDefault="005E38DD">
      <w:r w:rsidRPr="0069614B">
        <w:separator/>
      </w:r>
    </w:p>
  </w:footnote>
  <w:footnote w:type="continuationSeparator" w:id="0">
    <w:p w:rsidR="00213B14" w:rsidRPr="0069614B" w:rsidRDefault="005E38DD">
      <w:r w:rsidRPr="0069614B">
        <w:continuationSeparator/>
      </w:r>
    </w:p>
  </w:footnote>
  <w:footnote w:id="1">
    <w:p w:rsidR="001E38DF" w:rsidRPr="0069614B" w:rsidRDefault="005E38DD" w:rsidP="001E38DF">
      <w:pPr>
        <w:pStyle w:val="FootnoteText"/>
      </w:pPr>
      <w:r w:rsidRPr="0069614B">
        <w:rPr>
          <w:rStyle w:val="FootnoteReference"/>
        </w:rPr>
        <w:footnoteRef/>
      </w:r>
      <w:r>
        <w:t xml:space="preserve"> </w:t>
      </w:r>
      <w:r w:rsidRPr="0069614B">
        <w:t>https://www.europarl.europa.eu/RegData/etudes/STUD/2022/736899/IPOL_STU(2022)736899_EN.pdf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8DD" w:rsidRDefault="005E38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8DD" w:rsidRDefault="005E38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8DD" w:rsidRDefault="005E38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DOCDECMNU" w:val=" 1"/>
    <w:docVar w:name="AUTHORMFMNU" w:val=" 1"/>
    <w:docVar w:name="CJMNU" w:val="1"/>
    <w:docVar w:name="CODEMNU" w:val=" 7"/>
    <w:docVar w:name="COM2KEY" w:val="FEMM"/>
    <w:docVar w:name="COMKEY" w:val="FEMM"/>
    <w:docVar w:name="CONTRIBUTIONMNU" w:val=" 2"/>
    <w:docVar w:name="FONCTIONMNU" w:val=" 2"/>
    <w:docVar w:name="LastAMInserted" w:val="12"/>
    <w:docVar w:name="LastEditedSection" w:val=" 1"/>
    <w:docVar w:name="NumberAMInserted" w:val="1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2\fbidi \froman\fcharset238\fprq2 Times New Roman CE;}{\f333\fbidi \froman\fcharset204\fprq2 Times New Roman Cyr;}_x000d__x000a_{\f335\fbidi \froman\fcharset161\fprq2 Times New Roman Greek;}{\f336\fbidi \froman\fcharset162\fprq2 Times New Roman Tur;}{\f337\fbidi \froman\fcharset177\fprq2 Times New Roman (Hebrew);}{\f338\fbidi \froman\fcharset178\fprq2 Times New Roman (Arabic);}_x000d__x000a_{\f339\fbidi \froman\fcharset186\fprq2 Times New Roman Baltic;}{\f340\fbidi \froman\fcharset163\fprq2 Times New Roman (Vietnamese);}{\f342\fbidi \fswiss\fcharset238\fprq2 Arial CE;}{\f343\fbidi \fswiss\fcharset204\fprq2 Arial Cyr;}_x000d__x000a_{\f345\fbidi \fswiss\fcharset161\fprq2 Arial Greek;}{\f346\fbidi \fswiss\fcharset162\fprq2 Arial Tur;}{\f347\fbidi \fswiss\fcharset177\fprq2 Arial (Hebrew);}{\f348\fbidi \fswiss\fcharset178\fprq2 Arial (Arabic);}_x000d__x000a_{\f349\fbidi \fswiss\fcharset186\fprq2 Arial Baltic;}{\f350\fbidi \fswiss\fcharset163\fprq2 Arial (Vietnamese);}{\f672\fbidi \froman\fcharset238\fprq2 Cambria Math CE;}{\f673\fbidi \froman\fcharset204\fprq2 Cambria Math Cyr;}_x000d__x000a_{\f675\fbidi \froman\fcharset161\fprq2 Cambria Math Greek;}{\f676\fbidi \froman\fcharset162\fprq2 Cambria Math Tur;}{\f679\fbidi \froman\fcharset186\fprq2 Cambria Math Baltic;}{\f68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14513490 HideTWBInt;}{_x000d__x000a_\s18\ql \fi-567\li567\ri0\sa240\nowidctlpar\wrapdefault\aspalpha\aspnum\faauto\adjustright\rin0\lin567\itap0 \rtlch\fcs1 \af0\afs20\alang1025 \ltrch\fcs0 \fs24\lang2057\langfe2057\cgrid\langnp2057\langfenp2057 _x000d__x000a_\sbasedon0 \snext18 \spriority0 \styrsid14513490 NormalHanging12a;}}{\*\rsidtbl \rsid24658\rsid223860\rsid735077\rsid1718133\rsid2892074\rsid3565327\rsid4666813\rsid6641733\rsid7823322\rsid9636012\rsid10377208\rsid11215221\rsid11549030\rsid12154954_x000d__x000a_\rsid14382809\rsid14424199\rsid14513490\rsid14830128\rsid15204470\rsid15285974\rsid15950462\rsid16324206\rsid16662270}{\mmathPr\mmathFont34\mbrkBin0\mbrkBinSub0\msmallFrac0\mdispDef1\mlMargin0\mrMargin0\mdefJc1\mwrapIndent1440\mintLim0\mnaryLim1}{\info_x000d__x000a_{\author KATRIVESI Anna}{\operator KATRIVESI Anna}{\creatim\yr2024\mo1\dy24\hr15\min28}{\revtim\yr2024\mo1\dy24\hr15\min28}{\version1}{\edmins0}{\nofpages1}{\nofwords2}{\nofchars11}{\nofcharsws12}{\vern109}}{\*\xmlnstbl {\xmlns1 http://schemas.microsoft.c_x000d__x000a_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451349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KATRI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83012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83012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83012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83012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14513490 \rtlch\fcs1 \af0\afs20\alang1025 \ltrch\fcs0 \fs24\lang2057\langfe2057\cgrid\langnp2057\langfenp2057 {\rtlch\fcs1 \af0 _x000d__x000a_\ltrch\fcs0 \insrsid14513490\charrsid2177812 {\*\bkmkstart restart}#}{\rtlch\fcs1 \af1 \ltrch\fcs0 \cs17\v\f1\fs20\cf15\insrsid14513490\charrsid2177812 NRMSG}{\rtlch\fcs1 \af0 \ltrch\fcs0 \insrsid14513490\charrsid2177812 #.\tab ##}{\rtlch\fcs1 \af0 _x000d__x000a_\ltrch\fcs0 \insrsid14513490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e_x000d__x000a_b199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2\fbidi \froman\fcharset238\fprq2 Times New Roman CE;}{\f333\fbidi \froman\fcharset204\fprq2 Times New Roman Cyr;}_x000d__x000a_{\f335\fbidi \froman\fcharset161\fprq2 Times New Roman Greek;}{\f336\fbidi \froman\fcharset162\fprq2 Times New Roman Tur;}{\f337\fbidi \froman\fcharset177\fprq2 Times New Roman (Hebrew);}{\f338\fbidi \froman\fcharset178\fprq2 Times New Roman (Arabic);}_x000d__x000a_{\f339\fbidi \froman\fcharset186\fprq2 Times New Roman Baltic;}{\f340\fbidi \froman\fcharset163\fprq2 Times New Roman (Vietnamese);}{\f672\fbidi \froman\fcharset238\fprq2 Cambria Math CE;}{\f673\fbidi \froman\fcharset204\fprq2 Cambria Math Cyr;}_x000d__x000a_{\f675\fbidi \froman\fcharset161\fprq2 Cambria Math Greek;}{\f676\fbidi \froman\fcharset162\fprq2 Cambria Math Tur;}{\f679\fbidi \froman\fcharset186\fprq2 Cambria Math Baltic;}{\f68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13638299 NormalHanging12a;}}{\*\rsidtbl \rsid24658\rsid223860\rsid735077\rsid1718133\rsid2892074\rsid3565327\rsid4666813\rsid5908129\rsid6641733\rsid7823322_x000d__x000a_\rsid9636012\rsid10377208\rsid11215221\rsid11549030\rsid12154954\rsid13638299\rsid14382809\rsid14424199\rsid15204470\rsid15285974\rsid15950462\rsid16324206\rsid16662270}{\mmathPr\mmathFont34\mbrkBin0\mbrkBinSub0\msmallFrac0\mdispDef1\mlMargin0\mrMargin0_x000d__x000a_\mdefJc1\mwrapIndent1440\mintLim0\mnaryLim1}{\info{\author KATRIVESI Anna}{\operator KATRIVESI Anna}{\creatim\yr2024\mo1\dy24\hr15\min28}{\revtim\yr2024\mo1\dy24\hr15\min28}{\version1}{\edmins0}{\nofpages1}{\nofwords5}{\nofchars30}{\nofcharsws34}_x000d__x000a_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63829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KATRI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590812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90812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90812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908129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13638299 \rtlch\fcs1 \af0\afs20\alang1025 \ltrch\fcs0 \fs24\lang2057\langfe2057\cgrid\langnp2057\langfenp2057 {\rtlch\fcs1 \af0 _x000d__x000a_\ltrch\fcs0 \insrsid13638299\charrsid1525456 {\*\bkmkstart restart}[ZSUGGESTIONNR]\tab [ZSUGGESTIONTEXT]}{\rtlch\fcs1 \af0 \ltrch\fcs0 \insrsid13638299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2_x000d__x000a_d19b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NonLeg"/>
    <w:docVar w:name="strSubDir" w:val="1294"/>
    <w:docVar w:name="TXTLANGUE" w:val="EN"/>
    <w:docVar w:name="TXTLANGUEMIN" w:val="en"/>
    <w:docVar w:name="TXTNRPE" w:val="754.838"/>
    <w:docVar w:name="TXTNRPROC" w:val="2023/2129"/>
    <w:docVar w:name="TXTPEorAP" w:val="PE"/>
    <w:docVar w:name="TXTROUTE" w:val="AD\1294925EN.docx"/>
    <w:docVar w:name="TXTTITLE" w:val="2022 DISCHARGE/ General budget of the EU - Commission"/>
    <w:docVar w:name="TXTVERSION" w:val="02-00"/>
  </w:docVars>
  <w:rsids>
    <w:rsidRoot w:val="00213B14"/>
    <w:rsid w:val="000701FE"/>
    <w:rsid w:val="000846BF"/>
    <w:rsid w:val="000E7EBF"/>
    <w:rsid w:val="00124F60"/>
    <w:rsid w:val="00135121"/>
    <w:rsid w:val="00140BE6"/>
    <w:rsid w:val="00147F4E"/>
    <w:rsid w:val="00147FBF"/>
    <w:rsid w:val="0016635E"/>
    <w:rsid w:val="001746D0"/>
    <w:rsid w:val="00192188"/>
    <w:rsid w:val="001B7393"/>
    <w:rsid w:val="001C3E23"/>
    <w:rsid w:val="001D2ED9"/>
    <w:rsid w:val="001E38DF"/>
    <w:rsid w:val="001E6E5E"/>
    <w:rsid w:val="001F21C1"/>
    <w:rsid w:val="00213B14"/>
    <w:rsid w:val="00245873"/>
    <w:rsid w:val="002A2487"/>
    <w:rsid w:val="002D28A7"/>
    <w:rsid w:val="002E2F2E"/>
    <w:rsid w:val="002E6F98"/>
    <w:rsid w:val="00314030"/>
    <w:rsid w:val="00325BCB"/>
    <w:rsid w:val="00331944"/>
    <w:rsid w:val="00332AD9"/>
    <w:rsid w:val="00347D2C"/>
    <w:rsid w:val="00351460"/>
    <w:rsid w:val="003554AD"/>
    <w:rsid w:val="00357E13"/>
    <w:rsid w:val="0037356F"/>
    <w:rsid w:val="003858C5"/>
    <w:rsid w:val="00390EB2"/>
    <w:rsid w:val="00396A0E"/>
    <w:rsid w:val="003C75B3"/>
    <w:rsid w:val="003E2402"/>
    <w:rsid w:val="00450AE5"/>
    <w:rsid w:val="00461D54"/>
    <w:rsid w:val="004808C5"/>
    <w:rsid w:val="004836D1"/>
    <w:rsid w:val="004C28FB"/>
    <w:rsid w:val="004C44C0"/>
    <w:rsid w:val="0052544E"/>
    <w:rsid w:val="00526DDB"/>
    <w:rsid w:val="005940C3"/>
    <w:rsid w:val="00594C48"/>
    <w:rsid w:val="005B2F11"/>
    <w:rsid w:val="005C0BDF"/>
    <w:rsid w:val="005D60C6"/>
    <w:rsid w:val="005E38DD"/>
    <w:rsid w:val="006102E7"/>
    <w:rsid w:val="00640C1B"/>
    <w:rsid w:val="00657AFB"/>
    <w:rsid w:val="0069614B"/>
    <w:rsid w:val="006D5BF7"/>
    <w:rsid w:val="007A4AAE"/>
    <w:rsid w:val="007C4C8D"/>
    <w:rsid w:val="008233BB"/>
    <w:rsid w:val="008313E7"/>
    <w:rsid w:val="00854CAC"/>
    <w:rsid w:val="008A1FBD"/>
    <w:rsid w:val="008A32C5"/>
    <w:rsid w:val="008C6203"/>
    <w:rsid w:val="008D61E7"/>
    <w:rsid w:val="008F7002"/>
    <w:rsid w:val="00941BAD"/>
    <w:rsid w:val="0096194C"/>
    <w:rsid w:val="0099493F"/>
    <w:rsid w:val="00A046F3"/>
    <w:rsid w:val="00A16BEA"/>
    <w:rsid w:val="00A236F0"/>
    <w:rsid w:val="00A312B3"/>
    <w:rsid w:val="00A72C35"/>
    <w:rsid w:val="00A82017"/>
    <w:rsid w:val="00AB3C1F"/>
    <w:rsid w:val="00AD545A"/>
    <w:rsid w:val="00AE180F"/>
    <w:rsid w:val="00AF544D"/>
    <w:rsid w:val="00B362F7"/>
    <w:rsid w:val="00B5456B"/>
    <w:rsid w:val="00B6507E"/>
    <w:rsid w:val="00B735E3"/>
    <w:rsid w:val="00B74B53"/>
    <w:rsid w:val="00BC26E4"/>
    <w:rsid w:val="00BD1EAA"/>
    <w:rsid w:val="00C26D10"/>
    <w:rsid w:val="00C36610"/>
    <w:rsid w:val="00C51199"/>
    <w:rsid w:val="00C52384"/>
    <w:rsid w:val="00C52739"/>
    <w:rsid w:val="00C827FF"/>
    <w:rsid w:val="00C85D0F"/>
    <w:rsid w:val="00CD34AC"/>
    <w:rsid w:val="00D464A2"/>
    <w:rsid w:val="00D74EFA"/>
    <w:rsid w:val="00DE19FF"/>
    <w:rsid w:val="00E128F6"/>
    <w:rsid w:val="00E81BA6"/>
    <w:rsid w:val="00E856D2"/>
    <w:rsid w:val="00E929A7"/>
    <w:rsid w:val="00EB6467"/>
    <w:rsid w:val="00EE0BE6"/>
    <w:rsid w:val="00FC6460"/>
    <w:rsid w:val="00FD0D14"/>
    <w:rsid w:val="00FD4BC4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8E7B3"/>
  <w15:chartTrackingRefBased/>
  <w15:docId w15:val="{94AD9D28-D493-4770-A4F3-39656005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er">
    <w:name w:val="footer"/>
    <w:basedOn w:val="Normal"/>
    <w:link w:val="FooterChar"/>
    <w:semiHidden/>
    <w:rsid w:val="008233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233BB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1E38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E38DF"/>
    <w:rPr>
      <w:rFonts w:ascii="Segoe UI" w:hAnsi="Segoe UI" w:cs="Segoe UI"/>
      <w:sz w:val="18"/>
      <w:szCs w:val="18"/>
    </w:rPr>
  </w:style>
  <w:style w:type="character" w:customStyle="1" w:styleId="NormalHanging12aChar">
    <w:name w:val="NormalHanging12a Char"/>
    <w:basedOn w:val="DefaultParagraphFont"/>
    <w:link w:val="NormalHanging12a"/>
    <w:rsid w:val="001E38DF"/>
    <w:rPr>
      <w:sz w:val="24"/>
    </w:rPr>
  </w:style>
  <w:style w:type="paragraph" w:styleId="FootnoteText">
    <w:name w:val="footnote text"/>
    <w:basedOn w:val="Normal"/>
    <w:link w:val="FootnoteTextChar"/>
    <w:rsid w:val="001E38DF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1E38DF"/>
  </w:style>
  <w:style w:type="character" w:styleId="FootnoteReference">
    <w:name w:val="footnote reference"/>
    <w:basedOn w:val="DefaultParagraphFont"/>
    <w:rsid w:val="001E38DF"/>
    <w:rPr>
      <w:vertAlign w:val="superscript"/>
    </w:rPr>
  </w:style>
  <w:style w:type="paragraph" w:customStyle="1" w:styleId="RollCallSymbols14pt">
    <w:name w:val="RollCallSymbols14pt"/>
    <w:basedOn w:val="Normal"/>
    <w:rsid w:val="00D74EFA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D74EFA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D74EFA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D74EFA"/>
    <w:pPr>
      <w:spacing w:before="120" w:after="120"/>
    </w:pPr>
    <w:rPr>
      <w:snapToGrid w:val="0"/>
      <w:sz w:val="16"/>
      <w:lang w:eastAsia="en-US"/>
    </w:rPr>
  </w:style>
  <w:style w:type="paragraph" w:customStyle="1" w:styleId="Normal24a">
    <w:name w:val="Normal24a"/>
    <w:basedOn w:val="Normal"/>
    <w:rsid w:val="00D74EFA"/>
    <w:pPr>
      <w:spacing w:after="480"/>
    </w:pPr>
  </w:style>
  <w:style w:type="paragraph" w:customStyle="1" w:styleId="NormalBoldCenter">
    <w:name w:val="NormalBoldCenter"/>
    <w:basedOn w:val="Normal"/>
    <w:rsid w:val="00D74EFA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1282</Words>
  <Characters>10786</Characters>
  <Application>Microsoft Office Word</Application>
  <DocSecurity>0</DocSecurity>
  <Lines>238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2004-10-28T10:33:00Z</cp:lastPrinted>
  <dcterms:created xsi:type="dcterms:W3CDTF">2024-02-07T13:45:00Z</dcterms:created>
  <dcterms:modified xsi:type="dcterms:W3CDTF">2024-02-07T13:45:00Z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FI</vt:lpwstr>
  </property>
  <property fmtid="{D5CDD505-2E9C-101B-9397-08002B2CF9AE}" pid="3" name="&lt;FdR&gt;">
    <vt:lpwstr>1294925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\\eiciBRUpr1\pdocep$\DocEP\DOCS\General\PA\PA_NonLeg\PA_NonLeg.dotx(18/09/2023 11:25:02)</vt:lpwstr>
  </property>
  <property fmtid="{D5CDD505-2E9C-101B-9397-08002B2CF9AE}" pid="6" name="&lt;ModelTra&gt;">
    <vt:lpwstr>\\eiciBRUpr1\pdocep$\DocEP\TRANSFIL\EN\PA_NonLeg.EN(18/09/2023 11:08:01)</vt:lpwstr>
  </property>
  <property fmtid="{D5CDD505-2E9C-101B-9397-08002B2CF9AE}" pid="7" name="&lt;Type&gt;">
    <vt:lpwstr>AD</vt:lpwstr>
  </property>
  <property fmtid="{D5CDD505-2E9C-101B-9397-08002B2CF9AE}" pid="8" name="Created with">
    <vt:lpwstr>9.16.1 Build [20230915]</vt:lpwstr>
  </property>
  <property fmtid="{D5CDD505-2E9C-101B-9397-08002B2CF9AE}" pid="9" name="FooterPath">
    <vt:lpwstr>AD\1294925FI.docx</vt:lpwstr>
  </property>
  <property fmtid="{D5CDD505-2E9C-101B-9397-08002B2CF9AE}" pid="10" name="LastEdited with">
    <vt:lpwstr>9.17.1 Build [20240101]</vt:lpwstr>
  </property>
  <property fmtid="{D5CDD505-2E9C-101B-9397-08002B2CF9AE}" pid="11" name="PE number">
    <vt:lpwstr>754.838</vt:lpwstr>
  </property>
  <property fmtid="{D5CDD505-2E9C-101B-9397-08002B2CF9AE}" pid="12" name="SDLStudio">
    <vt:lpwstr/>
  </property>
  <property fmtid="{D5CDD505-2E9C-101B-9397-08002B2CF9AE}" pid="13" name="SendToEpades">
    <vt:lpwstr>OK - 2024/01/25 11:17</vt:lpwstr>
  </property>
  <property fmtid="{D5CDD505-2E9C-101B-9397-08002B2CF9AE}" pid="14" name="Bookout">
    <vt:lpwstr>OK - 2024/02/07 14:43</vt:lpwstr>
  </property>
</Properties>
</file>