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8362B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8362B6" w:rsidRDefault="00A665B6" w:rsidP="00C85D0F">
            <w:pPr>
              <w:pStyle w:val="EPName"/>
            </w:pPr>
            <w:r>
              <w:t>Europski parlament</w:t>
            </w:r>
          </w:p>
          <w:p w:rsidR="00854CAC" w:rsidRPr="008362B6" w:rsidRDefault="0025634D" w:rsidP="0025634D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8362B6" w:rsidRDefault="00854CAC" w:rsidP="00C85D0F">
            <w:pPr>
              <w:pStyle w:val="EPLogo"/>
            </w:pPr>
            <w:r w:rsidRPr="008362B6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8362B6" w:rsidRDefault="001746D0" w:rsidP="001746D0">
      <w:pPr>
        <w:pStyle w:val="LineTop"/>
      </w:pPr>
    </w:p>
    <w:p w:rsidR="001746D0" w:rsidRPr="008362B6" w:rsidRDefault="001746D0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Odbor za prava žena i rodnu ravnopravnost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8362B6" w:rsidRDefault="001746D0" w:rsidP="001746D0">
      <w:pPr>
        <w:pStyle w:val="LineBottom"/>
      </w:pPr>
    </w:p>
    <w:p w:rsidR="0025634D" w:rsidRPr="008362B6" w:rsidRDefault="0025634D" w:rsidP="0025634D">
      <w:pPr>
        <w:pStyle w:val="CoverReference"/>
      </w:pPr>
      <w:r>
        <w:rPr>
          <w:rStyle w:val="HideTWBExt"/>
          <w:b w:val="0"/>
        </w:rPr>
        <w:t>&lt;RefProc&gt;</w:t>
      </w:r>
      <w:r>
        <w:t>2023/2129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5634D" w:rsidRPr="008362B6" w:rsidRDefault="0025634D" w:rsidP="0025634D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8362B6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MIŠLJENJE</w:t>
      </w:r>
      <w:r>
        <w:rPr>
          <w:rStyle w:val="HideTWBExt"/>
          <w:b w:val="0"/>
        </w:rPr>
        <w:t>&lt;/TitreType&gt;</w:t>
      </w:r>
    </w:p>
    <w:p w:rsidR="002E2F2E" w:rsidRPr="008362B6" w:rsidRDefault="002E2F2E">
      <w:pPr>
        <w:pStyle w:val="CoverNormal24a"/>
      </w:pPr>
      <w:r>
        <w:rPr>
          <w:rStyle w:val="HideTWBExt"/>
        </w:rPr>
        <w:t>&lt;CommissionResp&gt;</w:t>
      </w:r>
      <w:r>
        <w:t>Odbora za prava žena i rodnu ravnopravnost</w:t>
      </w:r>
      <w:r>
        <w:rPr>
          <w:rStyle w:val="HideTWBExt"/>
        </w:rPr>
        <w:t>&lt;/CommissionResp&gt;</w:t>
      </w:r>
    </w:p>
    <w:p w:rsidR="002E2F2E" w:rsidRPr="008362B6" w:rsidRDefault="002E2F2E">
      <w:pPr>
        <w:pStyle w:val="CoverNormal24a"/>
      </w:pPr>
      <w:r>
        <w:rPr>
          <w:rStyle w:val="HideTWBExt"/>
        </w:rPr>
        <w:t>&lt;CommissionInt&gt;</w:t>
      </w:r>
      <w:r>
        <w:t>upućeno Odboru za proračunski nadzor</w:t>
      </w:r>
      <w:r>
        <w:rPr>
          <w:rStyle w:val="HideTWBExt"/>
        </w:rPr>
        <w:t>&lt;/CommissionInt&gt;</w:t>
      </w:r>
    </w:p>
    <w:p w:rsidR="008362B6" w:rsidRPr="008362B6" w:rsidRDefault="008362B6" w:rsidP="008362B6">
      <w:pPr>
        <w:pStyle w:val="CoverNormal"/>
      </w:pPr>
      <w:r>
        <w:rPr>
          <w:rStyle w:val="HideTWBExt"/>
        </w:rPr>
        <w:t>&lt;Titre&gt;</w:t>
      </w:r>
      <w:r>
        <w:t>o razrješnici za 2022.: opći proračun EU-a – Europska komisija</w:t>
      </w:r>
      <w:r>
        <w:rPr>
          <w:rStyle w:val="HideTWBExt"/>
        </w:rPr>
        <w:t>&lt;/Titre&gt;</w:t>
      </w:r>
    </w:p>
    <w:p w:rsidR="008362B6" w:rsidRPr="008362B6" w:rsidRDefault="008362B6" w:rsidP="008362B6">
      <w:pPr>
        <w:pStyle w:val="CoverNormal24a"/>
      </w:pPr>
      <w:r>
        <w:rPr>
          <w:rStyle w:val="HideTWBExt"/>
        </w:rPr>
        <w:t>&lt;DocRef&gt;</w:t>
      </w:r>
      <w:r>
        <w:t>(2023/2129(DEC))</w:t>
      </w:r>
      <w:r>
        <w:rPr>
          <w:rStyle w:val="HideTWBExt"/>
        </w:rPr>
        <w:t>&lt;/DocRef&gt;</w:t>
      </w:r>
    </w:p>
    <w:p w:rsidR="002E2F2E" w:rsidRPr="008362B6" w:rsidRDefault="008362B6">
      <w:pPr>
        <w:pStyle w:val="CoverNormal24a"/>
      </w:pPr>
      <w:r>
        <w:t xml:space="preserve">Izvjestitelj za mišljenje: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8362B6" w:rsidRDefault="00A72C35" w:rsidP="00A72C35">
      <w:pPr>
        <w:pStyle w:val="CoverNormal"/>
      </w:pPr>
    </w:p>
    <w:p w:rsidR="002E2F2E" w:rsidRPr="008362B6" w:rsidRDefault="002E2F2E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8362B6" w:rsidRDefault="002E2F2E">
      <w:pPr>
        <w:pStyle w:val="PageHeadingNotTOC"/>
      </w:pPr>
      <w:r>
        <w:br w:type="page"/>
      </w:r>
      <w:r>
        <w:lastRenderedPageBreak/>
        <w:t>PRIJEDLOZI</w:t>
      </w:r>
    </w:p>
    <w:p w:rsidR="002E2F2E" w:rsidRPr="008362B6" w:rsidRDefault="0025634D" w:rsidP="008313E7">
      <w:pPr>
        <w:pStyle w:val="Normal12a"/>
      </w:pPr>
      <w:r>
        <w:t>Odbor za prava žena i rodnu ravnopravnost poziva Odbor za proračunski nadzor da kao nadležni odbor u prijedlog rezolucije koji će usvojiti uvrsti sljedeće prijedloge: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A.</w:t>
      </w:r>
      <w:r>
        <w:tab/>
        <w:t>budući da je rodna ravnopravnost jedna od temeljnih vrijednosti Unije koja je utvrđena u članku 2. Ugovora o Europskoj uniji; budući da u skladu s člankom 8. UFEU-a Unija teži uklanjanju nejednakosti i promicanju rodne ravnopravnosti između muškaraca i žena, kao i rodno osviještene politike;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B.</w:t>
      </w:r>
      <w:r>
        <w:tab/>
        <w:t>budući da je Europski parlament u više navrata pozivao Komisiju da promiče i provodi rodno osviještenu politiku, izradu rodno osjetljivog proračuna i procjene utjecaja na rodnu ravnopravnost u svim područjima politika Unije, kao što su izvršenje proračuna Unije i izvješćivanje;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C.</w:t>
      </w:r>
      <w:r>
        <w:tab/>
        <w:t>budući da bi u nizu država članica s niskom stopom nataliteta žene i parovi željeli imati djecu, ali su u praksi spriječeni u tome zbog gospodarskih poteškoća, ne zbog vlastitog izbora, nego zbog težih životnih i radnih uvjeta, što dovodi do viših razina nezaposlenosti žena i otežava im, kao i roditeljima, uživanje njihovih prava na majčinstvo i očinstvo na radnom mjestu te, osim toga, otežava pristup visokokvalitetnim javnim uslugama i ustanovama za skrb o djeci; budući da je ključno osigurati da žene imaju pravo na rad s pravima, bez da to utječe na pravo na majčinstvo, s obzirom na to da su one i dalje najviše pogođene i najviše izložene diskriminaciji; budući da se u primjere takve diskriminacije ubraja pritisak koji poslodavci vrše na žene prilikom razgovora za posao, ispitujući ih o tome imaju li djecu i koliko su stara, kao i ekonomski pritisci i pritisci na zaposlenice na radnom mjestu da ne koriste rodiljni dopust;</w:t>
      </w:r>
    </w:p>
    <w:p w:rsidR="008362B6" w:rsidRPr="008362B6" w:rsidRDefault="008362B6" w:rsidP="008362B6">
      <w:pPr>
        <w:pStyle w:val="NormalHanging12a"/>
      </w:pPr>
      <w:r>
        <w:t>D.</w:t>
      </w:r>
      <w:r>
        <w:tab/>
        <w:t>budući da na rodnu ravnopravnost u Uniji posebno utječu posljedice rata u Ukrajini, kriza troškova života, koja nerazmjerno pogađa žene, i nazadovanja u pogledu rodne ravnopravnosti i prava žena, posebno u pogledu spolnog i reproduktivnog zdravlja i prava u nekoliko država članica; budući da se time dodatno produbljuju nejednakosti i ugrožava rodna ravnopravnost;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1.</w:t>
      </w:r>
      <w:r>
        <w:tab/>
        <w:t>naglašava da bi perspektivu rodne ravnopravnosti trebalo integrirati i zajamčiti u svim područjima politika, fazama i mjerama ublažavanja, posebno u svjetlu rodnih aspekata aktualnih kriza kao što su ratovi, klimatska i energetska kriza, inflacija i nazadovanje u pogledu prava žena, posebno spolnog i reproduktivnog zdravlja i prava, u Uniji i svijetu; naglašava važnost rodno osjetljivog proračuna u svim mjerama oporavka i ublažavanja kako bi se programi EU-a iskoristili za ublažavanje rodno uvjetovanih učinaka različitih kriza;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2.</w:t>
      </w:r>
      <w:r>
        <w:tab/>
        <w:t xml:space="preserve">ponovno ističe svoju zabrinutost zbog međusobne povezanosti napada na vladavinu prava i nazadovanja u području rodne ravnopravnosti i prava žena; poziva Komisiju da nastavi ulagati napore u jačanje vladavine prava u Uniji, posebno u one pravne prijedloge usmjerene na zaštitu proračuna EU-a u slučaju općih nedostataka u pogledu vladavine prava, kršenja ljudskih prava, uključujući prava žena i kršenja temeljnih vrijednosti Europske unije; poziva Komisiju da istraži glavne misije onih kojima se </w:t>
      </w:r>
      <w:r>
        <w:lastRenderedPageBreak/>
        <w:t>dodjeljuju sredstva EU-a i da uskrati sredstva te se pobrine za to da se ona ne stavljaju na raspolaganje subjektima koji žele iskoristiti sredstva EU-a za nazadovanje u pogledu ljudskih prava, posebno prava žena, i rodne ravnopravnosti, uključujući seksualno i reproduktivno zdravlje i prava te prava žena na tjelesni integritet, autonomiju i samoodređenje; poziva države članice da zaštite spolno i reproduktivno zdravlje te spolna i reproduktivna prava, uključujući pristup sigurnoj i zakonitoj skrbi povezanoj s pobačajem, osobito tako što će osigurati dostupnost programa i usluga u pogledu reproduktivnog zdravlja u okviru kojih će se pružati skrb i lijekovi za dobrovoljno planiranje obitelji te zdravlje rodilja i novorođenčadi;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3.</w:t>
      </w:r>
      <w:r>
        <w:tab/>
        <w:t>prima na znanje metodologiju Komisije za praćenje rodnih aspekata rashoda od 2023.; podsjeća da je ocijenjeno da samo 2 % proračuna Unije ima kao glavni cilj poboljšati rodnu ravnopravnost; poziva Komisiju da od početka izrade programa poboljša taj rezultat uključivanjem rodne perspektive; ponavlja da su potrebne dodatne pojedinosti kako bi se u potpunosti mogla razumjeti većina rashoda (73 %) čijem se „potencijalu za doprinos rodnoj ravnopravnosti” trenutačno dodjeljuje ocjena 0*; sa zabrinutošću napominje da je u tematskom izvješću br. 10/2021, koje je objavio Revizorski sud, potvrđeno da se u proračunskom ciklusu Unije rodna ravnopravnost još uvijek ne uzima u obzir na odgovarajući način jer u velikoj mjeri nedostaju ključni elementi, kao što su rodna analiza, ciljevi povezani s rodnim pitanjima, pokazatelji i odgovornost putem izvješćivanja;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4.</w:t>
      </w:r>
      <w:r>
        <w:tab/>
        <w:t>pozdravlja rad Komisije na novoj klasifikaciji za mjerenje rodnog učinka potrošnje Unije; poziva Komisiju da osigura da se ta klasifikacija usmjeri na točan i sveobuhvatan prikaz učinka programa na rodnu ravnopravnost; poziva Komisiju da, s obzirom na kraj ovog parlamentarnog saziva, nastavi s radom na rodnoj ravnopravnosti i poziva da se u sljedećem sazivu imenuje povjerenik za rodnu ravnopravnost; pozdravlja činjenicu da su rodna ravnopravnost i rodno osviještena politika jedno od horizontalnih načela za fondove Unije u višegodišnjem financijskom okviru za razdoblje od 2021. do 2027. i u Mehanizmu za oporavak i otpornost; ipak, poziva Komisiju da u potpunosti provedu preporuke Europskog revizorskog suda, među ostalim u pregledu na sredini razdoblja provedbe tekućeg višegodišnjeg financijskog okvira i provedbe Mehanizma za oporavak i otpornost; poziva Komisiju da osigura da se ta klasifikacija usmjeri na točan i sveobuhvatan prikaz učinka svih postojećih programa i fondova; u tom kontekstu ponavlja da sveobuhvatna metodologija praćenja rodne ravnopravnosti treba uključivati izvješćivanje o negativnim učincima na rodnu ravnopravnost;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5.</w:t>
      </w:r>
      <w:r>
        <w:tab/>
        <w:t>podsjeća da bi žene i muškarci trebali imati jednake koristi od Mehanizma za oporavak i otpornost, posebno s obzirom na razliku u plaćama između spolova u Uniji od 13 %; podsjeća da je Komisija uvela samo ex ante rodnu procjenu planova država članica za oporavak i otpornost, koja je pokazala da neke države članice nisu provele mjere koje su označene kao mjere usmjerene na rodnu ravnopravnost; stoga naglašava važnost zahtjeva za prikupljanje podataka kako bi se omogućilo sustavno i sveobuhvatno prikupljanje podataka razvrstanih po spolu u kontekstu svih relevantnih politika EU-a; potiče Komisiju da to smatra prioritetom i da iskoristi mogućnosti za poboljšanje zahtjeva i pokazatelja za prikupljanje podataka u novom zakonodavstvu i revizijama, kao što je preinaka financijskih pravila koja se primjenjuju na opći proračun Unije; poziva Komisiju da ispuni pozitivnu obvezu koju je predsjednica von der Leyen preuzela u pogledu promicanja rodne ravnopravnosti u svim političkim pitanjima i poziva Komisiju da ispuni svoje obveze u okviru Strategije za rodnu ravnopravnost 2020. – 2025. te također naglašava da je potrebno učiniti mnogo više jer u glavnim predstavljenim prijedlozima Komisije u području klime, okoliša i gospodarstva nedostaje rodna perspektiva; naglašava da je u posljednjem desetljeću, na početku gospodarske i financijske krize, došlo do ekonomskih, socijalnih, radnih i rodnih nejednakosti unutar i između država članica, čime je dodatno otežan položaj žena i djevojčica; u tu svrhu podsjeća na važnu ulogu Europskog instituta za ravnopravnost spolova u podizanju razine osviještenosti o razmjerima i uzrocima rodnih nejednakosti u EU-u; stoga poziva na povećanje njegova proračuna, osoblja i neovisnosti;</w:t>
      </w:r>
    </w:p>
    <w:p w:rsidR="008362B6" w:rsidRPr="008362B6" w:rsidRDefault="008362B6" w:rsidP="008362B6">
      <w:pPr>
        <w:pStyle w:val="NormalHanging12a"/>
        <w:rPr>
          <w:szCs w:val="24"/>
        </w:rPr>
      </w:pPr>
      <w:r>
        <w:t>6.</w:t>
      </w:r>
      <w:r>
        <w:tab/>
        <w:t>ponovno poziva na uspostavu namjenske proračunske linije za rodnu ravnopravnost, posebno u okviru programa Daphne u svjetlu krize rodno uvjetovanog nasilja s kojom se suočava Unija; naglašava da je važno ojačati posebnu namjensku inicijativu Daphne povećanjem njezinih sredstava, posebno za mjere kojima se na svim razinama bori protiv svih oblika rodno uvjetovanog nasilja nad ženama i djevojčicama te obiteljskog nasilja u skladu s člankom 7. stavkom 6. Uredbe (EU) 2021/692 te za odgovarajuću potporu žrtvama; osim toga, naglašava važnost korištenja europskih strukturnih i investicijskih fondova kao što je Europski socijalni fond plus (ESF+) za promicanje rodne ravnopravnosti, zapošljavanja žena, osnaživanja žena, poduzetništva, vodstva i upravljačkih uloga, kao i ustanova za dugotrajnu skrb; prima na znanje da studija koju je zatražio odbor FEMM</w:t>
      </w:r>
      <w:r w:rsidRPr="008362B6">
        <w:rPr>
          <w:vertAlign w:val="superscript"/>
        </w:rPr>
        <w:footnoteReference w:id="1"/>
      </w:r>
      <w:r>
        <w:t xml:space="preserve"> pokazuje da muškarci često imaju prednost pred ženama i marginaliziranim skupinama kad je riječ o osmišljavanju subvencija i potpore u okviru paketa „Spremni za 55 %”, kao i u ostalim politikama, programima i financiranju zelene tranzicije;</w:t>
      </w:r>
    </w:p>
    <w:p w:rsidR="008362B6" w:rsidRPr="008362B6" w:rsidRDefault="008362B6" w:rsidP="008362B6">
      <w:pPr>
        <w:pStyle w:val="NormalHanging12a"/>
      </w:pPr>
      <w:r>
        <w:t>7.</w:t>
      </w:r>
      <w:r>
        <w:tab/>
        <w:t>mišljenja je da se, na temelju trenutačno dostupnih podataka, može dati razrješnica za opći proračun EU-a za izvršenje proračuna za financijsku godinu 2022.</w:t>
      </w:r>
    </w:p>
    <w:p w:rsidR="008362B6" w:rsidRPr="008362B6" w:rsidRDefault="001039F7" w:rsidP="008362B6">
      <w:r>
        <w:br w:type="page"/>
      </w:r>
    </w:p>
    <w:p w:rsidR="008362B6" w:rsidRPr="008362B6" w:rsidRDefault="008362B6" w:rsidP="008362B6">
      <w:pPr>
        <w:pStyle w:val="PageHeading"/>
        <w:spacing w:after="120"/>
      </w:pPr>
      <w:r>
        <w:t xml:space="preserve">PRILOG: POPIS SUBJEKATA ILI OSOBA </w:t>
      </w:r>
      <w:r>
        <w:br/>
        <w:t>OD KOJIH JE IZVJESTITELJ PRIMIO INFORMACIJE</w:t>
      </w:r>
    </w:p>
    <w:p w:rsidR="008362B6" w:rsidRPr="008362B6" w:rsidRDefault="008362B6" w:rsidP="008362B6">
      <w:pPr>
        <w:pStyle w:val="PageHeadingNotTOC"/>
        <w:rPr>
          <w:noProof/>
        </w:rPr>
      </w:pPr>
    </w:p>
    <w:p w:rsidR="008362B6" w:rsidRPr="008362B6" w:rsidRDefault="008362B6" w:rsidP="008362B6">
      <w:pPr>
        <w:pStyle w:val="Normal24a"/>
      </w:pPr>
      <w:r>
        <w:rPr>
          <w:rStyle w:val="HideTWBExt"/>
        </w:rPr>
        <w:t>&lt;FootprintIntro&gt;</w:t>
      </w:r>
      <w:r>
        <w:t>Predsjedatelj u svojstvu izvjestitelja izjavljuje, pod svojom isključivom odgovornošću, da nije primio nikakve informacije ni od jednog subjekta ili osobe koje bi u skladu s člankom 8. Priloga I. Poslovniku trebalo navesti u ovom Prilogu.</w:t>
      </w:r>
      <w:r>
        <w:rPr>
          <w:rStyle w:val="HideTWBExt"/>
        </w:rPr>
        <w:t>&lt;/FootprintIntro&gt;</w:t>
      </w: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8362B6" w:rsidRPr="008362B6" w:rsidRDefault="008362B6" w:rsidP="008362B6">
      <w:pPr>
        <w:autoSpaceDE w:val="0"/>
        <w:autoSpaceDN w:val="0"/>
        <w:adjustRightInd w:val="0"/>
        <w:spacing w:before="240" w:after="240"/>
        <w:jc w:val="center"/>
      </w:pPr>
    </w:p>
    <w:p w:rsidR="001039F7" w:rsidRPr="008362B6" w:rsidRDefault="001039F7" w:rsidP="001039F7"/>
    <w:p w:rsidR="001039F7" w:rsidRPr="008362B6" w:rsidRDefault="001039F7" w:rsidP="001039F7">
      <w:pPr>
        <w:pStyle w:val="PageHeadingNotTOC"/>
      </w:pPr>
      <w:bookmarkStart w:id="0" w:name="ProcPageAD"/>
      <w:r>
        <w:t>INFORMACIJE O USVAJANJU U ODBORU KOJI DAJE MIŠLJENJE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039F7" w:rsidRPr="008362B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1039F7" w:rsidRPr="008362B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039F7" w:rsidRPr="008362B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Zastupnici nazočni na konačnom glasovanju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Maria da Graça Carvalho, Margarita de la Pisa Carrión, Gwendoline Delbos-Corfield, Frances Fitzgerald, Lívia Járóka, Arba Kokalari, Alice Kuhnke, Elżbieta Katarzyna Łukacijewska, Andżelika Anna Możdżanowska, Johan Nissinen, Carina Ohlsson, Sandra Pereira, Samira Rafaela, Evelyn Regner, Diana Riba i Giner, Eugenia Rodríguez Palop, María Soraya Rodríguez Ramos, Maria Veronica Rossi, Sylwia Spurek, Marco Zullo</w:t>
            </w:r>
          </w:p>
        </w:tc>
      </w:tr>
      <w:tr w:rsidR="001039F7" w:rsidRPr="008362B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Zamjenici nazočni na konačnom glasovanju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1039F7" w:rsidRPr="008362B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Zamjenici nazočni na konačnom glasovanju prema čl. 209. st. 7.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039F7" w:rsidRPr="008362B6" w:rsidRDefault="001039F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1039F7" w:rsidRPr="008362B6" w:rsidRDefault="001039F7"/>
    <w:bookmarkEnd w:id="0"/>
    <w:p w:rsidR="008362B6" w:rsidRPr="008362B6" w:rsidRDefault="008362B6" w:rsidP="008362B6"/>
    <w:p w:rsidR="008362B6" w:rsidRPr="008362B6" w:rsidRDefault="008362B6" w:rsidP="008362B6">
      <w:pPr>
        <w:sectPr w:rsidR="008362B6" w:rsidRPr="008362B6" w:rsidSect="008362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8362B6" w:rsidRPr="008362B6" w:rsidRDefault="008362B6" w:rsidP="008362B6">
      <w:pPr>
        <w:pStyle w:val="PageHeadingNotTOC"/>
      </w:pPr>
      <w:bookmarkStart w:id="1" w:name="RollCallPageAD"/>
      <w:r>
        <w:t>POIMENIČNO KONAČNO GLASOVANJE U ODBORU KOJI DAJE MIŠLJENJE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362B6" w:rsidRPr="008362B6" w:rsidTr="00DF52C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362B6" w:rsidRPr="008362B6" w:rsidRDefault="008362B6" w:rsidP="00DF52C3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8362B6" w:rsidRPr="008362B6" w:rsidRDefault="008362B6" w:rsidP="00DF52C3">
            <w:pPr>
              <w:pStyle w:val="RollCallSymbols14pt"/>
            </w:pPr>
            <w:r>
              <w:t>+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Laura Ballarín Cereza, Robert Biedroń, Vilija Blinkevičiūtė, Milan Brglez, Marina Kaljurand, Carina Ohlsson, Evelyn Regner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Sandra Pereira, Eugenia Rodríguez Palop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Gwendoline Delbos-Corfield, Alice Kuhnke, Diana Riba i Giner, Sylwia Spurek</w:t>
            </w:r>
          </w:p>
        </w:tc>
      </w:tr>
    </w:tbl>
    <w:p w:rsidR="008362B6" w:rsidRPr="008362B6" w:rsidRDefault="008362B6" w:rsidP="008362B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362B6" w:rsidRPr="008362B6" w:rsidTr="00DF52C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362B6" w:rsidRPr="008362B6" w:rsidRDefault="008362B6" w:rsidP="00DF52C3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8362B6" w:rsidRPr="008362B6" w:rsidRDefault="008362B6" w:rsidP="00DF52C3">
            <w:pPr>
              <w:pStyle w:val="RollCallSymbols14pt"/>
            </w:pPr>
            <w:r>
              <w:t>-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Johan Nissinen, Margarita de la Pisa Carrión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Christine Anderson, Maria Veronica Rossi</w:t>
            </w:r>
          </w:p>
        </w:tc>
      </w:tr>
    </w:tbl>
    <w:p w:rsidR="008362B6" w:rsidRPr="008362B6" w:rsidRDefault="008362B6" w:rsidP="008362B6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8362B6" w:rsidRPr="008362B6" w:rsidTr="00DF52C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362B6" w:rsidRPr="008362B6" w:rsidRDefault="008362B6" w:rsidP="00DF52C3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8362B6" w:rsidRPr="008362B6" w:rsidRDefault="008362B6" w:rsidP="00DF52C3">
            <w:pPr>
              <w:pStyle w:val="RollCallSymbols14pt"/>
            </w:pPr>
            <w:r>
              <w:t>0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Andżelika Anna Możdżanowska</w:t>
            </w:r>
          </w:p>
        </w:tc>
      </w:tr>
      <w:tr w:rsidR="008362B6" w:rsidRPr="008362B6" w:rsidTr="00DF52C3">
        <w:trPr>
          <w:cantSplit/>
        </w:trPr>
        <w:tc>
          <w:tcPr>
            <w:tcW w:w="170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8362B6" w:rsidRPr="008362B6" w:rsidRDefault="008362B6" w:rsidP="00DF52C3">
            <w:pPr>
              <w:pStyle w:val="RollCallTable"/>
            </w:pPr>
            <w:r>
              <w:t>Lívia Járóka</w:t>
            </w:r>
          </w:p>
        </w:tc>
      </w:tr>
    </w:tbl>
    <w:p w:rsidR="008362B6" w:rsidRPr="008362B6" w:rsidRDefault="008362B6" w:rsidP="008362B6">
      <w:pPr>
        <w:pStyle w:val="Normal12a"/>
      </w:pPr>
    </w:p>
    <w:p w:rsidR="008362B6" w:rsidRPr="008362B6" w:rsidRDefault="008362B6" w:rsidP="008362B6">
      <w:pPr>
        <w:tabs>
          <w:tab w:val="center" w:pos="284"/>
          <w:tab w:val="left" w:pos="426"/>
        </w:tabs>
        <w:rPr>
          <w:szCs w:val="24"/>
        </w:rPr>
      </w:pPr>
      <w:r>
        <w:t>Korišteni znakovi:</w:t>
      </w:r>
    </w:p>
    <w:p w:rsidR="008362B6" w:rsidRPr="008362B6" w:rsidRDefault="008362B6" w:rsidP="008362B6">
      <w:pPr>
        <w:tabs>
          <w:tab w:val="center" w:pos="284"/>
          <w:tab w:val="left" w:pos="426"/>
        </w:tabs>
        <w:rPr>
          <w:szCs w:val="24"/>
        </w:rPr>
      </w:pPr>
      <w:r>
        <w:t>+</w:t>
      </w:r>
      <w:r>
        <w:tab/>
        <w:t>:</w:t>
      </w:r>
      <w:r>
        <w:tab/>
        <w:t>za</w:t>
      </w:r>
    </w:p>
    <w:p w:rsidR="008362B6" w:rsidRPr="008362B6" w:rsidRDefault="008362B6" w:rsidP="008362B6">
      <w:pPr>
        <w:tabs>
          <w:tab w:val="center" w:pos="284"/>
          <w:tab w:val="left" w:pos="426"/>
        </w:tabs>
        <w:rPr>
          <w:szCs w:val="24"/>
        </w:rPr>
      </w:pPr>
      <w:r>
        <w:t>-</w:t>
      </w:r>
      <w:r>
        <w:tab/>
        <w:t>:</w:t>
      </w:r>
      <w:r>
        <w:tab/>
        <w:t>protiv</w:t>
      </w:r>
    </w:p>
    <w:p w:rsidR="008362B6" w:rsidRPr="008362B6" w:rsidRDefault="008362B6" w:rsidP="008362B6">
      <w:pPr>
        <w:pStyle w:val="RollCallTabs"/>
      </w:pPr>
      <w:r>
        <w:t>0</w:t>
      </w:r>
      <w:r>
        <w:tab/>
        <w:t>:</w:t>
      </w:r>
      <w:r>
        <w:tab/>
        <w:t>suzdržani</w:t>
      </w:r>
    </w:p>
    <w:p w:rsidR="0025634D" w:rsidRPr="008362B6" w:rsidRDefault="0025634D" w:rsidP="008362B6">
      <w:bookmarkStart w:id="2" w:name="_GoBack"/>
      <w:bookmarkEnd w:id="1"/>
      <w:bookmarkEnd w:id="2"/>
    </w:p>
    <w:sectPr w:rsidR="0025634D" w:rsidRPr="008362B6" w:rsidSect="008362B6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B6" w:rsidRPr="008362B6" w:rsidRDefault="00A665B6">
      <w:r w:rsidRPr="008362B6">
        <w:separator/>
      </w:r>
    </w:p>
  </w:endnote>
  <w:endnote w:type="continuationSeparator" w:id="0">
    <w:p w:rsidR="00A665B6" w:rsidRPr="008362B6" w:rsidRDefault="00A665B6">
      <w:r w:rsidRPr="008362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B6" w:rsidRPr="008362B6" w:rsidRDefault="008362B6" w:rsidP="008362B6">
    <w:pPr>
      <w:pStyle w:val="EPFooter"/>
    </w:pPr>
    <w:r w:rsidRPr="008362B6">
      <w:t>PE</w:t>
    </w:r>
    <w:r w:rsidRPr="008362B6">
      <w:rPr>
        <w:rStyle w:val="HideTWBExt"/>
      </w:rPr>
      <w:t>&lt;NoPE&gt;</w:t>
    </w:r>
    <w:r w:rsidRPr="008362B6">
      <w:t>754.838</w:t>
    </w:r>
    <w:r w:rsidRPr="008362B6">
      <w:rPr>
        <w:rStyle w:val="HideTWBExt"/>
      </w:rPr>
      <w:t>&lt;/NoPE&gt;&lt;Version&gt;</w:t>
    </w:r>
    <w:r w:rsidRPr="008362B6">
      <w:t>v02-00</w:t>
    </w:r>
    <w:r w:rsidRPr="008362B6">
      <w:rPr>
        <w:rStyle w:val="HideTWBExt"/>
      </w:rPr>
      <w:t>&lt;/Version&gt;</w:t>
    </w:r>
    <w:r w:rsidRPr="008362B6">
      <w:tab/>
    </w:r>
    <w:r w:rsidRPr="008362B6">
      <w:fldChar w:fldCharType="begin"/>
    </w:r>
    <w:r w:rsidRPr="008362B6">
      <w:instrText xml:space="preserve"> PAGE  \* MERGEFORMAT </w:instrText>
    </w:r>
    <w:r w:rsidRPr="008362B6">
      <w:fldChar w:fldCharType="separate"/>
    </w:r>
    <w:r w:rsidR="00261038">
      <w:rPr>
        <w:noProof/>
      </w:rPr>
      <w:t>8</w:t>
    </w:r>
    <w:r w:rsidRPr="008362B6">
      <w:fldChar w:fldCharType="end"/>
    </w:r>
    <w:r w:rsidRPr="008362B6">
      <w:t>/</w:t>
    </w:r>
    <w:fldSimple w:instr=" NUMPAGES  \* MERGEFORMAT ">
      <w:r w:rsidR="00261038">
        <w:rPr>
          <w:noProof/>
        </w:rPr>
        <w:t>8</w:t>
      </w:r>
    </w:fldSimple>
    <w:r w:rsidRPr="008362B6">
      <w:tab/>
    </w:r>
    <w:r w:rsidRPr="008362B6">
      <w:rPr>
        <w:rStyle w:val="HideTWBExt"/>
      </w:rPr>
      <w:t>&lt;PathFdR&gt;</w:t>
    </w:r>
    <w:r w:rsidRPr="008362B6">
      <w:t>AD\1294925HR.docx</w:t>
    </w:r>
    <w:r w:rsidRPr="008362B6">
      <w:rPr>
        <w:rStyle w:val="HideTWBExt"/>
      </w:rPr>
      <w:t>&lt;/PathFdR&gt;</w:t>
    </w:r>
  </w:p>
  <w:p w:rsidR="008362B6" w:rsidRPr="008362B6" w:rsidRDefault="008362B6" w:rsidP="008362B6">
    <w:pPr>
      <w:pStyle w:val="EPFooter2"/>
    </w:pPr>
    <w:r w:rsidRPr="008362B6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B6" w:rsidRPr="008362B6" w:rsidRDefault="008362B6" w:rsidP="008362B6">
    <w:pPr>
      <w:pStyle w:val="EPFooter"/>
    </w:pPr>
    <w:r w:rsidRPr="008362B6">
      <w:rPr>
        <w:rStyle w:val="HideTWBExt"/>
      </w:rPr>
      <w:t>&lt;PathFdR&gt;</w:t>
    </w:r>
    <w:r w:rsidRPr="008362B6">
      <w:t>AD\1294925HR.docx</w:t>
    </w:r>
    <w:r w:rsidRPr="008362B6">
      <w:rPr>
        <w:rStyle w:val="HideTWBExt"/>
      </w:rPr>
      <w:t>&lt;/PathFdR&gt;</w:t>
    </w:r>
    <w:r w:rsidRPr="008362B6">
      <w:tab/>
    </w:r>
    <w:r w:rsidRPr="008362B6">
      <w:fldChar w:fldCharType="begin"/>
    </w:r>
    <w:r w:rsidRPr="008362B6">
      <w:instrText xml:space="preserve"> PAGE  \* MERGEFORMAT </w:instrText>
    </w:r>
    <w:r w:rsidRPr="008362B6">
      <w:fldChar w:fldCharType="separate"/>
    </w:r>
    <w:r w:rsidR="00261038">
      <w:rPr>
        <w:noProof/>
      </w:rPr>
      <w:t>7</w:t>
    </w:r>
    <w:r w:rsidRPr="008362B6">
      <w:fldChar w:fldCharType="end"/>
    </w:r>
    <w:r w:rsidRPr="008362B6">
      <w:t>/</w:t>
    </w:r>
    <w:fldSimple w:instr=" NUMPAGES  \* MERGEFORMAT ">
      <w:r w:rsidR="00261038">
        <w:rPr>
          <w:noProof/>
        </w:rPr>
        <w:t>8</w:t>
      </w:r>
    </w:fldSimple>
    <w:r w:rsidRPr="008362B6">
      <w:tab/>
      <w:t>PE</w:t>
    </w:r>
    <w:r w:rsidRPr="008362B6">
      <w:rPr>
        <w:rStyle w:val="HideTWBExt"/>
      </w:rPr>
      <w:t>&lt;NoPE&gt;</w:t>
    </w:r>
    <w:r w:rsidRPr="008362B6">
      <w:t>754.838</w:t>
    </w:r>
    <w:r w:rsidRPr="008362B6">
      <w:rPr>
        <w:rStyle w:val="HideTWBExt"/>
      </w:rPr>
      <w:t>&lt;/NoPE&gt;&lt;Version&gt;</w:t>
    </w:r>
    <w:r w:rsidRPr="008362B6">
      <w:t>v02-00</w:t>
    </w:r>
    <w:r w:rsidRPr="008362B6">
      <w:rPr>
        <w:rStyle w:val="HideTWBExt"/>
      </w:rPr>
      <w:t>&lt;/Version&gt;</w:t>
    </w:r>
  </w:p>
  <w:p w:rsidR="008362B6" w:rsidRPr="008362B6" w:rsidRDefault="008362B6" w:rsidP="008362B6">
    <w:pPr>
      <w:pStyle w:val="EPFooter2"/>
    </w:pPr>
    <w:r w:rsidRPr="008362B6">
      <w:tab/>
    </w:r>
    <w:r w:rsidRPr="008362B6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B6" w:rsidRPr="008362B6" w:rsidRDefault="008362B6" w:rsidP="008362B6">
    <w:pPr>
      <w:pStyle w:val="EPFooter"/>
    </w:pPr>
    <w:r w:rsidRPr="008362B6">
      <w:rPr>
        <w:rStyle w:val="HideTWBExt"/>
      </w:rPr>
      <w:t>&lt;PathFdR&gt;</w:t>
    </w:r>
    <w:r w:rsidRPr="008362B6">
      <w:t>AD\1294925HR.docx</w:t>
    </w:r>
    <w:r w:rsidRPr="008362B6">
      <w:rPr>
        <w:rStyle w:val="HideTWBExt"/>
      </w:rPr>
      <w:t>&lt;/PathFdR&gt;</w:t>
    </w:r>
    <w:r w:rsidRPr="008362B6">
      <w:tab/>
    </w:r>
    <w:r w:rsidRPr="008362B6">
      <w:tab/>
      <w:t>PE</w:t>
    </w:r>
    <w:r w:rsidRPr="008362B6">
      <w:rPr>
        <w:rStyle w:val="HideTWBExt"/>
      </w:rPr>
      <w:t>&lt;NoPE&gt;</w:t>
    </w:r>
    <w:r w:rsidRPr="008362B6">
      <w:t>754.838</w:t>
    </w:r>
    <w:r w:rsidRPr="008362B6">
      <w:rPr>
        <w:rStyle w:val="HideTWBExt"/>
      </w:rPr>
      <w:t>&lt;/NoPE&gt;&lt;Version&gt;</w:t>
    </w:r>
    <w:r w:rsidRPr="008362B6">
      <w:t>v02-00</w:t>
    </w:r>
    <w:r w:rsidRPr="008362B6">
      <w:rPr>
        <w:rStyle w:val="HideTWBExt"/>
      </w:rPr>
      <w:t>&lt;/Version&gt;</w:t>
    </w:r>
  </w:p>
  <w:p w:rsidR="008362B6" w:rsidRPr="008362B6" w:rsidRDefault="008362B6" w:rsidP="008362B6">
    <w:pPr>
      <w:pStyle w:val="EPFooter2"/>
    </w:pPr>
    <w:r w:rsidRPr="008362B6">
      <w:t>HR</w:t>
    </w:r>
    <w:r w:rsidRPr="008362B6">
      <w:tab/>
    </w:r>
    <w:r w:rsidRPr="008362B6">
      <w:rPr>
        <w:b w:val="0"/>
        <w:i/>
        <w:color w:val="C0C0C0"/>
        <w:sz w:val="22"/>
      </w:rPr>
      <w:t>Ujedinjena u raznolikosti</w:t>
    </w:r>
    <w:r w:rsidRPr="008362B6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9F7" w:rsidRPr="008362B6" w:rsidRDefault="001039F7" w:rsidP="001039F7">
    <w:pPr>
      <w:pStyle w:val="EPFooter"/>
    </w:pPr>
    <w:r w:rsidRPr="008362B6">
      <w:rPr>
        <w:rStyle w:val="HideTWBExt"/>
      </w:rPr>
      <w:t>&lt;PathFdR&gt;</w:t>
    </w:r>
    <w:r w:rsidRPr="008362B6">
      <w:t>AD\1294925HR.docx</w:t>
    </w:r>
    <w:r w:rsidRPr="008362B6">
      <w:rPr>
        <w:rStyle w:val="HideTWBExt"/>
      </w:rPr>
      <w:t>&lt;/PathFdR&gt;</w:t>
    </w:r>
    <w:r w:rsidRPr="008362B6">
      <w:tab/>
    </w:r>
    <w:r w:rsidRPr="008362B6">
      <w:tab/>
      <w:t>PE</w:t>
    </w:r>
    <w:r w:rsidRPr="008362B6">
      <w:rPr>
        <w:rStyle w:val="HideTWBExt"/>
      </w:rPr>
      <w:t>&lt;NoPE&gt;</w:t>
    </w:r>
    <w:r w:rsidRPr="008362B6">
      <w:t>754.838</w:t>
    </w:r>
    <w:r w:rsidRPr="008362B6">
      <w:rPr>
        <w:rStyle w:val="HideTWBExt"/>
      </w:rPr>
      <w:t>&lt;/NoPE&gt;&lt;Version&gt;</w:t>
    </w:r>
    <w:r w:rsidRPr="008362B6">
      <w:t>v02-00</w:t>
    </w:r>
    <w:r w:rsidRPr="008362B6">
      <w:rPr>
        <w:rStyle w:val="HideTWBExt"/>
      </w:rPr>
      <w:t>&lt;/Version&gt;</w:t>
    </w:r>
  </w:p>
  <w:p w:rsidR="002E2F2E" w:rsidRPr="008362B6" w:rsidRDefault="001039F7" w:rsidP="001039F7">
    <w:pPr>
      <w:pStyle w:val="EPFooter2"/>
    </w:pPr>
    <w:r w:rsidRPr="008362B6">
      <w:t>HR</w:t>
    </w:r>
    <w:r w:rsidRPr="008362B6">
      <w:tab/>
    </w:r>
    <w:r w:rsidRPr="008362B6">
      <w:rPr>
        <w:b w:val="0"/>
        <w:i/>
        <w:color w:val="C0C0C0"/>
        <w:sz w:val="22"/>
      </w:rPr>
      <w:t>Ujedinjena u raznolikosti</w:t>
    </w:r>
    <w:r w:rsidRPr="008362B6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B6" w:rsidRPr="008362B6" w:rsidRDefault="00A665B6">
      <w:r w:rsidRPr="008362B6">
        <w:separator/>
      </w:r>
    </w:p>
  </w:footnote>
  <w:footnote w:type="continuationSeparator" w:id="0">
    <w:p w:rsidR="00A665B6" w:rsidRPr="008362B6" w:rsidRDefault="00A665B6">
      <w:r w:rsidRPr="008362B6">
        <w:continuationSeparator/>
      </w:r>
    </w:p>
  </w:footnote>
  <w:footnote w:id="1">
    <w:p w:rsidR="008362B6" w:rsidRPr="008362B6" w:rsidRDefault="008362B6" w:rsidP="008362B6">
      <w:pPr>
        <w:pStyle w:val="FootnoteText"/>
      </w:pPr>
      <w:r>
        <w:rPr>
          <w:rStyle w:val="FootnoteReference"/>
        </w:rPr>
        <w:footnoteRef/>
      </w:r>
      <w:r>
        <w:t xml:space="preserve">  https://www.europarl.europa.eu/RegData/etudes/STUD/2022/736899/IPOL_STU(2022)736899_EN.pdf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10B" w:rsidRDefault="00283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10B" w:rsidRDefault="002831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10B" w:rsidRDefault="0028310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D" w:rsidRDefault="00EC3C7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D" w:rsidRDefault="00EC3C7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C7D" w:rsidRDefault="00EC3C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AUTHORMNU" w:val=" 2"/>
    <w:docVar w:name="CJMNU" w:val="1"/>
    <w:docVar w:name="CODEMNU" w:val=" 1"/>
    <w:docVar w:name="COM2KEY" w:val="CONT"/>
    <w:docVar w:name="COMKEY" w:val="FEMM"/>
    <w:docVar w:name="DOCREFINIMNU" w:val=" 1"/>
    <w:docVar w:name="LastEditedSection" w:val=" 1"/>
    <w:docVar w:name="RepeatBlock-AmendHR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4281580 HideTWBInt;}{_x000d__x000a_\s18\ql \fi-567\li567\ri0\sa240\nowidctlpar\wrapdefault\aspalpha\aspnum\faauto\adjustright\rin0\lin567\itap0 \rtlch\fcs1 \af0\afs20\alang1025 \ltrch\fcs0 \fs24\lang1050\langfe2057\cgrid\langnp1050\langfenp2057 _x000d__x000a_\sbasedon0 \snext18 \spriority0 \styrsid4281580 NormalHanging12a;}}{\*\rsidtbl \rsid24658\rsid223860\rsid735077\rsid1718133\rsid2892074\rsid3565327\rsid4281580\rsid4666813\rsid6451432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ZAJEC Morana}{\operator ZAJEC Morana}{\creatim\yr2024\mo1\dy25\hr14\min23}{\revtim\yr2024\mo1\dy25\hr14\min23}{\version1}{\edmins0}{\nofpages1}{\nofwords3}{\nofchars18}{\nofcharsws20}{\vern109}}{\*\xmlnstbl {\xmlns1 http://schemas.microsoft.com/o_x000d__x000a_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28158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zaje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514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514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514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514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4281580 \rtlch\fcs1 \af0\afs20\alang1025 \ltrch\fcs0 \fs24\lang1050\langfe2057\cgrid\langnp1050\langfenp2057 {\rtlch\fcs1 \af0 _x000d__x000a_\ltrch\fcs0 \insrsid4281580\charrsid10905014 {\*\bkmkstart restart}#}{\rtlch\fcs1 \af1 \ltrch\fcs0 \cs17\v\f1\fs20\cf15\insrsid4281580\charrsid10905014 NRMSG}{\rtlch\fcs1 \af0 \ltrch\fcs0 \insrsid4281580\charrsid10905014 #.\tab #}{\rtlch\fcs1 \af1 _x000d__x000a_\ltrch\fcs0 \cs17\v\f1\fs20\cf15\insrsid4281580\charrsid10905014 TEXTMSG2}{\rtlch\fcs1 \af0 \ltrch\fcs0 \insrsid4281580\charrsid10905014 #}{\rtlch\fcs1 \af0 \ltrch\fcs0 \insrsid4281580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c_x000d__x000a_21bf91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267013 NormalHanging12a;}}{\*\rsidtbl \rsid24658\rsid223860\rsid735077\rsid1718133\rsid2892074\rsid3565327\rsid4666813\rsid6641733\rsid7823322\rsid8337647_x000d__x000a_\rsid9636012\rsid10377208\rsid11215221\rsid11549030\rsid12154954\rsid13267013\rsid14382809\rsid14424199\rsid15204470\rsid15285974\rsid15950462\rsid16324206\rsid16662270}{\mmathPr\mmathFont34\mbrkBin0\mbrkBinSub0\msmallFrac0\mdispDef1\mlMargin0\mrMargin0_x000d__x000a_\mdefJc1\mwrapIndent1440\mintLim0\mnaryLim1}{\info{\author ZAJEC Morana}{\operator ZAJEC Morana}{\creatim\yr2024\mo1\dy25\hr14\min23}{\revtim\yr2024\mo1\dy25\hr14\min23}{\version1}{\edmins0}{\nofpages1}{\nofwords5}{\nofchars30}{\nofcharsws34}{\vern109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26701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zajec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3376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3376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3376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3376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267013 \rtlch\fcs1 \af0\afs20\alang1025 \ltrch\fcs0 \fs24\lang2057\langfe2057\cgrid\langnp2057\langfenp2057 {\rtlch\fcs1 \af0 _x000d__x000a_\ltrch\fcs0 \insrsid13267013\charrsid1525456 {\*\bkmkstart restart}[ZSUGGESTIONNR]\tab [ZSUGGESTIONTEXT]}{\rtlch\fcs1 \af0 \ltrch\fcs0 \insrsid1326701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0_x000d__x000a_dec091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ITLEMNU" w:val=" 1"/>
    <w:docVar w:name="TXTLANGUE" w:val="HR"/>
    <w:docVar w:name="TXTLANGUEMIN" w:val="hr"/>
    <w:docVar w:name="TXTNRPE" w:val="754.838"/>
    <w:docVar w:name="TXTPEorAP" w:val="PE"/>
    <w:docVar w:name="TXTROUTE" w:val="AD\1294925HR.docx"/>
    <w:docVar w:name="TXTVERSION" w:val="02-00"/>
  </w:docVars>
  <w:rsids>
    <w:rsidRoot w:val="00A665B6"/>
    <w:rsid w:val="000A5618"/>
    <w:rsid w:val="000E7EBF"/>
    <w:rsid w:val="001039F7"/>
    <w:rsid w:val="00124F60"/>
    <w:rsid w:val="00135121"/>
    <w:rsid w:val="00140BE6"/>
    <w:rsid w:val="00147F4E"/>
    <w:rsid w:val="0016635E"/>
    <w:rsid w:val="001746D0"/>
    <w:rsid w:val="001B7393"/>
    <w:rsid w:val="001D2ED9"/>
    <w:rsid w:val="001F21C1"/>
    <w:rsid w:val="0025634D"/>
    <w:rsid w:val="00261038"/>
    <w:rsid w:val="0028310B"/>
    <w:rsid w:val="002D28A7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C28FB"/>
    <w:rsid w:val="004C44C0"/>
    <w:rsid w:val="0052544E"/>
    <w:rsid w:val="00591F89"/>
    <w:rsid w:val="005940C3"/>
    <w:rsid w:val="00594C48"/>
    <w:rsid w:val="005B2F11"/>
    <w:rsid w:val="005C0BDF"/>
    <w:rsid w:val="005D60C6"/>
    <w:rsid w:val="006102E7"/>
    <w:rsid w:val="00640C1B"/>
    <w:rsid w:val="00657AFB"/>
    <w:rsid w:val="006D5BF7"/>
    <w:rsid w:val="008313E7"/>
    <w:rsid w:val="008362B6"/>
    <w:rsid w:val="00854CAC"/>
    <w:rsid w:val="008A32C5"/>
    <w:rsid w:val="008C6203"/>
    <w:rsid w:val="008D61E7"/>
    <w:rsid w:val="008F7002"/>
    <w:rsid w:val="0099493F"/>
    <w:rsid w:val="009C0209"/>
    <w:rsid w:val="00A16BEA"/>
    <w:rsid w:val="00A312B3"/>
    <w:rsid w:val="00A665B6"/>
    <w:rsid w:val="00A72C35"/>
    <w:rsid w:val="00AE180F"/>
    <w:rsid w:val="00B362F7"/>
    <w:rsid w:val="00B5456B"/>
    <w:rsid w:val="00B74B53"/>
    <w:rsid w:val="00BC26E4"/>
    <w:rsid w:val="00BD1EAA"/>
    <w:rsid w:val="00C52739"/>
    <w:rsid w:val="00C827FF"/>
    <w:rsid w:val="00CD34AC"/>
    <w:rsid w:val="00DE19FF"/>
    <w:rsid w:val="00E3251D"/>
    <w:rsid w:val="00E81BA6"/>
    <w:rsid w:val="00E856D2"/>
    <w:rsid w:val="00E929A7"/>
    <w:rsid w:val="00EC3C7D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C1727927-E2CF-466D-A720-EC7A2993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EC3C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3C7D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rsid w:val="008362B6"/>
    <w:rPr>
      <w:sz w:val="24"/>
    </w:rPr>
  </w:style>
  <w:style w:type="paragraph" w:styleId="FootnoteText">
    <w:name w:val="footnote text"/>
    <w:basedOn w:val="Normal"/>
    <w:link w:val="FootnoteTextChar"/>
    <w:rsid w:val="008362B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362B6"/>
    <w:rPr>
      <w:lang w:val="hr-HR"/>
    </w:rPr>
  </w:style>
  <w:style w:type="character" w:styleId="FootnoteReference">
    <w:name w:val="footnote reference"/>
    <w:basedOn w:val="DefaultParagraphFont"/>
    <w:rsid w:val="008362B6"/>
    <w:rPr>
      <w:vertAlign w:val="superscript"/>
    </w:rPr>
  </w:style>
  <w:style w:type="paragraph" w:customStyle="1" w:styleId="Normal24a">
    <w:name w:val="Normal24a"/>
    <w:basedOn w:val="Normal"/>
    <w:rsid w:val="008362B6"/>
    <w:pPr>
      <w:spacing w:after="480"/>
    </w:pPr>
  </w:style>
  <w:style w:type="paragraph" w:customStyle="1" w:styleId="PageHeading">
    <w:name w:val="PageHeading"/>
    <w:basedOn w:val="Normal"/>
    <w:rsid w:val="008362B6"/>
    <w:pPr>
      <w:keepNext/>
      <w:widowControl/>
      <w:spacing w:after="480"/>
      <w:jc w:val="center"/>
    </w:pPr>
    <w:rPr>
      <w:rFonts w:ascii="Arial" w:eastAsiaTheme="minorHAnsi" w:hAnsi="Arial" w:cs="Arial"/>
      <w:b/>
      <w:bCs/>
      <w:szCs w:val="24"/>
    </w:rPr>
  </w:style>
  <w:style w:type="paragraph" w:customStyle="1" w:styleId="RollCallSymbols14pt">
    <w:name w:val="RollCallSymbols14pt"/>
    <w:basedOn w:val="Normal"/>
    <w:rsid w:val="008362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362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362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362B6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1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aonic\AppData\Local\Temp\PA_NonLe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PA_NonLeg.dotx</Template>
  <TotalTime>1</TotalTime>
  <Pages>8</Pages>
  <Words>1612</Words>
  <Characters>9443</Characters>
  <Application>Microsoft Office Word</Application>
  <DocSecurity>0</DocSecurity>
  <Lines>225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2024-02-05T09:06:00Z</dcterms:created>
  <dcterms:modified xsi:type="dcterms:W3CDTF">2024-02-05T09:06:00Z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1294925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\\eiciLUXpr1\pdocep$\DocEP\DOCS\General\PA\PA_NonLeg\PA_NonLeg.dotx(18/09/2023 11:25:02)</vt:lpwstr>
  </property>
  <property fmtid="{D5CDD505-2E9C-101B-9397-08002B2CF9AE}" pid="8" name="&lt;ModelTra&gt;">
    <vt:lpwstr>\\eiciLUXpr1\pdocep$\DocEP\TRANSFIL\HR\PA_NonLeg.HR(18/09/2023 11:08:02)</vt:lpwstr>
  </property>
  <property fmtid="{D5CDD505-2E9C-101B-9397-08002B2CF9AE}" pid="9" name="&lt;Model&gt;">
    <vt:lpwstr>PA_NonLeg</vt:lpwstr>
  </property>
  <property fmtid="{D5CDD505-2E9C-101B-9397-08002B2CF9AE}" pid="10" name="FooterPath">
    <vt:lpwstr>AD\1294925HR.docx</vt:lpwstr>
  </property>
  <property fmtid="{D5CDD505-2E9C-101B-9397-08002B2CF9AE}" pid="11" name="PE number">
    <vt:lpwstr>754.838</vt:lpwstr>
  </property>
  <property fmtid="{D5CDD505-2E9C-101B-9397-08002B2CF9AE}" pid="12" name="Bookout">
    <vt:lpwstr>OK - 2024/02/05 10:05</vt:lpwstr>
  </property>
  <property fmtid="{D5CDD505-2E9C-101B-9397-08002B2CF9AE}" pid="13" name="SDLStudio">
    <vt:lpwstr/>
  </property>
</Properties>
</file>