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54CAC" w:rsidRPr="00F069A9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F069A9" w:rsidRDefault="00213B14" w:rsidP="00C85D0F">
            <w:pPr>
              <w:pStyle w:val="EPName"/>
            </w:pPr>
            <w:bookmarkStart w:id="0" w:name="_GoBack"/>
            <w:bookmarkEnd w:id="0"/>
            <w:r w:rsidRPr="00F069A9">
              <w:t>Európai Parlament</w:t>
            </w:r>
          </w:p>
          <w:p w:rsidR="00854CAC" w:rsidRPr="00F069A9" w:rsidRDefault="00D464A2" w:rsidP="00D464A2">
            <w:pPr>
              <w:pStyle w:val="EPTerm"/>
            </w:pPr>
            <w:r w:rsidRPr="00F069A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F069A9" w:rsidRDefault="00854CAC" w:rsidP="00C85D0F">
            <w:pPr>
              <w:pStyle w:val="EPLogo"/>
            </w:pPr>
            <w:r w:rsidRPr="00F069A9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F069A9" w:rsidRDefault="001746D0" w:rsidP="001746D0">
      <w:pPr>
        <w:pStyle w:val="LineTop"/>
      </w:pPr>
    </w:p>
    <w:p w:rsidR="001746D0" w:rsidRPr="00F069A9" w:rsidRDefault="001746D0" w:rsidP="001746D0">
      <w:pPr>
        <w:pStyle w:val="EPBody"/>
      </w:pPr>
      <w:r w:rsidRPr="00F069A9">
        <w:rPr>
          <w:rStyle w:val="HideTWBExt"/>
        </w:rPr>
        <w:t>&lt;</w:t>
      </w:r>
      <w:r w:rsidRPr="00F069A9">
        <w:rPr>
          <w:rStyle w:val="HideTWBExt"/>
          <w:i w:val="0"/>
        </w:rPr>
        <w:t>Commission</w:t>
      </w:r>
      <w:r w:rsidRPr="00F069A9">
        <w:rPr>
          <w:rStyle w:val="HideTWBExt"/>
        </w:rPr>
        <w:t>&gt;</w:t>
      </w:r>
      <w:r w:rsidRPr="00F069A9">
        <w:rPr>
          <w:rStyle w:val="HideTWBInt"/>
        </w:rPr>
        <w:t>{FEMM}</w:t>
      </w:r>
      <w:r w:rsidRPr="00F069A9">
        <w:t>Nőjogi és Esélyegyenlőségi Bizottság</w:t>
      </w:r>
      <w:r w:rsidRPr="00F069A9">
        <w:rPr>
          <w:rStyle w:val="HideTWBExt"/>
        </w:rPr>
        <w:t>&lt;/</w:t>
      </w:r>
      <w:r w:rsidRPr="00F069A9">
        <w:rPr>
          <w:rStyle w:val="HideTWBExt"/>
          <w:i w:val="0"/>
        </w:rPr>
        <w:t>Commission</w:t>
      </w:r>
      <w:r w:rsidRPr="00F069A9">
        <w:rPr>
          <w:rStyle w:val="HideTWBExt"/>
        </w:rPr>
        <w:t>&gt;</w:t>
      </w:r>
    </w:p>
    <w:p w:rsidR="001746D0" w:rsidRPr="00F069A9" w:rsidRDefault="001746D0" w:rsidP="001746D0">
      <w:pPr>
        <w:pStyle w:val="LineBottom"/>
      </w:pPr>
    </w:p>
    <w:p w:rsidR="002E2F2E" w:rsidRPr="00F069A9" w:rsidRDefault="002E2F2E">
      <w:pPr>
        <w:pStyle w:val="CoverReference"/>
      </w:pPr>
      <w:r w:rsidRPr="00F069A9">
        <w:rPr>
          <w:rStyle w:val="HideTWBExt"/>
          <w:b w:val="0"/>
        </w:rPr>
        <w:t>&lt;RefProc&gt;</w:t>
      </w:r>
      <w:r w:rsidRPr="00F069A9">
        <w:t>2023/2129</w:t>
      </w:r>
      <w:r w:rsidRPr="00F069A9">
        <w:rPr>
          <w:rStyle w:val="HideTWBExt"/>
          <w:b w:val="0"/>
        </w:rPr>
        <w:t>&lt;/RefProc&gt;&lt;RefTypeProc&gt;</w:t>
      </w:r>
      <w:r w:rsidRPr="00F069A9">
        <w:t>(DEC)</w:t>
      </w:r>
      <w:r w:rsidRPr="00F069A9">
        <w:rPr>
          <w:rStyle w:val="HideTWBExt"/>
          <w:b w:val="0"/>
        </w:rPr>
        <w:t>&lt;/RefTypeProc&gt;</w:t>
      </w:r>
    </w:p>
    <w:p w:rsidR="002E2F2E" w:rsidRPr="00F069A9" w:rsidRDefault="002E2F2E">
      <w:pPr>
        <w:pStyle w:val="CoverDate"/>
      </w:pPr>
      <w:r w:rsidRPr="00F069A9">
        <w:rPr>
          <w:rStyle w:val="HideTWBExt"/>
        </w:rPr>
        <w:t>&lt;Date&gt;</w:t>
      </w:r>
      <w:r w:rsidRPr="00F069A9">
        <w:rPr>
          <w:rStyle w:val="HideTWBInt"/>
        </w:rPr>
        <w:t>{25/01/2024}</w:t>
      </w:r>
      <w:r w:rsidRPr="00F069A9">
        <w:t>25.1.2024</w:t>
      </w:r>
      <w:r w:rsidRPr="00F069A9">
        <w:rPr>
          <w:rStyle w:val="HideTWBExt"/>
        </w:rPr>
        <w:t>&lt;/Date&gt;</w:t>
      </w:r>
    </w:p>
    <w:p w:rsidR="002E2F2E" w:rsidRPr="00F069A9" w:rsidRDefault="002E2F2E">
      <w:pPr>
        <w:pStyle w:val="CoverDocType24a"/>
      </w:pPr>
      <w:r w:rsidRPr="00F069A9">
        <w:rPr>
          <w:rStyle w:val="HideTWBExt"/>
          <w:b w:val="0"/>
        </w:rPr>
        <w:t>&lt;TitreType&gt;</w:t>
      </w:r>
      <w:r w:rsidRPr="00F069A9">
        <w:t>VÉLEMÉNY</w:t>
      </w:r>
      <w:r w:rsidRPr="00F069A9">
        <w:rPr>
          <w:rStyle w:val="HideTWBExt"/>
          <w:b w:val="0"/>
        </w:rPr>
        <w:t>&lt;/TitreType&gt;</w:t>
      </w:r>
    </w:p>
    <w:p w:rsidR="002E2F2E" w:rsidRPr="00F069A9" w:rsidRDefault="002E2F2E">
      <w:pPr>
        <w:pStyle w:val="CoverNormal24a"/>
      </w:pPr>
      <w:r w:rsidRPr="00F069A9">
        <w:rPr>
          <w:rStyle w:val="HideTWBExt"/>
        </w:rPr>
        <w:t>&lt;CommissionResp&gt;</w:t>
      </w:r>
      <w:r w:rsidRPr="00F069A9">
        <w:t>a Nőjogi és Esélyegyenlőségi Bizottság részéről</w:t>
      </w:r>
      <w:r w:rsidRPr="00F069A9">
        <w:rPr>
          <w:rStyle w:val="HideTWBExt"/>
        </w:rPr>
        <w:t>&lt;/CommissionResp&gt;</w:t>
      </w:r>
    </w:p>
    <w:p w:rsidR="002E2F2E" w:rsidRPr="00F069A9" w:rsidRDefault="002E2F2E">
      <w:pPr>
        <w:pStyle w:val="CoverNormal24a"/>
      </w:pPr>
      <w:r w:rsidRPr="00F069A9">
        <w:rPr>
          <w:rStyle w:val="HideTWBExt"/>
        </w:rPr>
        <w:t>&lt;CommissionInt&gt;</w:t>
      </w:r>
      <w:r w:rsidRPr="00F069A9">
        <w:t>a Költségvetési Ellenőrző Bizottság részére</w:t>
      </w:r>
      <w:r w:rsidRPr="00F069A9">
        <w:rPr>
          <w:rStyle w:val="HideTWBExt"/>
        </w:rPr>
        <w:t>&lt;/CommissionInt&gt;</w:t>
      </w:r>
    </w:p>
    <w:p w:rsidR="002E2F2E" w:rsidRPr="00F069A9" w:rsidRDefault="002E2F2E">
      <w:pPr>
        <w:pStyle w:val="CoverNormal"/>
      </w:pPr>
      <w:r w:rsidRPr="00F069A9">
        <w:rPr>
          <w:rStyle w:val="HideTWBExt"/>
        </w:rPr>
        <w:t>&lt;Titre&gt;</w:t>
      </w:r>
      <w:r w:rsidRPr="00F069A9">
        <w:t>a 2022. évi mentesítésről: az EU általános költségvetése – Európai Bizottság</w:t>
      </w:r>
      <w:r w:rsidRPr="00F069A9">
        <w:rPr>
          <w:rStyle w:val="HideTWBExt"/>
        </w:rPr>
        <w:t>&lt;/Titre&gt;</w:t>
      </w:r>
    </w:p>
    <w:p w:rsidR="002E2F2E" w:rsidRPr="00F069A9" w:rsidRDefault="002E2F2E">
      <w:pPr>
        <w:pStyle w:val="CoverNormal24a"/>
      </w:pPr>
      <w:r w:rsidRPr="00F069A9">
        <w:rPr>
          <w:rStyle w:val="HideTWBExt"/>
        </w:rPr>
        <w:t>&lt;DocRef&gt;</w:t>
      </w:r>
      <w:r w:rsidRPr="00F069A9">
        <w:t>(2023/2129(DEC))</w:t>
      </w:r>
      <w:r w:rsidRPr="00F069A9">
        <w:rPr>
          <w:rStyle w:val="HideTWBExt"/>
        </w:rPr>
        <w:t>&lt;/DocRef&gt;</w:t>
      </w:r>
    </w:p>
    <w:p w:rsidR="002E2F2E" w:rsidRPr="00F069A9" w:rsidRDefault="00213B14">
      <w:pPr>
        <w:pStyle w:val="CoverNormal24a"/>
      </w:pPr>
      <w:r w:rsidRPr="00F069A9">
        <w:t xml:space="preserve">A vélemény előadója: </w:t>
      </w:r>
      <w:r w:rsidRPr="00F069A9">
        <w:rPr>
          <w:rStyle w:val="HideTWBExt"/>
        </w:rPr>
        <w:t>&lt;Depute&gt;</w:t>
      </w:r>
      <w:r w:rsidRPr="00F069A9">
        <w:t>Robert Biedroń</w:t>
      </w:r>
      <w:r w:rsidRPr="00F069A9">
        <w:rPr>
          <w:rStyle w:val="HideTWBExt"/>
        </w:rPr>
        <w:t>&lt;/Depute&gt;</w:t>
      </w:r>
    </w:p>
    <w:p w:rsidR="00A72C35" w:rsidRPr="00F069A9" w:rsidRDefault="00A72C35" w:rsidP="00A72C35">
      <w:pPr>
        <w:pStyle w:val="CoverNormal"/>
      </w:pPr>
    </w:p>
    <w:p w:rsidR="002E2F2E" w:rsidRPr="00F069A9" w:rsidRDefault="002E2F2E" w:rsidP="00E856D2">
      <w:pPr>
        <w:widowControl/>
        <w:tabs>
          <w:tab w:val="center" w:pos="4677"/>
        </w:tabs>
      </w:pPr>
      <w:r w:rsidRPr="00F069A9">
        <w:br w:type="page"/>
      </w:r>
      <w:r w:rsidRPr="00F069A9">
        <w:lastRenderedPageBreak/>
        <w:t>PA_NonLeg</w:t>
      </w:r>
    </w:p>
    <w:p w:rsidR="002E2F2E" w:rsidRPr="00F069A9" w:rsidRDefault="002E2F2E">
      <w:pPr>
        <w:pStyle w:val="PageHeadingNotTOC"/>
      </w:pPr>
      <w:r w:rsidRPr="00F069A9">
        <w:br w:type="page"/>
      </w:r>
      <w:r w:rsidRPr="00F069A9">
        <w:lastRenderedPageBreak/>
        <w:t>JAVASLATOK</w:t>
      </w:r>
    </w:p>
    <w:p w:rsidR="002E2F2E" w:rsidRPr="00F069A9" w:rsidRDefault="00213B14" w:rsidP="008313E7">
      <w:pPr>
        <w:pStyle w:val="Normal12a"/>
      </w:pPr>
      <w:r w:rsidRPr="00F069A9">
        <w:t>A Nőjogi és Esélyegyenlőségi Bizottság felkéri a Költségvetési Ellenőrző Bizottságot mint illetékes bizottságot, hogy állásfoglalásra irányuló indítványába foglalja bele az alábbi javaslatokat:</w:t>
      </w:r>
    </w:p>
    <w:p w:rsidR="001E38DF" w:rsidRPr="00F069A9" w:rsidRDefault="001E38DF" w:rsidP="001E38DF">
      <w:pPr>
        <w:pStyle w:val="NormalHanging12a"/>
        <w:rPr>
          <w:szCs w:val="24"/>
        </w:rPr>
      </w:pPr>
      <w:r w:rsidRPr="00F069A9">
        <w:t>A.</w:t>
      </w:r>
      <w:r w:rsidRPr="00F069A9">
        <w:tab/>
        <w:t>mivel a nemek közötti egyenlőség az Unió alapvető értéke, amelyet az Európai Unióról szóló szerződés 2. cikke is rögzít; mivel az EUMSZ 8. cikke kötelezi az Uniót az egyenlőtlenségek kiküszöbölésére, valamint a férfiak és nők közötti egyenlőség előmozdítására és a nemek közötti egyenlőség érvényesítésére;</w:t>
      </w:r>
    </w:p>
    <w:p w:rsidR="001E38DF" w:rsidRPr="00F069A9" w:rsidRDefault="007C4C8D" w:rsidP="001E38DF">
      <w:pPr>
        <w:pStyle w:val="NormalHanging12a"/>
        <w:rPr>
          <w:szCs w:val="24"/>
        </w:rPr>
      </w:pPr>
      <w:r w:rsidRPr="00F069A9">
        <w:t>B.</w:t>
      </w:r>
      <w:r w:rsidRPr="00F069A9">
        <w:tab/>
        <w:t>mivel az Európai Parlament többször is kérte a Bizottságot, hogy mozdítsa elő és hajtsa végre a nemek közötti egyenlőség általános érvényesítését és a nemek közötti egyenlőség szempontját érvényesítő költségvetés-tervezést, és végezzen nemi szempontú hatásvizsgálatokat valamennyi uniós szakpolitikai területen, csakúgy, mint az uniós költségvetés végrehajtása és a jelentéstétel során;</w:t>
      </w:r>
    </w:p>
    <w:p w:rsidR="001E38DF" w:rsidRPr="00F069A9" w:rsidRDefault="007C4C8D" w:rsidP="001E38DF">
      <w:pPr>
        <w:pStyle w:val="NormalHanging12a"/>
        <w:rPr>
          <w:szCs w:val="24"/>
        </w:rPr>
      </w:pPr>
      <w:r w:rsidRPr="00F069A9">
        <w:t>C.</w:t>
      </w:r>
      <w:r w:rsidRPr="00F069A9">
        <w:tab/>
        <w:t>mivel számos olyan tagállamban, ahol alacsony a születési ráta, a nők és párok szeretnének gyermeket vállalni, de a gyakorlatban nem önszántukból, hanem a gazdasági nehézségek, valamint az élet- és munkakörülményeik folyamatos romlása miatt nem tehetik ezt meg, ami a nők magasabb munkanélküliségét eredményezi, és megnehezíti számukra, valamint a szülők számára, hogy éljenek anyasági és apasági jogaikkal munkahelyükön, továbbá és megnehezítik a minőségi közszolgáltatásokhoz és gyermekgondozási lehetőségekhez való hozzáférést; mivel létfontosságú, hogy a nők érvényesíthessék a jogokat biztosító munkavállaláshoz való jogukat, és joguk legyen az anyasághoz anélkül, hogy ezért büntetnék őket, hiszen ez továbbra is a nőket érinti a legsúlyosabban, és őket éri legtöbbször hátrányos megkülönböztetés; mivel e diszkriminatív gyakorlatok magukban foglalják a munkaadó általi nyomásgyakorlást az állásinterjúkon részt vevő nőkkel szemben, amikor kérdések merülnek fel arra vonatkozóan, hogy van-e gyermekük, és ha igen, milyen életkorúak, továbbá a női munkavállalókat érő, arra irányuló egyre fokozottabb gazdasági és munkával összefüggő nyomásgyakorlást, hogy ne vegyenek igénybe szülési szabadságot;</w:t>
      </w:r>
    </w:p>
    <w:p w:rsidR="001E38DF" w:rsidRPr="00F069A9" w:rsidRDefault="007C4C8D" w:rsidP="001E38DF">
      <w:pPr>
        <w:pStyle w:val="NormalHanging12a"/>
      </w:pPr>
      <w:r w:rsidRPr="00F069A9">
        <w:t>D.</w:t>
      </w:r>
      <w:r w:rsidRPr="00F069A9">
        <w:tab/>
        <w:t>mivel a nemek közötti egyenlőséget az Unióban különösen az ukrajnai háború következményei, a nőket aránytalanul sújtó megélhetési válság költségei, valamint a nemek közötti egyenlőség és a nők jogai, különösen a szexuális és reprodukciós egészség és jogok terén számos tagállamban tapasztalható visszaesések befolyásolták; mivel ez tovább mélyíti az egyenlőtlenségeket és akadályozza a nemek közötti esélyegyenlőséget;</w:t>
      </w:r>
    </w:p>
    <w:p w:rsidR="001E38DF" w:rsidRPr="00F069A9" w:rsidRDefault="001E38DF" w:rsidP="001E38DF">
      <w:pPr>
        <w:pStyle w:val="NormalHanging12a"/>
        <w:rPr>
          <w:szCs w:val="24"/>
        </w:rPr>
      </w:pPr>
      <w:r w:rsidRPr="00F069A9">
        <w:t>1.</w:t>
      </w:r>
      <w:r w:rsidRPr="00F069A9">
        <w:tab/>
        <w:t>hangsúlyozza, hogy a nemek közötti egyenlőség szempontját be kell építeni és biztosítani kell valamennyi szakpolitikában, gyakornoki foglalkoztatásban és könnyítő intézkedésben, különösen a jelenlegi válságok – a háborúk, az éghajlati és energiaválság, az infláció – nemi szempontjainak, valamint az Unióban és világszerte a nők jogai, ezen belül is kiemelten a szexuális és reprodukciós egészség és jogok elleni reakciók fényében; fontosnak tartja, hogy a nemek közötti egyenlőség szempontját érvényesítő költségvetés-tervezést minden helyreállítási és enyhítő intézkedésben alkalmazzák a különböző válságok nemileg meghatározott hatásainak enyhítésére irányuló uniós programok kiaknázása érdekében;</w:t>
      </w:r>
    </w:p>
    <w:p w:rsidR="001E38DF" w:rsidRPr="00F069A9" w:rsidRDefault="007C4C8D" w:rsidP="001E38DF">
      <w:pPr>
        <w:pStyle w:val="NormalHanging12a"/>
        <w:rPr>
          <w:szCs w:val="24"/>
        </w:rPr>
      </w:pPr>
      <w:r w:rsidRPr="00F069A9">
        <w:lastRenderedPageBreak/>
        <w:t>2.</w:t>
      </w:r>
      <w:r w:rsidRPr="00F069A9">
        <w:tab/>
        <w:t>ismételten aggodalmát fejezi ki a jogállamiság, a demokrácia és az emberi jogok elleni támadások, valamint a nemek közötti egyenlőség és a nők jogai elleni reakciók közötti összefüggés miatt; felhívja a Bizottságot, hogy folytassa az Unión belüli jogállamiság megerősítésére irányuló erőfeszítéseit, különösen azokat a jogalkotási javaslatokat, amelyek célja az uniós költségvetés védelme a jogállamiság tekintetében fennálló, általánossá vált hiányosságok, az emberi jogok, köztük a nők jogainak megsértése és az Európai Unió alapvető értékeinek megsértése esetén; felszólítja a Bizottságot, hogy vizsgálja meg az uniós támogatások kedvezményezettjeinek fő küldetését, és tartsa vissza a finanszírozást azoktól a szereplőktől, akik az uniós forrásokat az emberi jogok, különösen a nők alapvető jogai és a nemek közötti egyenlőség – ezen belül a szexuális és reprodukciós egészség és jogok, valamint a nők testi integritáshoz, autonómiához és önrendelkezéshez való joga – csorbítására kívánják felhasználni, és gondoskodjon arról, hogy ezek a szereplők ne juthassanak ilyen forrásokhoz; felhívja a tagállamokat, hogy védjék meg a szexuális és reprodukciós egészséget és jogokat – ideértve a biztonságos és legális abortuszhoz való hozzáférést –, különösen a reprodukciós egészségügyi programok és szolgáltatások elérhetőségének biztosításán keresztül, amelyek az önkéntes családtervezéshez szükséges ellátást és gyógyszereket, valamint az anyák és az újszülöttek egészségét biztosítják;</w:t>
      </w:r>
    </w:p>
    <w:p w:rsidR="001E38DF" w:rsidRPr="00F069A9" w:rsidRDefault="007C4C8D" w:rsidP="001E38DF">
      <w:pPr>
        <w:pStyle w:val="NormalHanging12a"/>
        <w:rPr>
          <w:szCs w:val="24"/>
        </w:rPr>
      </w:pPr>
      <w:r w:rsidRPr="00F069A9">
        <w:t>3.</w:t>
      </w:r>
      <w:r w:rsidRPr="00F069A9">
        <w:tab/>
        <w:t>tudomásul veszi a Bizottságnak a kiadások nemi szempontjainak 2023-tól kezdődő nyomon követésére vonatkozó módszertanát; emlékeztet arra, hogy az uniós költségvetésnek csak 2%-áról állapította meg értékelés, hogy alapelve a nemek közötti egyenlőség javítása; felszólítja a Bizottságot ezen arány javítására a nemek közötti egyenlőségnek a programtervezés kezdetétől történő általános érvényesítésével; megismétli, hogy további részletekre van szükség ahhoz, hogy teljes mértékben megérthető legyen a kiadások azon többsége (73%), amelynél a „nemek közötti egyenlőséghez való hozzájárulás lehetősége” a jelenlegi értékelés szerint 0*; aggodalommal állapítja meg, hogy, hogy a Számvevőszék által közzétett 10/2021. számú különjelentés megerősítette, hogy az EU költségvetési ciklusa továbbra sem veszi megfelelően figyelembe a nemek közötti egyenlőséget, mivel nagyrészt hiányoznak az olyan kulcsfontosságú elemek, mint a nemek közötti összehasonlító elemzés, a nemekkel kapcsolatos célkitűzések, a mutatók és az adatszolgáltatáson keresztüli elszámoltathatóság;</w:t>
      </w:r>
    </w:p>
    <w:p w:rsidR="001E38DF" w:rsidRPr="00F069A9" w:rsidRDefault="007C4C8D" w:rsidP="001E38DF">
      <w:pPr>
        <w:pStyle w:val="NormalHanging12a"/>
        <w:rPr>
          <w:szCs w:val="24"/>
        </w:rPr>
      </w:pPr>
      <w:r w:rsidRPr="00F069A9">
        <w:t>4.</w:t>
      </w:r>
      <w:r w:rsidRPr="00F069A9">
        <w:tab/>
        <w:t xml:space="preserve">üdvözli a Bizottság arra irányuló munkáját, hogy új osztályozást dolgozzon ki az uniós kiadások nemek közötti egyenlőségre gyakorolt hatásának mérésére; felszólítja a Bizottságot annak biztosítására, hogy ez az osztályozás a programok nemek közötti egyenlőségre gyakorolt hatásának pontos és átfogó bemutatására összpontosítson; felhívja a Bizottságot, hogy a jogalkotási ciklus végére tekintettel folytassa a nemek közötti egyenlőséggel kapcsolatos munkáját, és kéri egy nemek közötti egyenlőségért felelős biztos kinevezését a következő ciklusra; üdvözli, hogy a nemek közötti egyenlőség és a nemek közötti egyenlőség általános érvényesítése a 2021–2027 közötti időszakra vonatkozó többéves pénzügyi keretben és a Helyreállítási és Rezilienciaépítési Eszközben az uniós alapokra vonatkozó horizontális elvek egyike; felszólítja mindazonáltal a Bizottságot, hogy az Európai Számvevőszék ajánlásait teljes mértékben hajtsa végre, többek között a jelenlegi többéves pénzügyi keret félidős felülvizsgálata és a Helyreállítási és Rezilienciaépítési Eszköz végrehajtása során; felszólítja a Bizottságot annak biztosítására, hogy ez az osztályozás a meglévő programok és források hatásának pontos és átfogó bemutatására összpontosítson; ezzel </w:t>
      </w:r>
      <w:r w:rsidRPr="00F069A9">
        <w:lastRenderedPageBreak/>
        <w:t>összefüggésben megismétli, hogy a nemek közötti egyenlőség átfogó nyomon követési módszertanának magában kell foglalnia a nemek közötti egyenlőségre gyakorolt negatív hatásokkal kapcsolatos adatszolgáltatást;</w:t>
      </w:r>
    </w:p>
    <w:p w:rsidR="001E38DF" w:rsidRPr="00F069A9" w:rsidRDefault="007C4C8D" w:rsidP="001E38DF">
      <w:pPr>
        <w:pStyle w:val="NormalHanging12a"/>
        <w:rPr>
          <w:szCs w:val="24"/>
        </w:rPr>
      </w:pPr>
      <w:r w:rsidRPr="00F069A9">
        <w:t>5.</w:t>
      </w:r>
      <w:r w:rsidRPr="00F069A9">
        <w:tab/>
        <w:t>ismét hangsúlyozza, hogy a nőknek és a férfiaknak egyenlő mértékben kell részesülniük a Helyreállítási és Rezilienciaépítési Eszközből, különös tekintettel a nemek közötti 13%-os bérszakadékra; emlékeztet arra, hogy a Bizottság a tagállamok helyreállítási és rezilienciaépítési terveinek nemi szempontú értékelését csak előzetes értékelés formájában vezette be, amely feltárta, hogy egyes tagállamok nem rendelkeznek a nemek közötti egyenlőségre összpontosító intézkedésekkel; ezért hangsúlyozza az adatgyűjtési követelmények fontosságát, amelyek lehetővé teszik a nemek szerint lebontott adatok szisztematikus és átfogó gyűjtését az összes vonatkozó uniós politika összefüggésében; sürgeti a Bizottságot, hogy kezelje ezt prioritásként, és használja ki az adatgyűjtési követelmények és mutatók javításának lehetőségeit az új jogszabályokban és felülvizsgálatokban, például az Unió általános költségvetésére alkalmazandó pénzügyi szabályok átdolgozásában; felhívja a Bizottságot, hogy tegyen eleget Ursula von der Leyen elnök arra vonatkozó pozitív kötelezettségvállalásának, hogy valamennyi politikai döntéshozatalban előmozdítsa a nemek közötti egyenlőséget, és felhívja a Bizottságot, hogy teljesítse a 2020–2025 közötti időszakra szóló nemi esélyegyenlőségi stratégia keretében tett kötelezettségvállalásait, és hangsúlyozza továbbá, hogy sokkal többet kell tenni, mivel a Bizottság fő éghajlati, környezetvédelmi és gazdasági javaslataiban nincs jelen a nemi dimenzió; hangsúlyozza, hogy az elmúlt évtizedben a gazdasági és pénzügyi válság kezdetével a tagállamokon belül és azok között egyaránt megnehezítették a nők és lányok helyzetét a gazdasági, társadalmi, munkaügyi és nemi egyenlőtlenségek; e tekintetben emlékeztet arra, hogy a Nemek Közötti Egyenlőség Európai Intézete fontos szerepet játszik abban, hogy felhívja a figyelmet az Unión belüli nemi egyenlőtlenségek mértékére és okaira; ezért kéri, hogy növeljék az intézet költségvetését, személyzetét és függetlenségét;</w:t>
      </w:r>
    </w:p>
    <w:p w:rsidR="001E38DF" w:rsidRPr="00F069A9" w:rsidRDefault="007C4C8D" w:rsidP="001E38DF">
      <w:pPr>
        <w:pStyle w:val="NormalHanging12a"/>
        <w:rPr>
          <w:szCs w:val="24"/>
        </w:rPr>
      </w:pPr>
      <w:r w:rsidRPr="00F069A9">
        <w:t>6.</w:t>
      </w:r>
      <w:r w:rsidRPr="00F069A9">
        <w:tab/>
        <w:t>ismételten kéri a nemek közötti egyenlőségre vonatkozó külön költségvetési tétel létrehozását, különösen a Daphne programon belül, tekintettel a nemi alapú erőszakra, amelynek kapcsán az Unió válsággal szembesül; kiemeli a kifejezetten erre a célra létrehozott Daphné kezdeményezés megerősítésének fontosságát a hozzá rendelt források, különösen az olyan intézkedésekre szánt források növelésével, amelyek az (EU) 2021/692 rendelet 7. cikkének (6) bekezdésével összhangban a nők és lányok elleni nemi alapú erőszak és a családon belüli erőszak minden formája ellen és minden szinten folytatott küzdelmet célozzák, valamint hangsúlyozza az áldozatok megfelelő támogatásának fontosságát; hangsúlyozza továbbá annak fontosságát, hogy az európai strukturális és beruházási alapokat, így például az Európai Szociális Alap Pluszt (ESZA+) felhasználják arra, hogy előmozdítsák a nemek közötti egyenlőséget, a nők foglalkoztatását, a nők szerepének erősítését, a nők vállalkozói szellemét, illetve vezetésben és menedzsmentben betöltött szerepüket, valamint a tartós ápolási-gondozási létesítményeket; megjegyzi, hogy a Nőjogi és Esélyegyenlőségi Bizottság által megrendelt tanulmány</w:t>
      </w:r>
      <w:r w:rsidR="001E38DF" w:rsidRPr="00F069A9">
        <w:rPr>
          <w:vertAlign w:val="superscript"/>
        </w:rPr>
        <w:footnoteReference w:id="1"/>
      </w:r>
      <w:r w:rsidRPr="00F069A9">
        <w:t xml:space="preserve"> szerint az „Irány az 55%!” intézkedéscsomag keretében nyújtott segélyek és támogatások kialakításakor, valamint a zöld átállásra vonatkozó egyéb szakpolitikák, programok és finanszírozás esetében a férfiak gyakran előnyt élveznek a </w:t>
      </w:r>
      <w:r w:rsidRPr="00F069A9">
        <w:lastRenderedPageBreak/>
        <w:t>nőkkel és a marginalizált csoportokkal szemben;</w:t>
      </w:r>
    </w:p>
    <w:p w:rsidR="001E38DF" w:rsidRPr="00F069A9" w:rsidRDefault="007C4C8D" w:rsidP="001E38DF">
      <w:pPr>
        <w:pStyle w:val="NormalHanging12a"/>
      </w:pPr>
      <w:r w:rsidRPr="00F069A9">
        <w:t>7.</w:t>
      </w:r>
      <w:r w:rsidRPr="00F069A9">
        <w:tab/>
        <w:t>véleménye szerint a jelenleg rendelkezésre álló adatok alapján megadható a mentesítés az Unió általános költségvetése számára 2022. évi pénzügyi évre szóló költségvetésének végrehajtására vonatkozóan.</w:t>
      </w:r>
    </w:p>
    <w:p w:rsidR="00526DDB" w:rsidRPr="00F069A9" w:rsidRDefault="00526DDB" w:rsidP="00526DDB">
      <w:r w:rsidRPr="00F069A9">
        <w:br w:type="page"/>
      </w:r>
    </w:p>
    <w:p w:rsidR="00314030" w:rsidRPr="00F069A9" w:rsidRDefault="00314030" w:rsidP="00314030">
      <w:pPr>
        <w:pStyle w:val="PageHeadingNotTOC"/>
        <w:rPr>
          <w:noProof/>
        </w:rPr>
      </w:pPr>
      <w:r w:rsidRPr="00F069A9">
        <w:t>MELLÉKLET: AZON SZERVEZETEK VAGY SZEMÉLYEK, AMELYEKTŐL, ILLETVE AKIKTŐL AZ ELŐADÓ ÉSZREVÉTELEKET KAPOTT</w:t>
      </w:r>
    </w:p>
    <w:p w:rsidR="00314030" w:rsidRPr="00F069A9" w:rsidRDefault="00314030" w:rsidP="00314030">
      <w:pPr>
        <w:pStyle w:val="Normal24a"/>
      </w:pPr>
      <w:r w:rsidRPr="00F069A9">
        <w:rPr>
          <w:rStyle w:val="HideTWBExt"/>
        </w:rPr>
        <w:t>&lt;FootprintIntro&gt;</w:t>
      </w:r>
      <w:r w:rsidRPr="00F069A9">
        <w:t>Az elnök, előadóként, saját kizárólagos felelősségében nyilatkozik arról, hogy az eljárási szabályzat I. mellékletének 8. cikke értelmében nem kapott észrevételt az e mellékletben feltüntetendő egyetlen szervezettől vagy személytől sem.</w:t>
      </w:r>
      <w:r w:rsidRPr="00F069A9">
        <w:rPr>
          <w:rStyle w:val="HideTWBExt"/>
        </w:rPr>
        <w:t>&lt;/FootprintIntro&gt;</w:t>
      </w: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F069A9" w:rsidRDefault="00314030">
      <w:pPr>
        <w:autoSpaceDE w:val="0"/>
        <w:autoSpaceDN w:val="0"/>
        <w:adjustRightInd w:val="0"/>
        <w:spacing w:before="240" w:after="240"/>
        <w:jc w:val="center"/>
      </w:pPr>
    </w:p>
    <w:p w:rsidR="004808C5" w:rsidRPr="00F069A9" w:rsidRDefault="004808C5" w:rsidP="004808C5">
      <w:pPr>
        <w:pStyle w:val="PageHeadingNotTOC"/>
      </w:pPr>
      <w:bookmarkStart w:id="1" w:name="ProcPageAD"/>
      <w:r w:rsidRPr="00F069A9">
        <w:t>INFORMÁCIÓ A VÉLEMÉNYNYILVÁNÍTÁSRA FELKÉRT BIZOTTSÁG ÁLTALI ELFOGADÁSRÓL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4808C5" w:rsidRPr="00F069A9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F069A9">
              <w:rPr>
                <w:b/>
                <w:color w:val="000000"/>
                <w:sz w:val="20"/>
              </w:rPr>
              <w:t>Az elfogadás dátuma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069A9"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4808C5" w:rsidRPr="00F069A9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F069A9">
              <w:rPr>
                <w:b/>
                <w:color w:val="000000"/>
                <w:sz w:val="20"/>
              </w:rPr>
              <w:t>A zárószavazás eredménye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069A9">
              <w:rPr>
                <w:color w:val="000000"/>
                <w:sz w:val="20"/>
              </w:rPr>
              <w:t>+:</w:t>
            </w:r>
          </w:p>
          <w:p w:rsidR="004808C5" w:rsidRPr="00F069A9" w:rsidRDefault="004808C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069A9">
              <w:rPr>
                <w:color w:val="000000"/>
                <w:sz w:val="20"/>
              </w:rPr>
              <w:t>–:</w:t>
            </w:r>
          </w:p>
          <w:p w:rsidR="004808C5" w:rsidRPr="00F069A9" w:rsidRDefault="004808C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069A9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069A9">
              <w:rPr>
                <w:color w:val="000000"/>
                <w:sz w:val="20"/>
              </w:rPr>
              <w:t>23</w:t>
            </w:r>
          </w:p>
          <w:p w:rsidR="004808C5" w:rsidRPr="00F069A9" w:rsidRDefault="004808C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069A9">
              <w:rPr>
                <w:color w:val="000000"/>
                <w:sz w:val="20"/>
              </w:rPr>
              <w:t>4</w:t>
            </w:r>
          </w:p>
          <w:p w:rsidR="004808C5" w:rsidRPr="00F069A9" w:rsidRDefault="004808C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069A9">
              <w:rPr>
                <w:color w:val="000000"/>
                <w:sz w:val="20"/>
              </w:rPr>
              <w:t>2</w:t>
            </w:r>
          </w:p>
        </w:tc>
      </w:tr>
      <w:tr w:rsidR="004808C5" w:rsidRPr="00F069A9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F069A9">
              <w:rPr>
                <w:b/>
                <w:color w:val="000000"/>
                <w:sz w:val="20"/>
              </w:rPr>
              <w:t>A zárószavazáson jelen lévő tagok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069A9">
              <w:rPr>
                <w:color w:val="000000"/>
                <w:sz w:val="20"/>
              </w:rPr>
              <w:t>Christine Anderson, Robert Biedroń, Vilija Blinkevičiūtė, Maria da Graça Carvalho, Margarita de la Pisa Carrión, Gwendoline Delbos-Corfield, Frances Fitzgerald, Lívia Járóka, Arba Kokalari, Alice Kuhnke, Elżbieta Katarzyna Łukacijewska, Andżelika Anna Możdżanowska, Johan Nissinen, Carina Ohlsson, Sandra Pereira, Samira Rafaela, Evelyn Regner, Diana Riba i Giner, Eugenia Rodríguez Palop, María Soraya Rodríguez Ramos, Maria Veronica Rossi, Sylwia Spurek, Marco Zullo</w:t>
            </w:r>
          </w:p>
        </w:tc>
      </w:tr>
      <w:tr w:rsidR="004808C5" w:rsidRPr="00F069A9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F069A9">
              <w:rPr>
                <w:b/>
                <w:color w:val="000000"/>
                <w:sz w:val="20"/>
              </w:rPr>
              <w:t>A zárószavazáson jelen lévő póttagok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069A9">
              <w:rPr>
                <w:color w:val="000000"/>
                <w:sz w:val="20"/>
              </w:rPr>
              <w:t>Laura Ballarín Cereza, Sylvie Brunet, Marina Kaljurand, Eleni Stavrou</w:t>
            </w:r>
          </w:p>
        </w:tc>
      </w:tr>
      <w:tr w:rsidR="004808C5" w:rsidRPr="00F069A9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F069A9">
              <w:rPr>
                <w:b/>
                <w:color w:val="000000"/>
                <w:sz w:val="20"/>
              </w:rPr>
              <w:t>A zárószavazáson jelen lévő póttagok (209. cikk, (7) bekezdés)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F069A9" w:rsidRDefault="004808C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069A9">
              <w:rPr>
                <w:color w:val="000000"/>
                <w:sz w:val="20"/>
              </w:rPr>
              <w:t>Milan Brglez, Rainer Wieland</w:t>
            </w:r>
          </w:p>
        </w:tc>
      </w:tr>
    </w:tbl>
    <w:p w:rsidR="004808C5" w:rsidRPr="00F069A9" w:rsidRDefault="004808C5"/>
    <w:p w:rsidR="00D464A2" w:rsidRPr="00F069A9" w:rsidRDefault="00D464A2" w:rsidP="00526DDB"/>
    <w:bookmarkEnd w:id="1"/>
    <w:p w:rsidR="00D74EFA" w:rsidRPr="00F069A9" w:rsidRDefault="00D74EFA" w:rsidP="00D74EFA"/>
    <w:p w:rsidR="00D74EFA" w:rsidRPr="00F069A9" w:rsidRDefault="00D74EFA" w:rsidP="00D74EFA">
      <w:pPr>
        <w:sectPr w:rsidR="00D74EFA" w:rsidRPr="00F069A9" w:rsidSect="00F069A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D74EFA" w:rsidRPr="00F069A9" w:rsidRDefault="00D74EFA" w:rsidP="00C36610">
      <w:pPr>
        <w:pStyle w:val="PageHeadingNotTOC"/>
      </w:pPr>
      <w:bookmarkStart w:id="2" w:name="RollCallPageAD"/>
      <w:r w:rsidRPr="00F069A9">
        <w:t>NÉV SZERINTI ZÁRÓSZAVAZÁS A VÉLEMÉNYNYILVÁNÍTÁSRA FELKÉRT BIZOTTSÁGBAN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74EFA" w:rsidRPr="00F069A9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74EFA" w:rsidRPr="00F069A9" w:rsidRDefault="00D74EFA" w:rsidP="003858C5">
            <w:pPr>
              <w:pStyle w:val="RollCallVotes"/>
            </w:pPr>
            <w:r w:rsidRPr="00F069A9">
              <w:t>23</w:t>
            </w:r>
          </w:p>
        </w:tc>
        <w:tc>
          <w:tcPr>
            <w:tcW w:w="7371" w:type="dxa"/>
            <w:shd w:val="pct10" w:color="000000" w:fill="FFFFFF"/>
          </w:tcPr>
          <w:p w:rsidR="00D74EFA" w:rsidRPr="00F069A9" w:rsidRDefault="00D74EFA" w:rsidP="003858C5">
            <w:pPr>
              <w:pStyle w:val="RollCallSymbols14pt"/>
            </w:pPr>
            <w:r w:rsidRPr="00F069A9">
              <w:t>+</w:t>
            </w:r>
          </w:p>
        </w:tc>
      </w:tr>
      <w:tr w:rsidR="00D74EFA" w:rsidRPr="00F069A9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PPE</w:t>
            </w:r>
          </w:p>
        </w:tc>
        <w:tc>
          <w:tcPr>
            <w:tcW w:w="737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Maria da Graça Carvalho, Frances Fitzgerald, Arba Kokalari, Elżbieta Katarzyna Łukacijewska, Eleni Stavrou, Rainer Wieland</w:t>
            </w:r>
          </w:p>
        </w:tc>
      </w:tr>
      <w:tr w:rsidR="00D74EFA" w:rsidRPr="00F069A9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Renew</w:t>
            </w:r>
          </w:p>
        </w:tc>
        <w:tc>
          <w:tcPr>
            <w:tcW w:w="737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Sylvie Brunet, Samira Rafaela, María Soraya Rodríguez Ramos, Marco Zullo</w:t>
            </w:r>
          </w:p>
        </w:tc>
      </w:tr>
      <w:tr w:rsidR="00D74EFA" w:rsidRPr="00F069A9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S&amp;D</w:t>
            </w:r>
          </w:p>
        </w:tc>
        <w:tc>
          <w:tcPr>
            <w:tcW w:w="737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Laura Ballarín Cereza, Robert Biedroń, Vilija Blinkevičiūtė, Milan Brglez, Marina Kaljurand, Carina Ohlsson, Evelyn Regner</w:t>
            </w:r>
          </w:p>
        </w:tc>
      </w:tr>
      <w:tr w:rsidR="00D74EFA" w:rsidRPr="00F069A9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Sandra Pereira, Eugenia Rodríguez Palop</w:t>
            </w:r>
          </w:p>
        </w:tc>
      </w:tr>
      <w:tr w:rsidR="00D74EFA" w:rsidRPr="00F069A9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Gwendoline Delbos-Corfield, Alice Kuhnke, Diana Riba i Giner, Sylwia Spurek</w:t>
            </w:r>
          </w:p>
        </w:tc>
      </w:tr>
    </w:tbl>
    <w:p w:rsidR="00D74EFA" w:rsidRPr="00F069A9" w:rsidRDefault="00D74EFA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74EFA" w:rsidRPr="00F069A9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74EFA" w:rsidRPr="00F069A9" w:rsidRDefault="00D74EFA" w:rsidP="003858C5">
            <w:pPr>
              <w:pStyle w:val="RollCallVotes"/>
            </w:pPr>
            <w:r w:rsidRPr="00F069A9">
              <w:t>4</w:t>
            </w:r>
          </w:p>
        </w:tc>
        <w:tc>
          <w:tcPr>
            <w:tcW w:w="7371" w:type="dxa"/>
            <w:shd w:val="pct10" w:color="000000" w:fill="FFFFFF"/>
          </w:tcPr>
          <w:p w:rsidR="00D74EFA" w:rsidRPr="00F069A9" w:rsidRDefault="00D74EFA" w:rsidP="003858C5">
            <w:pPr>
              <w:pStyle w:val="RollCallSymbols14pt"/>
            </w:pPr>
            <w:r w:rsidRPr="00F069A9">
              <w:t>-</w:t>
            </w:r>
          </w:p>
        </w:tc>
      </w:tr>
      <w:tr w:rsidR="00D74EFA" w:rsidRPr="00F069A9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ECR</w:t>
            </w:r>
          </w:p>
        </w:tc>
        <w:tc>
          <w:tcPr>
            <w:tcW w:w="737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Johan Nissinen, Margarita de la Pisa Carrión</w:t>
            </w:r>
          </w:p>
        </w:tc>
      </w:tr>
      <w:tr w:rsidR="00D74EFA" w:rsidRPr="00F069A9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ID</w:t>
            </w:r>
          </w:p>
        </w:tc>
        <w:tc>
          <w:tcPr>
            <w:tcW w:w="737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Christine Anderson, Maria Veronica Rossi</w:t>
            </w:r>
          </w:p>
        </w:tc>
      </w:tr>
    </w:tbl>
    <w:p w:rsidR="00D74EFA" w:rsidRPr="00F069A9" w:rsidRDefault="00D74EFA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74EFA" w:rsidRPr="00F069A9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74EFA" w:rsidRPr="00F069A9" w:rsidRDefault="00D74EFA" w:rsidP="003858C5">
            <w:pPr>
              <w:pStyle w:val="RollCallVotes"/>
            </w:pPr>
            <w:r w:rsidRPr="00F069A9">
              <w:t>2</w:t>
            </w:r>
          </w:p>
        </w:tc>
        <w:tc>
          <w:tcPr>
            <w:tcW w:w="7371" w:type="dxa"/>
            <w:shd w:val="pct10" w:color="000000" w:fill="FFFFFF"/>
          </w:tcPr>
          <w:p w:rsidR="00D74EFA" w:rsidRPr="00F069A9" w:rsidRDefault="00D74EFA" w:rsidP="003858C5">
            <w:pPr>
              <w:pStyle w:val="RollCallSymbols14pt"/>
            </w:pPr>
            <w:r w:rsidRPr="00F069A9">
              <w:t>0</w:t>
            </w:r>
          </w:p>
        </w:tc>
      </w:tr>
      <w:tr w:rsidR="00D74EFA" w:rsidRPr="00F069A9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ECR</w:t>
            </w:r>
          </w:p>
        </w:tc>
        <w:tc>
          <w:tcPr>
            <w:tcW w:w="737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Andżelika Anna Możdżanowska</w:t>
            </w:r>
          </w:p>
        </w:tc>
      </w:tr>
      <w:tr w:rsidR="00D74EFA" w:rsidRPr="00F069A9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NI</w:t>
            </w:r>
          </w:p>
        </w:tc>
        <w:tc>
          <w:tcPr>
            <w:tcW w:w="7371" w:type="dxa"/>
            <w:shd w:val="clear" w:color="auto" w:fill="FFFFFF"/>
          </w:tcPr>
          <w:p w:rsidR="00D74EFA" w:rsidRPr="00F069A9" w:rsidRDefault="00D74EFA" w:rsidP="003858C5">
            <w:pPr>
              <w:pStyle w:val="RollCallTable"/>
            </w:pPr>
            <w:r w:rsidRPr="00F069A9">
              <w:t>Lívia Járóka</w:t>
            </w:r>
          </w:p>
        </w:tc>
      </w:tr>
    </w:tbl>
    <w:p w:rsidR="00D74EFA" w:rsidRPr="00F069A9" w:rsidRDefault="00D74EFA" w:rsidP="00147FBF">
      <w:pPr>
        <w:pStyle w:val="Normal12a"/>
      </w:pPr>
    </w:p>
    <w:p w:rsidR="00D74EFA" w:rsidRPr="00F069A9" w:rsidRDefault="00D74EFA" w:rsidP="00B735E3">
      <w:r w:rsidRPr="00F069A9">
        <w:t>Jelmagyarázat:</w:t>
      </w:r>
    </w:p>
    <w:p w:rsidR="00D74EFA" w:rsidRPr="00F069A9" w:rsidRDefault="00D74EFA" w:rsidP="003858C5">
      <w:pPr>
        <w:pStyle w:val="RollCallTabs"/>
      </w:pPr>
      <w:r w:rsidRPr="00F069A9">
        <w:t>+</w:t>
      </w:r>
      <w:r w:rsidRPr="00F069A9">
        <w:tab/>
        <w:t>:</w:t>
      </w:r>
      <w:r w:rsidRPr="00F069A9">
        <w:tab/>
        <w:t>mellette</w:t>
      </w:r>
    </w:p>
    <w:p w:rsidR="00D74EFA" w:rsidRPr="00F069A9" w:rsidRDefault="00D74EFA" w:rsidP="003858C5">
      <w:pPr>
        <w:pStyle w:val="RollCallTabs"/>
      </w:pPr>
      <w:r w:rsidRPr="00F069A9">
        <w:t>-</w:t>
      </w:r>
      <w:r w:rsidRPr="00F069A9">
        <w:tab/>
        <w:t>:</w:t>
      </w:r>
      <w:r w:rsidRPr="00F069A9">
        <w:tab/>
        <w:t>ellene</w:t>
      </w:r>
    </w:p>
    <w:p w:rsidR="00D74EFA" w:rsidRPr="00F069A9" w:rsidRDefault="00D74EFA" w:rsidP="003858C5">
      <w:pPr>
        <w:pStyle w:val="RollCallTabs"/>
      </w:pPr>
      <w:r w:rsidRPr="00F069A9">
        <w:t>0</w:t>
      </w:r>
      <w:r w:rsidRPr="00F069A9">
        <w:tab/>
        <w:t>:</w:t>
      </w:r>
      <w:r w:rsidRPr="00F069A9">
        <w:tab/>
        <w:t>tartózkodás</w:t>
      </w:r>
    </w:p>
    <w:bookmarkEnd w:id="2"/>
    <w:sectPr w:rsidR="00D74EFA" w:rsidRPr="00F069A9" w:rsidSect="00D74EF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B14" w:rsidRPr="00F069A9" w:rsidRDefault="00213B14">
      <w:r w:rsidRPr="00F069A9">
        <w:separator/>
      </w:r>
    </w:p>
  </w:endnote>
  <w:endnote w:type="continuationSeparator" w:id="0">
    <w:p w:rsidR="00213B14" w:rsidRPr="00F069A9" w:rsidRDefault="00213B14">
      <w:r w:rsidRPr="00F06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9A9" w:rsidRPr="00F069A9" w:rsidRDefault="00F069A9" w:rsidP="00F069A9">
    <w:pPr>
      <w:pStyle w:val="EPFooter"/>
    </w:pPr>
    <w:r w:rsidRPr="00F069A9">
      <w:t>PE</w:t>
    </w:r>
    <w:r w:rsidRPr="00F069A9">
      <w:rPr>
        <w:rStyle w:val="HideTWBExt"/>
      </w:rPr>
      <w:t>&lt;NoPE&gt;</w:t>
    </w:r>
    <w:r w:rsidRPr="00F069A9">
      <w:t>754.838</w:t>
    </w:r>
    <w:r w:rsidRPr="00F069A9">
      <w:rPr>
        <w:rStyle w:val="HideTWBExt"/>
      </w:rPr>
      <w:t>&lt;/NoPE&gt;&lt;Version&gt;</w:t>
    </w:r>
    <w:r w:rsidRPr="00F069A9">
      <w:t>v02-00</w:t>
    </w:r>
    <w:r w:rsidRPr="00F069A9">
      <w:rPr>
        <w:rStyle w:val="HideTWBExt"/>
      </w:rPr>
      <w:t>&lt;/Version&gt;</w:t>
    </w:r>
    <w:r w:rsidRPr="00F069A9">
      <w:tab/>
    </w:r>
    <w:r w:rsidRPr="00F069A9">
      <w:fldChar w:fldCharType="begin"/>
    </w:r>
    <w:r w:rsidRPr="00F069A9">
      <w:instrText xml:space="preserve"> PAGE  \* MERGEFORMAT </w:instrText>
    </w:r>
    <w:r w:rsidRPr="00F069A9">
      <w:fldChar w:fldCharType="separate"/>
    </w:r>
    <w:r w:rsidR="00526328">
      <w:rPr>
        <w:noProof/>
      </w:rPr>
      <w:t>2</w:t>
    </w:r>
    <w:r w:rsidRPr="00F069A9">
      <w:fldChar w:fldCharType="end"/>
    </w:r>
    <w:r w:rsidRPr="00F069A9">
      <w:t>/</w:t>
    </w:r>
    <w:fldSimple w:instr=" NUMPAGES  \* MERGEFORMAT ">
      <w:r w:rsidR="00526328">
        <w:rPr>
          <w:noProof/>
        </w:rPr>
        <w:t>9</w:t>
      </w:r>
    </w:fldSimple>
    <w:r w:rsidRPr="00F069A9">
      <w:tab/>
    </w:r>
    <w:r w:rsidRPr="00F069A9">
      <w:rPr>
        <w:rStyle w:val="HideTWBExt"/>
      </w:rPr>
      <w:t>&lt;PathFdR&gt;</w:t>
    </w:r>
    <w:r w:rsidRPr="00F069A9">
      <w:t>AD\1294925HU.docx</w:t>
    </w:r>
    <w:r w:rsidRPr="00F069A9">
      <w:rPr>
        <w:rStyle w:val="HideTWBExt"/>
      </w:rPr>
      <w:t>&lt;/PathFdR&gt;</w:t>
    </w:r>
  </w:p>
  <w:p w:rsidR="002E2F2E" w:rsidRPr="00F069A9" w:rsidRDefault="00F069A9" w:rsidP="00F069A9">
    <w:pPr>
      <w:pStyle w:val="EPFooter2"/>
    </w:pPr>
    <w:r w:rsidRPr="00F069A9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9A9" w:rsidRPr="00F069A9" w:rsidRDefault="00F069A9" w:rsidP="00F069A9">
    <w:pPr>
      <w:pStyle w:val="EPFooter"/>
    </w:pPr>
    <w:r w:rsidRPr="00F069A9">
      <w:rPr>
        <w:rStyle w:val="HideTWBExt"/>
      </w:rPr>
      <w:t>&lt;PathFdR&gt;</w:t>
    </w:r>
    <w:r w:rsidRPr="00F069A9">
      <w:t>AD\1294925HU.docx</w:t>
    </w:r>
    <w:r w:rsidRPr="00F069A9">
      <w:rPr>
        <w:rStyle w:val="HideTWBExt"/>
      </w:rPr>
      <w:t>&lt;/PathFdR&gt;</w:t>
    </w:r>
    <w:r w:rsidRPr="00F069A9">
      <w:tab/>
    </w:r>
    <w:r w:rsidRPr="00F069A9">
      <w:fldChar w:fldCharType="begin"/>
    </w:r>
    <w:r w:rsidRPr="00F069A9">
      <w:instrText xml:space="preserve"> PAGE  \* MERGEFORMAT </w:instrText>
    </w:r>
    <w:r w:rsidRPr="00F069A9">
      <w:fldChar w:fldCharType="separate"/>
    </w:r>
    <w:r w:rsidR="00526328">
      <w:rPr>
        <w:noProof/>
      </w:rPr>
      <w:t>9</w:t>
    </w:r>
    <w:r w:rsidRPr="00F069A9">
      <w:fldChar w:fldCharType="end"/>
    </w:r>
    <w:r w:rsidRPr="00F069A9">
      <w:t>/</w:t>
    </w:r>
    <w:fldSimple w:instr=" NUMPAGES  \* MERGEFORMAT ">
      <w:r w:rsidR="00526328">
        <w:rPr>
          <w:noProof/>
        </w:rPr>
        <w:t>9</w:t>
      </w:r>
    </w:fldSimple>
    <w:r w:rsidRPr="00F069A9">
      <w:tab/>
      <w:t>PE</w:t>
    </w:r>
    <w:r w:rsidRPr="00F069A9">
      <w:rPr>
        <w:rStyle w:val="HideTWBExt"/>
      </w:rPr>
      <w:t>&lt;NoPE&gt;</w:t>
    </w:r>
    <w:r w:rsidRPr="00F069A9">
      <w:t>754.838</w:t>
    </w:r>
    <w:r w:rsidRPr="00F069A9">
      <w:rPr>
        <w:rStyle w:val="HideTWBExt"/>
      </w:rPr>
      <w:t>&lt;/NoPE&gt;&lt;Version&gt;</w:t>
    </w:r>
    <w:r w:rsidRPr="00F069A9">
      <w:t>v02-00</w:t>
    </w:r>
    <w:r w:rsidRPr="00F069A9">
      <w:rPr>
        <w:rStyle w:val="HideTWBExt"/>
      </w:rPr>
      <w:t>&lt;/Version&gt;</w:t>
    </w:r>
  </w:p>
  <w:p w:rsidR="002E2F2E" w:rsidRPr="00F069A9" w:rsidRDefault="00F069A9" w:rsidP="00F069A9">
    <w:pPr>
      <w:pStyle w:val="EPFooter2"/>
    </w:pPr>
    <w:r w:rsidRPr="00F069A9">
      <w:tab/>
    </w:r>
    <w:r w:rsidRPr="00F069A9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9A9" w:rsidRPr="00F069A9" w:rsidRDefault="00F069A9" w:rsidP="00F069A9">
    <w:pPr>
      <w:pStyle w:val="EPFooter"/>
    </w:pPr>
    <w:r w:rsidRPr="00F069A9">
      <w:rPr>
        <w:rStyle w:val="HideTWBExt"/>
      </w:rPr>
      <w:t>&lt;PathFdR&gt;</w:t>
    </w:r>
    <w:r w:rsidRPr="00F069A9">
      <w:t>AD\1294925HU.docx</w:t>
    </w:r>
    <w:r w:rsidRPr="00F069A9">
      <w:rPr>
        <w:rStyle w:val="HideTWBExt"/>
      </w:rPr>
      <w:t>&lt;/PathFdR&gt;</w:t>
    </w:r>
    <w:r w:rsidRPr="00F069A9">
      <w:tab/>
    </w:r>
    <w:r w:rsidRPr="00F069A9">
      <w:tab/>
      <w:t>PE</w:t>
    </w:r>
    <w:r w:rsidRPr="00F069A9">
      <w:rPr>
        <w:rStyle w:val="HideTWBExt"/>
      </w:rPr>
      <w:t>&lt;NoPE&gt;</w:t>
    </w:r>
    <w:r w:rsidRPr="00F069A9">
      <w:t>754.838</w:t>
    </w:r>
    <w:r w:rsidRPr="00F069A9">
      <w:rPr>
        <w:rStyle w:val="HideTWBExt"/>
      </w:rPr>
      <w:t>&lt;/NoPE&gt;&lt;Version&gt;</w:t>
    </w:r>
    <w:r w:rsidRPr="00F069A9">
      <w:t>v02-00</w:t>
    </w:r>
    <w:r w:rsidRPr="00F069A9">
      <w:rPr>
        <w:rStyle w:val="HideTWBExt"/>
      </w:rPr>
      <w:t>&lt;/Version&gt;</w:t>
    </w:r>
  </w:p>
  <w:p w:rsidR="002E2F2E" w:rsidRPr="00F069A9" w:rsidRDefault="00F069A9" w:rsidP="00F069A9">
    <w:pPr>
      <w:pStyle w:val="EPFooter2"/>
    </w:pPr>
    <w:r w:rsidRPr="00F069A9">
      <w:t>HU</w:t>
    </w:r>
    <w:r w:rsidRPr="00F069A9">
      <w:tab/>
    </w:r>
    <w:r w:rsidRPr="00F069A9">
      <w:rPr>
        <w:b w:val="0"/>
        <w:i/>
        <w:color w:val="C0C0C0"/>
        <w:sz w:val="22"/>
      </w:rPr>
      <w:t>Egyesülve a sokféleségben</w:t>
    </w:r>
    <w:r w:rsidRPr="00F069A9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B14" w:rsidRPr="00F069A9" w:rsidRDefault="00213B14">
      <w:r w:rsidRPr="00F069A9">
        <w:separator/>
      </w:r>
    </w:p>
  </w:footnote>
  <w:footnote w:type="continuationSeparator" w:id="0">
    <w:p w:rsidR="00213B14" w:rsidRPr="00F069A9" w:rsidRDefault="00213B14">
      <w:r w:rsidRPr="00F069A9">
        <w:continuationSeparator/>
      </w:r>
    </w:p>
  </w:footnote>
  <w:footnote w:id="1">
    <w:p w:rsidR="001E38DF" w:rsidRPr="00F069A9" w:rsidRDefault="001E38DF" w:rsidP="001E38DF">
      <w:pPr>
        <w:pStyle w:val="FootnoteText"/>
      </w:pPr>
      <w:r w:rsidRPr="00F069A9">
        <w:rPr>
          <w:rStyle w:val="FootnoteReference"/>
        </w:rPr>
        <w:footnoteRef/>
      </w:r>
      <w:r w:rsidRPr="00F069A9">
        <w:t xml:space="preserve">  https://www.europarl.europa.eu/RegData/etudes/STUD/2022/736899/IPOL_STU(2022)736899_EN.pdf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328" w:rsidRDefault="005263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328" w:rsidRDefault="005263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328" w:rsidRDefault="005263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457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FMNU" w:val=" 1"/>
    <w:docVar w:name="CJMNU" w:val="1"/>
    <w:docVar w:name="CODEMNU" w:val=" 7"/>
    <w:docVar w:name="COM2KEY" w:val="FEMM"/>
    <w:docVar w:name="COMKEY" w:val="FEMM"/>
    <w:docVar w:name="CONTRIBUTIONMNU" w:val=" 2"/>
    <w:docVar w:name="FONCTIONMNU" w:val=" 2"/>
    <w:docVar w:name="LastAMInserted" w:val="12"/>
    <w:docVar w:name="LastEditedSection" w:val=" 1"/>
    <w:docVar w:name="NumberAMInserted" w:val="1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2\fbidi \froman\fcharset238\fprq2 Times New Roman CE;}{\f333\fbidi \froman\fcharset204\fprq2 Times New Roman Cyr;}_x000d__x000a_{\f335\fbidi \froman\fcharset161\fprq2 Times New Roman Greek;}{\f336\fbidi \froman\fcharset162\fprq2 Times New Roman Tur;}{\f337\fbidi \froman\fcharset177\fprq2 Times New Roman (Hebrew);}{\f338\fbidi \froman\fcharset178\fprq2 Times New Roman (Arabic);}_x000d__x000a_{\f339\fbidi \froman\fcharset186\fprq2 Times New Roman Baltic;}{\f340\fbidi \froman\fcharset163\fprq2 Times New Roman (Vietnamese);}{\f342\fbidi \fswiss\fcharset238\fprq2 Arial CE;}{\f343\fbidi \fswiss\fcharset204\fprq2 Arial Cyr;}_x000d__x000a_{\f345\fbidi \fswiss\fcharset161\fprq2 Arial Greek;}{\f346\fbidi \fswiss\fcharset162\fprq2 Arial Tur;}{\f347\fbidi \fswiss\fcharset177\fprq2 Arial (Hebrew);}{\f348\fbidi \fswiss\fcharset178\fprq2 Arial (Arabic);}_x000d__x000a_{\f349\fbidi \fswiss\fcharset186\fprq2 Arial Baltic;}{\f350\fbidi \fswiss\fcharset163\fprq2 Arial (Vietnamese);}{\f672\fbidi \froman\fcharset238\fprq2 Cambria Math CE;}{\f673\fbidi \froman\fcharset204\fprq2 Cambria Math Cyr;}_x000d__x000a_{\f675\fbidi \froman\fcharset161\fprq2 Cambria Math Greek;}{\f676\fbidi \froman\fcharset162\fprq2 Cambria Math Tur;}{\f679\fbidi \froman\fcharset186\fprq2 Cambria Math Baltic;}{\f6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4513490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14513490 NormalHanging12a;}}{\*\rsidtbl \rsid24658\rsid223860\rsid735077\rsid1718133\rsid2892074\rsid3565327\rsid4666813\rsid6641733\rsid7823322\rsid9636012\rsid10377208\rsid11215221\rsid11549030\rsid12154954_x000d__x000a_\rsid14382809\rsid14424199\rsid14513490\rsid14830128\rsid15204470\rsid15285974\rsid15950462\rsid16324206\rsid16662270}{\mmathPr\mmathFont34\mbrkBin0\mbrkBinSub0\msmallFrac0\mdispDef1\mlMargin0\mrMargin0\mdefJc1\mwrapIndent1440\mintLim0\mnaryLim1}{\info_x000d__x000a_{\author KATRIVESI Anna}{\operator KATRIVESI Anna}{\creatim\yr2024\mo1\dy24\hr15\min28}{\revtim\yr2024\mo1\dy24\hr15\min28}{\version1}{\edmins0}{\nofpages1}{\nofwords2}{\nofchars11}{\nofcharsws12}{\vern109}}{\*\xmlnstbl {\xmlns1 http://schemas.microsoft.c_x000d__x000a_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51349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KATRI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83012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83012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83012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83012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14513490 \rtlch\fcs1 \af0\afs20\alang1025 \ltrch\fcs0 \fs24\lang2057\langfe2057\cgrid\langnp2057\langfenp2057 {\rtlch\fcs1 \af0 _x000d__x000a_\ltrch\fcs0 \insrsid14513490\charrsid2177812 {\*\bkmkstart restart}#}{\rtlch\fcs1 \af1 \ltrch\fcs0 \cs17\v\f1\fs20\cf15\insrsid14513490\charrsid2177812 NRMSG}{\rtlch\fcs1 \af0 \ltrch\fcs0 \insrsid14513490\charrsid2177812 #.\tab ##}{\rtlch\fcs1 \af0 _x000d__x000a_\ltrch\fcs0 \insrsid14513490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e_x000d__x000a_b199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2\fbidi \froman\fcharset238\fprq2 Times New Roman CE;}{\f333\fbidi \froman\fcharset204\fprq2 Times New Roman Cyr;}_x000d__x000a_{\f335\fbidi \froman\fcharset161\fprq2 Times New Roman Greek;}{\f336\fbidi \froman\fcharset162\fprq2 Times New Roman Tur;}{\f337\fbidi \froman\fcharset177\fprq2 Times New Roman (Hebrew);}{\f338\fbidi \froman\fcharset178\fprq2 Times New Roman (Arabic);}_x000d__x000a_{\f339\fbidi \froman\fcharset186\fprq2 Times New Roman Baltic;}{\f340\fbidi \froman\fcharset163\fprq2 Times New Roman (Vietnamese);}{\f672\fbidi \froman\fcharset238\fprq2 Cambria Math CE;}{\f673\fbidi \froman\fcharset204\fprq2 Cambria Math Cyr;}_x000d__x000a_{\f675\fbidi \froman\fcharset161\fprq2 Cambria Math Greek;}{\f676\fbidi \froman\fcharset162\fprq2 Cambria Math Tur;}{\f679\fbidi \froman\fcharset186\fprq2 Cambria Math Baltic;}{\f6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3638299 NormalHanging12a;}}{\*\rsidtbl \rsid24658\rsid223860\rsid735077\rsid1718133\rsid2892074\rsid3565327\rsid4666813\rsid5908129\rsid6641733\rsid7823322_x000d__x000a_\rsid9636012\rsid10377208\rsid11215221\rsid11549030\rsid12154954\rsid13638299\rsid14382809\rsid14424199\rsid15204470\rsid15285974\rsid15950462\rsid16324206\rsid16662270}{\mmathPr\mmathFont34\mbrkBin0\mbrkBinSub0\msmallFrac0\mdispDef1\mlMargin0\mrMargin0_x000d__x000a_\mdefJc1\mwrapIndent1440\mintLim0\mnaryLim1}{\info{\author KATRIVESI Anna}{\operator KATRIVESI Anna}{\creatim\yr2024\mo1\dy24\hr15\min28}{\revtim\yr2024\mo1\dy24\hr15\min28}{\version1}{\edmins0}{\nofpages1}{\nofwords5}{\nofchars30}{\nofcharsws34}_x000d__x000a_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63829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KATRI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90812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90812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90812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90812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3638299 \rtlch\fcs1 \af0\afs20\alang1025 \ltrch\fcs0 \fs24\lang2057\langfe2057\cgrid\langnp2057\langfenp2057 {\rtlch\fcs1 \af0 _x000d__x000a_\ltrch\fcs0 \insrsid13638299\charrsid1525456 {\*\bkmkstart restart}[ZSUGGESTIONNR]\tab [ZSUGGESTIONTEXT]}{\rtlch\fcs1 \af0 \ltrch\fcs0 \insrsid13638299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2_x000d__x000a_d19b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4"/>
    <w:docVar w:name="TXTLANGUE" w:val="HU"/>
    <w:docVar w:name="TXTLANGUEMIN" w:val="hu"/>
    <w:docVar w:name="TXTNRPE" w:val="754.838"/>
    <w:docVar w:name="TXTNRPROC" w:val="2023/2129"/>
    <w:docVar w:name="TXTPEorAP" w:val="PE"/>
    <w:docVar w:name="TXTROUTE" w:val="AD\1294925HU.docx"/>
    <w:docVar w:name="TXTTITLE" w:val="2022 DISCHARGE/ General budget of the EU - Commission"/>
    <w:docVar w:name="TXTVERSION" w:val="02-00"/>
  </w:docVars>
  <w:rsids>
    <w:rsidRoot w:val="00213B14"/>
    <w:rsid w:val="000701FE"/>
    <w:rsid w:val="000846BF"/>
    <w:rsid w:val="000E7EBF"/>
    <w:rsid w:val="00124F60"/>
    <w:rsid w:val="00135121"/>
    <w:rsid w:val="00140BE6"/>
    <w:rsid w:val="00147F4E"/>
    <w:rsid w:val="0016635E"/>
    <w:rsid w:val="001746D0"/>
    <w:rsid w:val="00192188"/>
    <w:rsid w:val="001B7393"/>
    <w:rsid w:val="001C3E23"/>
    <w:rsid w:val="001D2ED9"/>
    <w:rsid w:val="001E38DF"/>
    <w:rsid w:val="001E6E5E"/>
    <w:rsid w:val="001F21C1"/>
    <w:rsid w:val="00213B14"/>
    <w:rsid w:val="00245873"/>
    <w:rsid w:val="002A2487"/>
    <w:rsid w:val="002D28A7"/>
    <w:rsid w:val="002E2F2E"/>
    <w:rsid w:val="002E6F98"/>
    <w:rsid w:val="00314030"/>
    <w:rsid w:val="00325BCB"/>
    <w:rsid w:val="00331944"/>
    <w:rsid w:val="00332AD9"/>
    <w:rsid w:val="00347D2C"/>
    <w:rsid w:val="00351460"/>
    <w:rsid w:val="003554AD"/>
    <w:rsid w:val="0037356F"/>
    <w:rsid w:val="00390EB2"/>
    <w:rsid w:val="00396A0E"/>
    <w:rsid w:val="003C75B3"/>
    <w:rsid w:val="003E2402"/>
    <w:rsid w:val="00450AE5"/>
    <w:rsid w:val="00461D54"/>
    <w:rsid w:val="004808C5"/>
    <w:rsid w:val="004836D1"/>
    <w:rsid w:val="004C28FB"/>
    <w:rsid w:val="004C44C0"/>
    <w:rsid w:val="0052544E"/>
    <w:rsid w:val="00526328"/>
    <w:rsid w:val="00526DDB"/>
    <w:rsid w:val="005940C3"/>
    <w:rsid w:val="00594C48"/>
    <w:rsid w:val="005B2F11"/>
    <w:rsid w:val="005C0BDF"/>
    <w:rsid w:val="005D60C6"/>
    <w:rsid w:val="006102E7"/>
    <w:rsid w:val="00640C1B"/>
    <w:rsid w:val="00657AFB"/>
    <w:rsid w:val="006D5BF7"/>
    <w:rsid w:val="007A4AAE"/>
    <w:rsid w:val="007C4C8D"/>
    <w:rsid w:val="008233BB"/>
    <w:rsid w:val="008313E7"/>
    <w:rsid w:val="00854CAC"/>
    <w:rsid w:val="008A1FBD"/>
    <w:rsid w:val="008A32C5"/>
    <w:rsid w:val="008C6203"/>
    <w:rsid w:val="008D61E7"/>
    <w:rsid w:val="008F7002"/>
    <w:rsid w:val="00941BAD"/>
    <w:rsid w:val="0096194C"/>
    <w:rsid w:val="0099493F"/>
    <w:rsid w:val="00A046F3"/>
    <w:rsid w:val="00A16BEA"/>
    <w:rsid w:val="00A236F0"/>
    <w:rsid w:val="00A312B3"/>
    <w:rsid w:val="00A72C35"/>
    <w:rsid w:val="00A82017"/>
    <w:rsid w:val="00AB3C1F"/>
    <w:rsid w:val="00AD545A"/>
    <w:rsid w:val="00AE180F"/>
    <w:rsid w:val="00AF544D"/>
    <w:rsid w:val="00B362F7"/>
    <w:rsid w:val="00B5456B"/>
    <w:rsid w:val="00B6507E"/>
    <w:rsid w:val="00B74B53"/>
    <w:rsid w:val="00BC26E4"/>
    <w:rsid w:val="00BD1EAA"/>
    <w:rsid w:val="00C26D10"/>
    <w:rsid w:val="00C51199"/>
    <w:rsid w:val="00C52384"/>
    <w:rsid w:val="00C52739"/>
    <w:rsid w:val="00C827FF"/>
    <w:rsid w:val="00CD34AC"/>
    <w:rsid w:val="00D464A2"/>
    <w:rsid w:val="00D74EFA"/>
    <w:rsid w:val="00DE19FF"/>
    <w:rsid w:val="00E128F6"/>
    <w:rsid w:val="00E81BA6"/>
    <w:rsid w:val="00E856D2"/>
    <w:rsid w:val="00E929A7"/>
    <w:rsid w:val="00EB6467"/>
    <w:rsid w:val="00EE0BE6"/>
    <w:rsid w:val="00F069A9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94AD9D28-D493-4770-A4F3-39656005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8233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233BB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1E38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38DF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rsid w:val="001E38DF"/>
    <w:rPr>
      <w:sz w:val="24"/>
    </w:rPr>
  </w:style>
  <w:style w:type="paragraph" w:styleId="FootnoteText">
    <w:name w:val="footnote text"/>
    <w:basedOn w:val="Normal"/>
    <w:link w:val="FootnoteTextChar"/>
    <w:rsid w:val="001E38D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E38DF"/>
  </w:style>
  <w:style w:type="character" w:styleId="FootnoteReference">
    <w:name w:val="footnote reference"/>
    <w:basedOn w:val="DefaultParagraphFont"/>
    <w:rsid w:val="001E38DF"/>
    <w:rPr>
      <w:vertAlign w:val="superscript"/>
    </w:rPr>
  </w:style>
  <w:style w:type="paragraph" w:customStyle="1" w:styleId="RollCallSymbols14pt">
    <w:name w:val="RollCallSymbols14pt"/>
    <w:basedOn w:val="Normal"/>
    <w:rsid w:val="00D74EF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74EF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74EF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74EFA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D74EFA"/>
    <w:pPr>
      <w:spacing w:after="480"/>
    </w:pPr>
  </w:style>
  <w:style w:type="paragraph" w:customStyle="1" w:styleId="NormalBoldCenter">
    <w:name w:val="NormalBoldCenter"/>
    <w:basedOn w:val="Normal"/>
    <w:rsid w:val="00D74EFA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5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1663</Words>
  <Characters>11492</Characters>
  <Application>Microsoft Office Word</Application>
  <DocSecurity>0</DocSecurity>
  <Lines>251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2024-02-08T08:45:00Z</dcterms:created>
  <dcterms:modified xsi:type="dcterms:W3CDTF">2024-02-08T08:45:00Z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9.17.1 Build [20240111]</vt:lpwstr>
  </property>
  <property fmtid="{D5CDD505-2E9C-101B-9397-08002B2CF9AE}" pid="5" name="&lt;FdR&gt;">
    <vt:lpwstr>1294925</vt:lpwstr>
  </property>
  <property fmtid="{D5CDD505-2E9C-101B-9397-08002B2CF9AE}" pid="6" name="&lt;Type&gt;">
    <vt:lpwstr>AD</vt:lpwstr>
  </property>
  <property fmtid="{D5CDD505-2E9C-101B-9397-08002B2CF9AE}" pid="7" name="&lt;ModelCod&gt;">
    <vt:lpwstr>\\eiciBRUpr1\pdocep$\DocEP\DOCS\General\PA\PA_NonLeg\PA_NonLeg.dotx(18/09/2023 11:25:02)</vt:lpwstr>
  </property>
  <property fmtid="{D5CDD505-2E9C-101B-9397-08002B2CF9AE}" pid="8" name="&lt;ModelTra&gt;">
    <vt:lpwstr>\\eiciBRUpr1\pdocep$\DocEP\TRANSFIL\EN\PA_NonLeg.EN(18/09/2023 11:08:01)</vt:lpwstr>
  </property>
  <property fmtid="{D5CDD505-2E9C-101B-9397-08002B2CF9AE}" pid="9" name="&lt;Model&gt;">
    <vt:lpwstr>PA_NonLeg</vt:lpwstr>
  </property>
  <property fmtid="{D5CDD505-2E9C-101B-9397-08002B2CF9AE}" pid="10" name="FooterPath">
    <vt:lpwstr>AD\1294925HU.docx</vt:lpwstr>
  </property>
  <property fmtid="{D5CDD505-2E9C-101B-9397-08002B2CF9AE}" pid="11" name="PE number">
    <vt:lpwstr>754.838</vt:lpwstr>
  </property>
  <property fmtid="{D5CDD505-2E9C-101B-9397-08002B2CF9AE}" pid="12" name="SendToEpades">
    <vt:lpwstr>OK - 2024/01/25 11:17</vt:lpwstr>
  </property>
  <property fmtid="{D5CDD505-2E9C-101B-9397-08002B2CF9AE}" pid="13" name="SDLStudio">
    <vt:lpwstr/>
  </property>
  <property fmtid="{D5CDD505-2E9C-101B-9397-08002B2CF9AE}" pid="14" name="Bookout">
    <vt:lpwstr>OK - 2024/02/08 09:45</vt:lpwstr>
  </property>
</Properties>
</file>