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55C81" w:rsidRPr="009A27CB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9A27CB" w:rsidRDefault="00F73638" w:rsidP="00C85D0F">
            <w:pPr>
              <w:pStyle w:val="EPName"/>
            </w:pPr>
            <w:bookmarkStart w:id="0" w:name="_GoBack"/>
            <w:bookmarkEnd w:id="0"/>
            <w:r>
              <w:t>Parlament Ewropew</w:t>
            </w:r>
          </w:p>
          <w:p w:rsidR="00854CAC" w:rsidRPr="009A27CB" w:rsidRDefault="00F73638" w:rsidP="00D464A2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854CAC" w:rsidRPr="009A27CB" w:rsidRDefault="00F73638" w:rsidP="00C85D0F">
            <w:pPr>
              <w:pStyle w:val="EPLogo"/>
            </w:pPr>
            <w:r w:rsidRPr="009A27CB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9A27CB" w:rsidRDefault="001746D0" w:rsidP="001746D0">
      <w:pPr>
        <w:pStyle w:val="LineTop"/>
      </w:pPr>
    </w:p>
    <w:p w:rsidR="001746D0" w:rsidRPr="009A27CB" w:rsidRDefault="00F73638" w:rsidP="001746D0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{FEMM}</w:t>
      </w:r>
      <w:r>
        <w:t>Kumitat għad-Drittijiet tan-Nisa u għall-Ugwaljanza bejn is-Sessi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1746D0" w:rsidRPr="009A27CB" w:rsidRDefault="001746D0" w:rsidP="001746D0">
      <w:pPr>
        <w:pStyle w:val="LineBottom"/>
      </w:pPr>
    </w:p>
    <w:p w:rsidR="002E2F2E" w:rsidRPr="009A27CB" w:rsidRDefault="00F73638">
      <w:pPr>
        <w:pStyle w:val="CoverReference"/>
      </w:pPr>
      <w:r>
        <w:rPr>
          <w:rStyle w:val="HideTWBExt"/>
          <w:b w:val="0"/>
        </w:rPr>
        <w:t>&lt;RefProc&gt;</w:t>
      </w:r>
      <w:r>
        <w:t>2023/2129</w:t>
      </w:r>
      <w:r>
        <w:rPr>
          <w:rStyle w:val="HideTWBExt"/>
          <w:b w:val="0"/>
        </w:rPr>
        <w:t>&lt;/RefProc&gt;&lt;RefTypeProc&gt;</w:t>
      </w:r>
      <w:r>
        <w:t>(DEC)</w:t>
      </w:r>
      <w:r>
        <w:rPr>
          <w:rStyle w:val="HideTWBExt"/>
          <w:b w:val="0"/>
        </w:rPr>
        <w:t>&lt;/RefTypeProc&gt;</w:t>
      </w:r>
    </w:p>
    <w:p w:rsidR="002E2F2E" w:rsidRPr="009A27CB" w:rsidRDefault="00F73638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{25/01/2024}</w:t>
      </w:r>
      <w:r>
        <w:t>25.1.2024</w:t>
      </w:r>
      <w:r>
        <w:rPr>
          <w:rStyle w:val="HideTWBExt"/>
        </w:rPr>
        <w:t>&lt;/Date&gt;</w:t>
      </w:r>
    </w:p>
    <w:p w:rsidR="002E2F2E" w:rsidRPr="009A27CB" w:rsidRDefault="00F73638">
      <w:pPr>
        <w:pStyle w:val="CoverDocType24a"/>
      </w:pPr>
      <w:r>
        <w:rPr>
          <w:rStyle w:val="HideTWBExt"/>
          <w:b w:val="0"/>
        </w:rPr>
        <w:t>&lt;TitreType&gt;</w:t>
      </w:r>
      <w:r>
        <w:t>OPINJONI</w:t>
      </w:r>
      <w:r>
        <w:rPr>
          <w:rStyle w:val="HideTWBExt"/>
          <w:b w:val="0"/>
        </w:rPr>
        <w:t>&lt;/TitreType&gt;</w:t>
      </w:r>
    </w:p>
    <w:p w:rsidR="002E2F2E" w:rsidRPr="009A27CB" w:rsidRDefault="00F73638">
      <w:pPr>
        <w:pStyle w:val="CoverNormal24a"/>
      </w:pPr>
      <w:r>
        <w:rPr>
          <w:rStyle w:val="HideTWBExt"/>
        </w:rPr>
        <w:t>&lt;CommissionResp&gt;</w:t>
      </w:r>
      <w:r>
        <w:t>tal-Kumitat għad-Drittijiet tan-Nisa u għall-Ugwaljanza bejn is-Sessi</w:t>
      </w:r>
      <w:r>
        <w:rPr>
          <w:rStyle w:val="HideTWBExt"/>
        </w:rPr>
        <w:t>&lt;/CommissionResp&gt;</w:t>
      </w:r>
    </w:p>
    <w:p w:rsidR="002E2F2E" w:rsidRPr="009A27CB" w:rsidRDefault="00F73638">
      <w:pPr>
        <w:pStyle w:val="CoverNormal24a"/>
      </w:pPr>
      <w:r>
        <w:rPr>
          <w:rStyle w:val="HideTWBExt"/>
        </w:rPr>
        <w:t>&lt;CommissionInt&gt;</w:t>
      </w:r>
      <w:r>
        <w:t>għall-Kumitat għall-Kontroll tal-Baġit</w:t>
      </w:r>
      <w:r>
        <w:rPr>
          <w:rStyle w:val="HideTWBExt"/>
        </w:rPr>
        <w:t>&lt;/CommissionInt&gt;</w:t>
      </w:r>
    </w:p>
    <w:p w:rsidR="00FD4E0A" w:rsidRPr="004808C5" w:rsidRDefault="00FD4E0A" w:rsidP="00FD4E0A">
      <w:pPr>
        <w:pStyle w:val="CoverNormal"/>
      </w:pPr>
      <w:r>
        <w:rPr>
          <w:rStyle w:val="HideTWBExt"/>
        </w:rPr>
        <w:t>&lt;Titre&gt;</w:t>
      </w:r>
      <w:r>
        <w:t>dwar il-kwittanza 2022: Baġit ġenerali tal-UE - Il-Kummissjoni Ewropea</w:t>
      </w:r>
      <w:r>
        <w:rPr>
          <w:rStyle w:val="HideTWBExt"/>
        </w:rPr>
        <w:t>&lt;/Titre&gt;</w:t>
      </w:r>
    </w:p>
    <w:p w:rsidR="002E2F2E" w:rsidRPr="009A27CB" w:rsidRDefault="00FD4E0A" w:rsidP="00FD4E0A">
      <w:pPr>
        <w:pStyle w:val="CoverNormal24a"/>
      </w:pPr>
      <w:r>
        <w:rPr>
          <w:rStyle w:val="HideTWBExt"/>
        </w:rPr>
        <w:t>&lt;DocRef&gt;</w:t>
      </w:r>
      <w:r>
        <w:t>(2023/2129(DEC))</w:t>
      </w:r>
      <w:r>
        <w:rPr>
          <w:rStyle w:val="HideTWBExt"/>
        </w:rPr>
        <w:t>&lt;/DocRef&gt;</w:t>
      </w:r>
    </w:p>
    <w:p w:rsidR="002E2F2E" w:rsidRPr="009A27CB" w:rsidRDefault="00F73638">
      <w:pPr>
        <w:pStyle w:val="CoverNormal24a"/>
      </w:pPr>
      <w:r>
        <w:t xml:space="preserve">Rapporteur għal opinjoni: </w:t>
      </w:r>
      <w:r>
        <w:rPr>
          <w:rStyle w:val="HideTWBExt"/>
        </w:rPr>
        <w:t>&lt;Depute&gt;</w:t>
      </w:r>
      <w:r>
        <w:t>Robert Biedroń</w:t>
      </w:r>
      <w:r>
        <w:rPr>
          <w:rStyle w:val="HideTWBExt"/>
        </w:rPr>
        <w:t>&lt;/Depute&gt;</w:t>
      </w:r>
    </w:p>
    <w:p w:rsidR="00A72C35" w:rsidRPr="009A27CB" w:rsidRDefault="00A72C35" w:rsidP="00A72C35">
      <w:pPr>
        <w:pStyle w:val="CoverNormal"/>
      </w:pPr>
    </w:p>
    <w:p w:rsidR="002E2F2E" w:rsidRPr="009A27CB" w:rsidRDefault="00F73638" w:rsidP="00E856D2">
      <w:pPr>
        <w:widowControl/>
        <w:tabs>
          <w:tab w:val="center" w:pos="4677"/>
        </w:tabs>
      </w:pPr>
      <w:r>
        <w:br w:type="page"/>
      </w:r>
      <w:r>
        <w:lastRenderedPageBreak/>
        <w:t>PA_NonLeg</w:t>
      </w:r>
    </w:p>
    <w:p w:rsidR="002E2F2E" w:rsidRPr="009A27CB" w:rsidRDefault="00F73638">
      <w:pPr>
        <w:pStyle w:val="PageHeadingNotTOC"/>
      </w:pPr>
      <w:r>
        <w:br w:type="page"/>
      </w:r>
      <w:r>
        <w:lastRenderedPageBreak/>
        <w:t>SUĠĠERIMENTI</w:t>
      </w:r>
    </w:p>
    <w:p w:rsidR="002E2F2E" w:rsidRPr="009A27CB" w:rsidRDefault="00F73638" w:rsidP="008313E7">
      <w:pPr>
        <w:pStyle w:val="Normal12a"/>
      </w:pPr>
      <w:r>
        <w:t>Il-Kumitat għad-Drittijiet tan-Nisa u għall-Ugwaljanza bejn is-Sessi jistieden lill-Kumitat għall-Kontroll tal-Baġit, bħala l-kumitat responsabbli, biex jinkorpora s-suġġerimenti li ġejjin fil-mozzjoni għal riżoluzzjoni tiegħu: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A.</w:t>
      </w:r>
      <w:r>
        <w:tab/>
        <w:t>billi l-ugwaljanza bejn il-ġeneri hija valur ewlieni tal-Unjoni minqux fl-Artikolu 2 tat-Trattat dwar l-Unjoni Ewropea; billi l-Artikolu 8 tat-TFUE jimpenja lill-Unjoni biex telimina l-inugwaljanzi u tippromwovi l-ugwaljanza bejn il-ġeneri bejn l-irġiel u n-nisa, kif ukoll l-integrazzjoni tal-perspettiva tal-ġeneri;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B.</w:t>
      </w:r>
      <w:r>
        <w:tab/>
        <w:t>billi l-Parlament Ewropew ripetutament talab lill-Kummissjoni tippromwovi u timplimenta l-użu tal-integrazzjoni tal-perspettiva tal-ġeneri, l-ibbaġitjar skont il-ġeneru, u l-valutazzjonijiet tal-impatt fir-rigward tal-ġeneri fl-oqsma ta’ politika kollha tal-Unjoni bħall-implimentazzjoni tal-baġit tal-Unjoni u r-rapportar;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C.</w:t>
      </w:r>
      <w:r>
        <w:tab/>
        <w:t>billi f’għadd ta’ Stati Membri b’rati baxxi ta’ twelid, in-nisa u l-koppji jixtiequ li jkollhom it-tfal iżda fil-prattika ma jitħallewx jagħmlu dan bħala konsegwenza ta’ diffikultajiet ekonomiċi, mhux b’għażla iżda bħala riżultat ta’ kundizzjonijiet tal-għajxien u tax-xogħol aktar diffiċli, li jwasslu għal livelli ogħla ta’ qgħad fost in-nisa u jagħmluha aktar diffiċli għalihom, kif ukoll għall-ġenituri, biex igawdu d-drittijiet rispettivi tagħhom tal-maternità u tal-paternità fuq il-post tax-xogħol, u jagħmlu l-aċċess għal servizzi pubbliċi ta’ kwalità għolja u faċilitajiet għall-kura tat-tfal aktar diffiċli; billi huwa vitali li jiġi żgurat li n-nisa jkollhom id-dritt għax-xogħol bi drittijiet u mingħajr ma jiġi affettwat id-dritt għall-maternità, peress li n-nisa għadhom dawk li jintlaqtu l-agħar u jbatu l-aktar mid-diskriminazzjoni; billi eżempji ta’ din id-diskriminazzjoni jinkludu pressjoni mill-impjegaturi fuq in-nisa li jattendu intervisti tax-xogħol li fihom jiġu mistoqsija jekk għandhomx tfal u kemm għandhom età flimkien ma’ pressjonijiet ekonomiċi u relatati max-xogħol fuq impjegati nisa biex ma jiħdux liv tal-maternità;</w:t>
      </w:r>
    </w:p>
    <w:p w:rsidR="00FD4E0A" w:rsidRPr="004808C5" w:rsidRDefault="00FD4E0A" w:rsidP="00FD4E0A">
      <w:pPr>
        <w:pStyle w:val="NormalHanging12a"/>
      </w:pPr>
      <w:r>
        <w:t>D.</w:t>
      </w:r>
      <w:r>
        <w:tab/>
        <w:t>billi l-ugwaljanza bejn il-ġeneri fl-Unjoni ġiet affettwata b’mod partikolari mill-konsegwenzi tal-gwerra fl-Ukrajna, il-kriżi tal-għoli tal-ħajja, li n-nisa huma affettwati b’mod sproporzjonat minnhom, u r-rigressjoni kontra l-ugwaljanza bejn il-ġeneri u d-drittijiet tan-nisa, speċjalment fir-rigward tas-saħħa sesswali u riproduttiva u d-drittijiet relatati (SRHR) f’diversi Stati Membri; billi dan ikompli japprofondixxi l-inugwaljanzi u jxekkel l-ugwaljanza bejn il-ġeneri;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1.</w:t>
      </w:r>
      <w:r>
        <w:tab/>
        <w:t>Jenfasizza li perspettiva tal-ugwaljanza bejn il-ġeneri għandha tiġi integrata u żgurata fl-oqsma ta’ politika, l-istadji u l-miżuri ta’ taffija kollha, b’mod partikolari fid-dawl tal-aspetti bbażati fuq il-ġeneru tal-kriżijiet li għaddejjin bħalissa bħall-gwerer, il-kriżi tal-klima u tal-enerġija, l-inflazzjoni, u r-rigressjoni kontra d-drittijiet tan-nisa, speċjalment is-saħħa sesswali u riproduttiva u d-drittijiet relatati (SRHR) fl-Unjoni u madwar id-dinja; jisħaq fuq l-importanza tal-ibbaġitjar skont il-ġeneru fil-miżuri kollha ta’ rkupru u ta’ taffija biex isir użu mill-programmi tal-UE għall-mitigazzjoni tal-impatti abbażi tal-ġeneru ta’ kriżijiet differenti;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2.</w:t>
      </w:r>
      <w:r>
        <w:tab/>
        <w:t>Itenni t-tħassib tiegħu dwar l-interrelazzjoni bejn l-attakki fuq l-istat tad-dritt, id-</w:t>
      </w:r>
      <w:r>
        <w:lastRenderedPageBreak/>
        <w:t>demokrazija u d-drittijiet tal-bniedem u r-rigress fl-ugwaljanza bejn il-ġeneri u d-drittijiet tan-nisa; jistieden lill-Kummissjoni tkompli bl-isforzi tagħha biex issaħħaħ l-istat tad-dritt fl-Unjoni, b’mod partikolari dawk il-proposti legali mmirati lejn il-protezzjoni tal-baġit tal-UE f’każ ta’ nuqqasijiet ġeneralizzati fir-rigward tal-istat tad-dritt, il-ksur tad-drittijiet tal-bniedem, inklużi d-drittijiet tan-nisa u l-ksur tal-valuri fundamentali tal-Unjoni Ewropea; jistieden lill-Kummissjoni tesplora l-missjoni ewlenija ta’ dawk li jingħatawlhom il-fondi tal-UE u ma jingħatax finanzjament u jiġi żgurat li l-fondi tal-UE ma jkunux disponibbli għal kwalunkwe entità li tuża l-fondi tal-UE bl-iskop li xxejjen id-drittijiet tal-bniedem, b’mod partikolari d-drittijiet fundamentali tan-nisa u l-ugwaljanza bejn il-ġeneri, inkluż l-SRHR u d-drittijiet tan-nisa għall-integrità tal-ġisem, l-awtonomija u l-awtodeterminazzjoni; jistieden lill-Istati Membri jissalvagwardjaw is-saħħa sesswali u riproduttiva u d-drittijiet relatati, inkluż l-aċċess għal kura sikura u legali għall-abort u b’mod partikolari billi jiżguraw id-disponibbiltà ta’ programmi u servizzi tas-saħħa riproduttiva li jipprovdu t-tipi ta’ kura u mediċini meħtieġa għall-ippjanar volontarju tal-familja u s-saħħa materna u tat-trabi tat-twelid;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3.</w:t>
      </w:r>
      <w:r>
        <w:tab/>
        <w:t>Jinnota l-metodoloġija tal-Kummissjoni għat-traċċar tal-aspetti relatati mal-ġeneru tan-nefqa mill-2023; ifakkar li 2 % biss tal-baġit tal-Unjoni ġie vvalutat bħala li għandu objettiv prinċipali li jtejjeb l-ugwaljanza bejn il-ġeneri; jistieden lill-Kummissjoni ttejjeb dan il-punteġġ billi tintegra l-perspettiva tal-ġeneri mill-bidu tat-tfassil tal-programm; itenni li huwa meħtieġ aktar dettall sabiex il-maġġoranza tal-infiq (73 %) attwalment ivvalutata bħala 0* “potenzjal li jikkontribwixxi għall-ugwaljanza bejn il-ġeneri” tkun tista’ tinftiehem bis-sħiħ; jinnota bi tħassib li r-Rapport Speċjali Nru 10/2021, ippubblikat mill-QEA, ikkonferma li ċ-ċiklu baġitarju tal-Unjoni għadu ma jqisx b’mod adegwat l-ugwaljanza bejn il-ġeneri peress li l-elementi ewlenin, bħall-analiżi tal-ġeneru, l-objettivi relatati mal-ġeneru, l-indikaturi u l-obbligu ta’ rendikont permezz tar-rapportar, huma fil-biċċa l-kbira neqsin;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4.</w:t>
      </w:r>
      <w:r>
        <w:tab/>
        <w:t>Jilqa’ l-ħidma tal-Kummissjoni fuq klassifikazzjoni ġdida biex jitkejjel l-impatt fuq il-ġeneri tal-infiq tal-Unjoni; jistieden lill-Kummissjoni tiżgura li din il-klassifikazzjoni tiffoka fuq rappreżentazzjoni preċiża u komprensiva tal-impatt tal-programmi fuq l-ugwaljanza bejn il-ġeneri; jistieden lill-Kummissjoni, fid-dawl tat-tmiem ta’ din il-leġiżlatura, tkompli l-ħidma tagħha dwar l-ugwaljanza bejn il-ġeneri u jitlob Kummissarju għall-ugwaljanza bejn il-ġeneri għall-mandat li jmiss; jilqa’ l-fatt li l-ugwaljanza bejn il-ġeneri u l-integrazzjoni tal-perspettiva tal-ġeneri huma wieħed mill-prinċipji orizzontali għall-fondi tal-Unjoni fil-Qafas Finanzjarju Pluriennali (QFP) għall-2021-2027 u fil-Faċilità għall-Irkupru u r-Reżiljenza; jistieden madankollu lill-Kummissjoni timplimenta bis-sħiħ ir-rakkomandazzjonijiet tal-Qorti Ewropea tal-Awdituri, inkluż fir-rieżami ta’ nofs it-terminu tal-qafas finanzjarju pluriennali attwali u l-implimentazzjoni tal-Faċilità għall-Irkupru u r-Reżiljenza; jistieden lill-Kummissjoni tiżgura li din il-klassifikazzjoni tiffoka fuq rappreżentazzjoni preċiża u komprensiva tal-impatt tal-programmi u l-fondi eżistenti kollha; itenni, f’dan il-kuntest, li metodoloġija komprensiva ta’ traċċar tal-ġeneri jeħtieġ li tinkludi rapportar dwar l-impatti negattivi fuq l-ugwaljanza bejn il-ġeneri;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5.</w:t>
      </w:r>
      <w:r>
        <w:tab/>
        <w:t xml:space="preserve">Jinsisti li n-nisa u l-irġiel għandhom jibbenefikaw b’mod ugwali mill-Faċilità għall-Irkupru u r-Reżiljenza, b’mod partikolari fid-dawl tad-differenza bejn il-ġeneri fil-pagi </w:t>
      </w:r>
      <w:r>
        <w:lastRenderedPageBreak/>
        <w:t xml:space="preserve">ta’ 13 %; ifakkar li l-Kummissjoni introduċiet valutazzjoni tal-ġeneru tal-Pjanijiet għall-Irkupru u r-Reżiljenza tal-Istati Membri biss bħala valutazzjoni </w:t>
      </w:r>
      <w:r>
        <w:rPr>
          <w:i/>
          <w:iCs/>
        </w:rPr>
        <w:t>ex ante</w:t>
      </w:r>
      <w:r>
        <w:t>, li żvelat li xi Stati Membri ma kellhom l-ebda miżura mmarkata bħala li tiffoka fuq l-ugwaljanza bejn il-ġeneri; jenfasizza għalhekk l-importanza tar-rekwiżiti tal-ġbir tad-data biex ikun jista’ jsir ġbir sistematiku u komprensiv ta’ data diżaggregata skont il-ġeneru fil-kuntest tal-politiki rilevanti kollha tal-UE; iħeġġeġ lill-Kummissjoni tittratta dan bħala prijorità u tagħmel użu mill-opportunitajiet biex ittejjeb ir-rekwiżiti u l-indikaturi tal-ġbir tad-data f’leġiżlazzjoni u rieżamijiet ġodda, bħar-riformulazzjoni tar-regoli finanzjarji applikabbli għall-baġit ġenerali tal-Unjoni; jistieden lill-Kummissjoni twettaq l-impenn pożittiv li sar mill-President von der Leyen biex tippromwovi l-ugwaljanza bejn il-ġeneri fit-tfassil kollu tal-politika u jistieden lill-Kummissjoni twettaq l-impenji tagħha fl-ambitu tal-Istrateġija dwar l-Ugwaljanza bejn il-Ġeneri 2020-2025 u jenfasizza wkoll li jeħtieġ li jsir ħafna aktar peress li hemm nuqqas ta’ perspettiva tal-ġeneru fil-proposti ewlenin tal-Kummissjoni dwar il-klima, l-ambjent u l-ekonomija ppreżentati; jenfasizza li, f’dawn l-aħħar għaxar snin, wara li faqqgħet il-kriżi ekonomika u finanzjarja, l-inugwaljanzi ekonomiċi, soċjali, fl-impjieg u tal-ġeneru fi ħdan l-Istati Membri għamlu ħajjet in-nisa u l-bniet aktar diffiċli; għal dak l-għan ifakkar fir-rwol importanti tal-Istitut Ewropew għall-Ugwaljanza bejn is-Sessi fit-tqajjim tal-kuxjenza tal-firxa u l-kawżi tal-inugwaljanza bejn is-sessi fl-UE; jitlob, għalhekk, li l-baġit, il-persunal u l-indipendenza tiegħu jiżdiedu;</w:t>
      </w:r>
    </w:p>
    <w:p w:rsidR="00FD4E0A" w:rsidRPr="004808C5" w:rsidRDefault="00FD4E0A" w:rsidP="00FD4E0A">
      <w:pPr>
        <w:pStyle w:val="NormalHanging12a"/>
        <w:rPr>
          <w:szCs w:val="24"/>
        </w:rPr>
      </w:pPr>
      <w:r>
        <w:t>6.</w:t>
      </w:r>
      <w:r>
        <w:tab/>
        <w:t>Itenni t-talbiet tiegħu għal linja baġitarja ddedikata għall-ugwaljanza bejn il-ġeneri, b’mod partikolari fi ħdan il-programm Daphne fid-dawl tal-kriżi tal-vjolenza abbażi tal-ġeneru li qed tiffaċċja l-Unjoni; jisħaq fuq l-importanza li tissaħħaħ l-inizjattiva Daphne speċifikament iddedikata billi jiżdiedu r-riżorsi tagħha, b’mod partikolari miżuri li għandhom l-għan li jiġġieldu l-livelli kollha u l-forom kollha ta’ vjolenza abbażi tal-ġeneru kontra n-nisa u l-bniet u l-vjolenza domestika f’konformità mal-Artikolu 7(6) tar-Regolament (UE) 2021/692 u li jappoġġaw kif xieraq lill-vittmi; jisħaq, barra minn hekk, fuq l-importanza li jintużaw il-Fondi Strutturali u ta’ Investiment Ewropej bħall-Fond Soċjali Ewropew Plus (FSE+) biex jiġu promossi l-ugwaljanza bejn il-ġeneri, l-impjieg tan-nisa, l-emanċipazzjoni tan-nisa, l-intraprenditorija, it-tmexxija u r-rwoli maniġerjali, kif ukoll il-faċilitajiet ta’ kura fit-tul; jinnota li studju mitlub mill-Kumitat FEMM</w:t>
      </w:r>
      <w:r w:rsidRPr="004808C5">
        <w:rPr>
          <w:vertAlign w:val="superscript"/>
        </w:rPr>
        <w:footnoteReference w:id="1"/>
      </w:r>
      <w:r>
        <w:t xml:space="preserve"> juri li l-irġiel spiss jingħataw preferenza fuq in-nisa u l-gruppi emarġinati fir-rigward tat-tfassil ta’ sussidji u appoġġ fl-ambitu tal-pakkett “Lesti għall-mira ta’ 55 %”, kif ukoll f’politiki, programmi u finanzjamenti oħra għat-tranżizzjoni ekoloġika;</w:t>
      </w:r>
    </w:p>
    <w:p w:rsidR="00924137" w:rsidRDefault="00FD4E0A" w:rsidP="00FD4E0A">
      <w:pPr>
        <w:pStyle w:val="NormalHanging12a"/>
      </w:pPr>
      <w:r>
        <w:t>7.</w:t>
      </w:r>
      <w:r>
        <w:tab/>
        <w:t>Huwa tal-fehma li, fuq il-bażi tad-data attwalment disponibbli, tista’ tingħata kwittanza fir-rigward tal-baġit Ġenerali tal-UE fir-rigward tal-implimentazzjoni tal-baġit tiegħu għas-sena finanzjarja 2022.</w:t>
      </w:r>
    </w:p>
    <w:p w:rsidR="00FD4E0A" w:rsidRDefault="00FD4E0A">
      <w:pPr>
        <w:widowControl/>
        <w:sectPr w:rsidR="00FD4E0A" w:rsidSect="00FD4E0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:rsidR="00FD4E0A" w:rsidRDefault="00FD4E0A" w:rsidP="00FD4E0A">
      <w:pPr>
        <w:pStyle w:val="PageHeadingNotTOC"/>
        <w:rPr>
          <w:noProof/>
        </w:rPr>
      </w:pPr>
      <w:bookmarkStart w:id="1" w:name="FootprintPageAD"/>
      <w:r>
        <w:lastRenderedPageBreak/>
        <w:t>ANNESS: ENTITAJIET JEW PERSUNI</w:t>
      </w:r>
      <w:r>
        <w:br/>
        <w:t>LI R-RAPPORTEUR GĦAL OPINJONI RĊIEVA KONTRIBUT MINGĦANDHOM</w:t>
      </w:r>
    </w:p>
    <w:p w:rsidR="00FD4E0A" w:rsidRPr="0099178F" w:rsidRDefault="00FD4E0A" w:rsidP="00FD4E0A">
      <w:pPr>
        <w:pStyle w:val="Normal24a"/>
      </w:pPr>
      <w:r>
        <w:rPr>
          <w:rStyle w:val="HideTWBExt"/>
        </w:rPr>
        <w:t>&lt;FootprintIntro&gt;</w:t>
      </w:r>
      <w:r>
        <w:t>Ir-rapporteur għal opinjoni jiddikjara, taħt ir-responsabbiltà esklużiva tiegħu, li ma rċieva l-ebda kontribut minn entità jew persuna li jrid jissemma f’dan l-Anness f’konformità mal-Artikolu 8 tal-Anness I tar-Regoli ta’ Proċedura.</w:t>
      </w:r>
      <w:r>
        <w:rPr>
          <w:rStyle w:val="HideTWBExt"/>
        </w:rPr>
        <w:t>&lt;/FootprintIntro&gt;</w:t>
      </w:r>
    </w:p>
    <w:p w:rsidR="00FD4E0A" w:rsidRPr="00FD4E0A" w:rsidRDefault="00FD4E0A" w:rsidP="00FD4E0A"/>
    <w:bookmarkEnd w:id="1"/>
    <w:p w:rsidR="00FD4E0A" w:rsidRDefault="00FD4E0A">
      <w:pPr>
        <w:widowControl/>
        <w:sectPr w:rsidR="00FD4E0A" w:rsidSect="00FD4E0A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924137" w:rsidRDefault="00924137" w:rsidP="00924137">
      <w:pPr>
        <w:pStyle w:val="PageHeadingNotTOC"/>
      </w:pPr>
      <w:bookmarkStart w:id="2" w:name="ProcPageAD"/>
      <w:r>
        <w:lastRenderedPageBreak/>
        <w:t>INFORMAZZJONI DWAR L-ADOZZJONI</w:t>
      </w:r>
      <w:r>
        <w:br/>
        <w:t>FIL-KUMITAT LI JINTALAB JAGĦTI OPINJONI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92413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24.1.2024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92413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+:</w:t>
            </w:r>
          </w:p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–:</w:t>
            </w:r>
          </w:p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92413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Membri preżenti għall-votazzjoni finali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Christine Anderson, Robert Biedroń, Vilija Blinkevičiūtė, Maria da Graça Carvalho, Margarita de la Pisa Carrión, Gwendoline Delbos-Corfield, Frances Fitzgerald, Lívia Járóka, Arba Kokalari, Alice Kuhnke, Elżbieta Katarzyna Łukacijewska, Andżelika Anna Możdżanowska, Johan Nissinen, Carina Ohlsson, Sandra Pereira, Samira Rafaela, Evelyn Regner, Diana Riba i Giner, Eugenia Rodríguez Palop, María Soraya Rodríguez Ramos, Maria Veronica Rossi, Sylwia Spurek, Marco Zullo</w:t>
            </w:r>
          </w:p>
        </w:tc>
      </w:tr>
      <w:tr w:rsidR="0092413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Sostituti preżenti għall-votazzjoni finali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Laura Ballarín Cereza, Sylvie Brunet, Marina Kaljurand, Eleni Stavrou</w:t>
            </w:r>
          </w:p>
        </w:tc>
      </w:tr>
      <w:tr w:rsidR="0092413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Sostituti (skont l-Artikolu 209(7)) preżenti għall-votazzjoni finali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924137" w:rsidRDefault="00924137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Milan Brglez, Rainer Wieland</w:t>
            </w:r>
          </w:p>
        </w:tc>
      </w:tr>
    </w:tbl>
    <w:p w:rsidR="00924137" w:rsidRPr="00FD4E0A" w:rsidRDefault="00924137" w:rsidP="00FD4E0A"/>
    <w:bookmarkEnd w:id="2"/>
    <w:p w:rsidR="00FD4E0A" w:rsidRDefault="00FD4E0A" w:rsidP="00FD4E0A">
      <w:pPr>
        <w:sectPr w:rsidR="00FD4E0A" w:rsidSect="00FD4E0A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FD4E0A" w:rsidRPr="0099178F" w:rsidRDefault="00FD4E0A" w:rsidP="00C36610">
      <w:pPr>
        <w:pStyle w:val="PageHeadingNotTOC"/>
      </w:pPr>
      <w:bookmarkStart w:id="3" w:name="RollCallPageAD"/>
      <w:r>
        <w:lastRenderedPageBreak/>
        <w:t>VOTAZZJONI FINALI B’SEJĦA TAL-ISMIJIET</w:t>
      </w:r>
      <w:r>
        <w:br/>
        <w:t>FIL-KUMITAT LI JINTALAB JAGĦTI OPINJONI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FD4E0A" w:rsidRPr="004808C5" w:rsidTr="005F265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FD4E0A" w:rsidRPr="004808C5" w:rsidRDefault="00FD4E0A" w:rsidP="005F2651">
            <w:pPr>
              <w:pStyle w:val="RollCallVotes"/>
            </w:pPr>
            <w:r>
              <w:t>23</w:t>
            </w:r>
          </w:p>
        </w:tc>
        <w:tc>
          <w:tcPr>
            <w:tcW w:w="7371" w:type="dxa"/>
            <w:shd w:val="pct10" w:color="000000" w:fill="FFFFFF"/>
          </w:tcPr>
          <w:p w:rsidR="00FD4E0A" w:rsidRPr="004808C5" w:rsidRDefault="00FD4E0A" w:rsidP="005F2651">
            <w:pPr>
              <w:pStyle w:val="RollCallSymbols14pt"/>
            </w:pPr>
            <w:r>
              <w:t>+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Maria da Graça Carvalho, Frances Fitzgerald, Arba Kokalari, Elżbieta Katarzyna Łukacijewska, Eleni Stavrou, Rainer Wieland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Renew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Sylvie Brunet, Samira Rafaela, María Soraya Rodríguez Ramos, Marco Zullo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S&amp;D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Laura Ballarín Cereza, Robert Biedroń, Vilija Blinkevičiūtė, Milan Brglez, Marina Kaljurand, Carina Ohlsson, Evelyn Regner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The Left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Sandra Pereira, Eugenia Rodríguez Palop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Gwendoline Delbos-Corfield, Alice Kuhnke, Diana Riba i Giner, Sylwia Spurek</w:t>
            </w:r>
          </w:p>
        </w:tc>
      </w:tr>
    </w:tbl>
    <w:p w:rsidR="00FD4E0A" w:rsidRPr="004808C5" w:rsidRDefault="00FD4E0A" w:rsidP="00FD4E0A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FD4E0A" w:rsidRPr="004808C5" w:rsidTr="005F265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FD4E0A" w:rsidRPr="004808C5" w:rsidRDefault="00FD4E0A" w:rsidP="005F2651">
            <w:pPr>
              <w:pStyle w:val="RollCallVotes"/>
            </w:pPr>
            <w:r>
              <w:t>4</w:t>
            </w:r>
          </w:p>
        </w:tc>
        <w:tc>
          <w:tcPr>
            <w:tcW w:w="7371" w:type="dxa"/>
            <w:shd w:val="pct10" w:color="000000" w:fill="FFFFFF"/>
          </w:tcPr>
          <w:p w:rsidR="00FD4E0A" w:rsidRPr="004808C5" w:rsidRDefault="00FD4E0A" w:rsidP="005F2651">
            <w:pPr>
              <w:pStyle w:val="RollCallSymbols14pt"/>
            </w:pPr>
            <w:r>
              <w:t>-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Johan Nissinen, Margarita de la Pisa Carrión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ID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Christine Anderson, Maria Veronica Rossi</w:t>
            </w:r>
          </w:p>
        </w:tc>
      </w:tr>
    </w:tbl>
    <w:p w:rsidR="00FD4E0A" w:rsidRPr="004808C5" w:rsidRDefault="00FD4E0A" w:rsidP="00FD4E0A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FD4E0A" w:rsidRPr="004808C5" w:rsidTr="005F265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FD4E0A" w:rsidRPr="004808C5" w:rsidRDefault="00FD4E0A" w:rsidP="005F2651">
            <w:pPr>
              <w:pStyle w:val="RollCallVotes"/>
            </w:pPr>
            <w:r>
              <w:t>2</w:t>
            </w:r>
          </w:p>
        </w:tc>
        <w:tc>
          <w:tcPr>
            <w:tcW w:w="7371" w:type="dxa"/>
            <w:shd w:val="pct10" w:color="000000" w:fill="FFFFFF"/>
          </w:tcPr>
          <w:p w:rsidR="00FD4E0A" w:rsidRPr="004808C5" w:rsidRDefault="00FD4E0A" w:rsidP="005F2651">
            <w:pPr>
              <w:pStyle w:val="RollCallSymbols14pt"/>
            </w:pPr>
            <w:r>
              <w:t>0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Andżelika Anna Możdżanowska</w:t>
            </w:r>
          </w:p>
        </w:tc>
      </w:tr>
      <w:tr w:rsidR="00FD4E0A" w:rsidRPr="004808C5" w:rsidTr="005F2651">
        <w:trPr>
          <w:cantSplit/>
        </w:trPr>
        <w:tc>
          <w:tcPr>
            <w:tcW w:w="170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:rsidR="00FD4E0A" w:rsidRPr="004808C5" w:rsidRDefault="00FD4E0A" w:rsidP="005F2651">
            <w:pPr>
              <w:pStyle w:val="RollCallTable"/>
            </w:pPr>
            <w:r>
              <w:t>Lívia Járóka</w:t>
            </w:r>
          </w:p>
        </w:tc>
      </w:tr>
    </w:tbl>
    <w:p w:rsidR="00FD4E0A" w:rsidRDefault="00FD4E0A" w:rsidP="00147FBF">
      <w:pPr>
        <w:pStyle w:val="Normal12a"/>
      </w:pPr>
    </w:p>
    <w:p w:rsidR="00FD4E0A" w:rsidRDefault="00FD4E0A" w:rsidP="00B735E3">
      <w:r>
        <w:t>Tifsira tas-simboli użati:</w:t>
      </w:r>
    </w:p>
    <w:p w:rsidR="00FD4E0A" w:rsidRDefault="00FD4E0A" w:rsidP="003858C5">
      <w:pPr>
        <w:pStyle w:val="RollCallTabs"/>
      </w:pPr>
      <w:r>
        <w:t>+</w:t>
      </w:r>
      <w:r>
        <w:tab/>
        <w:t>:</w:t>
      </w:r>
      <w:r>
        <w:tab/>
        <w:t>favur</w:t>
      </w:r>
    </w:p>
    <w:p w:rsidR="00FD4E0A" w:rsidRDefault="00FD4E0A" w:rsidP="003858C5">
      <w:pPr>
        <w:pStyle w:val="RollCallTabs"/>
      </w:pPr>
      <w:r>
        <w:t>-</w:t>
      </w:r>
      <w:r>
        <w:tab/>
        <w:t>:</w:t>
      </w:r>
      <w:r>
        <w:tab/>
        <w:t>kontra</w:t>
      </w:r>
    </w:p>
    <w:p w:rsidR="00FD4E0A" w:rsidRDefault="00FD4E0A" w:rsidP="003858C5">
      <w:pPr>
        <w:pStyle w:val="RollCallTabs"/>
      </w:pPr>
      <w:r>
        <w:t>0</w:t>
      </w:r>
      <w:r>
        <w:tab/>
        <w:t>:</w:t>
      </w:r>
      <w:r>
        <w:tab/>
        <w:t>astensjoni</w:t>
      </w:r>
    </w:p>
    <w:p w:rsidR="00FD4E0A" w:rsidRDefault="00FD4E0A" w:rsidP="00207509"/>
    <w:bookmarkEnd w:id="3"/>
    <w:p w:rsidR="00D464A2" w:rsidRPr="00FD4E0A" w:rsidRDefault="00D464A2" w:rsidP="00FD4E0A"/>
    <w:sectPr w:rsidR="00D464A2" w:rsidRPr="00FD4E0A" w:rsidSect="00FD4E0A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384" w:rsidRPr="009A27CB" w:rsidRDefault="00F73638">
      <w:r w:rsidRPr="009A27CB">
        <w:separator/>
      </w:r>
    </w:p>
  </w:endnote>
  <w:endnote w:type="continuationSeparator" w:id="0">
    <w:p w:rsidR="00720384" w:rsidRPr="009A27CB" w:rsidRDefault="00F73638">
      <w:r w:rsidRPr="009A27C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137" w:rsidRDefault="00924137" w:rsidP="00924137">
    <w:pPr>
      <w:pStyle w:val="EPFooter"/>
    </w:pPr>
    <w:r>
      <w:t>PE</w:t>
    </w:r>
    <w:r w:rsidRPr="00924137">
      <w:rPr>
        <w:rStyle w:val="HideTWBExt"/>
      </w:rPr>
      <w:t>&lt;NoPE&gt;</w:t>
    </w:r>
    <w:r>
      <w:t>754.838</w:t>
    </w:r>
    <w:r w:rsidRPr="00924137">
      <w:rPr>
        <w:rStyle w:val="HideTWBExt"/>
      </w:rPr>
      <w:t>&lt;/NoPE&gt;&lt;Version&gt;</w:t>
    </w:r>
    <w:r>
      <w:t>v02-00</w:t>
    </w:r>
    <w:r w:rsidRPr="00924137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8E1D4D">
      <w:rPr>
        <w:noProof/>
      </w:rPr>
      <w:t>2</w:t>
    </w:r>
    <w:r>
      <w:fldChar w:fldCharType="end"/>
    </w:r>
    <w:r>
      <w:t>/</w:t>
    </w:r>
    <w:r w:rsidR="008E1D4D">
      <w:fldChar w:fldCharType="begin"/>
    </w:r>
    <w:r w:rsidR="008E1D4D">
      <w:instrText xml:space="preserve"> NUMPAGES  \* MERGEFORMAT </w:instrText>
    </w:r>
    <w:r w:rsidR="008E1D4D">
      <w:fldChar w:fldCharType="separate"/>
    </w:r>
    <w:r w:rsidR="008E1D4D">
      <w:rPr>
        <w:noProof/>
      </w:rPr>
      <w:t>8</w:t>
    </w:r>
    <w:r w:rsidR="008E1D4D">
      <w:rPr>
        <w:noProof/>
      </w:rPr>
      <w:fldChar w:fldCharType="end"/>
    </w:r>
    <w:r>
      <w:tab/>
    </w:r>
    <w:r w:rsidRPr="00924137">
      <w:rPr>
        <w:rStyle w:val="HideTWBExt"/>
      </w:rPr>
      <w:t>&lt;PathFdR&gt;</w:t>
    </w:r>
    <w:r>
      <w:t>AD\1294925MT.docx</w:t>
    </w:r>
    <w:r w:rsidRPr="00924137">
      <w:rPr>
        <w:rStyle w:val="HideTWBExt"/>
      </w:rPr>
      <w:t>&lt;/PathFdR&gt;</w:t>
    </w:r>
  </w:p>
  <w:p w:rsidR="002E2F2E" w:rsidRPr="009A27CB" w:rsidRDefault="00924137" w:rsidP="00924137">
    <w:pPr>
      <w:pStyle w:val="EPFooter2"/>
    </w:pPr>
    <w: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137" w:rsidRDefault="00924137" w:rsidP="00924137">
    <w:pPr>
      <w:pStyle w:val="EPFooter"/>
    </w:pPr>
    <w:r w:rsidRPr="00924137">
      <w:rPr>
        <w:rStyle w:val="HideTWBExt"/>
      </w:rPr>
      <w:t>&lt;PathFdR&gt;</w:t>
    </w:r>
    <w:r>
      <w:t>AD\1294925MT.docx</w:t>
    </w:r>
    <w:r w:rsidRPr="00924137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8E1D4D">
      <w:rPr>
        <w:noProof/>
      </w:rPr>
      <w:t>3</w:t>
    </w:r>
    <w:r>
      <w:fldChar w:fldCharType="end"/>
    </w:r>
    <w:r>
      <w:t>/</w:t>
    </w:r>
    <w:r w:rsidR="008E1D4D">
      <w:fldChar w:fldCharType="begin"/>
    </w:r>
    <w:r w:rsidR="008E1D4D">
      <w:instrText xml:space="preserve"> NUMPAGES  \* MERGEFORMAT </w:instrText>
    </w:r>
    <w:r w:rsidR="008E1D4D">
      <w:fldChar w:fldCharType="separate"/>
    </w:r>
    <w:r w:rsidR="008E1D4D">
      <w:rPr>
        <w:noProof/>
      </w:rPr>
      <w:t>8</w:t>
    </w:r>
    <w:r w:rsidR="008E1D4D">
      <w:rPr>
        <w:noProof/>
      </w:rPr>
      <w:fldChar w:fldCharType="end"/>
    </w:r>
    <w:r>
      <w:tab/>
      <w:t>PE</w:t>
    </w:r>
    <w:r w:rsidRPr="00924137">
      <w:rPr>
        <w:rStyle w:val="HideTWBExt"/>
      </w:rPr>
      <w:t>&lt;NoPE&gt;</w:t>
    </w:r>
    <w:r>
      <w:t>754.838</w:t>
    </w:r>
    <w:r w:rsidRPr="00924137">
      <w:rPr>
        <w:rStyle w:val="HideTWBExt"/>
      </w:rPr>
      <w:t>&lt;/NoPE&gt;&lt;Version&gt;</w:t>
    </w:r>
    <w:r>
      <w:t>v02-00</w:t>
    </w:r>
    <w:r w:rsidRPr="00924137">
      <w:rPr>
        <w:rStyle w:val="HideTWBExt"/>
      </w:rPr>
      <w:t>&lt;/Version&gt;</w:t>
    </w:r>
  </w:p>
  <w:p w:rsidR="002E2F2E" w:rsidRPr="009A27CB" w:rsidRDefault="00924137" w:rsidP="00924137">
    <w:pPr>
      <w:pStyle w:val="EPFooter2"/>
    </w:pPr>
    <w:r>
      <w:tab/>
    </w:r>
    <w:r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137" w:rsidRDefault="00924137" w:rsidP="00924137">
    <w:pPr>
      <w:pStyle w:val="EPFooter"/>
    </w:pPr>
    <w:r w:rsidRPr="00924137">
      <w:rPr>
        <w:rStyle w:val="HideTWBExt"/>
      </w:rPr>
      <w:t>&lt;PathFdR&gt;</w:t>
    </w:r>
    <w:r>
      <w:t>AD\1294925MT.docx</w:t>
    </w:r>
    <w:r w:rsidRPr="00924137">
      <w:rPr>
        <w:rStyle w:val="HideTWBExt"/>
      </w:rPr>
      <w:t>&lt;/PathFdR&gt;</w:t>
    </w:r>
    <w:r>
      <w:tab/>
    </w:r>
    <w:r>
      <w:tab/>
      <w:t>PE</w:t>
    </w:r>
    <w:r w:rsidRPr="00924137">
      <w:rPr>
        <w:rStyle w:val="HideTWBExt"/>
      </w:rPr>
      <w:t>&lt;NoPE&gt;</w:t>
    </w:r>
    <w:r>
      <w:t>754.838</w:t>
    </w:r>
    <w:r w:rsidRPr="00924137">
      <w:rPr>
        <w:rStyle w:val="HideTWBExt"/>
      </w:rPr>
      <w:t>&lt;/NoPE&gt;&lt;Version&gt;</w:t>
    </w:r>
    <w:r>
      <w:t>v02-00</w:t>
    </w:r>
    <w:r w:rsidRPr="00924137">
      <w:rPr>
        <w:rStyle w:val="HideTWBExt"/>
      </w:rPr>
      <w:t>&lt;/Version&gt;</w:t>
    </w:r>
  </w:p>
  <w:p w:rsidR="002E2F2E" w:rsidRPr="009A27CB" w:rsidRDefault="00924137" w:rsidP="00924137">
    <w:pPr>
      <w:pStyle w:val="EPFooter2"/>
    </w:pPr>
    <w:r>
      <w:t>MT</w:t>
    </w:r>
    <w:r>
      <w:tab/>
    </w:r>
    <w:r w:rsidRPr="00924137">
      <w:rPr>
        <w:b w:val="0"/>
        <w:i/>
        <w:color w:val="C0C0C0"/>
        <w:sz w:val="22"/>
      </w:rPr>
      <w:t>Magħquda fid-diversità</w:t>
    </w:r>
    <w:r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384" w:rsidRPr="009A27CB" w:rsidRDefault="00F73638">
      <w:r w:rsidRPr="009A27CB">
        <w:separator/>
      </w:r>
    </w:p>
  </w:footnote>
  <w:footnote w:type="continuationSeparator" w:id="0">
    <w:p w:rsidR="00720384" w:rsidRPr="009A27CB" w:rsidRDefault="00F73638">
      <w:r w:rsidRPr="009A27CB">
        <w:continuationSeparator/>
      </w:r>
    </w:p>
  </w:footnote>
  <w:footnote w:id="1">
    <w:p w:rsidR="00FD4E0A" w:rsidRPr="001C3E23" w:rsidRDefault="00FD4E0A" w:rsidP="00FD4E0A">
      <w:pPr>
        <w:pStyle w:val="FootnoteText"/>
      </w:pPr>
      <w:r>
        <w:rPr>
          <w:rStyle w:val="FootnoteReference"/>
        </w:rPr>
        <w:footnoteRef/>
      </w:r>
      <w:r>
        <w:t xml:space="preserve">  https://www.europarl.europa.eu/RegData/etudes/STUD/2022/736899/IPOL_STU(2022)736899_EN.pdf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0A" w:rsidRDefault="00FD4E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0A" w:rsidRDefault="00FD4E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0A" w:rsidRDefault="00FD4E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DOCDECMNU" w:val=" 1"/>
    <w:docVar w:name="AUTHORMFMNU" w:val=" 1"/>
    <w:docVar w:name="CJMNU" w:val="1"/>
    <w:docVar w:name="CODEMNU" w:val=" 7"/>
    <w:docVar w:name="COM2KEY" w:val="FEMM"/>
    <w:docVar w:name="COMKEY" w:val="FEMM"/>
    <w:docVar w:name="CONTRIBUTIONMNU" w:val=" 1"/>
    <w:docVar w:name="FONCTIONMNU" w:val=" 1"/>
    <w:docVar w:name="LastEditedSection" w:val=" 4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3\fbidi \froman\fcharset238\fprq2 Times New Roman CE;}{\f334\fbidi \froman\fcharset204\fprq2 Times New Roman Cyr;}_x000d__x000a_{\f336\fbidi \froman\fcharset161\fprq2 Times New Roman Greek;}{\f337\fbidi \froman\fcharset162\fprq2 Times New Roman Tur;}{\f338\fbidi \froman\fcharset177\fprq2 Times New Roman (Hebrew);}{\f339\fbidi \froman\fcharset178\fprq2 Times New Roman (Arabic);}_x000d__x000a_{\f340\fbidi \froman\fcharset186\fprq2 Times New Roman Baltic;}{\f341\fbidi \froman\fcharset163\fprq2 Times New Roman (Vietnamese);}{\f343\fbidi \fswiss\fcharset238\fprq2 Arial CE;}{\f344\fbidi \fswiss\fcharset204\fprq2 Arial Cyr;}_x000d__x000a_{\f346\fbidi \fswiss\fcharset161\fprq2 Arial Greek;}{\f347\fbidi \fswiss\fcharset162\fprq2 Arial Tur;}{\f348\fbidi \fswiss\fcharset177\fprq2 Arial (Hebrew);}{\f349\fbidi \fswiss\fcharset178\fprq2 Arial (Arabic);}_x000d__x000a_{\f350\fbidi \fswiss\fcharset186\fprq2 Arial Baltic;}{\f351\fbidi \fswiss\fcharset163\fprq2 Arial (Vietnamese);}{\f673\fbidi \froman\fcharset238\fprq2 Cambria Math CE;}{\f674\fbidi \froman\fcharset204\fprq2 Cambria Math Cyr;}_x000d__x000a_{\f676\fbidi \froman\fcharset161\fprq2 Cambria Math Greek;}{\f677\fbidi \froman\fcharset162\fprq2 Cambria Math Tur;}{\f680\fbidi \froman\fcharset186\fprq2 Cambria Math Baltic;}{\f68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5063084 HideTWBInt;}{_x000d__x000a_\s18\ql \fi-567\li567\ri0\sa240\nowidctlpar\wrapdefault\aspalpha\aspnum\faauto\adjustright\rin0\lin567\itap0 \rtlch\fcs1 \af0\afs20\alang1025 \ltrch\fcs0 \fs24\lang2057\langfe2057\cgrid\langnp2057\langfenp2057 _x000d__x000a_\sbasedon0 \snext18 \spriority0 \styrsid5063084 NormalHanging12a;}}{\*\rsidtbl \rsid24658\rsid140833\rsid223860\rsid735077\rsid1718133\rsid2892074\rsid3565327\rsid4666813\rsid5063084\rsid6641733\rsid7823322\rsid9636012\rsid10377208\rsid11215221_x000d__x000a_\rsid11549030\rsid12154954\rsid14382809\rsid14424199\rsid15204470\rsid15285974\rsid15950462\rsid16324206\rsid16662270}{\mmathPr\mmathFont34\mbrkBin0\mbrkBinSub0\msmallFrac0\mdispDef1\mlMargin0\mrMargin0\mdefJc1\mwrapIndent1440\mintLim0\mnaryLim1}{\info_x000d__x000a_{\author SCIRTO GAUCI Lindsay}{\operator SCIRTO GAUCI Lindsay}{\creatim\yr2024\mo1\dy25\hr16\min28}{\revtim\yr2024\mo1\dy25\hr16\min28}{\version1}{\edmins0}{\nofpages1}{\nofwords1}{\nofchars12}{\nofcharsws12}{\vern109}}{\*\xmlnstbl {\xmlns1 http://schemas_x000d__x000a_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506308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LSCIRT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083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083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083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083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5063084 \rtlch\fcs1 \af0\afs20\alang1025 \ltrch\fcs0 \fs24\lang2057\langfe2057\cgrid\langnp2057\langfenp2057 {\rtlch\fcs1 \af0 _x000d__x000a_\ltrch\fcs0 \insrsid5063084\charrsid2177812 {\*\bkmkstart restart}#}{\rtlch\fcs1 \af1 \ltrch\fcs0 \cs17\v\f1\fs20\cf15\insrsid5063084\charrsid2177812 NRMSG}{\rtlch\fcs1 \af0 \ltrch\fcs0 \insrsid5063084\charrsid2177812 #.\tab ##}{\rtlch\fcs1 \af0 _x000d__x000a_\ltrch\fcs0 \insrsid5063084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1_x000d__x000a_571ca34f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3\fbidi \froman\fcharset238\fprq2 Times New Roman CE;}{\f334\fbidi \froman\fcharset204\fprq2 Times New Roman Cyr;}_x000d__x000a_{\f336\fbidi \froman\fcharset161\fprq2 Times New Roman Greek;}{\f337\fbidi \froman\fcharset162\fprq2 Times New Roman Tur;}{\f338\fbidi \froman\fcharset177\fprq2 Times New Roman (Hebrew);}{\f339\fbidi \froman\fcharset178\fprq2 Times New Roman (Arabic);}_x000d__x000a_{\f340\fbidi \froman\fcharset186\fprq2 Times New Roman Baltic;}{\f341\fbidi \froman\fcharset163\fprq2 Times New Roman (Vietnamese);}{\f673\fbidi \froman\fcharset238\fprq2 Cambria Math CE;}{\f674\fbidi \froman\fcharset204\fprq2 Cambria Math Cyr;}_x000d__x000a_{\f676\fbidi \froman\fcharset161\fprq2 Cambria Math Greek;}{\f677\fbidi \froman\fcharset162\fprq2 Cambria Math Tur;}{\f680\fbidi \froman\fcharset186\fprq2 Cambria Math Baltic;}{\f68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8211695 NormalHanging12a;}}{\*\rsidtbl \rsid24658\rsid223860\rsid735077\rsid1718133\rsid2298972\rsid2892074\rsid3565327\rsid4666813\rsid6641733\rsid7823322_x000d__x000a_\rsid8211695\rsid9636012\rsid10377208\rsid11215221\rsid11549030\rsid12154954\rsid14382809\rsid14424199\rsid15204470\rsid15285974\rsid15950462\rsid16324206\rsid16662270}{\mmathPr\mmathFont34\mbrkBin0\mbrkBinSub0\msmallFrac0\mdispDef1\mlMargin0\mrMargin0_x000d__x000a_\mdefJc1\mwrapIndent1440\mintLim0\mnaryLim1}{\info{\author SCIRTO GAUCI Lindsay}{\operator SCIRTO GAUCI Lindsay}{\creatim\yr2024\mo1\dy25\hr16\min28}{\revtim\yr2024\mo1\dy25\hr16\min28}{\version1}{\edmins0}{\nofpages1}{\nofwords5}{\nofchars30}_x000d__x000a_{\nofcharsws3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21169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LSCIRT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29897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9897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9897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9897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8211695 \rtlch\fcs1 \af0\afs20\alang1025 \ltrch\fcs0 \fs24\lang2057\langfe2057\cgrid\langnp2057\langfenp2057 {\rtlch\fcs1 \af0 _x000d__x000a_\ltrch\fcs0 \insrsid8211695\charrsid1525456 {\*\bkmkstart restart}[ZSUGGESTIONNR]\tab [ZSUGGESTIONTEXT]}{\rtlch\fcs1 \af0 \ltrch\fcs0 \insrsid8211695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e0_x000d__x000a_d01ea34f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NonLeg"/>
    <w:docVar w:name="strSubDir" w:val="1294"/>
    <w:docVar w:name="TXTLANGUE" w:val="MT"/>
    <w:docVar w:name="TXTLANGUEMIN" w:val="mt"/>
    <w:docVar w:name="TXTNRPE" w:val="754.838"/>
    <w:docVar w:name="TXTNRPROC" w:val="2023/2129"/>
    <w:docVar w:name="TXTPEorAP" w:val="PE"/>
    <w:docVar w:name="TXTROUTE" w:val="AD\1294925MT.docx"/>
    <w:docVar w:name="TXTTITLE" w:val="2022 DISCHARGE/ General budget of the EU - Commission"/>
    <w:docVar w:name="TXTVERSION" w:val="02-00"/>
  </w:docVars>
  <w:rsids>
    <w:rsidRoot w:val="00213B14"/>
    <w:rsid w:val="000701FE"/>
    <w:rsid w:val="000E7EBF"/>
    <w:rsid w:val="00124F60"/>
    <w:rsid w:val="00135121"/>
    <w:rsid w:val="00140BE6"/>
    <w:rsid w:val="00147F4E"/>
    <w:rsid w:val="0016635E"/>
    <w:rsid w:val="001746D0"/>
    <w:rsid w:val="00192188"/>
    <w:rsid w:val="001B7393"/>
    <w:rsid w:val="001D2ED9"/>
    <w:rsid w:val="001F21C1"/>
    <w:rsid w:val="00213B14"/>
    <w:rsid w:val="00245873"/>
    <w:rsid w:val="00255C81"/>
    <w:rsid w:val="002D28A7"/>
    <w:rsid w:val="002E2F2E"/>
    <w:rsid w:val="002E6F98"/>
    <w:rsid w:val="00325BCB"/>
    <w:rsid w:val="00331944"/>
    <w:rsid w:val="00332AD9"/>
    <w:rsid w:val="00347D2C"/>
    <w:rsid w:val="00351460"/>
    <w:rsid w:val="003554AD"/>
    <w:rsid w:val="0037356F"/>
    <w:rsid w:val="00390EB2"/>
    <w:rsid w:val="00396A0E"/>
    <w:rsid w:val="003E2402"/>
    <w:rsid w:val="00461D54"/>
    <w:rsid w:val="004C28FB"/>
    <w:rsid w:val="004C44C0"/>
    <w:rsid w:val="0052544E"/>
    <w:rsid w:val="005940C3"/>
    <w:rsid w:val="00594C48"/>
    <w:rsid w:val="005B2F11"/>
    <w:rsid w:val="005C0BDF"/>
    <w:rsid w:val="005D0A2D"/>
    <w:rsid w:val="005D60C6"/>
    <w:rsid w:val="006102E7"/>
    <w:rsid w:val="00640C1B"/>
    <w:rsid w:val="00657AFB"/>
    <w:rsid w:val="006D5BF7"/>
    <w:rsid w:val="00720384"/>
    <w:rsid w:val="008233BB"/>
    <w:rsid w:val="008313E7"/>
    <w:rsid w:val="00854CAC"/>
    <w:rsid w:val="008A32C5"/>
    <w:rsid w:val="008C6203"/>
    <w:rsid w:val="008D61E7"/>
    <w:rsid w:val="008E1D4D"/>
    <w:rsid w:val="008F7002"/>
    <w:rsid w:val="00924137"/>
    <w:rsid w:val="0099493F"/>
    <w:rsid w:val="009A27CB"/>
    <w:rsid w:val="00A16BEA"/>
    <w:rsid w:val="00A236F0"/>
    <w:rsid w:val="00A312B3"/>
    <w:rsid w:val="00A72C35"/>
    <w:rsid w:val="00AB3C1F"/>
    <w:rsid w:val="00AE180F"/>
    <w:rsid w:val="00B362F7"/>
    <w:rsid w:val="00B5456B"/>
    <w:rsid w:val="00B6507E"/>
    <w:rsid w:val="00B74B53"/>
    <w:rsid w:val="00BC26E4"/>
    <w:rsid w:val="00BD1EAA"/>
    <w:rsid w:val="00C52739"/>
    <w:rsid w:val="00C827FF"/>
    <w:rsid w:val="00C85D0F"/>
    <w:rsid w:val="00CD34AC"/>
    <w:rsid w:val="00D464A2"/>
    <w:rsid w:val="00DE19FF"/>
    <w:rsid w:val="00DE7D04"/>
    <w:rsid w:val="00E81BA6"/>
    <w:rsid w:val="00E856D2"/>
    <w:rsid w:val="00E929A7"/>
    <w:rsid w:val="00F73638"/>
    <w:rsid w:val="00FC6460"/>
    <w:rsid w:val="00FD0D14"/>
    <w:rsid w:val="00FD4BC4"/>
    <w:rsid w:val="00FD4E0A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D9D28-D493-4770-A4F3-39656005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er">
    <w:name w:val="footer"/>
    <w:basedOn w:val="Normal"/>
    <w:link w:val="FooterChar"/>
    <w:semiHidden/>
    <w:rsid w:val="008233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233BB"/>
    <w:rPr>
      <w:sz w:val="24"/>
    </w:rPr>
  </w:style>
  <w:style w:type="character" w:customStyle="1" w:styleId="NormalHanging12aChar">
    <w:name w:val="NormalHanging12a Char"/>
    <w:basedOn w:val="DefaultParagraphFont"/>
    <w:link w:val="NormalHanging12a"/>
    <w:rsid w:val="00FD4E0A"/>
    <w:rPr>
      <w:sz w:val="24"/>
    </w:rPr>
  </w:style>
  <w:style w:type="paragraph" w:styleId="FootnoteText">
    <w:name w:val="footnote text"/>
    <w:basedOn w:val="Normal"/>
    <w:link w:val="FootnoteTextChar"/>
    <w:rsid w:val="00FD4E0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FD4E0A"/>
    <w:rPr>
      <w:lang w:val="mt-MT"/>
    </w:rPr>
  </w:style>
  <w:style w:type="character" w:styleId="FootnoteReference">
    <w:name w:val="footnote reference"/>
    <w:basedOn w:val="DefaultParagraphFont"/>
    <w:rsid w:val="00FD4E0A"/>
    <w:rPr>
      <w:vertAlign w:val="superscript"/>
    </w:rPr>
  </w:style>
  <w:style w:type="paragraph" w:customStyle="1" w:styleId="Normal24a">
    <w:name w:val="Normal24a"/>
    <w:basedOn w:val="Normal"/>
    <w:rsid w:val="00FD4E0A"/>
    <w:pPr>
      <w:spacing w:after="480"/>
    </w:pPr>
  </w:style>
  <w:style w:type="paragraph" w:customStyle="1" w:styleId="NormalBoldCenter">
    <w:name w:val="NormalBoldCenter"/>
    <w:basedOn w:val="Normal"/>
    <w:rsid w:val="00FD4E0A"/>
    <w:pPr>
      <w:jc w:val="center"/>
    </w:pPr>
    <w:rPr>
      <w:b/>
    </w:rPr>
  </w:style>
  <w:style w:type="paragraph" w:customStyle="1" w:styleId="RollCallSymbols14pt">
    <w:name w:val="RollCallSymbols14pt"/>
    <w:basedOn w:val="Normal"/>
    <w:rsid w:val="00FD4E0A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FD4E0A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FD4E0A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FD4E0A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1503</Words>
  <Characters>11042</Characters>
  <Application>Microsoft Office Word</Application>
  <DocSecurity>0</DocSecurity>
  <Lines>215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2004-10-28T10:33:00Z</cp:lastPrinted>
  <dcterms:created xsi:type="dcterms:W3CDTF">2024-02-02T16:34:00Z</dcterms:created>
  <dcterms:modified xsi:type="dcterms:W3CDTF">2024-02-02T16:34:00Z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1294925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\\eiciBRUpr1\pdocep$\DocEP\DOCS\General\PA\PA_NonLeg\PA_NonLeg.dotx(18/09/2023 11:25:02)</vt:lpwstr>
  </property>
  <property fmtid="{D5CDD505-2E9C-101B-9397-08002B2CF9AE}" pid="6" name="&lt;ModelTra&gt;">
    <vt:lpwstr>\\eiciBRUpr1\pdocep$\DocEP\TRANSFIL\EN\PA_NonLeg.EN(18/09/2023 11:08:01)</vt:lpwstr>
  </property>
  <property fmtid="{D5CDD505-2E9C-101B-9397-08002B2CF9AE}" pid="7" name="&lt;Type&gt;">
    <vt:lpwstr>AD</vt:lpwstr>
  </property>
  <property fmtid="{D5CDD505-2E9C-101B-9397-08002B2CF9AE}" pid="8" name="Created with">
    <vt:lpwstr>9.16.1 Build [20230915]</vt:lpwstr>
  </property>
  <property fmtid="{D5CDD505-2E9C-101B-9397-08002B2CF9AE}" pid="9" name="FooterPath">
    <vt:lpwstr>AD\1294925MT.docx</vt:lpwstr>
  </property>
  <property fmtid="{D5CDD505-2E9C-101B-9397-08002B2CF9AE}" pid="10" name="LastEdited with">
    <vt:lpwstr>9.17.1 Build [20240101]</vt:lpwstr>
  </property>
  <property fmtid="{D5CDD505-2E9C-101B-9397-08002B2CF9AE}" pid="11" name="PE number">
    <vt:lpwstr>754.838</vt:lpwstr>
  </property>
  <property fmtid="{D5CDD505-2E9C-101B-9397-08002B2CF9AE}" pid="12" name="SDLStudio">
    <vt:lpwstr/>
  </property>
  <property fmtid="{D5CDD505-2E9C-101B-9397-08002B2CF9AE}" pid="13" name="SendToEpades">
    <vt:lpwstr>OK - 2023/10/17 14:53</vt:lpwstr>
  </property>
  <property fmtid="{D5CDD505-2E9C-101B-9397-08002B2CF9AE}" pid="14" name="Bookout">
    <vt:lpwstr>OK - 2024/02/02 17:34</vt:lpwstr>
  </property>
</Properties>
</file>