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C6E4D" w:rsidRPr="006960E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6960E6" w:rsidRDefault="00325DB0" w:rsidP="00C85D0F">
            <w:pPr>
              <w:pStyle w:val="EPName"/>
            </w:pPr>
            <w:r w:rsidRPr="006960E6">
              <w:t>Parlament Europejski</w:t>
            </w:r>
          </w:p>
          <w:p w:rsidR="00854CAC" w:rsidRPr="006960E6" w:rsidRDefault="00325DB0" w:rsidP="00D464A2">
            <w:pPr>
              <w:pStyle w:val="EPTerm"/>
            </w:pPr>
            <w:r w:rsidRPr="006960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6960E6" w:rsidRDefault="00325DB0" w:rsidP="00C85D0F">
            <w:pPr>
              <w:pStyle w:val="EPLogo"/>
            </w:pPr>
            <w:r w:rsidRPr="006960E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6960E6" w:rsidRDefault="001746D0" w:rsidP="001746D0">
      <w:pPr>
        <w:pStyle w:val="LineTop"/>
      </w:pPr>
    </w:p>
    <w:p w:rsidR="001746D0" w:rsidRPr="006960E6" w:rsidRDefault="00325DB0" w:rsidP="001746D0">
      <w:pPr>
        <w:pStyle w:val="EPBody"/>
      </w:pPr>
      <w:r w:rsidRPr="006960E6">
        <w:rPr>
          <w:rStyle w:val="HideTWBExt"/>
        </w:rPr>
        <w:t>&lt;</w:t>
      </w:r>
      <w:r w:rsidRPr="006960E6">
        <w:rPr>
          <w:rStyle w:val="HideTWBExt"/>
          <w:i w:val="0"/>
        </w:rPr>
        <w:t>Commission</w:t>
      </w:r>
      <w:r w:rsidRPr="006960E6">
        <w:rPr>
          <w:rStyle w:val="HideTWBExt"/>
        </w:rPr>
        <w:t>&gt;</w:t>
      </w:r>
      <w:r w:rsidRPr="006960E6">
        <w:rPr>
          <w:rStyle w:val="HideTWBInt"/>
          <w:color w:val="auto"/>
        </w:rPr>
        <w:t>{FEMM}</w:t>
      </w:r>
      <w:r w:rsidRPr="006960E6">
        <w:t>Komisja Praw Kobiet i Równouprawnienia</w:t>
      </w:r>
      <w:r w:rsidRPr="006960E6">
        <w:rPr>
          <w:rStyle w:val="HideTWBExt"/>
        </w:rPr>
        <w:t>&lt;/</w:t>
      </w:r>
      <w:r w:rsidRPr="006960E6">
        <w:rPr>
          <w:rStyle w:val="HideTWBExt"/>
          <w:i w:val="0"/>
        </w:rPr>
        <w:t>Commission</w:t>
      </w:r>
      <w:r w:rsidRPr="006960E6">
        <w:rPr>
          <w:rStyle w:val="HideTWBExt"/>
        </w:rPr>
        <w:t>&gt;</w:t>
      </w:r>
    </w:p>
    <w:p w:rsidR="001746D0" w:rsidRPr="006960E6" w:rsidRDefault="001746D0" w:rsidP="001746D0">
      <w:pPr>
        <w:pStyle w:val="LineBottom"/>
      </w:pPr>
    </w:p>
    <w:p w:rsidR="002E2F2E" w:rsidRPr="006960E6" w:rsidRDefault="00325DB0">
      <w:pPr>
        <w:pStyle w:val="CoverReference"/>
      </w:pPr>
      <w:r w:rsidRPr="006960E6">
        <w:rPr>
          <w:rStyle w:val="HideTWBExt"/>
          <w:b w:val="0"/>
        </w:rPr>
        <w:t>&lt;RefProc&gt;</w:t>
      </w:r>
      <w:r w:rsidRPr="006960E6">
        <w:t>2023/2129</w:t>
      </w:r>
      <w:r w:rsidRPr="006960E6">
        <w:rPr>
          <w:rStyle w:val="HideTWBExt"/>
          <w:b w:val="0"/>
        </w:rPr>
        <w:t>&lt;/RefProc&gt;&lt;RefTypeProc&gt;</w:t>
      </w:r>
      <w:r w:rsidRPr="006960E6">
        <w:t>(DEC)</w:t>
      </w:r>
      <w:r w:rsidRPr="006960E6">
        <w:rPr>
          <w:rStyle w:val="HideTWBExt"/>
          <w:b w:val="0"/>
        </w:rPr>
        <w:t>&lt;/RefTypeProc&gt;</w:t>
      </w:r>
    </w:p>
    <w:p w:rsidR="002E2F2E" w:rsidRPr="006960E6" w:rsidRDefault="00325DB0">
      <w:pPr>
        <w:pStyle w:val="CoverDate"/>
      </w:pPr>
      <w:r w:rsidRPr="006960E6">
        <w:rPr>
          <w:rStyle w:val="HideTWBExt"/>
        </w:rPr>
        <w:t>&lt;Date&gt;</w:t>
      </w:r>
      <w:r w:rsidRPr="006960E6">
        <w:rPr>
          <w:rStyle w:val="HideTWBInt"/>
          <w:color w:val="auto"/>
        </w:rPr>
        <w:t>{25/01/2024}</w:t>
      </w:r>
      <w:r w:rsidRPr="006960E6">
        <w:t>25.1.2024</w:t>
      </w:r>
      <w:r w:rsidRPr="006960E6">
        <w:rPr>
          <w:rStyle w:val="HideTWBExt"/>
        </w:rPr>
        <w:t>&lt;/Date&gt;</w:t>
      </w:r>
    </w:p>
    <w:p w:rsidR="002E2F2E" w:rsidRPr="006960E6" w:rsidRDefault="00325DB0">
      <w:pPr>
        <w:pStyle w:val="CoverDocType24a"/>
      </w:pPr>
      <w:r w:rsidRPr="006960E6">
        <w:rPr>
          <w:rStyle w:val="HideTWBExt"/>
          <w:b w:val="0"/>
        </w:rPr>
        <w:t>&lt;TitreType&gt;</w:t>
      </w:r>
      <w:r w:rsidRPr="006960E6">
        <w:t>OPINIA</w:t>
      </w:r>
      <w:r w:rsidRPr="006960E6">
        <w:rPr>
          <w:rStyle w:val="HideTWBExt"/>
          <w:b w:val="0"/>
        </w:rPr>
        <w:t>&lt;/TitreType&gt;</w:t>
      </w:r>
    </w:p>
    <w:p w:rsidR="002E2F2E" w:rsidRPr="006960E6" w:rsidRDefault="00325DB0">
      <w:pPr>
        <w:pStyle w:val="CoverNormal24a"/>
      </w:pPr>
      <w:r w:rsidRPr="006960E6">
        <w:rPr>
          <w:rStyle w:val="HideTWBExt"/>
        </w:rPr>
        <w:t>&lt;CommissionResp&gt;</w:t>
      </w:r>
      <w:r w:rsidRPr="006960E6">
        <w:t>Komisji</w:t>
      </w:r>
      <w:r w:rsidRPr="006960E6">
        <w:t xml:space="preserve"> Praw Kobiet i Równouprawnienia</w:t>
      </w:r>
      <w:r w:rsidRPr="006960E6">
        <w:rPr>
          <w:rStyle w:val="HideTWBExt"/>
        </w:rPr>
        <w:t>&lt;/CommissionResp&gt;</w:t>
      </w:r>
    </w:p>
    <w:p w:rsidR="002E2F2E" w:rsidRPr="006960E6" w:rsidRDefault="00325DB0">
      <w:pPr>
        <w:pStyle w:val="CoverNormal24a"/>
      </w:pPr>
      <w:r w:rsidRPr="006960E6">
        <w:rPr>
          <w:rStyle w:val="HideTWBExt"/>
        </w:rPr>
        <w:t>&lt;CommissionInt&gt;</w:t>
      </w:r>
      <w:r w:rsidRPr="006960E6">
        <w:t>dla Komisji Kontroli Budżetowej</w:t>
      </w:r>
      <w:r w:rsidRPr="006960E6">
        <w:rPr>
          <w:rStyle w:val="HideTWBExt"/>
        </w:rPr>
        <w:t>&lt;/CommissionInt&gt;</w:t>
      </w:r>
    </w:p>
    <w:p w:rsidR="002E2F2E" w:rsidRPr="006960E6" w:rsidRDefault="00325DB0">
      <w:pPr>
        <w:pStyle w:val="CoverNormal"/>
      </w:pPr>
      <w:r w:rsidRPr="006960E6">
        <w:rPr>
          <w:rStyle w:val="HideTWBExt"/>
        </w:rPr>
        <w:t>&lt;Titre&gt;</w:t>
      </w:r>
      <w:r w:rsidRPr="006960E6">
        <w:t>w sprawie absolutorium budżetowego za rok 2022: budżet ogólny UE – Komisja Europejska</w:t>
      </w:r>
      <w:r w:rsidRPr="006960E6">
        <w:rPr>
          <w:rStyle w:val="HideTWBExt"/>
        </w:rPr>
        <w:t>&lt;/Titre&gt;</w:t>
      </w:r>
    </w:p>
    <w:p w:rsidR="002E2F2E" w:rsidRPr="006960E6" w:rsidRDefault="00325DB0">
      <w:pPr>
        <w:pStyle w:val="CoverNormal24a"/>
      </w:pPr>
      <w:r w:rsidRPr="006960E6">
        <w:rPr>
          <w:rStyle w:val="HideTWBExt"/>
        </w:rPr>
        <w:t>&lt;DocRef&gt;</w:t>
      </w:r>
      <w:r w:rsidRPr="006960E6">
        <w:t>(2023/2129(DEC))</w:t>
      </w:r>
      <w:r w:rsidRPr="006960E6">
        <w:rPr>
          <w:rStyle w:val="HideTWBExt"/>
        </w:rPr>
        <w:t>&lt;/DocRef&gt;</w:t>
      </w:r>
    </w:p>
    <w:p w:rsidR="002E2F2E" w:rsidRPr="006960E6" w:rsidRDefault="00325DB0">
      <w:pPr>
        <w:pStyle w:val="CoverNormal24a"/>
      </w:pPr>
      <w:r w:rsidRPr="006960E6">
        <w:t>Sprawozda</w:t>
      </w:r>
      <w:r w:rsidRPr="006960E6">
        <w:t xml:space="preserve">wca komisji opiniodawczej: </w:t>
      </w:r>
      <w:r w:rsidRPr="006960E6">
        <w:rPr>
          <w:rStyle w:val="HideTWBExt"/>
        </w:rPr>
        <w:t>&lt;Depute&gt;</w:t>
      </w:r>
      <w:r w:rsidRPr="006960E6">
        <w:t>Robert Biedroń</w:t>
      </w:r>
      <w:r w:rsidRPr="006960E6">
        <w:rPr>
          <w:rStyle w:val="HideTWBExt"/>
        </w:rPr>
        <w:t>&lt;/Depute&gt;</w:t>
      </w:r>
    </w:p>
    <w:p w:rsidR="00A72C35" w:rsidRPr="006960E6" w:rsidRDefault="00A72C35" w:rsidP="00A72C35">
      <w:pPr>
        <w:pStyle w:val="CoverNormal"/>
      </w:pPr>
    </w:p>
    <w:p w:rsidR="002E2F2E" w:rsidRPr="006960E6" w:rsidRDefault="00325DB0" w:rsidP="00E856D2">
      <w:pPr>
        <w:widowControl/>
        <w:tabs>
          <w:tab w:val="center" w:pos="4677"/>
        </w:tabs>
      </w:pPr>
      <w:r w:rsidRPr="006960E6">
        <w:br w:type="page"/>
      </w:r>
      <w:r w:rsidRPr="006960E6">
        <w:lastRenderedPageBreak/>
        <w:t>PA_NonLeg</w:t>
      </w:r>
    </w:p>
    <w:p w:rsidR="002E2F2E" w:rsidRPr="006960E6" w:rsidRDefault="00325DB0">
      <w:pPr>
        <w:pStyle w:val="PageHeadingNotTOC"/>
      </w:pPr>
      <w:r w:rsidRPr="006960E6">
        <w:br w:type="page"/>
      </w:r>
      <w:r w:rsidRPr="006960E6">
        <w:lastRenderedPageBreak/>
        <w:t>WSKAZÓWKI</w:t>
      </w:r>
    </w:p>
    <w:p w:rsidR="002E2F2E" w:rsidRPr="006960E6" w:rsidRDefault="00325DB0" w:rsidP="008313E7">
      <w:pPr>
        <w:pStyle w:val="Normal12a"/>
      </w:pPr>
      <w:r w:rsidRPr="006960E6">
        <w:t xml:space="preserve">Komisja Praw Kobiet i Równouprawnienia zwraca się do Komisji Kontroli Budżetowej, jako komisji przedmiotowo właściwej, o uwzględnienie w końcowym tekście projektu rezolucji </w:t>
      </w:r>
      <w:r w:rsidRPr="006960E6">
        <w:t>następujących wskazówek: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A.</w:t>
      </w:r>
      <w:r w:rsidRPr="006960E6">
        <w:tab/>
        <w:t>mając na uwadze, że równouprawnienie płci stanowi jedną z podstawowych wartości Unii, zapisaną w art. 2 Traktatu o Unii Europej</w:t>
      </w:r>
      <w:r>
        <w:t>skiej; mając na uwadze, że art. </w:t>
      </w:r>
      <w:r w:rsidRPr="006960E6">
        <w:t>8 TFUE zobowiązuje Unię do zniesienia nierówności oraz wspierania rów</w:t>
      </w:r>
      <w:r w:rsidRPr="006960E6">
        <w:t>ności mężczyzn i kobiet, a także do upowszechniania aspektu płci;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B.</w:t>
      </w:r>
      <w:r w:rsidRPr="006960E6">
        <w:tab/>
        <w:t>mając na uwadze, że Parlament Europejski wielokrotnie zwracał się do Komisji, aby promowała i wdrażała uwzględnianie aspektu płci i sporządzanie budżetu z uwzględnieniem aspektu płci oraz</w:t>
      </w:r>
      <w:r w:rsidRPr="006960E6">
        <w:t xml:space="preserve"> by prowadziła oceny wpływu w aspekcie płci we wszystkich obszarach polityki Unii, takich jak wykonanie budżetu Unii i sprawozdawczość;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C.</w:t>
      </w:r>
      <w:r w:rsidRPr="006960E6">
        <w:tab/>
        <w:t>mając na uwadze, że w wielu państwach członkowskich o niskim współczynniku urodzeń kobiety i pary chciałyby mieć dzie</w:t>
      </w:r>
      <w:r w:rsidRPr="006960E6">
        <w:t>ci, ale w praktyce nie jest to możliwe ze względu na trudności gospodarcze, nie z wyboru, lecz ze względu na trudniejsze warunki życia i pracy, co prowadzi do wyższego poziomu bezrobocia wśród kobiet i utrudnia im, a także rodzicom korzystanie z przysługuj</w:t>
      </w:r>
      <w:r w:rsidRPr="006960E6">
        <w:t>ących im praw macierzyńskich i ojcowskich w miejscu pracy oraz sprawia, że dostęp do wysokiej jakości usług publicznych i placówek opieki nad dziećmi jest utrudniony; mając na uwadze, że jest niezmiernie istotne, aby zagwarantować kobietom prawo do pracy z</w:t>
      </w:r>
      <w:r w:rsidRPr="006960E6">
        <w:t xml:space="preserve"> odpowiednimi uprawnieniami bez negatywnych konsekwencji dla macierzyństwa, gdyż kobiety nadal są najbardziej poszkodowane i dyskryminowane; mając na uwadze, że przykłady tej dyskryminacji to naciski pracodawców wywierane na kobiety podczas rozmów o pracę,</w:t>
      </w:r>
      <w:r w:rsidRPr="006960E6">
        <w:t xml:space="preserve"> kiedy padają pytania o dzieci i ich wiek, a także mając na uwadze rosnącą presję ekonomiczną i presję w miejscu pracy, aby pracownice nie brały urlopu macierzyńskiego;</w:t>
      </w:r>
    </w:p>
    <w:p w:rsidR="001E38DF" w:rsidRPr="006960E6" w:rsidRDefault="00325DB0" w:rsidP="001E38DF">
      <w:pPr>
        <w:pStyle w:val="NormalHanging12a"/>
      </w:pPr>
      <w:r w:rsidRPr="006960E6">
        <w:t>D.</w:t>
      </w:r>
      <w:r w:rsidRPr="006960E6">
        <w:tab/>
        <w:t xml:space="preserve">mając na uwadze, że na równouprawnienie płci w Unii szczególnie wpłynęły skutki </w:t>
      </w:r>
      <w:r w:rsidRPr="006960E6">
        <w:t>wojny w Ukrainie, kryzys związany z kosztami utrzymania, który w nieproporcjonalny sposób dotyka kobiety, oraz regres w kwestii równości płci i praw kobiet, zwłaszcza w odniesieniu do zdrowia seksualnego i reprodukcyjnego oraz praw reprodukcyjnych i seksua</w:t>
      </w:r>
      <w:r w:rsidRPr="006960E6">
        <w:t>lnych w kilku państwach członkowskich; mając na uwadze, że pogłębia to nierówności i utrudnia równouprawnienie płci;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1.</w:t>
      </w:r>
      <w:r w:rsidRPr="006960E6">
        <w:tab/>
        <w:t>podkreśla, że perspektywę równości płci należy uwzględnić i zapewnić we wszystkich obszarach polityki, na wszystkich etapach i we wszyst</w:t>
      </w:r>
      <w:r w:rsidRPr="006960E6">
        <w:t>kich środkach łagodzących, zwłaszcza w świetle związanych z płcią aspektów trwających kryzysów, takich jak wojny, kryzys klimatyczny i energetyczny, inflacja oraz regres w dziedzinie praw kobiet, zwłaszcza w zakresie zdrowia seksualnego i reprodukcyjnego o</w:t>
      </w:r>
      <w:r w:rsidRPr="006960E6">
        <w:t>raz praw seksualnych i reprodukcyjnych w Unii i na całym świecie; podkreśla, że sporządzanie budżetu z uwzględnieniem aspektu płci jest istotne w przypadku wszystkich środków na rzecz odbudowy i środków łagodzących, tak aby programy UE mogły być wykorzysty</w:t>
      </w:r>
      <w:r w:rsidRPr="006960E6">
        <w:t>wane do złagodzenia wpływu poszczególnych kryzysów na płeć;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lastRenderedPageBreak/>
        <w:t>2.</w:t>
      </w:r>
      <w:r w:rsidRPr="006960E6">
        <w:tab/>
        <w:t>ponownie wyraża zaniepokojenie, że istnieje związek między atakami na praworządność, demokrację i prawa człowieka a regresem w obszarze równouprawnienia płci i praw kobiet; wzywa Komisję do kon</w:t>
      </w:r>
      <w:r w:rsidRPr="006960E6">
        <w:t>tynuowania wysiłków na rzecz wzmocnienia praworządności w Unii, w szczególności wniosków ustawodawczych mających na celu ochronę budżetu UE w przypadku powszechnych braków w zakresie praworządności, naruszeń praw człowieka, w tym praw kobiet, oraz naruszeń</w:t>
      </w:r>
      <w:r w:rsidRPr="006960E6">
        <w:t xml:space="preserve"> podstawowych wartości Unii Europejskiej; wzywa Komisję, by zbadała podstawową misję podmiotów, którym przyznaje się fundusze UE, oraz by wstrzymywała finansowanie lub nie udzielała go podmiotom, które wykorzystują fundusze UE do celów regresu w obszarze p</w:t>
      </w:r>
      <w:r w:rsidRPr="006960E6">
        <w:t xml:space="preserve">raw człowieka, w szczególności podstawowych praw kobiet i równouprawnienia płci, w tym praw i zdrowia reprodukcyjnego i seksualnego oraz praw kobiet do nietykalności cielesnej, autonomii i samostanowienia; wzywa państwa członkowskie do zabezpieczenia praw </w:t>
      </w:r>
      <w:r w:rsidRPr="006960E6">
        <w:t xml:space="preserve">reprodukcyjnych i seksualnych oraz zdrowia reprodukcyjnego i seksualnego, w tym dostępu do bezpiecznej i legalnej aborcji, w szczególności przez zagwarantowanie dostępności programów i usług w zakresie zdrowia reprodukcyjnego zapewniających rodzaje opieki </w:t>
      </w:r>
      <w:r w:rsidRPr="006960E6">
        <w:t>i leki niezbędne dla świadomego planowania rodziny i zdrowia matek i noworodków;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3.</w:t>
      </w:r>
      <w:r w:rsidRPr="006960E6">
        <w:tab/>
        <w:t>odnotowuje stosowaną przez Komisję metodykę monitorowania aspektów wyda</w:t>
      </w:r>
      <w:r>
        <w:t>tków związanych z płcią od 2023 </w:t>
      </w:r>
      <w:r w:rsidRPr="006960E6">
        <w:t>r.; przypomina, że według oceny jedynie w 2 % budżetu Unii głównym ce</w:t>
      </w:r>
      <w:r w:rsidRPr="006960E6">
        <w:t>lem jest poprawa równouprawnienia płci; wzywa Komisję do poprawy tej oceny poprzez uwzględnianie aspektu płci od początku opracowywania programu; przypomina, że potrzebne są dalsze szczegółowe informacje, aby można było w pełni zrozumieć, dlaczego dla więk</w:t>
      </w:r>
      <w:r w:rsidRPr="006960E6">
        <w:t>szości wydatków (73 %) potencjał przyczynienia się do równouprawnienia płci oceniono jako 0*; zauważa z zaniepokojeniem, że w sprawozdaniu specjalnym nr 10/2021 opublikowanym przez Europejski Trybunał Obrachunkowy potwierdzono, że w cyklu budżetowym Unii n</w:t>
      </w:r>
      <w:r w:rsidRPr="006960E6">
        <w:t>ie uwzględniono jeszcze odpowiednio równouprawnienia płci, ponieważ w dużej mierze brakuje kluczowych elementów, takich jak analiza płci, cele związane z płcią, wskaźniki i rozliczalność w ramach sprawozdawczości,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4.</w:t>
      </w:r>
      <w:r w:rsidRPr="006960E6">
        <w:tab/>
        <w:t xml:space="preserve">z zadowoleniem przyjmuje prace Komisji </w:t>
      </w:r>
      <w:r w:rsidRPr="006960E6">
        <w:t xml:space="preserve">nad nową klasyfikacją w celu pomiaru wpływu wydatków Unii w aspekcie płci; wzywa Komisję do dopilnowania, aby klasyfikacja ta koncentrowała się na dokładnym i kompleksowym przedstawieniu wpływu programów na równouprawnienie płci; wobec zakończenia obecnej </w:t>
      </w:r>
      <w:r w:rsidRPr="006960E6">
        <w:t>kadencji wzywa Komisję do kontynuowania prac nad równouprawnieniem płci i apeluje o ustanowienie w następnej kadencji funkcji komisarza ds. równości płci; odnotowuje fakt, że równouprawnienie płci i uwzględnianie aspektu płci to jedna z horyzontalnych zasa</w:t>
      </w:r>
      <w:r w:rsidRPr="006960E6">
        <w:t>d dotyczących funduszy unijnych w wieloletnich ramach finansowych na lata 2021–2027 oraz w ramach Instrumentu na rzecz Odbudowy i Zwiększania Odporności; niemniej jednak wzywa Komisję do pełnego wdrożenia zaleceń Europejskiego Trybunału Obrachunkowego, mię</w:t>
      </w:r>
      <w:r w:rsidRPr="006960E6">
        <w:t>dzy innymi w ramach śródokresowego przeglądu obecnych wieloletnich ram finansowych i wdrażania Instrumentu na rzecz Odbudowy i Zwiększania Odporności; wzywa Komisję do dopilnowania, aby klasyfikacja ta koncentrowała się na dokładnym i kompleksowym przedsta</w:t>
      </w:r>
      <w:r w:rsidRPr="006960E6">
        <w:t xml:space="preserve">wieniu wpływu wszystkich programów i funduszy; przypomina w tym kontekście, że kompleksowa metodyka monitorowania aspektu płci musi obejmować sprawozdawczość na temat negatywnego </w:t>
      </w:r>
      <w:r w:rsidRPr="006960E6">
        <w:lastRenderedPageBreak/>
        <w:t>wpływu na równouprawnienie płci;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5.</w:t>
      </w:r>
      <w:r w:rsidRPr="006960E6">
        <w:tab/>
        <w:t>podkreśla, że kobiety i mężczyźni powinni</w:t>
      </w:r>
      <w:r w:rsidRPr="006960E6">
        <w:t xml:space="preserve"> w równym stopniu korzystać z Instrumentu na rzecz Odbudowy i Zwiększania Odporności, w szczególności z uwagi na 13 % zróżnicowanie wynagrodzenia ze względu na płeć w Unii; przypomina, że Komisja wprowadziła ocenę pod kątem płci planów odbudowy i zwiększan</w:t>
      </w:r>
      <w:r w:rsidRPr="006960E6">
        <w:t>ia odporności państw członkowskich jedynie ex ante i że wykazała ona, że niektóre państwa członkowskie nie miały żadnych środków, które koncentrowałyby się na równouprawnieniu płci; podkreśla w związku z tym znaczenie wymogów w zakresie gromadzenia danych,</w:t>
      </w:r>
      <w:r w:rsidRPr="006960E6">
        <w:t xml:space="preserve"> aby umożliwić systematyczne i kompleksowe gromadzenie danych segregowanych według kryterium płci w kontekście wszystkich odpowiednich strategii politycznych UE; wzywa Komisję, aby potraktowała tę kwestię priorytetowo i wykorzystała możliwości poprawy wymo</w:t>
      </w:r>
      <w:r w:rsidRPr="006960E6">
        <w:t>gów w zakresie gromadzenia danych i wskaźników w nowych przepisach i przeglądach, takich jak przekształcenie zasad finansowych mających zastosowanie do budżetu ogólnego Unii; wzywa Komisję do wywiązania się z zobowiązania podjętego przez przewodniczącą Urs</w:t>
      </w:r>
      <w:r w:rsidRPr="006960E6">
        <w:t>ulę von der Leyen na rzecz promowania równouprawnienia płci we wszystkich procesach kształtowania polityki oraz wzywa Komisję do wywiązania się z zobowiązań w ramach strategii na rzecz równouprawnienia płci na lata 2020–2025, a także podkreśla, że należy z</w:t>
      </w:r>
      <w:r w:rsidRPr="006960E6">
        <w:t>robić znacznie więcej, ponieważ w głównych wnioskach Komisji dotyczących klimatu, środowiska i gospodarki brakuje perspektywy płci; podkreśla, że w ostatnim dziesięcioleciu, od czasu wybuchu kryzysu gospodarczo-finansowego, nierówności gospodarcze i społec</w:t>
      </w:r>
      <w:r w:rsidRPr="006960E6">
        <w:t>zne, nierówności w zakresie zatrudnienia oraz nierówności ze względu na płeć w obrębie państw członkowskich i między nimi sprawiły, że życie kobiet i dziewcząt stało się trudniejsze; w związku z tym przypomina o ważnej roli Europejskiego Instytutu ds. Równ</w:t>
      </w:r>
      <w:r w:rsidRPr="006960E6">
        <w:t>ości Kobiet i Mężczyzn w uświadamianiu skali i przyczyn nierówności płci w UE; w związku z tym wzywa do zwiększenia jego budżetu, personelu i niezależności;</w:t>
      </w:r>
    </w:p>
    <w:p w:rsidR="001E38DF" w:rsidRPr="006960E6" w:rsidRDefault="00325DB0" w:rsidP="001E38DF">
      <w:pPr>
        <w:pStyle w:val="NormalHanging12a"/>
        <w:rPr>
          <w:szCs w:val="24"/>
        </w:rPr>
      </w:pPr>
      <w:r w:rsidRPr="006960E6">
        <w:t>6.</w:t>
      </w:r>
      <w:r w:rsidRPr="006960E6">
        <w:tab/>
        <w:t>w świetle kryzysu związanego z przemocą ze względu na płeć, w obliczu którego stoi Unia, ponawia</w:t>
      </w:r>
      <w:r w:rsidRPr="006960E6">
        <w:t xml:space="preserve"> apele o specjalną linię budżetową na rzecz równouprawnienia płci, w szczególności w ramach programu Dafne; podkreśla, że istotne jest wzmocnienie specjalnej inicjatywy Daphne przez zwiększenie jej zasobów, w szczególności środków mających na celu zwalczan</w:t>
      </w:r>
      <w:r w:rsidRPr="006960E6">
        <w:t>ie wszelkich form przemocy ze względu na płeć wobec kobiet i dziewcząt na wszystkich szczeblach oraz przemocy domowej zgodnie z art. 7 ust. 6 rozporządzenia (UE) 2021/692, a także zapewnienie odpowiedniego wsparcia ofiarom; ponadto podkreśla znaczenie wyko</w:t>
      </w:r>
      <w:r w:rsidRPr="006960E6">
        <w:t>rzystania europejskich funduszy strukturalnych i inwestycyjnych, takich jak Europejski Fundusz Społeczny Plus (EFS+), do promowania równouprawnienia płci, zatrudnienia kobiet, wzmocnienia pozycji, przedsiębiorczości, przywództwa i funkcji kierowniczych kob</w:t>
      </w:r>
      <w:r w:rsidRPr="006960E6">
        <w:t>iet, a także placówek opieki długoterminowej; zauważa, że z badania zleconego przez komisję FEMM</w:t>
      </w:r>
      <w:r w:rsidRPr="006960E6">
        <w:rPr>
          <w:vertAlign w:val="superscript"/>
        </w:rPr>
        <w:footnoteReference w:id="1"/>
      </w:r>
      <w:r w:rsidRPr="006960E6">
        <w:t xml:space="preserve"> wynika, że mężczyźni są często faworyzowani w stosunku do kobiet i grup zmarginalizowanych, jeśli chodzi o strukturę dotacji i wsparcia w ramach pakietu „Goto</w:t>
      </w:r>
      <w:r w:rsidRPr="006960E6">
        <w:t>wi na 55”, a także w innych strategiach politycznych, programach i finansowaniu zielonej transformacji;</w:t>
      </w:r>
    </w:p>
    <w:p w:rsidR="001E38DF" w:rsidRPr="006960E6" w:rsidRDefault="00325DB0" w:rsidP="001E38DF">
      <w:pPr>
        <w:pStyle w:val="NormalHanging12a"/>
      </w:pPr>
      <w:r w:rsidRPr="006960E6">
        <w:t>7.</w:t>
      </w:r>
      <w:r w:rsidRPr="006960E6">
        <w:tab/>
        <w:t xml:space="preserve">w oparciu o obecnie dostępne informacje uważa, że należy udzielić absolutorium z </w:t>
      </w:r>
      <w:r w:rsidRPr="006960E6">
        <w:lastRenderedPageBreak/>
        <w:t>wykonania budżetu UE za rok budżetowy 2022.</w:t>
      </w:r>
    </w:p>
    <w:p w:rsidR="00526DDB" w:rsidRPr="006960E6" w:rsidRDefault="00325DB0" w:rsidP="00526DDB">
      <w:r w:rsidRPr="006960E6">
        <w:br w:type="page"/>
      </w:r>
    </w:p>
    <w:p w:rsidR="00314030" w:rsidRPr="006960E6" w:rsidRDefault="00325DB0" w:rsidP="00314030">
      <w:pPr>
        <w:pStyle w:val="PageHeadingNotTOC"/>
        <w:rPr>
          <w:noProof/>
        </w:rPr>
      </w:pPr>
      <w:r w:rsidRPr="006960E6">
        <w:lastRenderedPageBreak/>
        <w:t>ZAŁĄCZNIK: PODMIOTY LU</w:t>
      </w:r>
      <w:r w:rsidRPr="006960E6">
        <w:t>B OSOBY,</w:t>
      </w:r>
      <w:r w:rsidRPr="006960E6">
        <w:br/>
        <w:t>OD KTÓRYCH SPRAWOZDAWCA OTRZYMAŁ INFORMACJE</w:t>
      </w:r>
    </w:p>
    <w:p w:rsidR="00314030" w:rsidRPr="006960E6" w:rsidRDefault="00325DB0" w:rsidP="00314030">
      <w:pPr>
        <w:pStyle w:val="Normal24a"/>
      </w:pPr>
      <w:r w:rsidRPr="006960E6">
        <w:rPr>
          <w:rStyle w:val="HideTWBExt"/>
        </w:rPr>
        <w:t>&lt;FootprintIntro&gt;</w:t>
      </w:r>
      <w:r w:rsidRPr="006960E6">
        <w:t>Sprawozdawca oświadcza na własną odpowiedzialność, że nie otrzymał informacji od żadnego podmiotu ani od żadnej osoby, które należałoby wymienić w tym załączniku zgodnie z art. 8 załączni</w:t>
      </w:r>
      <w:r w:rsidRPr="006960E6">
        <w:t>ka I do Regulaminu.</w:t>
      </w:r>
      <w:r w:rsidRPr="006960E6">
        <w:rPr>
          <w:rStyle w:val="HideTWBExt"/>
        </w:rPr>
        <w:t>&lt;/FootprintIntro&gt;</w:t>
      </w: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314030" w:rsidRPr="006960E6" w:rsidRDefault="00314030">
      <w:pPr>
        <w:autoSpaceDE w:val="0"/>
        <w:autoSpaceDN w:val="0"/>
        <w:adjustRightInd w:val="0"/>
        <w:spacing w:before="240" w:after="240"/>
        <w:jc w:val="center"/>
      </w:pPr>
    </w:p>
    <w:p w:rsidR="004808C5" w:rsidRPr="006960E6" w:rsidRDefault="00325DB0" w:rsidP="004808C5">
      <w:pPr>
        <w:pStyle w:val="PageHeadingNotTOC"/>
      </w:pPr>
      <w:bookmarkStart w:id="1" w:name="ProcPageAD"/>
      <w:r w:rsidRPr="006960E6">
        <w:t>INFORMACJE O PRZYJĘCIU W KOMISJI OPINIODAWCZEJ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5C6E4D" w:rsidRPr="006960E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960E6"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4808C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4808C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4808C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5C6E4D" w:rsidRPr="006960E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960E6"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+:</w:t>
            </w:r>
          </w:p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–:</w:t>
            </w:r>
          </w:p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23</w:t>
            </w:r>
          </w:p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4</w:t>
            </w:r>
          </w:p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2</w:t>
            </w:r>
          </w:p>
        </w:tc>
      </w:tr>
      <w:tr w:rsidR="005C6E4D" w:rsidRPr="006960E6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960E6">
              <w:rPr>
                <w:b/>
                <w:color w:val="000000"/>
                <w:sz w:val="20"/>
              </w:rPr>
              <w:t>Posłowie obecni podczas głosowania końcowego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 xml:space="preserve">Christine Anderson, Robert </w:t>
            </w:r>
            <w:r w:rsidRPr="006960E6">
              <w:rPr>
                <w:color w:val="000000"/>
                <w:sz w:val="20"/>
              </w:rPr>
              <w:t>Biedroń, Vilija Blinkevičiūtė, Maria da Graça Carvalho, Margarita de la Pisa Carrión, Gwendoline Delbos-Corfield, Frances Fitzgerald, Lívia Járóka, Arba Kokalari, Alice Kuhnke, Elżbieta Katarzyna Łukacijewska, Andżelika Anna Możdżanowska, Johan Nissinen, C</w:t>
            </w:r>
            <w:r w:rsidRPr="006960E6">
              <w:rPr>
                <w:color w:val="000000"/>
                <w:sz w:val="20"/>
              </w:rPr>
              <w:t>arina Ohlsson, Sandra Pereira, Samira Rafaela, Evelyn Regner, Diana Riba i Giner, Eugenia Rodríguez Palop, María Soraya Rodríguez Ramos, Maria Veronica Rossi, Sylwia Spurek, Marco Zullo</w:t>
            </w:r>
          </w:p>
        </w:tc>
      </w:tr>
      <w:tr w:rsidR="005C6E4D" w:rsidRPr="006960E6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960E6">
              <w:rPr>
                <w:b/>
                <w:color w:val="000000"/>
                <w:sz w:val="20"/>
              </w:rPr>
              <w:t>Zastępcy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 xml:space="preserve">Laura Ballarín Cereza, </w:t>
            </w:r>
            <w:r w:rsidRPr="006960E6">
              <w:rPr>
                <w:color w:val="000000"/>
                <w:sz w:val="20"/>
              </w:rPr>
              <w:t>Sylvie Brunet, Marina Kaljurand, Eleni Stavrou</w:t>
            </w:r>
          </w:p>
        </w:tc>
      </w:tr>
      <w:tr w:rsidR="005C6E4D" w:rsidRPr="006960E6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6960E6">
              <w:rPr>
                <w:b/>
                <w:color w:val="000000"/>
                <w:sz w:val="20"/>
              </w:rPr>
              <w:t>Zastępcy (art. 209 ust. 7)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4808C5" w:rsidRPr="006960E6" w:rsidRDefault="00325DB0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6960E6">
              <w:rPr>
                <w:color w:val="000000"/>
                <w:sz w:val="20"/>
              </w:rPr>
              <w:t>Milan Brglez, Rainer Wieland</w:t>
            </w:r>
          </w:p>
        </w:tc>
      </w:tr>
    </w:tbl>
    <w:p w:rsidR="004808C5" w:rsidRPr="006960E6" w:rsidRDefault="004808C5"/>
    <w:p w:rsidR="00D464A2" w:rsidRPr="006960E6" w:rsidRDefault="00D464A2" w:rsidP="00526DDB"/>
    <w:bookmarkEnd w:id="1"/>
    <w:p w:rsidR="00D74EFA" w:rsidRPr="006960E6" w:rsidRDefault="00D74EFA" w:rsidP="00D74EFA"/>
    <w:p w:rsidR="00D74EFA" w:rsidRPr="006960E6" w:rsidRDefault="00D74EFA" w:rsidP="00D74EFA">
      <w:pPr>
        <w:sectPr w:rsidR="00D74EFA" w:rsidRPr="006960E6" w:rsidSect="006960E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D74EFA" w:rsidRPr="006960E6" w:rsidRDefault="00325DB0" w:rsidP="00C36610">
      <w:pPr>
        <w:pStyle w:val="PageHeadingNotTOC"/>
      </w:pPr>
      <w:bookmarkStart w:id="2" w:name="RollCallPageAD"/>
      <w:r w:rsidRPr="006960E6">
        <w:lastRenderedPageBreak/>
        <w:t>GŁOSOWANIE KOŃCOWE W FORMIE GŁOSOWANIA IMIENNEGO 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C6E4D" w:rsidRPr="006960E6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4EFA" w:rsidRPr="006960E6" w:rsidRDefault="00325DB0" w:rsidP="003858C5">
            <w:pPr>
              <w:pStyle w:val="RollCallVotes"/>
            </w:pPr>
            <w:r w:rsidRPr="006960E6">
              <w:t>23</w:t>
            </w:r>
          </w:p>
        </w:tc>
        <w:tc>
          <w:tcPr>
            <w:tcW w:w="7371" w:type="dxa"/>
            <w:shd w:val="pct10" w:color="000000" w:fill="FFFFFF"/>
          </w:tcPr>
          <w:p w:rsidR="00D74EFA" w:rsidRPr="006960E6" w:rsidRDefault="00325DB0" w:rsidP="003858C5">
            <w:pPr>
              <w:pStyle w:val="RollCallSymbols14pt"/>
            </w:pPr>
            <w:r w:rsidRPr="006960E6">
              <w:t>+</w:t>
            </w:r>
          </w:p>
        </w:tc>
      </w:tr>
      <w:tr w:rsidR="005C6E4D" w:rsidRPr="006960E6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PPE</w:t>
            </w:r>
          </w:p>
        </w:tc>
        <w:tc>
          <w:tcPr>
            <w:tcW w:w="737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 xml:space="preserve">Maria da Graça Carvalho, </w:t>
            </w:r>
            <w:r w:rsidRPr="006960E6">
              <w:t>Frances Fitzgerald, Arba Kokalari, Elżbieta Katarzyna Łukacijewska, Eleni Stavrou, Rainer Wieland</w:t>
            </w:r>
          </w:p>
        </w:tc>
      </w:tr>
      <w:tr w:rsidR="005C6E4D" w:rsidRPr="006960E6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Renew</w:t>
            </w:r>
          </w:p>
        </w:tc>
        <w:tc>
          <w:tcPr>
            <w:tcW w:w="737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Sylvie Brunet, Samira Rafaela, María Soraya Rodríguez Ramos, Marco Zullo</w:t>
            </w:r>
          </w:p>
        </w:tc>
      </w:tr>
      <w:tr w:rsidR="005C6E4D" w:rsidRPr="006960E6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S&amp;D</w:t>
            </w:r>
          </w:p>
        </w:tc>
        <w:tc>
          <w:tcPr>
            <w:tcW w:w="737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Laura Ballarín Cereza, Robert Biedroń, Vilija Blinkevičiūtė, Milan Brglez</w:t>
            </w:r>
            <w:r w:rsidRPr="006960E6">
              <w:t>, Marina Kaljurand, Carina Ohlsson, Evelyn Regner</w:t>
            </w:r>
          </w:p>
        </w:tc>
      </w:tr>
      <w:tr w:rsidR="005C6E4D" w:rsidRPr="00325DB0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D74EFA" w:rsidRPr="00325DB0" w:rsidRDefault="00325DB0" w:rsidP="003858C5">
            <w:pPr>
              <w:pStyle w:val="RollCallTable"/>
              <w:rPr>
                <w:lang w:val="pt-PT"/>
              </w:rPr>
            </w:pPr>
            <w:r w:rsidRPr="00325DB0">
              <w:rPr>
                <w:lang w:val="pt-PT"/>
              </w:rPr>
              <w:t>Sandra Pereira, Eugenia Rodríguez Palop</w:t>
            </w:r>
          </w:p>
        </w:tc>
      </w:tr>
      <w:tr w:rsidR="005C6E4D" w:rsidRPr="006960E6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Gwendoline Delbos-Corfield, Alice Kuhnke, Diana Riba i Giner, Sylwia Spurek</w:t>
            </w:r>
          </w:p>
        </w:tc>
      </w:tr>
    </w:tbl>
    <w:p w:rsidR="00D74EFA" w:rsidRPr="006960E6" w:rsidRDefault="00D74EFA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C6E4D" w:rsidRPr="006960E6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4EFA" w:rsidRPr="006960E6" w:rsidRDefault="00325DB0" w:rsidP="003858C5">
            <w:pPr>
              <w:pStyle w:val="RollCallVotes"/>
            </w:pPr>
            <w:r w:rsidRPr="006960E6">
              <w:t>4</w:t>
            </w:r>
          </w:p>
        </w:tc>
        <w:tc>
          <w:tcPr>
            <w:tcW w:w="7371" w:type="dxa"/>
            <w:shd w:val="pct10" w:color="000000" w:fill="FFFFFF"/>
          </w:tcPr>
          <w:p w:rsidR="00D74EFA" w:rsidRPr="006960E6" w:rsidRDefault="00325DB0" w:rsidP="003858C5">
            <w:pPr>
              <w:pStyle w:val="RollCallSymbols14pt"/>
            </w:pPr>
            <w:r w:rsidRPr="006960E6">
              <w:t>-</w:t>
            </w:r>
          </w:p>
        </w:tc>
      </w:tr>
      <w:tr w:rsidR="005C6E4D" w:rsidRPr="006960E6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ECR</w:t>
            </w:r>
          </w:p>
        </w:tc>
        <w:tc>
          <w:tcPr>
            <w:tcW w:w="737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Johan Nissinen, Margarita de la Pisa Carrión</w:t>
            </w:r>
          </w:p>
        </w:tc>
      </w:tr>
      <w:tr w:rsidR="005C6E4D" w:rsidRPr="00325DB0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ID</w:t>
            </w:r>
          </w:p>
        </w:tc>
        <w:tc>
          <w:tcPr>
            <w:tcW w:w="7371" w:type="dxa"/>
            <w:shd w:val="clear" w:color="auto" w:fill="FFFFFF"/>
          </w:tcPr>
          <w:p w:rsidR="00D74EFA" w:rsidRPr="00325DB0" w:rsidRDefault="00325DB0" w:rsidP="003858C5">
            <w:pPr>
              <w:pStyle w:val="RollCallTable"/>
              <w:rPr>
                <w:lang w:val="it-IT"/>
              </w:rPr>
            </w:pPr>
            <w:r w:rsidRPr="00325DB0">
              <w:rPr>
                <w:lang w:val="it-IT"/>
              </w:rPr>
              <w:t>Christine</w:t>
            </w:r>
            <w:r w:rsidRPr="00325DB0">
              <w:rPr>
                <w:lang w:val="it-IT"/>
              </w:rPr>
              <w:t xml:space="preserve"> Anderson, Maria Veronica Rossi</w:t>
            </w:r>
          </w:p>
        </w:tc>
      </w:tr>
    </w:tbl>
    <w:p w:rsidR="00D74EFA" w:rsidRPr="00325DB0" w:rsidRDefault="00D74EFA" w:rsidP="00147FBF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5C6E4D" w:rsidRPr="006960E6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D74EFA" w:rsidRPr="006960E6" w:rsidRDefault="00325DB0" w:rsidP="003858C5">
            <w:pPr>
              <w:pStyle w:val="RollCallVotes"/>
            </w:pPr>
            <w:r w:rsidRPr="006960E6">
              <w:t>2</w:t>
            </w:r>
          </w:p>
        </w:tc>
        <w:tc>
          <w:tcPr>
            <w:tcW w:w="7371" w:type="dxa"/>
            <w:shd w:val="pct10" w:color="000000" w:fill="FFFFFF"/>
          </w:tcPr>
          <w:p w:rsidR="00D74EFA" w:rsidRPr="006960E6" w:rsidRDefault="00325DB0" w:rsidP="003858C5">
            <w:pPr>
              <w:pStyle w:val="RollCallSymbols14pt"/>
            </w:pPr>
            <w:r w:rsidRPr="006960E6">
              <w:t>0</w:t>
            </w:r>
          </w:p>
        </w:tc>
      </w:tr>
      <w:tr w:rsidR="005C6E4D" w:rsidRPr="006960E6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ECR</w:t>
            </w:r>
          </w:p>
        </w:tc>
        <w:tc>
          <w:tcPr>
            <w:tcW w:w="737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Andżelika Anna Możdżanowska</w:t>
            </w:r>
          </w:p>
        </w:tc>
      </w:tr>
      <w:tr w:rsidR="005C6E4D" w:rsidRPr="006960E6" w:rsidTr="008920AC">
        <w:trPr>
          <w:cantSplit/>
        </w:trPr>
        <w:tc>
          <w:tcPr>
            <w:tcW w:w="170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NI</w:t>
            </w:r>
          </w:p>
        </w:tc>
        <w:tc>
          <w:tcPr>
            <w:tcW w:w="7371" w:type="dxa"/>
            <w:shd w:val="clear" w:color="auto" w:fill="FFFFFF"/>
          </w:tcPr>
          <w:p w:rsidR="00D74EFA" w:rsidRPr="006960E6" w:rsidRDefault="00325DB0" w:rsidP="003858C5">
            <w:pPr>
              <w:pStyle w:val="RollCallTable"/>
            </w:pPr>
            <w:r w:rsidRPr="006960E6">
              <w:t>Lívia Járóka</w:t>
            </w:r>
          </w:p>
        </w:tc>
      </w:tr>
    </w:tbl>
    <w:p w:rsidR="00D74EFA" w:rsidRPr="006960E6" w:rsidRDefault="00D74EFA" w:rsidP="00147FBF">
      <w:pPr>
        <w:pStyle w:val="Normal12a"/>
      </w:pPr>
    </w:p>
    <w:p w:rsidR="00D74EFA" w:rsidRPr="006960E6" w:rsidRDefault="00325DB0" w:rsidP="00B735E3">
      <w:r w:rsidRPr="006960E6">
        <w:t>Objaśnienie używanych znaków:</w:t>
      </w:r>
    </w:p>
    <w:p w:rsidR="00D74EFA" w:rsidRPr="006960E6" w:rsidRDefault="00325DB0" w:rsidP="003858C5">
      <w:pPr>
        <w:pStyle w:val="RollCallTabs"/>
      </w:pPr>
      <w:r w:rsidRPr="006960E6">
        <w:t>+</w:t>
      </w:r>
      <w:r w:rsidRPr="006960E6">
        <w:tab/>
        <w:t>:</w:t>
      </w:r>
      <w:r w:rsidRPr="006960E6">
        <w:tab/>
        <w:t>za</w:t>
      </w:r>
    </w:p>
    <w:p w:rsidR="00D74EFA" w:rsidRPr="006960E6" w:rsidRDefault="00325DB0" w:rsidP="003858C5">
      <w:pPr>
        <w:pStyle w:val="RollCallTabs"/>
      </w:pPr>
      <w:r w:rsidRPr="006960E6">
        <w:t>-</w:t>
      </w:r>
      <w:r w:rsidRPr="006960E6">
        <w:tab/>
        <w:t>:</w:t>
      </w:r>
      <w:r w:rsidRPr="006960E6">
        <w:tab/>
        <w:t>przeciw</w:t>
      </w:r>
    </w:p>
    <w:p w:rsidR="00D74EFA" w:rsidRPr="006960E6" w:rsidRDefault="00325DB0" w:rsidP="003858C5">
      <w:pPr>
        <w:pStyle w:val="RollCallTabs"/>
      </w:pPr>
      <w:r w:rsidRPr="006960E6">
        <w:t>0</w:t>
      </w:r>
      <w:r w:rsidRPr="006960E6">
        <w:tab/>
        <w:t>:</w:t>
      </w:r>
      <w:r w:rsidRPr="006960E6">
        <w:tab/>
        <w:t>wstrzymało się</w:t>
      </w:r>
    </w:p>
    <w:bookmarkEnd w:id="2"/>
    <w:sectPr w:rsidR="00D74EFA" w:rsidRPr="006960E6" w:rsidSect="00D74EF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6960E6" w:rsidRDefault="00325DB0">
      <w:r w:rsidRPr="006960E6">
        <w:separator/>
      </w:r>
    </w:p>
  </w:endnote>
  <w:endnote w:type="continuationSeparator" w:id="0">
    <w:p w:rsidR="00000000" w:rsidRPr="006960E6" w:rsidRDefault="00325DB0">
      <w:r w:rsidRPr="006960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0E6" w:rsidRPr="006960E6" w:rsidRDefault="006960E6" w:rsidP="006960E6">
    <w:pPr>
      <w:pStyle w:val="EPFooter"/>
    </w:pPr>
    <w:r w:rsidRPr="006960E6">
      <w:t>PE</w:t>
    </w:r>
    <w:r w:rsidRPr="006960E6">
      <w:rPr>
        <w:rStyle w:val="HideTWBExt"/>
      </w:rPr>
      <w:t>&lt;NoPE&gt;</w:t>
    </w:r>
    <w:r w:rsidRPr="006960E6">
      <w:t>754.838</w:t>
    </w:r>
    <w:r w:rsidRPr="006960E6">
      <w:rPr>
        <w:rStyle w:val="HideTWBExt"/>
      </w:rPr>
      <w:t>&lt;/NoPE&gt;&lt;Version&gt;</w:t>
    </w:r>
    <w:r w:rsidRPr="006960E6">
      <w:t>v02-00</w:t>
    </w:r>
    <w:r w:rsidRPr="006960E6">
      <w:rPr>
        <w:rStyle w:val="HideTWBExt"/>
      </w:rPr>
      <w:t>&lt;/Version&gt;</w:t>
    </w:r>
    <w:r w:rsidRPr="006960E6">
      <w:tab/>
    </w:r>
    <w:r w:rsidRPr="006960E6">
      <w:fldChar w:fldCharType="begin"/>
    </w:r>
    <w:r w:rsidRPr="006960E6">
      <w:instrText xml:space="preserve"> PAGE  \* MERGEFORMAT </w:instrText>
    </w:r>
    <w:r w:rsidRPr="006960E6">
      <w:fldChar w:fldCharType="separate"/>
    </w:r>
    <w:r w:rsidR="00325DB0">
      <w:rPr>
        <w:noProof/>
      </w:rPr>
      <w:t>6</w:t>
    </w:r>
    <w:r w:rsidRPr="006960E6">
      <w:fldChar w:fldCharType="end"/>
    </w:r>
    <w:r w:rsidRPr="006960E6">
      <w:t>/</w:t>
    </w:r>
    <w:fldSimple w:instr=" NUMPAGES  \* MERGEFORMAT ">
      <w:r w:rsidR="00325DB0">
        <w:rPr>
          <w:noProof/>
        </w:rPr>
        <w:t>8</w:t>
      </w:r>
    </w:fldSimple>
    <w:r w:rsidRPr="006960E6">
      <w:tab/>
    </w:r>
    <w:r w:rsidRPr="006960E6">
      <w:rPr>
        <w:rStyle w:val="HideTWBExt"/>
      </w:rPr>
      <w:t>&lt;PathFdR&gt;</w:t>
    </w:r>
    <w:r w:rsidRPr="006960E6">
      <w:t>AD\1294925PL.docx</w:t>
    </w:r>
    <w:r w:rsidRPr="006960E6">
      <w:rPr>
        <w:rStyle w:val="HideTWBExt"/>
      </w:rPr>
      <w:t>&lt;/PathFdR&gt;</w:t>
    </w:r>
  </w:p>
  <w:p w:rsidR="002E2F2E" w:rsidRPr="006960E6" w:rsidRDefault="006960E6" w:rsidP="006960E6">
    <w:pPr>
      <w:pStyle w:val="EPFooter2"/>
    </w:pPr>
    <w:r w:rsidRPr="006960E6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0E6" w:rsidRPr="006960E6" w:rsidRDefault="006960E6" w:rsidP="006960E6">
    <w:pPr>
      <w:pStyle w:val="EPFooter"/>
    </w:pPr>
    <w:r w:rsidRPr="006960E6">
      <w:rPr>
        <w:rStyle w:val="HideTWBExt"/>
      </w:rPr>
      <w:t>&lt;PathFdR&gt;</w:t>
    </w:r>
    <w:r w:rsidRPr="006960E6">
      <w:t>AD\1294925PL.docx</w:t>
    </w:r>
    <w:r w:rsidRPr="006960E6">
      <w:rPr>
        <w:rStyle w:val="HideTWBExt"/>
      </w:rPr>
      <w:t>&lt;/PathFdR&gt;</w:t>
    </w:r>
    <w:r w:rsidRPr="006960E6">
      <w:tab/>
    </w:r>
    <w:r w:rsidRPr="006960E6">
      <w:fldChar w:fldCharType="begin"/>
    </w:r>
    <w:r w:rsidRPr="006960E6">
      <w:instrText xml:space="preserve"> PAGE  \* MERGEFORMAT </w:instrText>
    </w:r>
    <w:r w:rsidRPr="006960E6">
      <w:fldChar w:fldCharType="separate"/>
    </w:r>
    <w:r w:rsidR="00325DB0">
      <w:rPr>
        <w:noProof/>
      </w:rPr>
      <w:t>5</w:t>
    </w:r>
    <w:r w:rsidRPr="006960E6">
      <w:fldChar w:fldCharType="end"/>
    </w:r>
    <w:r w:rsidRPr="006960E6">
      <w:t>/</w:t>
    </w:r>
    <w:fldSimple w:instr=" NUMPAGES  \* MERGEFORMAT ">
      <w:r w:rsidR="00325DB0">
        <w:rPr>
          <w:noProof/>
        </w:rPr>
        <w:t>8</w:t>
      </w:r>
    </w:fldSimple>
    <w:r w:rsidRPr="006960E6">
      <w:tab/>
      <w:t>PE</w:t>
    </w:r>
    <w:r w:rsidRPr="006960E6">
      <w:rPr>
        <w:rStyle w:val="HideTWBExt"/>
      </w:rPr>
      <w:t>&lt;NoPE&gt;</w:t>
    </w:r>
    <w:r w:rsidRPr="006960E6">
      <w:t>754.838</w:t>
    </w:r>
    <w:r w:rsidRPr="006960E6">
      <w:rPr>
        <w:rStyle w:val="HideTWBExt"/>
      </w:rPr>
      <w:t>&lt;/NoPE&gt;&lt;Version&gt;</w:t>
    </w:r>
    <w:r w:rsidRPr="006960E6">
      <w:t>v02-00</w:t>
    </w:r>
    <w:r w:rsidRPr="006960E6">
      <w:rPr>
        <w:rStyle w:val="HideTWBExt"/>
      </w:rPr>
      <w:t>&lt;/Version&gt;</w:t>
    </w:r>
  </w:p>
  <w:p w:rsidR="002E2F2E" w:rsidRPr="006960E6" w:rsidRDefault="006960E6" w:rsidP="006960E6">
    <w:pPr>
      <w:pStyle w:val="EPFooter2"/>
    </w:pPr>
    <w:r w:rsidRPr="006960E6">
      <w:tab/>
    </w:r>
    <w:r w:rsidRPr="006960E6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0E6" w:rsidRPr="006960E6" w:rsidRDefault="006960E6" w:rsidP="006960E6">
    <w:pPr>
      <w:pStyle w:val="EPFooter"/>
    </w:pPr>
    <w:r w:rsidRPr="006960E6">
      <w:rPr>
        <w:rStyle w:val="HideTWBExt"/>
      </w:rPr>
      <w:t>&lt;PathFdR&gt;</w:t>
    </w:r>
    <w:r w:rsidRPr="006960E6">
      <w:t>AD\1294925PL.docx</w:t>
    </w:r>
    <w:r w:rsidRPr="006960E6">
      <w:rPr>
        <w:rStyle w:val="HideTWBExt"/>
      </w:rPr>
      <w:t>&lt;/PathFdR&gt;</w:t>
    </w:r>
    <w:r w:rsidRPr="006960E6">
      <w:tab/>
    </w:r>
    <w:r w:rsidRPr="006960E6">
      <w:tab/>
      <w:t>PE</w:t>
    </w:r>
    <w:r w:rsidRPr="006960E6">
      <w:rPr>
        <w:rStyle w:val="HideTWBExt"/>
      </w:rPr>
      <w:t>&lt;NoPE&gt;</w:t>
    </w:r>
    <w:r w:rsidRPr="006960E6">
      <w:t>754.838</w:t>
    </w:r>
    <w:r w:rsidRPr="006960E6">
      <w:rPr>
        <w:rStyle w:val="HideTWBExt"/>
      </w:rPr>
      <w:t>&lt;/NoPE&gt;&lt;Version&gt;</w:t>
    </w:r>
    <w:r w:rsidRPr="006960E6">
      <w:t>v02-00</w:t>
    </w:r>
    <w:r w:rsidRPr="006960E6">
      <w:rPr>
        <w:rStyle w:val="HideTWBExt"/>
      </w:rPr>
      <w:t>&lt;/Version&gt;</w:t>
    </w:r>
  </w:p>
  <w:p w:rsidR="002E2F2E" w:rsidRPr="006960E6" w:rsidRDefault="006960E6" w:rsidP="006960E6">
    <w:pPr>
      <w:pStyle w:val="EPFooter2"/>
    </w:pPr>
    <w:r w:rsidRPr="006960E6">
      <w:t>PL</w:t>
    </w:r>
    <w:r w:rsidRPr="006960E6">
      <w:tab/>
    </w:r>
    <w:r w:rsidRPr="006960E6">
      <w:rPr>
        <w:b w:val="0"/>
        <w:i/>
        <w:color w:val="C0C0C0"/>
        <w:sz w:val="22"/>
      </w:rPr>
      <w:t>Zjednoczona w różnorodności</w:t>
    </w:r>
    <w:r w:rsidRPr="006960E6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B14" w:rsidRPr="006960E6" w:rsidRDefault="00325DB0">
      <w:r w:rsidRPr="006960E6">
        <w:separator/>
      </w:r>
    </w:p>
  </w:footnote>
  <w:footnote w:type="continuationSeparator" w:id="0">
    <w:p w:rsidR="00213B14" w:rsidRPr="006960E6" w:rsidRDefault="00325DB0">
      <w:r w:rsidRPr="006960E6">
        <w:continuationSeparator/>
      </w:r>
    </w:p>
  </w:footnote>
  <w:footnote w:id="1">
    <w:p w:rsidR="001E38DF" w:rsidRPr="006960E6" w:rsidRDefault="00325DB0" w:rsidP="001E38DF">
      <w:pPr>
        <w:pStyle w:val="FootnoteText"/>
      </w:pPr>
      <w:r w:rsidRPr="006960E6">
        <w:rPr>
          <w:rStyle w:val="FootnoteReference"/>
        </w:rPr>
        <w:footnoteRef/>
      </w:r>
      <w:r>
        <w:t xml:space="preserve"> </w:t>
      </w:r>
      <w:bookmarkStart w:id="0" w:name="_GoBack"/>
      <w:r w:rsidRPr="006960E6">
        <w:t>https://www.europarl.europa.eu/RegData/etudes/STUD/2022/736899/IPOL_STU(2022)736899_EN.pdf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DB0" w:rsidRDefault="00325D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DB0" w:rsidRDefault="00325D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DB0" w:rsidRDefault="00325D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FEMM"/>
    <w:docVar w:name="COMKEY" w:val="FEMM"/>
    <w:docVar w:name="CONTRIBUTIONMNU" w:val=" 2"/>
    <w:docVar w:name="FONCTIONMNU" w:val=" 2"/>
    <w:docVar w:name="LastAMInserted" w:val="12"/>
    <w:docVar w:name="LastEditedSection" w:val=" 1"/>
    <w:docVar w:name="NumberAMInserted" w:val="12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342\fbidi \fswiss\fcharset238\fprq2 Arial CE;}{\f343\fbidi \fswiss\fcharset204\fprq2 Arial Cyr;}_x000d__x000a_{\f345\fbidi \fswiss\fcharset161\fprq2 Arial Greek;}{\f346\fbidi \fswiss\fcharset162\fprq2 Arial Tur;}{\f347\fbidi \fswiss\fcharset177\fprq2 Arial (Hebrew);}{\f348\fbidi \fswiss\fcharset178\fprq2 Arial (Arabic);}_x000d__x000a_{\f349\fbidi \fswiss\fcharset186\fprq2 Arial Baltic;}{\f350\fbidi \fswiss\fcharset163\fprq2 Arial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4513490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14513490 NormalHanging12a;}}{\*\rsidtbl \rsid24658\rsid223860\rsid735077\rsid1718133\rsid2892074\rsid3565327\rsid4666813\rsid6641733\rsid7823322\rsid9636012\rsid10377208\rsid11215221\rsid11549030\rsid12154954_x000d__x000a_\rsid14382809\rsid14424199\rsid14513490\rsid14830128\rsid15204470\rsid15285974\rsid15950462\rsid16324206\rsid16662270}{\mmathPr\mmathFont34\mbrkBin0\mbrkBinSub0\msmallFrac0\mdispDef1\mlMargin0\mrMargin0\mdefJc1\mwrapIndent1440\mintLim0\mnaryLim1}{\info_x000d__x000a_{\author KATRIVESI Anna}{\operator KATRIVESI Anna}{\creatim\yr2024\mo1\dy24\hr15\min28}{\revtim\yr2024\mo1\dy24\hr15\min28}{\version1}{\edmins0}{\nofpages1}{\nofwords2}{\nofchars11}{\nofcharsws12}{\vern109}}{\*\xmlnstbl {\xmlns1 http://schemas.microsoft.c_x000d__x000a_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51349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KATRI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83012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83012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83012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83012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4513490 \rtlch\fcs1 \af0\afs20\alang1025 \ltrch\fcs0 \fs24\lang2057\langfe2057\cgrid\langnp2057\langfenp2057 {\rtlch\fcs1 \af0 _x000d__x000a_\ltrch\fcs0 \insrsid14513490\charrsid2177812 {\*\bkmkstart restart}#}{\rtlch\fcs1 \af1 \ltrch\fcs0 \cs17\v\f1\fs20\cf15\insrsid14513490\charrsid2177812 NRMSG}{\rtlch\fcs1 \af0 \ltrch\fcs0 \insrsid14513490\charrsid2177812 #.\tab ##}{\rtlch\fcs1 \af0 _x000d__x000a_\ltrch\fcs0 \insrsid14513490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e_x000d__x000a_b199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638299 NormalHanging12a;}}{\*\rsidtbl \rsid24658\rsid223860\rsid735077\rsid1718133\rsid2892074\rsid3565327\rsid4666813\rsid5908129\rsid6641733\rsid7823322_x000d__x000a_\rsid9636012\rsid10377208\rsid11215221\rsid11549030\rsid12154954\rsid13638299\rsid14382809\rsid14424199\rsid15204470\rsid15285974\rsid15950462\rsid16324206\rsid16662270}{\mmathPr\mmathFont34\mbrkBin0\mbrkBinSub0\msmallFrac0\mdispDef1\mlMargin0\mrMargin0_x000d__x000a_\mdefJc1\mwrapIndent1440\mintLim0\mnaryLim1}{\info{\author KATRIVESI Anna}{\operator KATRIVESI Anna}{\creatim\yr2024\mo1\dy24\hr15\min28}{\revtim\yr2024\mo1\dy24\hr15\min28}{\version1}{\edmins0}{\nofpages1}{\nofwords5}{\nofchars30}{\nofcharsws34}_x000d__x000a_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63829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KATRI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9081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9081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9081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90812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638299 \rtlch\fcs1 \af0\afs20\alang1025 \ltrch\fcs0 \fs24\lang2057\langfe2057\cgrid\langnp2057\langfenp2057 {\rtlch\fcs1 \af0 _x000d__x000a_\ltrch\fcs0 \insrsid13638299\charrsid1525456 {\*\bkmkstart restart}[ZSUGGESTIONNR]\tab [ZSUGGESTIONTEXT]}{\rtlch\fcs1 \af0 \ltrch\fcs0 \insrsid13638299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d19b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PL"/>
    <w:docVar w:name="TXTLANGUEMIN" w:val="pl"/>
    <w:docVar w:name="TXTNRPE" w:val="754.838"/>
    <w:docVar w:name="TXTNRPROC" w:val="2023/2129"/>
    <w:docVar w:name="TXTPEorAP" w:val="PE"/>
    <w:docVar w:name="TXTROUTE" w:val="AD\1294925PL.docx"/>
    <w:docVar w:name="TXTTITLE" w:val="2022 DISCHARGE/ General budget of the EU - Commission"/>
    <w:docVar w:name="TXTVERSION" w:val="02-00"/>
  </w:docVars>
  <w:rsids>
    <w:rsidRoot w:val="00213B14"/>
    <w:rsid w:val="000701FE"/>
    <w:rsid w:val="000846BF"/>
    <w:rsid w:val="000E7EBF"/>
    <w:rsid w:val="00124F60"/>
    <w:rsid w:val="00135121"/>
    <w:rsid w:val="00140BE6"/>
    <w:rsid w:val="00147F4E"/>
    <w:rsid w:val="00147FBF"/>
    <w:rsid w:val="0016635E"/>
    <w:rsid w:val="001746D0"/>
    <w:rsid w:val="00192188"/>
    <w:rsid w:val="001B7393"/>
    <w:rsid w:val="001C3E23"/>
    <w:rsid w:val="001D2ED9"/>
    <w:rsid w:val="001E38DF"/>
    <w:rsid w:val="001E6E5E"/>
    <w:rsid w:val="001F21C1"/>
    <w:rsid w:val="00213B14"/>
    <w:rsid w:val="00245873"/>
    <w:rsid w:val="002A2487"/>
    <w:rsid w:val="002D28A7"/>
    <w:rsid w:val="002E2F2E"/>
    <w:rsid w:val="002E6F98"/>
    <w:rsid w:val="00314030"/>
    <w:rsid w:val="00325BCB"/>
    <w:rsid w:val="00325DB0"/>
    <w:rsid w:val="00331944"/>
    <w:rsid w:val="00332AD9"/>
    <w:rsid w:val="00347D2C"/>
    <w:rsid w:val="00351460"/>
    <w:rsid w:val="003554AD"/>
    <w:rsid w:val="0037356F"/>
    <w:rsid w:val="003858C5"/>
    <w:rsid w:val="00390EB2"/>
    <w:rsid w:val="00396A0E"/>
    <w:rsid w:val="003C75B3"/>
    <w:rsid w:val="003E2402"/>
    <w:rsid w:val="00450AE5"/>
    <w:rsid w:val="00461D54"/>
    <w:rsid w:val="004808C5"/>
    <w:rsid w:val="004836D1"/>
    <w:rsid w:val="004C28FB"/>
    <w:rsid w:val="004C44C0"/>
    <w:rsid w:val="0052544E"/>
    <w:rsid w:val="00526DDB"/>
    <w:rsid w:val="005940C3"/>
    <w:rsid w:val="00594C48"/>
    <w:rsid w:val="005B2F11"/>
    <w:rsid w:val="005C0BDF"/>
    <w:rsid w:val="005C6E4D"/>
    <w:rsid w:val="005D60C6"/>
    <w:rsid w:val="006102E7"/>
    <w:rsid w:val="00640C1B"/>
    <w:rsid w:val="00657AFB"/>
    <w:rsid w:val="006960E6"/>
    <w:rsid w:val="006D5BF7"/>
    <w:rsid w:val="007A4AAE"/>
    <w:rsid w:val="007C4C8D"/>
    <w:rsid w:val="008233BB"/>
    <w:rsid w:val="008313E7"/>
    <w:rsid w:val="00854CAC"/>
    <w:rsid w:val="008A1FBD"/>
    <w:rsid w:val="008A32C5"/>
    <w:rsid w:val="008C6203"/>
    <w:rsid w:val="008D61E7"/>
    <w:rsid w:val="008F7002"/>
    <w:rsid w:val="00941BAD"/>
    <w:rsid w:val="0096194C"/>
    <w:rsid w:val="0099493F"/>
    <w:rsid w:val="00A046F3"/>
    <w:rsid w:val="00A16BEA"/>
    <w:rsid w:val="00A236F0"/>
    <w:rsid w:val="00A312B3"/>
    <w:rsid w:val="00A72C35"/>
    <w:rsid w:val="00A82017"/>
    <w:rsid w:val="00AB3C1F"/>
    <w:rsid w:val="00AD545A"/>
    <w:rsid w:val="00AE180F"/>
    <w:rsid w:val="00AF544D"/>
    <w:rsid w:val="00B362F7"/>
    <w:rsid w:val="00B5456B"/>
    <w:rsid w:val="00B6507E"/>
    <w:rsid w:val="00B735E3"/>
    <w:rsid w:val="00B74B53"/>
    <w:rsid w:val="00BC26E4"/>
    <w:rsid w:val="00BD1EAA"/>
    <w:rsid w:val="00C26D10"/>
    <w:rsid w:val="00C36610"/>
    <w:rsid w:val="00C51199"/>
    <w:rsid w:val="00C52384"/>
    <w:rsid w:val="00C52739"/>
    <w:rsid w:val="00C827FF"/>
    <w:rsid w:val="00C85D0F"/>
    <w:rsid w:val="00CD34AC"/>
    <w:rsid w:val="00D464A2"/>
    <w:rsid w:val="00D74EFA"/>
    <w:rsid w:val="00DE19FF"/>
    <w:rsid w:val="00E128F6"/>
    <w:rsid w:val="00E81BA6"/>
    <w:rsid w:val="00E856D2"/>
    <w:rsid w:val="00E929A7"/>
    <w:rsid w:val="00EB6467"/>
    <w:rsid w:val="00EE0BE6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004A2"/>
  <w15:chartTrackingRefBased/>
  <w15:docId w15:val="{94AD9D28-D493-4770-A4F3-39656005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8233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233BB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1E38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E38DF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rsid w:val="001E38DF"/>
    <w:rPr>
      <w:sz w:val="24"/>
    </w:rPr>
  </w:style>
  <w:style w:type="paragraph" w:styleId="FootnoteText">
    <w:name w:val="footnote text"/>
    <w:basedOn w:val="Normal"/>
    <w:link w:val="FootnoteTextChar"/>
    <w:rsid w:val="001E38D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E38DF"/>
  </w:style>
  <w:style w:type="character" w:styleId="FootnoteReference">
    <w:name w:val="footnote reference"/>
    <w:basedOn w:val="DefaultParagraphFont"/>
    <w:rsid w:val="001E38DF"/>
    <w:rPr>
      <w:vertAlign w:val="superscript"/>
    </w:rPr>
  </w:style>
  <w:style w:type="paragraph" w:customStyle="1" w:styleId="RollCallSymbols14pt">
    <w:name w:val="RollCallSymbols14pt"/>
    <w:basedOn w:val="Normal"/>
    <w:rsid w:val="00D74EF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D74EF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D74EF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D74EFA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D74EFA"/>
    <w:pPr>
      <w:spacing w:after="480"/>
    </w:pPr>
  </w:style>
  <w:style w:type="paragraph" w:customStyle="1" w:styleId="NormalBoldCenter">
    <w:name w:val="NormalBoldCenter"/>
    <w:basedOn w:val="Normal"/>
    <w:rsid w:val="00D74EFA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1643</Words>
  <Characters>10459</Characters>
  <Application>Microsoft Office Word</Application>
  <DocSecurity>0</DocSecurity>
  <Lines>247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2024-02-08T08:47:00Z</dcterms:created>
  <dcterms:modified xsi:type="dcterms:W3CDTF">2024-02-08T08:47:00Z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1294925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AD\1294925PL.docx</vt:lpwstr>
  </property>
  <property fmtid="{D5CDD505-2E9C-101B-9397-08002B2CF9AE}" pid="10" name="LastEdited with">
    <vt:lpwstr>9.17.1 Build [20240111]</vt:lpwstr>
  </property>
  <property fmtid="{D5CDD505-2E9C-101B-9397-08002B2CF9AE}" pid="11" name="PE number">
    <vt:lpwstr>754.838</vt:lpwstr>
  </property>
  <property fmtid="{D5CDD505-2E9C-101B-9397-08002B2CF9AE}" pid="12" name="SDLStudio">
    <vt:lpwstr/>
  </property>
  <property fmtid="{D5CDD505-2E9C-101B-9397-08002B2CF9AE}" pid="13" name="SendToEpades">
    <vt:lpwstr>OK - 2024/01/25 11:17</vt:lpwstr>
  </property>
  <property fmtid="{D5CDD505-2E9C-101B-9397-08002B2CF9AE}" pid="14" name="Bookout">
    <vt:lpwstr>OK - 2024/02/08 09:47</vt:lpwstr>
  </property>
</Properties>
</file>