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8E5FE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854CAC" w:rsidRPr="00D464A2" w:rsidRDefault="00994948" w:rsidP="00C85D0F">
            <w:pPr>
              <w:pStyle w:val="EPName"/>
            </w:pPr>
            <w:bookmarkStart w:id="0" w:name="_GoBack"/>
            <w:bookmarkEnd w:id="0"/>
            <w:r>
              <w:t>Parlamento Europeu</w:t>
            </w:r>
          </w:p>
          <w:p w:rsidR="00854CAC" w:rsidRPr="00D464A2" w:rsidRDefault="00994948" w:rsidP="00D464A2">
            <w:pPr>
              <w:pStyle w:val="EPTerm"/>
            </w:pPr>
            <w:r>
              <w:t>2019</w:t>
            </w:r>
            <w:r>
              <w:noBreakHyphen/>
            </w:r>
            <w:r>
              <w:t>2024</w:t>
            </w:r>
          </w:p>
        </w:tc>
        <w:tc>
          <w:tcPr>
            <w:tcW w:w="2268" w:type="dxa"/>
            <w:shd w:val="clear" w:color="auto" w:fill="auto"/>
          </w:tcPr>
          <w:p w:rsidR="00854CAC" w:rsidRPr="00D464A2" w:rsidRDefault="00994948" w:rsidP="00C85D0F">
            <w:pPr>
              <w:pStyle w:val="EPLogo"/>
            </w:pPr>
            <w:r w:rsidRPr="00D464A2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6D0" w:rsidRPr="00D464A2" w:rsidRDefault="001746D0" w:rsidP="001746D0">
      <w:pPr>
        <w:pStyle w:val="LineTop"/>
      </w:pPr>
    </w:p>
    <w:p w:rsidR="001746D0" w:rsidRPr="00D464A2" w:rsidRDefault="00994948" w:rsidP="001746D0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{FEMM}</w:t>
      </w:r>
      <w:r>
        <w:t>Comissão dos Direitos das Mulheres e da Igualdade dos Géneros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1746D0" w:rsidRPr="00D464A2" w:rsidRDefault="001746D0" w:rsidP="001746D0">
      <w:pPr>
        <w:pStyle w:val="LineBottom"/>
      </w:pPr>
    </w:p>
    <w:p w:rsidR="002E2F2E" w:rsidRPr="00D464A2" w:rsidRDefault="00994948">
      <w:pPr>
        <w:pStyle w:val="CoverReference"/>
      </w:pPr>
      <w:r>
        <w:rPr>
          <w:rStyle w:val="HideTWBExt"/>
          <w:b w:val="0"/>
        </w:rPr>
        <w:t>&lt;RefProc&gt;</w:t>
      </w:r>
      <w:r>
        <w:t>2023/2129</w:t>
      </w:r>
      <w:r>
        <w:rPr>
          <w:rStyle w:val="HideTWBExt"/>
          <w:b w:val="0"/>
        </w:rPr>
        <w:t>&lt;/RefProc&gt;&lt;RefTypeProc&gt;</w:t>
      </w:r>
      <w:r>
        <w:t>(DEC)</w:t>
      </w:r>
      <w:r>
        <w:rPr>
          <w:rStyle w:val="HideTWBExt"/>
          <w:b w:val="0"/>
        </w:rPr>
        <w:t>&lt;/RefTypeProc&gt;</w:t>
      </w:r>
    </w:p>
    <w:p w:rsidR="002E2F2E" w:rsidRPr="00D464A2" w:rsidRDefault="00994948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{25/01/2024}</w:t>
      </w:r>
      <w:r>
        <w:t>25.1.2024</w:t>
      </w:r>
      <w:r>
        <w:rPr>
          <w:rStyle w:val="HideTWBExt"/>
        </w:rPr>
        <w:t>&lt;/Date&gt;</w:t>
      </w:r>
    </w:p>
    <w:p w:rsidR="002E2F2E" w:rsidRPr="00D464A2" w:rsidRDefault="00994948">
      <w:pPr>
        <w:pStyle w:val="CoverDocType24a"/>
      </w:pPr>
      <w:r>
        <w:rPr>
          <w:rStyle w:val="HideTWBExt"/>
          <w:b w:val="0"/>
        </w:rPr>
        <w:t>&lt;TitreType&gt;</w:t>
      </w:r>
      <w:r>
        <w:t>PARECER</w:t>
      </w:r>
      <w:r>
        <w:rPr>
          <w:rStyle w:val="HideTWBExt"/>
          <w:b w:val="0"/>
        </w:rPr>
        <w:t>&lt;/TitreType&gt;</w:t>
      </w:r>
    </w:p>
    <w:p w:rsidR="002E2F2E" w:rsidRPr="00D464A2" w:rsidRDefault="00994948">
      <w:pPr>
        <w:pStyle w:val="CoverNormal24a"/>
      </w:pPr>
      <w:r>
        <w:rPr>
          <w:rStyle w:val="HideTWBExt"/>
        </w:rPr>
        <w:t>&lt;CommissionResp&gt;</w:t>
      </w:r>
      <w:r>
        <w:t>da Comissão dos Direitos das Mulheres e da Igualdade dos Géneros</w:t>
      </w:r>
      <w:r>
        <w:rPr>
          <w:rStyle w:val="HideTWBExt"/>
        </w:rPr>
        <w:t>&lt;/CommissionResp&gt;</w:t>
      </w:r>
    </w:p>
    <w:p w:rsidR="002E2F2E" w:rsidRPr="00D464A2" w:rsidRDefault="00994948">
      <w:pPr>
        <w:pStyle w:val="CoverNormal24a"/>
      </w:pPr>
      <w:r>
        <w:rPr>
          <w:rStyle w:val="HideTWBExt"/>
        </w:rPr>
        <w:t>&lt;CommissionInt&gt;</w:t>
      </w:r>
      <w:r>
        <w:t>dirigido à Comissão do Controlo Orçamental</w:t>
      </w:r>
      <w:r>
        <w:rPr>
          <w:rStyle w:val="HideTWBExt"/>
        </w:rPr>
        <w:t>&lt;/CommissionInt&gt;</w:t>
      </w:r>
    </w:p>
    <w:p w:rsidR="002E2F2E" w:rsidRPr="00D464A2" w:rsidRDefault="00994948">
      <w:pPr>
        <w:pStyle w:val="CoverNormal"/>
      </w:pPr>
      <w:r>
        <w:rPr>
          <w:rStyle w:val="HideTWBExt"/>
        </w:rPr>
        <w:t>&lt;Titre&gt;</w:t>
      </w:r>
      <w:r>
        <w:t xml:space="preserve">sobre a quitação 2022: orçamento geral da UE </w:t>
      </w:r>
      <w:r>
        <w:noBreakHyphen/>
      </w:r>
      <w:r>
        <w:t xml:space="preserve"> Comissão Europeia</w:t>
      </w:r>
      <w:r>
        <w:rPr>
          <w:rStyle w:val="HideTWBExt"/>
        </w:rPr>
        <w:t>&lt;/Titre&gt;</w:t>
      </w:r>
    </w:p>
    <w:p w:rsidR="002E2F2E" w:rsidRPr="00D464A2" w:rsidRDefault="00994948">
      <w:pPr>
        <w:pStyle w:val="CoverNormal24a"/>
      </w:pPr>
      <w:r>
        <w:rPr>
          <w:rStyle w:val="HideTWBExt"/>
        </w:rPr>
        <w:t>&lt;Doc</w:t>
      </w:r>
      <w:r>
        <w:rPr>
          <w:rStyle w:val="HideTWBExt"/>
        </w:rPr>
        <w:t>Ref&gt;</w:t>
      </w:r>
      <w:r>
        <w:t>(2023/2129(DEC))</w:t>
      </w:r>
      <w:r>
        <w:rPr>
          <w:rStyle w:val="HideTWBExt"/>
        </w:rPr>
        <w:t>&lt;/DocRef&gt;</w:t>
      </w:r>
    </w:p>
    <w:p w:rsidR="002E2F2E" w:rsidRPr="00D464A2" w:rsidRDefault="00994948">
      <w:pPr>
        <w:pStyle w:val="CoverNormal24a"/>
      </w:pPr>
      <w:r>
        <w:t xml:space="preserve">Relator de parecer: </w:t>
      </w:r>
      <w:r>
        <w:rPr>
          <w:rStyle w:val="HideTWBExt"/>
        </w:rPr>
        <w:t>&lt;Depute&gt;</w:t>
      </w:r>
      <w:r>
        <w:t>Robert Biedroń</w:t>
      </w:r>
      <w:r>
        <w:rPr>
          <w:rStyle w:val="HideTWBExt"/>
        </w:rPr>
        <w:t>&lt;/Depute&gt;</w:t>
      </w:r>
    </w:p>
    <w:p w:rsidR="00A72C35" w:rsidRPr="00D464A2" w:rsidRDefault="00A72C35" w:rsidP="00A72C35">
      <w:pPr>
        <w:pStyle w:val="CoverNormal"/>
      </w:pPr>
    </w:p>
    <w:p w:rsidR="002E2F2E" w:rsidRPr="00D464A2" w:rsidRDefault="00994948" w:rsidP="00E856D2">
      <w:pPr>
        <w:widowControl/>
        <w:tabs>
          <w:tab w:val="center" w:pos="4677"/>
        </w:tabs>
      </w:pPr>
      <w:r>
        <w:br w:type="page"/>
      </w:r>
      <w:r>
        <w:lastRenderedPageBreak/>
        <w:t>PA_NonLeg</w:t>
      </w:r>
    </w:p>
    <w:p w:rsidR="002E2F2E" w:rsidRPr="00D464A2" w:rsidRDefault="00994948">
      <w:pPr>
        <w:pStyle w:val="PageHeadingNotTOC"/>
      </w:pPr>
      <w:r>
        <w:br w:type="page"/>
      </w:r>
      <w:r>
        <w:lastRenderedPageBreak/>
        <w:t>SUGESTÕES</w:t>
      </w:r>
    </w:p>
    <w:p w:rsidR="00B610F2" w:rsidRPr="004808C5" w:rsidRDefault="00994948" w:rsidP="00B610F2">
      <w:pPr>
        <w:pStyle w:val="Normal12a"/>
      </w:pPr>
      <w:r>
        <w:t xml:space="preserve">A Comissão dos Direitos das Mulheres e da Igualdade dos Géneros insta a Comissão do Controlo Orçamental, competente quanto à matéria de fundo, a </w:t>
      </w:r>
      <w:r>
        <w:t>incorporar as seguintes sugestões na proposta de resolução que aprovar: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A.</w:t>
      </w:r>
      <w:r>
        <w:tab/>
        <w:t>Considerando que a igualdade de género é um valor fundamental da União, consagrado no artigo 2.º do Tratado da União Europeia; que o artigo 8.º do TFUE compromete a União a eliminar</w:t>
      </w:r>
      <w:r>
        <w:t xml:space="preserve"> as desigualdades e a promover a igualdade entre homens e mulheres, bem como a integração da perspetiva de género;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B.</w:t>
      </w:r>
      <w:r>
        <w:tab/>
        <w:t>Considerando que o Parlamento Europeu tem solicitado reiteradamente à Comissão que promova e aplique a integração da perspetiva de género,</w:t>
      </w:r>
      <w:r>
        <w:t xml:space="preserve"> a orçamentação sensível ao género e as avaliações de impacto em função do género em todos os domínios de intervenção da União, como a execução e prestação de contas no que se refere ao orçamento da União;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C.</w:t>
      </w:r>
      <w:r>
        <w:tab/>
        <w:t>Considerando que em vários Estados</w:t>
      </w:r>
      <w:r>
        <w:noBreakHyphen/>
      </w:r>
      <w:r>
        <w:t xml:space="preserve">Membros com </w:t>
      </w:r>
      <w:r>
        <w:t>baixas taxas de natalidade as mulheres e os casais gostariam de ter filhos, mas na prática se veem impedidos de o fazer em consequência de dificuldades económicas, não por opção, mas sim como resultado de condições de vida e de trabalho mais difíceis, orig</w:t>
      </w:r>
      <w:r>
        <w:t>inando níveis mais elevados de desemprego feminino e dificultando o acesso das mulheres e dos casais aos seus respetivos direitos de maternidade e paternidade no âmbito laboral, e dificultando o acesso a serviços públicos de elevada qualidade e a estrutura</w:t>
      </w:r>
      <w:r>
        <w:t>s de acolhimento de crianças; que é vital garantir à mulher o trabalho com direitos sem que isso afete o direito à maternidade, uma vez que as mulheres continuam a ser as mais prejudicadas e discriminadas; que exemplos dessa discriminação incluem a pressão</w:t>
      </w:r>
      <w:r>
        <w:t xml:space="preserve"> exercida pelas entidades patronais sobre as mulheres em entrevistas de emprego, questionando</w:t>
      </w:r>
      <w:r>
        <w:noBreakHyphen/>
      </w:r>
      <w:r>
        <w:t>as sobre a existência de filhos e a sua idade, assim como pressões económicas e laborais para as trabalhadoras não gozarem a licença de maternidade;</w:t>
      </w:r>
    </w:p>
    <w:p w:rsidR="00B610F2" w:rsidRPr="004808C5" w:rsidRDefault="00994948" w:rsidP="00B610F2">
      <w:pPr>
        <w:pStyle w:val="NormalHanging12a"/>
      </w:pPr>
      <w:r>
        <w:t>D.</w:t>
      </w:r>
      <w:r>
        <w:tab/>
      </w:r>
      <w:r>
        <w:t>Considerando que a igualdade de género na União foi particularmente afetada pelas consequências da guerra na Ucrânia, pela crise do custo de vida – que afeta desproporcionadamente as mulheres – e pelos retrocessos em matéria de igualdade de género e direit</w:t>
      </w:r>
      <w:r>
        <w:t>os das mulheres, especialmente em torno da saúde sexual e reprodutiva e direitos conexos, em vários Estados</w:t>
      </w:r>
      <w:r>
        <w:noBreakHyphen/>
      </w:r>
      <w:r>
        <w:t>Membros; que tal agrava ainda mais as desigualdades e obsta à igualdade de género;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1.</w:t>
      </w:r>
      <w:r>
        <w:tab/>
        <w:t>Salienta que a perspetiva da igualdade de género deve ser inte</w:t>
      </w:r>
      <w:r>
        <w:t>grada e assegurada em todos os domínios de intervenção, fases e nas medidas de atenuação, em particular à luz dos aspetos de género das crises em curso, como as guerras, a crise climática e energética, a inflação e o retrocesso nos direitos das mulheres, e</w:t>
      </w:r>
      <w:r>
        <w:t>m especial os direitos em matéria de saúde sexual e reprodutiva e direitos conexos, na União e a nível mundial; realça a importância da orçamentação sensível ao género em todas as medidas de recuperação e atenuação, para que os programas da UE para minorar</w:t>
      </w:r>
      <w:r>
        <w:t xml:space="preserve"> os impactos sobre o género das diferentes crises possam ser utilizados;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2.</w:t>
      </w:r>
      <w:r>
        <w:tab/>
        <w:t xml:space="preserve">Reitera a sua preocupação com a conexão entre os ataques ao Estado de direito, à </w:t>
      </w:r>
      <w:r>
        <w:lastRenderedPageBreak/>
        <w:t>democracia e aos direitos humanos e o retrocesso no que respeita à igualdade de género e aos direit</w:t>
      </w:r>
      <w:r>
        <w:t>os das mulheres; exorta a Comissão a prosseguir os seus esforços para reforçar o Estado de direito na União, nomeadamente as propostas legislativas destinadas a proteger o orçamento da UE em caso de deficiências generalizadas relativamente ao Estado de dir</w:t>
      </w:r>
      <w:r>
        <w:t>eito, violações dos direitos humanos, incluindo os direitos das mulheres, e violações dos valores fundamentais da União Europeia; apela à Comissão para analisar a missão fulcral de quem beneficia de verbas da UE e a suspender o financiamento e garantir que</w:t>
      </w:r>
      <w:r>
        <w:t xml:space="preserve"> as verbas da UE não são postas à disposição de qualquer entidade que as utilize com o intuito de provocar um retrocesso dos direitos humanos, em particular nos direitos fundamentais das mulheres e da igualdade de género, incluindo os direitos em matéria d</w:t>
      </w:r>
      <w:r>
        <w:t>e saúde sexual e reprodutiva e direitos conexos, e os direitos das mulheres à integridade física, à autonomia e à autodeterminação; exorta os Estados</w:t>
      </w:r>
      <w:r>
        <w:noBreakHyphen/>
      </w:r>
      <w:r>
        <w:t xml:space="preserve">Membros a salvaguardarem a saúde e os direitos sexuais e reprodutivos, incluindo o acesso a aborto seguro </w:t>
      </w:r>
      <w:r>
        <w:t>e legal, e designadamente garantindo a disponibilidade de programas de saúde reprodutiva e de serviços que prestem os tipos de cuidados e disponibilizem os medicamentos essenciais para um planeamento familiar voluntário e para a saúde materna e neonatal;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3</w:t>
      </w:r>
      <w:r>
        <w:t>.</w:t>
      </w:r>
      <w:r>
        <w:tab/>
        <w:t>Toma nota da metodologia da Comissão para acompanhar os aspetos de género nas despesas a partir de 2023; recorda que resulta de uma avaliação que apenas 2 % do orçamento da União tem como objetivo principal melhorar a igualdade de género; exorta a Comiss</w:t>
      </w:r>
      <w:r>
        <w:t>ão a melhorar esta pontuação através da integração da perspetiva de género desde o início da conceção de um programa; reitera que são necessários mais pormenores para poder compreender plenamente a maioria das despesas (73 %) atualmente avaliadas com class</w:t>
      </w:r>
      <w:r>
        <w:t>ificação 0* quanto ao seu «potencial para contribuir para a igualdade de género»; observa com preocupação que o Relatório Especial n.º 10/2021 publicado pelo TCE confirmou que o ciclo orçamental da União ainda não tem devidamente em conta a igualdade de gé</w:t>
      </w:r>
      <w:r>
        <w:t>nero, dada a ausência generalizada de elementos fundamentais como a análise das questões de género, os objetivos e indicadores relacionados com o género e a prestação de contas através da comunicação de informações em matéria de género,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4.</w:t>
      </w:r>
      <w:r>
        <w:tab/>
        <w:t>Saúda o trabalho</w:t>
      </w:r>
      <w:r>
        <w:t xml:space="preserve"> da Comissão sobre uma nova classificação para medir o impacto das despesas da União em função do género; exorta a Comissão a velar por que esta classificação se centre numa representação precisa e abrangente do impacto dos programas na igualdade de género</w:t>
      </w:r>
      <w:r>
        <w:t>; insta a Comissão a prosseguir o seu trabalho em matéria de igualdade de género, atendendo ao final da presente legislatura, e apela à nomeação de um/a comissário/a para a igualdade de género na próxima legislatura; congratula</w:t>
      </w:r>
      <w:r>
        <w:noBreakHyphen/>
      </w:r>
      <w:r>
        <w:t>se com o facto de a igualdad</w:t>
      </w:r>
      <w:r>
        <w:t>e de género e a integração da perspetiva de género serem um dos princípios horizontais para as verbas da União no âmbito do Quadro Financeiro Plurianual (QFP) para 2021</w:t>
      </w:r>
      <w:r>
        <w:noBreakHyphen/>
      </w:r>
      <w:r>
        <w:t>2027 e do Mecanismo de Recuperação e Resiliência; exorta, no entanto, a Comissão a apli</w:t>
      </w:r>
      <w:r>
        <w:t>car plenamente as recomendações do Tribunal de Contas Europeu, nomeadamente na revisão intercalar do atual quadro financeiro plurianual e na concretização do Mecanismo de Recuperação e Resiliência; insta a Comissão a velar por que esta classificação se cen</w:t>
      </w:r>
      <w:r>
        <w:t>tre numa representação precisa e completa do impacto de todos os programas e fundos existentes; reitera, neste contexto, que uma metodologia abrangente de acompanhamento das questões de género deve incluir a comunicação de informações sobre os impactos neg</w:t>
      </w:r>
      <w:r>
        <w:t xml:space="preserve">ativos na igualdade de </w:t>
      </w:r>
      <w:r>
        <w:lastRenderedPageBreak/>
        <w:t>género;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5.</w:t>
      </w:r>
      <w:r>
        <w:tab/>
        <w:t xml:space="preserve">Insiste na necessidade de mulheres e homens beneficiarem do Mecanismo de Recuperação e Resiliência em condições de igualdade, em particular à luz da disparidade salarial de 13 % existente entre homens e mulheres na União; </w:t>
      </w:r>
      <w:r>
        <w:t xml:space="preserve">recorda que a Comissão introduziu apenas uma avaliação </w:t>
      </w:r>
      <w:r>
        <w:rPr>
          <w:i/>
          <w:iCs/>
        </w:rPr>
        <w:t>ex ante</w:t>
      </w:r>
      <w:r>
        <w:t xml:space="preserve"> em função do género dos planos de recuperação e resiliência dos Estados</w:t>
      </w:r>
      <w:r>
        <w:noBreakHyphen/>
      </w:r>
      <w:r>
        <w:t>Membros, que revelou que alguns Estados</w:t>
      </w:r>
      <w:r>
        <w:noBreakHyphen/>
      </w:r>
      <w:r>
        <w:t>Membros não tinham medidas identificadas como centradas na igualdade de género; r</w:t>
      </w:r>
      <w:r>
        <w:t>ealça, por conseguinte, a importância dos requisitos de recolha de dados para permitir uma recolha sistemática e abrangente de dados desagregados por género no contexto de todas as políticas pertinentes da UE; exorta a Comissão a tratar esta questão como u</w:t>
      </w:r>
      <w:r>
        <w:t>ma prioridade e a aproveitar as oportunidades para melhorar os requisitos e os indicadores em matéria de recolha de dados em novas legislações e revisões, como a reformulação das disposições financeiras aplicáveis ao orçamento geral da União; insta a Comis</w:t>
      </w:r>
      <w:r>
        <w:t>são a cumprir o compromisso positivo assumido pela presidente Ursula von der Leyen de promover a igualdade de género em todas as políticas e exorta a Comissão a cumprir os seus compromissos no âmbito da Estratégia para a Igualdade de Género 2020</w:t>
      </w:r>
      <w:r>
        <w:noBreakHyphen/>
      </w:r>
      <w:r>
        <w:t>2025, sali</w:t>
      </w:r>
      <w:r>
        <w:t>entando igualmente que muito mais tem de ser feito, uma vez que as principais propostas da Comissão apresentadas em matéria de clima, ambiente e economia carecem de uma perspetiva de género; salienta que, com o desencadear da crise económico</w:t>
      </w:r>
      <w:r>
        <w:noBreakHyphen/>
      </w:r>
      <w:r>
        <w:t xml:space="preserve">financeira da </w:t>
      </w:r>
      <w:r>
        <w:t>última década, se agudizaram as desigualdades económicas, sociais, laborais e de género dentro e entre Estados</w:t>
      </w:r>
      <w:r>
        <w:noBreakHyphen/>
      </w:r>
      <w:r>
        <w:t>Membros, tornando mais difícil a vida de mulheres e raparigas; relembra o importante papel desempenhado pelo Instituto Europeu para a Igualdade d</w:t>
      </w:r>
      <w:r>
        <w:t>e Género para o conhecimento da dimensão e das causas da desigualdade de género na UE; solicita, por isso, o reforço do orçamento, do pessoal e da independência do mesmo;</w:t>
      </w:r>
    </w:p>
    <w:p w:rsidR="00B610F2" w:rsidRPr="004808C5" w:rsidRDefault="00994948" w:rsidP="00B610F2">
      <w:pPr>
        <w:pStyle w:val="NormalHanging12a"/>
        <w:rPr>
          <w:szCs w:val="24"/>
        </w:rPr>
      </w:pPr>
      <w:r>
        <w:t>6.</w:t>
      </w:r>
      <w:r>
        <w:tab/>
        <w:t>Reitera os seus apelos à criação de uma rubrica orçamental específica para a igual</w:t>
      </w:r>
      <w:r>
        <w:t xml:space="preserve">dade de género, em especial no âmbito da iniciativa Daphne e à luz da crise da violência baseada no género que a União enfrenta; salienta a importância de reforçar a iniciativa Daphne, dedicada a este objetivo específico, aumentando os seus recursos, e em </w:t>
      </w:r>
      <w:r>
        <w:t>especial as medidas que visam combater todos os níveis e todas as formas de violência doméstica e de violência de género contra as mulheres e as raparigas, em conformidade com o artigo 7.º, n.º 6, do Regulamento (UE) 2021/692, e prestar um apoio adequado à</w:t>
      </w:r>
      <w:r>
        <w:t>s vítimas; realça, além disso, a importância da utilização dos Fundos Europeus Estruturais e de Investimento, como o Fundo Social Europeu Mais (FSE+), para promover a igualdade de género, o emprego e a capacitação das mulheres, o empreendedorismo feminino,</w:t>
      </w:r>
      <w:r>
        <w:t xml:space="preserve"> os papéis de liderança e de gestão das mulheres, bem como as estruturas de cuidados continuados; observa que um estudo encomendado pela Comissão FEMM</w:t>
      </w:r>
      <w:r>
        <w:rPr>
          <w:vertAlign w:val="superscript"/>
        </w:rPr>
        <w:footnoteReference w:id="1"/>
      </w:r>
      <w:r>
        <w:t xml:space="preserve"> demonstra que os homens são frequentemente favorecidos em detrimento das mulheres e de outros grupos mar</w:t>
      </w:r>
      <w:r>
        <w:t>ginalizados na conceção de subsídios e de apoios ao abrigo do pacote Objetivo 55, bem como no âmbito de outras políticas, programas e fundos para a transição ecológica;</w:t>
      </w:r>
    </w:p>
    <w:p w:rsidR="00B610F2" w:rsidRPr="004808C5" w:rsidRDefault="00994948" w:rsidP="00B610F2">
      <w:pPr>
        <w:pStyle w:val="NormalHanging12a"/>
      </w:pPr>
      <w:r>
        <w:t>7.</w:t>
      </w:r>
      <w:r>
        <w:tab/>
        <w:t>Considera, com base nos dados atualmente disponíveis, que pode ser concedida quitaçã</w:t>
      </w:r>
      <w:r>
        <w:t>o ao Orçamento Geral da UE pela execução do orçamento para o exercício de 2022.</w:t>
      </w:r>
    </w:p>
    <w:p w:rsidR="00B610F2" w:rsidRPr="004808C5" w:rsidRDefault="00994948" w:rsidP="00B610F2">
      <w:r>
        <w:br w:type="page"/>
      </w:r>
    </w:p>
    <w:p w:rsidR="00B610F2" w:rsidRPr="004808C5" w:rsidRDefault="00994948" w:rsidP="00B610F2">
      <w:pPr>
        <w:pStyle w:val="PageHeadingNotTOC"/>
        <w:rPr>
          <w:noProof/>
        </w:rPr>
      </w:pPr>
      <w:r>
        <w:t>ANEXO: ENTIDADES OU PESSOAS SINGULARES</w:t>
      </w:r>
      <w:r>
        <w:br/>
        <w:t>DE QUEM O RELATOR DE PARECER RECEBEU CONTRIBUTOS</w:t>
      </w:r>
    </w:p>
    <w:p w:rsidR="003C05FD" w:rsidRDefault="00994948" w:rsidP="00C262F0">
      <w:pPr>
        <w:pStyle w:val="NormalHanging12a"/>
        <w:ind w:left="0" w:firstLine="0"/>
      </w:pPr>
      <w:r>
        <w:rPr>
          <w:rStyle w:val="HideTWBExt"/>
        </w:rPr>
        <w:t>&lt;FootprintIntro&gt;</w:t>
      </w:r>
      <w:r>
        <w:t>O presidente, na qualidade de relator de parecer, declara sob a sua re</w:t>
      </w:r>
      <w:r>
        <w:t>sponsabilidade exclusiva não ter recebido quaisquer contributos de entidades ou pessoas singulares que, em virtude do artigo 8.º do anexo I do Regimento, devessem ser indicadas no presente anexo.</w:t>
      </w:r>
      <w:r>
        <w:rPr>
          <w:rStyle w:val="HideTWBExt"/>
        </w:rPr>
        <w:t>&lt;/FootprintIntro&gt;</w:t>
      </w:r>
    </w:p>
    <w:p w:rsidR="003C05FD" w:rsidRPr="003C05FD" w:rsidRDefault="00994948" w:rsidP="003C05FD">
      <w:r>
        <w:br w:type="page"/>
      </w:r>
    </w:p>
    <w:p w:rsidR="003C05FD" w:rsidRDefault="00994948" w:rsidP="003C05FD">
      <w:pPr>
        <w:pStyle w:val="PageHeadingNotTOC"/>
      </w:pPr>
      <w:bookmarkStart w:id="1" w:name="ProcPageAD"/>
      <w:r>
        <w:t>INFORMAÇÕES SOBRE A APROVAÇÃO</w:t>
      </w:r>
      <w:r>
        <w:br/>
        <w:t>NA COMISSÃO</w:t>
      </w:r>
      <w:r>
        <w:t xml:space="preserve"> ENCARREGADA DE EMITIR PARECER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8E5FE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Data de aprovação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24.1.2024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3C05FD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3C05FD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3C05FD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</w:tr>
      <w:tr w:rsidR="008E5FE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Resultado da votação final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+:</w:t>
            </w:r>
          </w:p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–:</w:t>
            </w:r>
          </w:p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</w:t>
            </w:r>
          </w:p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</w:tr>
      <w:tr w:rsidR="008E5FE7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Deputados presentes no momento da votação final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Christine Anderson, Robert Biedroń, Vilija Blinkevičiūtė, Maria da Graça Carvalho, Margarita de la </w:t>
            </w:r>
            <w:r>
              <w:rPr>
                <w:color w:val="000000"/>
                <w:sz w:val="20"/>
              </w:rPr>
              <w:t>Pisa Carrión, Gwendoline Delbos</w:t>
            </w:r>
            <w:r>
              <w:rPr>
                <w:color w:val="000000"/>
                <w:sz w:val="20"/>
              </w:rPr>
              <w:noBreakHyphen/>
            </w:r>
            <w:r>
              <w:rPr>
                <w:color w:val="000000"/>
                <w:sz w:val="20"/>
              </w:rPr>
              <w:t>Corfield, Frances Fitzgerald, Lívia Járóka, Arba Kokalari, Alice Kuhnke, Elżbieta Katarzyna Łukacijewska, Andżelika Anna Możdżanowska, Johan Nissinen, Carina Ohlsson, Sandra Pereira, Samira Rafaela, Evelyn Regner, Diana Riba</w:t>
            </w:r>
            <w:r>
              <w:rPr>
                <w:color w:val="000000"/>
                <w:sz w:val="20"/>
              </w:rPr>
              <w:t xml:space="preserve"> i Giner, Eugenia Rodríguez Palop, María Soraya Rodríguez Ramos, Maria Veronica Rossi, Sylwia Spurek, Marco Zullo</w:t>
            </w:r>
          </w:p>
        </w:tc>
      </w:tr>
      <w:tr w:rsidR="008E5FE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Suplentes presentes no momento da votação final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Laura Ballarín Cereza, Sylvie Brunet, Marina Kaljurand, Eleni Stavrou</w:t>
            </w:r>
          </w:p>
        </w:tc>
      </w:tr>
      <w:tr w:rsidR="008E5FE7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Suplentes (art. 209.º,</w:t>
            </w:r>
            <w:r>
              <w:rPr>
                <w:b/>
                <w:color w:val="000000"/>
                <w:sz w:val="20"/>
              </w:rPr>
              <w:t xml:space="preserve"> n.º 7) presentes no momento da votação final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3C05FD" w:rsidRDefault="00994948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Milan Brglez, Rainer Wieland</w:t>
            </w:r>
          </w:p>
        </w:tc>
      </w:tr>
    </w:tbl>
    <w:p w:rsidR="003C05FD" w:rsidRPr="00B610F2" w:rsidRDefault="003C05FD" w:rsidP="00B610F2"/>
    <w:bookmarkEnd w:id="1"/>
    <w:p w:rsidR="00B610F2" w:rsidRDefault="00B610F2" w:rsidP="00B610F2">
      <w:pPr>
        <w:sectPr w:rsidR="00B610F2" w:rsidSect="00B610F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B610F2" w:rsidRPr="0099178F" w:rsidRDefault="00994948" w:rsidP="00C36610">
      <w:pPr>
        <w:pStyle w:val="PageHeadingNotTOC"/>
      </w:pPr>
      <w:bookmarkStart w:id="2" w:name="RollCallPageAD"/>
      <w:r>
        <w:t>VOTAÇÃO NOMINAL FINAL</w:t>
      </w:r>
      <w:r>
        <w:br/>
        <w:t>NA COMISSÃO ENCARREGADA DE EMITIR PARECER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E5FE7" w:rsidTr="00033C6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C262F0" w:rsidRPr="004808C5" w:rsidRDefault="00994948" w:rsidP="00033C6D">
            <w:pPr>
              <w:pStyle w:val="RollCallVotes"/>
            </w:pPr>
            <w:r>
              <w:t>23</w:t>
            </w:r>
          </w:p>
        </w:tc>
        <w:tc>
          <w:tcPr>
            <w:tcW w:w="7371" w:type="dxa"/>
            <w:shd w:val="pct10" w:color="000000" w:fill="FFFFFF"/>
          </w:tcPr>
          <w:p w:rsidR="00C262F0" w:rsidRPr="004808C5" w:rsidRDefault="00994948" w:rsidP="00033C6D">
            <w:pPr>
              <w:pStyle w:val="RollCallSymbols14pt"/>
            </w:pPr>
            <w:r>
              <w:t>+</w:t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PPE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Maria da Graça Carvalho, Frances Fitzgerald, Arba Kokalari, Elżbieta Katarzyna Łukacijewska,</w:t>
            </w:r>
            <w:r>
              <w:t xml:space="preserve"> Eleni Stavrou, Rainer Wieland</w:t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Renew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Sylvie Brunet, Samira Rafaela, María Soraya Rodríguez Ramos, Marco Zullo</w:t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S&amp;D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Laura Ballarín Cereza, Robert Biedroń, Vilija Blinkevičiūtė, Milan Brglez, Marina Kaljurand, Carina Ohlsson, Evelyn Regner</w:t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The Left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 xml:space="preserve">Sandra </w:t>
            </w:r>
            <w:r>
              <w:t>Pereira, Eugenia Rodríguez Palop</w:t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Gwendoline Delbos</w:t>
            </w:r>
            <w:r>
              <w:noBreakHyphen/>
            </w:r>
            <w:r>
              <w:t>Corfield, Alice Kuhnke, Diana Riba i Giner, Sylwia Spurek</w:t>
            </w:r>
          </w:p>
        </w:tc>
      </w:tr>
    </w:tbl>
    <w:p w:rsidR="00C262F0" w:rsidRPr="004808C5" w:rsidRDefault="00C262F0" w:rsidP="00C262F0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E5FE7" w:rsidTr="00033C6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C262F0" w:rsidRPr="004808C5" w:rsidRDefault="00994948" w:rsidP="00033C6D">
            <w:pPr>
              <w:pStyle w:val="RollCallVotes"/>
            </w:pPr>
            <w:r>
              <w:t>4</w:t>
            </w:r>
          </w:p>
        </w:tc>
        <w:tc>
          <w:tcPr>
            <w:tcW w:w="7371" w:type="dxa"/>
            <w:shd w:val="pct10" w:color="000000" w:fill="FFFFFF"/>
          </w:tcPr>
          <w:p w:rsidR="00C262F0" w:rsidRPr="004808C5" w:rsidRDefault="00994948" w:rsidP="00033C6D">
            <w:pPr>
              <w:pStyle w:val="RollCallSymbols14pt"/>
            </w:pPr>
            <w:r>
              <w:noBreakHyphen/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ECR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Johan Nissinen, Margarita de la Pisa Carrión</w:t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ID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Christine Anderson, Maria Veronica Rossi</w:t>
            </w:r>
          </w:p>
        </w:tc>
      </w:tr>
    </w:tbl>
    <w:p w:rsidR="00C262F0" w:rsidRPr="004808C5" w:rsidRDefault="00C262F0" w:rsidP="00C262F0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8E5FE7" w:rsidTr="00033C6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C262F0" w:rsidRPr="004808C5" w:rsidRDefault="00994948" w:rsidP="00033C6D">
            <w:pPr>
              <w:pStyle w:val="RollCallVotes"/>
            </w:pPr>
            <w:r>
              <w:t>2</w:t>
            </w:r>
          </w:p>
        </w:tc>
        <w:tc>
          <w:tcPr>
            <w:tcW w:w="7371" w:type="dxa"/>
            <w:shd w:val="pct10" w:color="000000" w:fill="FFFFFF"/>
          </w:tcPr>
          <w:p w:rsidR="00C262F0" w:rsidRPr="004808C5" w:rsidRDefault="00994948" w:rsidP="00033C6D">
            <w:pPr>
              <w:pStyle w:val="RollCallSymbols14pt"/>
            </w:pPr>
            <w:r>
              <w:t>0</w:t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ECR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 xml:space="preserve">Andżelika Anna </w:t>
            </w:r>
            <w:r>
              <w:t>Możdżanowska</w:t>
            </w:r>
          </w:p>
        </w:tc>
      </w:tr>
      <w:tr w:rsidR="008E5FE7" w:rsidTr="00033C6D">
        <w:trPr>
          <w:cantSplit/>
        </w:trPr>
        <w:tc>
          <w:tcPr>
            <w:tcW w:w="170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NI</w:t>
            </w:r>
          </w:p>
        </w:tc>
        <w:tc>
          <w:tcPr>
            <w:tcW w:w="7371" w:type="dxa"/>
            <w:shd w:val="clear" w:color="auto" w:fill="FFFFFF"/>
          </w:tcPr>
          <w:p w:rsidR="00C262F0" w:rsidRPr="004808C5" w:rsidRDefault="00994948" w:rsidP="00033C6D">
            <w:pPr>
              <w:pStyle w:val="RollCallTable"/>
            </w:pPr>
            <w:r>
              <w:t>Lívia Járóka</w:t>
            </w:r>
          </w:p>
        </w:tc>
      </w:tr>
    </w:tbl>
    <w:p w:rsidR="00B610F2" w:rsidRDefault="00B610F2" w:rsidP="00147FBF">
      <w:pPr>
        <w:pStyle w:val="Normal12a"/>
      </w:pPr>
    </w:p>
    <w:p w:rsidR="00B610F2" w:rsidRDefault="00994948" w:rsidP="00B735E3">
      <w:r>
        <w:t>Legenda dos símbolos utilizados:</w:t>
      </w:r>
    </w:p>
    <w:p w:rsidR="00B610F2" w:rsidRDefault="00994948" w:rsidP="003858C5">
      <w:pPr>
        <w:pStyle w:val="RollCallTabs"/>
      </w:pPr>
      <w:r>
        <w:t>+</w:t>
      </w:r>
      <w:r>
        <w:tab/>
        <w:t>:</w:t>
      </w:r>
      <w:r>
        <w:tab/>
        <w:t>votos a favor</w:t>
      </w:r>
    </w:p>
    <w:p w:rsidR="00B610F2" w:rsidRDefault="00994948" w:rsidP="003858C5">
      <w:pPr>
        <w:pStyle w:val="RollCallTabs"/>
      </w:pPr>
      <w:r>
        <w:noBreakHyphen/>
      </w:r>
      <w:r>
        <w:tab/>
        <w:t>:</w:t>
      </w:r>
      <w:r>
        <w:tab/>
        <w:t>votos contra</w:t>
      </w:r>
    </w:p>
    <w:p w:rsidR="00B610F2" w:rsidRDefault="00994948" w:rsidP="003858C5">
      <w:pPr>
        <w:pStyle w:val="RollCallTabs"/>
      </w:pPr>
      <w:r>
        <w:t>0</w:t>
      </w:r>
      <w:r>
        <w:tab/>
        <w:t>:</w:t>
      </w:r>
      <w:r>
        <w:tab/>
        <w:t>abstenções</w:t>
      </w:r>
    </w:p>
    <w:p w:rsidR="00B610F2" w:rsidRDefault="00B610F2" w:rsidP="00207509"/>
    <w:bookmarkEnd w:id="2"/>
    <w:p w:rsidR="00D464A2" w:rsidRPr="00B610F2" w:rsidRDefault="00D464A2" w:rsidP="00B610F2"/>
    <w:sectPr w:rsidR="00D464A2" w:rsidRPr="00B610F2" w:rsidSect="00B610F2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94948">
      <w:r>
        <w:separator/>
      </w:r>
    </w:p>
  </w:endnote>
  <w:endnote w:type="continuationSeparator" w:id="0">
    <w:p w:rsidR="00000000" w:rsidRDefault="0099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FD" w:rsidRDefault="00994948" w:rsidP="003C05FD">
    <w:pPr>
      <w:pStyle w:val="EPFooter"/>
      <w:rPr>
        <w:lang w:val="fr-FR"/>
      </w:rPr>
    </w:pPr>
    <w:r>
      <w:rPr>
        <w:lang w:val="fr-FR"/>
      </w:rPr>
      <w:t>PE</w:t>
    </w:r>
    <w:r w:rsidRPr="003C05FD">
      <w:rPr>
        <w:rStyle w:val="HideTWBExt"/>
      </w:rPr>
      <w:t>&lt;NoPE&gt;</w:t>
    </w:r>
    <w:r>
      <w:rPr>
        <w:lang w:val="fr-FR"/>
      </w:rPr>
      <w:t>754.838</w:t>
    </w:r>
    <w:r w:rsidRPr="003C05FD">
      <w:rPr>
        <w:rStyle w:val="HideTWBExt"/>
      </w:rPr>
      <w:t>&lt;/NoPE&gt;&lt;Version&gt;</w:t>
    </w:r>
    <w:r>
      <w:rPr>
        <w:lang w:val="fr-FR"/>
      </w:rPr>
      <w:t>v02</w:t>
    </w:r>
    <w:r>
      <w:rPr>
        <w:lang w:val="fr-FR"/>
      </w:rPr>
      <w:noBreakHyphen/>
    </w:r>
    <w:r>
      <w:rPr>
        <w:lang w:val="fr-FR"/>
      </w:rPr>
      <w:t>00</w:t>
    </w:r>
    <w:r w:rsidRPr="003C05FD">
      <w:rPr>
        <w:rStyle w:val="HideTWBExt"/>
      </w:rPr>
      <w:t>&lt;/Version&gt;</w:t>
    </w:r>
    <w:r>
      <w:rPr>
        <w:lang w:val="fr-FR"/>
      </w:rPr>
      <w:tab/>
    </w:r>
    <w:r>
      <w:rPr>
        <w:lang w:val="fr-FR"/>
      </w:rPr>
      <w:fldChar w:fldCharType="begin"/>
    </w:r>
    <w:r>
      <w:rPr>
        <w:lang w:val="fr-FR"/>
      </w:rPr>
      <w:instrText xml:space="preserve"> PAGE  \* MERGEFORMAT </w:instrText>
    </w:r>
    <w:r>
      <w:rPr>
        <w:lang w:val="fr-FR"/>
      </w:rPr>
      <w:fldChar w:fldCharType="separate"/>
    </w:r>
    <w:r>
      <w:rPr>
        <w:noProof/>
        <w:lang w:val="fr-FR"/>
      </w:rPr>
      <w:t>2</w:t>
    </w:r>
    <w:r>
      <w:rPr>
        <w:lang w:val="fr-FR"/>
      </w:rPr>
      <w:fldChar w:fldCharType="end"/>
    </w:r>
    <w:r>
      <w:rPr>
        <w:lang w:val="fr-FR"/>
      </w:rPr>
      <w:t>/</w:t>
    </w:r>
    <w:r>
      <w:rPr>
        <w:lang w:val="fr-FR"/>
      </w:rPr>
      <w:fldChar w:fldCharType="begin"/>
    </w:r>
    <w:r>
      <w:rPr>
        <w:lang w:val="fr-FR"/>
      </w:rPr>
      <w:instrText xml:space="preserve"> NUMPAGES  \* MERGEFORMAT </w:instrText>
    </w:r>
    <w:r>
      <w:rPr>
        <w:lang w:val="fr-FR"/>
      </w:rPr>
      <w:fldChar w:fldCharType="separate"/>
    </w:r>
    <w:r>
      <w:rPr>
        <w:noProof/>
        <w:lang w:val="fr-FR"/>
      </w:rPr>
      <w:t>8</w:t>
    </w:r>
    <w:r>
      <w:rPr>
        <w:lang w:val="fr-FR"/>
      </w:rPr>
      <w:fldChar w:fldCharType="end"/>
    </w:r>
    <w:r>
      <w:rPr>
        <w:lang w:val="fr-FR"/>
      </w:rPr>
      <w:tab/>
    </w:r>
    <w:r w:rsidRPr="003C05FD">
      <w:rPr>
        <w:rStyle w:val="HideTWBExt"/>
      </w:rPr>
      <w:t>&lt;</w:t>
    </w:r>
    <w:r w:rsidRPr="003C05FD">
      <w:rPr>
        <w:rStyle w:val="HideTWBExt"/>
      </w:rPr>
      <w:t>PathFdR&gt;</w:t>
    </w:r>
    <w:r>
      <w:rPr>
        <w:lang w:val="fr-FR"/>
      </w:rPr>
      <w:t>AD\1294925PT.docx</w:t>
    </w:r>
    <w:r w:rsidRPr="003C05FD">
      <w:rPr>
        <w:rStyle w:val="HideTWBExt"/>
      </w:rPr>
      <w:t>&lt;/PathFdR&gt;</w:t>
    </w:r>
  </w:p>
  <w:p w:rsidR="002E2F2E" w:rsidRPr="00B6507E" w:rsidRDefault="00994948" w:rsidP="003C05FD">
    <w:pPr>
      <w:pStyle w:val="EPFooter2"/>
      <w:rPr>
        <w:lang w:val="fr-FR"/>
      </w:rPr>
    </w:pPr>
    <w:r>
      <w:rPr>
        <w:lang w:val="fr-FR"/>
      </w:rPr>
      <w:t>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FD" w:rsidRDefault="00994948" w:rsidP="003C05FD">
    <w:pPr>
      <w:pStyle w:val="EPFooter"/>
      <w:rPr>
        <w:lang w:val="es-ES"/>
      </w:rPr>
    </w:pPr>
    <w:r w:rsidRPr="003C05FD">
      <w:rPr>
        <w:rStyle w:val="HideTWBExt"/>
      </w:rPr>
      <w:t>&lt;PathFdR&gt;</w:t>
    </w:r>
    <w:r>
      <w:rPr>
        <w:lang w:val="es-ES"/>
      </w:rPr>
      <w:t>AD\1294925PT.docx</w:t>
    </w:r>
    <w:r w:rsidRPr="003C05FD">
      <w:rPr>
        <w:rStyle w:val="HideTWBExt"/>
      </w:rPr>
      <w:t>&lt;/PathFdR&gt;</w:t>
    </w:r>
    <w:r>
      <w:rPr>
        <w:lang w:val="es-ES"/>
      </w:rPr>
      <w:tab/>
    </w:r>
    <w:r>
      <w:rPr>
        <w:lang w:val="es-ES"/>
      </w:rPr>
      <w:fldChar w:fldCharType="begin"/>
    </w:r>
    <w:r>
      <w:rPr>
        <w:lang w:val="es-ES"/>
      </w:rPr>
      <w:instrText xml:space="preserve"> PAGE  \* MERGEFORMAT </w:instrText>
    </w:r>
    <w:r>
      <w:rPr>
        <w:lang w:val="es-ES"/>
      </w:rPr>
      <w:fldChar w:fldCharType="separate"/>
    </w:r>
    <w:r>
      <w:rPr>
        <w:noProof/>
        <w:lang w:val="es-ES"/>
      </w:rPr>
      <w:t>7</w:t>
    </w:r>
    <w:r>
      <w:rPr>
        <w:lang w:val="es-ES"/>
      </w:rPr>
      <w:fldChar w:fldCharType="end"/>
    </w:r>
    <w:r>
      <w:rPr>
        <w:lang w:val="es-ES"/>
      </w:rPr>
      <w:t>/</w:t>
    </w:r>
    <w:r>
      <w:rPr>
        <w:lang w:val="es-ES"/>
      </w:rPr>
      <w:fldChar w:fldCharType="begin"/>
    </w:r>
    <w:r>
      <w:rPr>
        <w:lang w:val="es-ES"/>
      </w:rPr>
      <w:instrText xml:space="preserve"> NUMPAGES  \* MERGEFORMAT </w:instrText>
    </w:r>
    <w:r>
      <w:rPr>
        <w:lang w:val="es-ES"/>
      </w:rPr>
      <w:fldChar w:fldCharType="separate"/>
    </w:r>
    <w:r>
      <w:rPr>
        <w:noProof/>
        <w:lang w:val="es-ES"/>
      </w:rPr>
      <w:t>7</w:t>
    </w:r>
    <w:r>
      <w:rPr>
        <w:lang w:val="es-ES"/>
      </w:rPr>
      <w:fldChar w:fldCharType="end"/>
    </w:r>
    <w:r>
      <w:rPr>
        <w:lang w:val="es-ES"/>
      </w:rPr>
      <w:tab/>
      <w:t>PE</w:t>
    </w:r>
    <w:r w:rsidRPr="003C05FD">
      <w:rPr>
        <w:rStyle w:val="HideTWBExt"/>
      </w:rPr>
      <w:t>&lt;NoPE&gt;</w:t>
    </w:r>
    <w:r>
      <w:rPr>
        <w:lang w:val="es-ES"/>
      </w:rPr>
      <w:t>754.838</w:t>
    </w:r>
    <w:r w:rsidRPr="003C05FD">
      <w:rPr>
        <w:rStyle w:val="HideTWBExt"/>
      </w:rPr>
      <w:t>&lt;/NoPE&gt;&lt;Version&gt;</w:t>
    </w:r>
    <w:r>
      <w:rPr>
        <w:lang w:val="es-ES"/>
      </w:rPr>
      <w:t>v02</w:t>
    </w:r>
    <w:r>
      <w:rPr>
        <w:lang w:val="es-ES"/>
      </w:rPr>
      <w:noBreakHyphen/>
    </w:r>
    <w:r>
      <w:rPr>
        <w:lang w:val="es-ES"/>
      </w:rPr>
      <w:t>00</w:t>
    </w:r>
    <w:r w:rsidRPr="003C05FD">
      <w:rPr>
        <w:rStyle w:val="HideTWBExt"/>
      </w:rPr>
      <w:t>&lt;/Version&gt;</w:t>
    </w:r>
  </w:p>
  <w:p w:rsidR="002E2F2E" w:rsidRPr="00B6507E" w:rsidRDefault="00994948" w:rsidP="003C05FD">
    <w:pPr>
      <w:pStyle w:val="EPFooter2"/>
      <w:rPr>
        <w:lang w:val="es-ES"/>
      </w:rPr>
    </w:pPr>
    <w:r>
      <w:rPr>
        <w:lang w:val="es-ES"/>
      </w:rPr>
      <w:tab/>
    </w:r>
    <w:r>
      <w:rPr>
        <w:lang w:val="es-ES"/>
      </w:rPr>
      <w:tab/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5FD" w:rsidRDefault="00994948" w:rsidP="003C05FD">
    <w:pPr>
      <w:pStyle w:val="EPFooter"/>
    </w:pPr>
    <w:r w:rsidRPr="003C05FD">
      <w:rPr>
        <w:rStyle w:val="HideTWBExt"/>
      </w:rPr>
      <w:t>&lt;PathFdR&gt;</w:t>
    </w:r>
    <w:r>
      <w:t>AD\1294925PT.docx</w:t>
    </w:r>
    <w:r w:rsidRPr="003C05FD">
      <w:rPr>
        <w:rStyle w:val="HideTWBExt"/>
      </w:rPr>
      <w:t>&lt;/PathFdR&gt;</w:t>
    </w:r>
    <w:r>
      <w:tab/>
    </w:r>
    <w:r>
      <w:tab/>
      <w:t>PE</w:t>
    </w:r>
    <w:r w:rsidRPr="003C05FD">
      <w:rPr>
        <w:rStyle w:val="HideTWBExt"/>
      </w:rPr>
      <w:t>&lt;NoPE&gt;</w:t>
    </w:r>
    <w:r>
      <w:t>754.838</w:t>
    </w:r>
    <w:r w:rsidRPr="003C05FD">
      <w:rPr>
        <w:rStyle w:val="HideTWBExt"/>
      </w:rPr>
      <w:t>&lt;/NoPE&gt;&lt;Version&gt;</w:t>
    </w:r>
    <w:r>
      <w:t>v02</w:t>
    </w:r>
    <w:r>
      <w:noBreakHyphen/>
    </w:r>
    <w:r>
      <w:t>00</w:t>
    </w:r>
    <w:r w:rsidRPr="003C05FD">
      <w:rPr>
        <w:rStyle w:val="HideTWBExt"/>
      </w:rPr>
      <w:t>&lt;/Version&gt;</w:t>
    </w:r>
  </w:p>
  <w:p w:rsidR="002E2F2E" w:rsidRPr="00D464A2" w:rsidRDefault="00994948" w:rsidP="003C05FD">
    <w:pPr>
      <w:pStyle w:val="EPFooter2"/>
    </w:pPr>
    <w:r>
      <w:t>PT</w:t>
    </w:r>
    <w:r>
      <w:tab/>
    </w:r>
    <w:r w:rsidRPr="003C05FD">
      <w:rPr>
        <w:b w:val="0"/>
        <w:i/>
        <w:color w:val="C0C0C0"/>
        <w:sz w:val="22"/>
      </w:rPr>
      <w:t>Unida na diversidade</w:t>
    </w:r>
    <w:r>
      <w:tab/>
      <w:t>PT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B14" w:rsidRPr="00D464A2" w:rsidRDefault="00994948">
      <w:r w:rsidRPr="00D464A2">
        <w:separator/>
      </w:r>
    </w:p>
  </w:footnote>
  <w:footnote w:type="continuationSeparator" w:id="0">
    <w:p w:rsidR="00213B14" w:rsidRPr="00D464A2" w:rsidRDefault="00994948">
      <w:r w:rsidRPr="00D464A2">
        <w:continuationSeparator/>
      </w:r>
    </w:p>
  </w:footnote>
  <w:footnote w:id="1">
    <w:p w:rsidR="00B610F2" w:rsidRPr="001C3E23" w:rsidRDefault="00994948" w:rsidP="00B610F2">
      <w:pPr>
        <w:pStyle w:val="FootnoteText"/>
      </w:pPr>
      <w:r>
        <w:rPr>
          <w:rStyle w:val="FootnoteReference"/>
        </w:rPr>
        <w:footnoteRef/>
      </w:r>
      <w:r>
        <w:t xml:space="preserve">  https://www.europarl.europa.eu/RegData/etudes/STUD/2022/736899/IPOL_STU(2022)736899_EN.pdf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0F2" w:rsidRDefault="00B610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0F2" w:rsidRDefault="00B610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0F2" w:rsidRDefault="00B610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DOCDECMNU" w:val=" 1"/>
    <w:docVar w:name="CJMNU" w:val="1"/>
    <w:docVar w:name="CODEMNU" w:val=" 7"/>
    <w:docVar w:name="COM2KEY" w:val="FEMM"/>
    <w:docVar w:name="COMKEY" w:val="FEMM"/>
    <w:docVar w:name="LastEditedSection" w:val=" 2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9\fbidi \froman\fcharset238\fprq2 Times New Roman CE;}{\f330\fbidi \froman\fcharset204\fprq2 Times New Roman Cyr;}_x000d__x000a_{\f332\fbidi \froman\fcharset161\fprq2 Times New Roman Greek;}{\f333\fbidi \froman\fcharset162\fprq2 Times New Roman Tur;}{\f334\fbidi \froman\fcharset177\fprq2 Times New Roman (Hebrew);}{\f335\fbidi \froman\fcharset178\fprq2 Times New Roman (Arabic);}_x000d__x000a_{\f336\fbidi \froman\fcharset186\fprq2 Times New Roman Baltic;}{\f337\fbidi \froman\fcharset163\fprq2 Times New Roman (Vietnamese);}{\f339\fbidi \fswiss\fcharset238\fprq2 Arial CE;}{\f340\fbidi \fswiss\fcharset204\fprq2 Arial Cyr;}_x000d__x000a_{\f342\fbidi \fswiss\fcharset161\fprq2 Arial Greek;}{\f343\fbidi \fswiss\fcharset162\fprq2 Arial Tur;}{\f344\fbidi \fswiss\fcharset177\fprq2 Arial (Hebrew);}{\f345\fbidi \fswiss\fcharset178\fprq2 Arial (Arabic);}_x000d__x000a_{\f346\fbidi \fswiss\fcharset186\fprq2 Arial Baltic;}{\f347\fbidi \fswiss\fcharset163\fprq2 Arial (Vietnamese);}{\f669\fbidi \froman\fcharset238\fprq2 Cambria Math CE;}{\f670\fbidi \froman\fcharset204\fprq2 Cambria Math Cyr;}_x000d__x000a_{\f672\fbidi \froman\fcharset161\fprq2 Cambria Math Greek;}{\f673\fbidi \froman\fcharset162\fprq2 Cambria Math Tur;}{\f676\fbidi \froman\fcharset186\fprq2 Cambria Math Baltic;}{\f67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11931127 HideTWBInt;}{_x000d__x000a_\s18\ql \fi-567\li567\ri0\sa240\nowidctlpar\wrapdefault\aspalpha\aspnum\faauto\adjustright\rin0\lin567\itap0 \rtlch\fcs1 \af0\afs20\alang1025 \ltrch\fcs0 \fs24\lang2057\langfe2057\cgrid\langnp2057\langfenp2057 _x000d__x000a_\sbasedon0 \snext18 \spriority0 \styrsid11931127 NormalHanging12a;}}{\*\rsidtbl \rsid24658\rsid223860\rsid735077\rsid1718133\rsid2892074\rsid3565327\rsid4666813\rsid6641733\rsid7823322\rsid9636012\rsid10377208\rsid11215221\rsid11549030\rsid11931127_x000d__x000a_\rsid12154954\rsid13373107\rsid14382809\rsid14424199\rsid15204470\rsid15285974\rsid15950462\rsid16324206\rsid16662270}{\mmathPr\mmathFont34\mbrkBin0\mbrkBinSub0\msmallFrac0\mdispDef1\mlMargin0\mrMargin0\mdefJc1\mwrapIndent1440\mintLim0\mnaryLim1}{\info_x000d__x000a_{\author CORISCO Vasco}{\operator CORISCO Vasco}{\creatim\yr2024\mo1\dy26\hr8\min31}{\revtim\yr2024\mo1\dy26\hr8\min31}{\version1}{\edmins0}{\nofpages1}{\nofwords1}{\nofchars12}{\nofcharsws12}{\vern109}}{\*\xmlnstbl {\xmlns1 http://schemas.microsoft.com/o_x000d__x000a_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10\pgbrdrhead\pgbrdrfoot\splytwnine\ftnlytwnine\htmautsp\nolnhtadjtbl\useltbaln\alntblind\lytcalctblwd\lyttblrtgr\lnbrkrule\nobrkwrptbl\snaptogridincell\allowfieldendsel\wrppunct_x000d__x000a_\asianbrkrule\nojkernpunct\rsidroot1193112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vcorisco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37310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37310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37310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37310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8\ql \fi-567\li567\ri0\sa240\nowidctlpar\wrapdefault\aspalpha\aspnum\faauto\adjustright\rin0\lin567\itap0\pararsid11931127 \rtlch\fcs1 \af0\afs20\alang1025 \ltrch\fcs0 \fs24\lang2057\langfe2057\cgrid\langnp2057\langfenp2057 {\rtlch\fcs1 \af0 _x000d__x000a_\ltrch\fcs0 \insrsid11931127\charrsid2177812 {\*\bkmkstart restart}#}{\rtlch\fcs1 \af1 \ltrch\fcs0 \cs17\v\f1\fs20\cf15\insrsid11931127\charrsid2177812 NRMSG}{\rtlch\fcs1 \af0 \ltrch\fcs0 \insrsid11931127\charrsid2177812 #.\tab ##}{\rtlch\fcs1 \af0 _x000d__x000a_\ltrch\fcs0 \insrsid11931127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46_x000d__x000a_4ba02950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9\fbidi \froman\fcharset238\fprq2 Times New Roman CE;}{\f330\fbidi \froman\fcharset204\fprq2 Times New Roman Cyr;}_x000d__x000a_{\f332\fbidi \froman\fcharset161\fprq2 Times New Roman Greek;}{\f333\fbidi \froman\fcharset162\fprq2 Times New Roman Tur;}{\f334\fbidi \froman\fcharset177\fprq2 Times New Roman (Hebrew);}{\f335\fbidi \froman\fcharset178\fprq2 Times New Roman (Arabic);}_x000d__x000a_{\f336\fbidi \froman\fcharset186\fprq2 Times New Roman Baltic;}{\f337\fbidi \froman\fcharset163\fprq2 Times New Roman (Vietnamese);}{\f669\fbidi \froman\fcharset238\fprq2 Cambria Math CE;}{\f670\fbidi \froman\fcharset204\fprq2 Cambria Math Cyr;}_x000d__x000a_{\f672\fbidi \froman\fcharset161\fprq2 Cambria Math Greek;}{\f673\fbidi \froman\fcharset162\fprq2 Cambria Math Tur;}{\f676\fbidi \froman\fcharset186\fprq2 Cambria Math Baltic;}{\f67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s17\ql \fi-567\li567\ri0\sa240\nowidctlpar\wrapdefault\aspalpha\aspnum\faauto\adjustright\rin0\lin567\itap0 \rtlch\fcs1 \af0\afs20\alang1025 \ltrch\fcs0 _x000d__x000a_\fs24\lang2057\langfe2057\cgrid\langnp2057\langfenp2057 \sbasedon0 \snext17 \spriority0 \styrsid11171430 NormalHanging12a;}}{\*\rsidtbl \rsid24658\rsid223860\rsid735077\rsid1718133\rsid2892074\rsid3565327\rsid4666813\rsid6641733\rsid7823322\rsid9636012_x000d__x000a_\rsid10377208\rsid10900792\rsid11171430\rsid11215221\rsid11549030\rsid12154954\rsid14382809\rsid14424199\rsid15204470\rsid15285974\rsid15950462\rsid16324206\rsid16662270}{\mmathPr\mmathFont34\mbrkBin0\mbrkBinSub0\msmallFrac0\mdispDef1\mlMargin0\mrMargin0_x000d__x000a_\mdefJc1\mwrapIndent1440\mintLim0\mnaryLim1}{\info{\author CORISCO Vasco}{\operator CORISCO Vasco}{\creatim\yr2024\mo1\dy26\hr8\min31}{\revtim\yr2024\mo1\dy26\hr8\min31}{\version1}{\edmins0}{\nofpages1}{\nofwords5}{\nofchars30}{\nofcharsws34}{\vern109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10\pgbrdrhead\pgbrdrfoot\splytwnine\ftnlytwnine\htmautsp\nolnhtadjtbl\useltbaln\alntblind\lytcalctblwd\lyttblrtgr\lnbrkrule\nobrkwrptbl\snaptogridincell\allowfieldendsel\wrppunct_x000d__x000a_\asianbrkrule\nojkernpunct\rsidroot1117143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vcorisco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090079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90079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90079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90079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7\ql \fi-567\li567\ri0\sa240\nowidctlpar\wrapdefault\aspalpha\aspnum\faauto\adjustright\rin0\lin567\itap0\pararsid11171430 \rtlch\fcs1 \af0\afs20\alang1025 \ltrch\fcs0 \fs24\lang2057\langfe2057\cgrid\langnp2057\langfenp2057 {\rtlch\fcs1 \af0 _x000d__x000a_\ltrch\fcs0 \insrsid11171430\charrsid1525456 {\*\bkmkstart restart}[ZSUGGESTIONNR]\tab [ZSUGGESTIONTEXT]}{\rtlch\fcs1 \af0 \ltrch\fcs0 \insrsid11171430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dd_x000d__x000a_e4a22950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NonLeg"/>
    <w:docVar w:name="strSubDir" w:val="1294"/>
    <w:docVar w:name="TXTLANGUE" w:val="PT"/>
    <w:docVar w:name="TXTLANGUEMIN" w:val="pt"/>
    <w:docVar w:name="TXTNRPE" w:val="754.838"/>
    <w:docVar w:name="TXTNRPROC" w:val="2023/2129"/>
    <w:docVar w:name="TXTPEorAP" w:val="PE"/>
    <w:docVar w:name="TXTROUTE" w:val="AD\1294925PT.docx"/>
    <w:docVar w:name="TXTTITLE" w:val="2022 DISCHARGE/ General budget of the EU - Commission"/>
    <w:docVar w:name="TXTVERSION" w:val="02-00"/>
  </w:docVars>
  <w:rsids>
    <w:rsidRoot w:val="00213B14"/>
    <w:rsid w:val="00033C6D"/>
    <w:rsid w:val="000701FE"/>
    <w:rsid w:val="000E7EBF"/>
    <w:rsid w:val="00124F60"/>
    <w:rsid w:val="00135121"/>
    <w:rsid w:val="00140BE6"/>
    <w:rsid w:val="00147F4E"/>
    <w:rsid w:val="00147FBF"/>
    <w:rsid w:val="0016635E"/>
    <w:rsid w:val="001746D0"/>
    <w:rsid w:val="00192188"/>
    <w:rsid w:val="001B7393"/>
    <w:rsid w:val="001C3E23"/>
    <w:rsid w:val="001D2ED9"/>
    <w:rsid w:val="001F21C1"/>
    <w:rsid w:val="00207509"/>
    <w:rsid w:val="00213B14"/>
    <w:rsid w:val="00245873"/>
    <w:rsid w:val="002D28A7"/>
    <w:rsid w:val="002E2F2E"/>
    <w:rsid w:val="002E6F98"/>
    <w:rsid w:val="002F1324"/>
    <w:rsid w:val="00325BCB"/>
    <w:rsid w:val="00331944"/>
    <w:rsid w:val="00332AD9"/>
    <w:rsid w:val="00347D2C"/>
    <w:rsid w:val="00351460"/>
    <w:rsid w:val="003554AD"/>
    <w:rsid w:val="0037356F"/>
    <w:rsid w:val="003858C5"/>
    <w:rsid w:val="00390EB2"/>
    <w:rsid w:val="00396A0E"/>
    <w:rsid w:val="003C05FD"/>
    <w:rsid w:val="003E2402"/>
    <w:rsid w:val="00461D54"/>
    <w:rsid w:val="004808C5"/>
    <w:rsid w:val="004C28FB"/>
    <w:rsid w:val="004C44C0"/>
    <w:rsid w:val="0052544E"/>
    <w:rsid w:val="005940C3"/>
    <w:rsid w:val="00594C48"/>
    <w:rsid w:val="005B2F11"/>
    <w:rsid w:val="005C0BDF"/>
    <w:rsid w:val="005D60C6"/>
    <w:rsid w:val="006102E7"/>
    <w:rsid w:val="00640C1B"/>
    <w:rsid w:val="00657AFB"/>
    <w:rsid w:val="006D5BF7"/>
    <w:rsid w:val="008233BB"/>
    <w:rsid w:val="008313E7"/>
    <w:rsid w:val="00854CAC"/>
    <w:rsid w:val="008A32C5"/>
    <w:rsid w:val="008C6203"/>
    <w:rsid w:val="008D61E7"/>
    <w:rsid w:val="008E4648"/>
    <w:rsid w:val="008E5FE7"/>
    <w:rsid w:val="008F7002"/>
    <w:rsid w:val="0099178F"/>
    <w:rsid w:val="0099493F"/>
    <w:rsid w:val="00994948"/>
    <w:rsid w:val="00A16BEA"/>
    <w:rsid w:val="00A236F0"/>
    <w:rsid w:val="00A312B3"/>
    <w:rsid w:val="00A72C35"/>
    <w:rsid w:val="00AB3C1F"/>
    <w:rsid w:val="00AE180F"/>
    <w:rsid w:val="00B362F7"/>
    <w:rsid w:val="00B5456B"/>
    <w:rsid w:val="00B610F2"/>
    <w:rsid w:val="00B6507E"/>
    <w:rsid w:val="00B735E3"/>
    <w:rsid w:val="00B74B53"/>
    <w:rsid w:val="00BC26E4"/>
    <w:rsid w:val="00BD1EAA"/>
    <w:rsid w:val="00C14FC3"/>
    <w:rsid w:val="00C262F0"/>
    <w:rsid w:val="00C36610"/>
    <w:rsid w:val="00C52739"/>
    <w:rsid w:val="00C827FF"/>
    <w:rsid w:val="00C85D0F"/>
    <w:rsid w:val="00CD34AC"/>
    <w:rsid w:val="00D464A2"/>
    <w:rsid w:val="00DE19FF"/>
    <w:rsid w:val="00E81BA6"/>
    <w:rsid w:val="00E856D2"/>
    <w:rsid w:val="00E929A7"/>
    <w:rsid w:val="00FC6460"/>
    <w:rsid w:val="00FD0D14"/>
    <w:rsid w:val="00FD4BC4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D9D28-D493-4770-A4F3-39656005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94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NotTOC">
    <w:name w:val="PageHeadingNotTOC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E856D2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347D2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styleId="Header">
    <w:name w:val="header"/>
    <w:basedOn w:val="Normal"/>
    <w:link w:val="HeaderChar"/>
    <w:semiHidden/>
    <w:rsid w:val="005C0BDF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E81BA6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347D2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746D0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1746D0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1746D0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E856D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E856D2"/>
    <w:pPr>
      <w:jc w:val="right"/>
    </w:pPr>
  </w:style>
  <w:style w:type="paragraph" w:customStyle="1" w:styleId="NormalHanging12a">
    <w:name w:val="NormalHanging12a"/>
    <w:basedOn w:val="Normal"/>
    <w:link w:val="NormalHanging12aChar"/>
    <w:rsid w:val="008313E7"/>
    <w:pPr>
      <w:spacing w:after="240"/>
      <w:ind w:left="567" w:hanging="567"/>
    </w:pPr>
  </w:style>
  <w:style w:type="paragraph" w:customStyle="1" w:styleId="EPFooter">
    <w:name w:val="EPFooter"/>
    <w:basedOn w:val="Normal"/>
    <w:rsid w:val="00347D2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5C0BDF"/>
    <w:rPr>
      <w:sz w:val="24"/>
    </w:rPr>
  </w:style>
  <w:style w:type="paragraph" w:styleId="Footer">
    <w:name w:val="footer"/>
    <w:basedOn w:val="Normal"/>
    <w:link w:val="FooterChar"/>
    <w:semiHidden/>
    <w:rsid w:val="008233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8233BB"/>
    <w:rPr>
      <w:sz w:val="24"/>
    </w:rPr>
  </w:style>
  <w:style w:type="character" w:customStyle="1" w:styleId="NormalHanging12aChar">
    <w:name w:val="NormalHanging12a Char"/>
    <w:basedOn w:val="DefaultParagraphFont"/>
    <w:link w:val="NormalHanging12a"/>
    <w:rsid w:val="00B610F2"/>
    <w:rPr>
      <w:sz w:val="24"/>
    </w:rPr>
  </w:style>
  <w:style w:type="paragraph" w:styleId="FootnoteText">
    <w:name w:val="footnote text"/>
    <w:basedOn w:val="Normal"/>
    <w:link w:val="FootnoteTextChar"/>
    <w:rsid w:val="00B610F2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B610F2"/>
    <w:rPr>
      <w:lang w:val="pt-PT"/>
    </w:rPr>
  </w:style>
  <w:style w:type="character" w:styleId="FootnoteReference">
    <w:name w:val="footnote reference"/>
    <w:basedOn w:val="DefaultParagraphFont"/>
    <w:rsid w:val="00B610F2"/>
    <w:rPr>
      <w:vertAlign w:val="superscript"/>
    </w:rPr>
  </w:style>
  <w:style w:type="paragraph" w:customStyle="1" w:styleId="RollCallSymbols14pt">
    <w:name w:val="RollCallSymbols14pt"/>
    <w:basedOn w:val="Normal"/>
    <w:rsid w:val="00B610F2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B610F2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B610F2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B610F2"/>
    <w:pPr>
      <w:spacing w:before="120" w:after="120"/>
    </w:pPr>
    <w:rPr>
      <w:snapToGrid w:val="0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1967</Words>
  <Characters>10597</Characters>
  <Application>Microsoft Office Word</Application>
  <DocSecurity>0</DocSecurity>
  <Lines>224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</vt:lpstr>
    </vt:vector>
  </TitlesOfParts>
  <Company/>
  <LinksUpToDate>false</LinksUpToDate>
  <CharactersWithSpaces>12493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</dc:title>
  <dc:creator>European Parliament</dc:creator>
  <cp:lastModifiedBy>European Parliament</cp:lastModifiedBy>
  <cp:revision>2</cp:revision>
  <cp:lastPrinted>2004-10-28T10:33:00Z</cp:lastPrinted>
  <dcterms:created xsi:type="dcterms:W3CDTF">2024-01-31T11:27:00Z</dcterms:created>
  <dcterms:modified xsi:type="dcterms:W3CDTF">2024-01-31T11:27:00Z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1294925</vt:lpwstr>
  </property>
  <property fmtid="{D5CDD505-2E9C-101B-9397-08002B2CF9AE}" pid="4" name="&lt;Model&gt;">
    <vt:lpwstr>PA_NonLeg</vt:lpwstr>
  </property>
  <property fmtid="{D5CDD505-2E9C-101B-9397-08002B2CF9AE}" pid="5" name="&lt;ModelCod&gt;">
    <vt:lpwstr>\\eiciBRUpr1\pdocep$\DocEP\DOCS\General\PA\PA_NonLeg\PA_NonLeg.dotx(18/09/2023 11:25:02)</vt:lpwstr>
  </property>
  <property fmtid="{D5CDD505-2E9C-101B-9397-08002B2CF9AE}" pid="6" name="&lt;ModelTra&gt;">
    <vt:lpwstr>\\eiciBRUpr1\pdocep$\DocEP\TRANSFIL\EN\PA_NonLeg.EN(18/09/2023 11:08:01)</vt:lpwstr>
  </property>
  <property fmtid="{D5CDD505-2E9C-101B-9397-08002B2CF9AE}" pid="7" name="&lt;Type&gt;">
    <vt:lpwstr>AD</vt:lpwstr>
  </property>
  <property fmtid="{D5CDD505-2E9C-101B-9397-08002B2CF9AE}" pid="8" name="Bookout">
    <vt:lpwstr>OK - 2024/01/31 12:27</vt:lpwstr>
  </property>
  <property fmtid="{D5CDD505-2E9C-101B-9397-08002B2CF9AE}" pid="9" name="Created with">
    <vt:lpwstr>9.16.1 Build [20230915]</vt:lpwstr>
  </property>
  <property fmtid="{D5CDD505-2E9C-101B-9397-08002B2CF9AE}" pid="10" name="FooterPath">
    <vt:lpwstr>AD\1294925PT.docx</vt:lpwstr>
  </property>
  <property fmtid="{D5CDD505-2E9C-101B-9397-08002B2CF9AE}" pid="11" name="LastEdited with">
    <vt:lpwstr>9.17.1 Build [20240101]</vt:lpwstr>
  </property>
  <property fmtid="{D5CDD505-2E9C-101B-9397-08002B2CF9AE}" pid="12" name="PE number">
    <vt:lpwstr>754.838</vt:lpwstr>
  </property>
  <property fmtid="{D5CDD505-2E9C-101B-9397-08002B2CF9AE}" pid="13" name="SDLStudio">
    <vt:lpwstr/>
  </property>
  <property fmtid="{D5CDD505-2E9C-101B-9397-08002B2CF9AE}" pid="14" name="SendToEpades">
    <vt:lpwstr>OK - 2023/10/17 14:53</vt:lpwstr>
  </property>
</Properties>
</file>