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B90B1E" w:rsidTr="00C85D0F">
        <w:trPr>
          <w:trHeight w:hRule="exact" w:val="1418"/>
        </w:trPr>
        <w:tc>
          <w:tcPr>
            <w:tcW w:w="6804" w:type="dxa"/>
            <w:shd w:val="clear" w:color="auto" w:fill="auto"/>
            <w:vAlign w:val="center"/>
          </w:tcPr>
          <w:p w:rsidR="00854CAC" w:rsidRPr="000818D8" w:rsidRDefault="00903276" w:rsidP="00C85D0F">
            <w:pPr>
              <w:pStyle w:val="EPName"/>
            </w:pPr>
            <w:r>
              <w:t>Parlamentul European</w:t>
            </w:r>
          </w:p>
          <w:p w:rsidR="00854CAC" w:rsidRPr="000818D8" w:rsidRDefault="00903276" w:rsidP="00D464A2">
            <w:pPr>
              <w:pStyle w:val="EPTerm"/>
            </w:pPr>
            <w:r>
              <w:t>2019-2024</w:t>
            </w:r>
          </w:p>
        </w:tc>
        <w:tc>
          <w:tcPr>
            <w:tcW w:w="2268" w:type="dxa"/>
            <w:shd w:val="clear" w:color="auto" w:fill="auto"/>
          </w:tcPr>
          <w:p w:rsidR="00854CAC" w:rsidRPr="000818D8" w:rsidRDefault="00903276" w:rsidP="00C85D0F">
            <w:pPr>
              <w:pStyle w:val="EPLogo"/>
            </w:pPr>
            <w:r w:rsidRPr="000818D8">
              <w:rPr>
                <w:noProof/>
                <w:lang w:val="en-GB"/>
              </w:rPr>
              <w:drawing>
                <wp:inline distT="0" distB="0" distL="0" distR="0">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EP logo RGB_Mute"/>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rsidR="001746D0" w:rsidRPr="000818D8" w:rsidRDefault="001746D0" w:rsidP="001746D0">
      <w:pPr>
        <w:pStyle w:val="LineTop"/>
      </w:pPr>
    </w:p>
    <w:p w:rsidR="001746D0" w:rsidRPr="000818D8" w:rsidRDefault="00903276" w:rsidP="001746D0">
      <w:pPr>
        <w:pStyle w:val="EPBody"/>
      </w:pPr>
      <w:r>
        <w:rPr>
          <w:rStyle w:val="HideTWBExt"/>
        </w:rPr>
        <w:t>&lt;</w:t>
      </w:r>
      <w:r>
        <w:rPr>
          <w:rStyle w:val="HideTWBExt"/>
          <w:i w:val="0"/>
        </w:rPr>
        <w:t>Commission</w:t>
      </w:r>
      <w:r>
        <w:rPr>
          <w:rStyle w:val="HideTWBExt"/>
        </w:rPr>
        <w:t>&gt;</w:t>
      </w:r>
      <w:r>
        <w:rPr>
          <w:rStyle w:val="HideTWBInt"/>
          <w:color w:val="auto"/>
        </w:rPr>
        <w:t>{FEMM}</w:t>
      </w:r>
      <w:r>
        <w:t>Comisia pentru drepturile femeilor și egalitatea de gen</w:t>
      </w:r>
      <w:r>
        <w:rPr>
          <w:rStyle w:val="HideTWBExt"/>
        </w:rPr>
        <w:t>&lt;/</w:t>
      </w:r>
      <w:r>
        <w:rPr>
          <w:rStyle w:val="HideTWBExt"/>
          <w:i w:val="0"/>
        </w:rPr>
        <w:t>Commission</w:t>
      </w:r>
      <w:r>
        <w:rPr>
          <w:rStyle w:val="HideTWBExt"/>
        </w:rPr>
        <w:t>&gt;</w:t>
      </w:r>
    </w:p>
    <w:p w:rsidR="001746D0" w:rsidRPr="000818D8" w:rsidRDefault="001746D0" w:rsidP="001746D0">
      <w:pPr>
        <w:pStyle w:val="LineBottom"/>
      </w:pPr>
    </w:p>
    <w:p w:rsidR="002E2F2E" w:rsidRPr="000818D8" w:rsidRDefault="00903276">
      <w:pPr>
        <w:pStyle w:val="CoverReference"/>
      </w:pPr>
      <w:r>
        <w:rPr>
          <w:rStyle w:val="HideTWBExt"/>
          <w:b w:val="0"/>
        </w:rPr>
        <w:t>&lt;RefProc&gt;</w:t>
      </w:r>
      <w:r>
        <w:t>2023/2129</w:t>
      </w:r>
      <w:r>
        <w:rPr>
          <w:rStyle w:val="HideTWBExt"/>
          <w:b w:val="0"/>
        </w:rPr>
        <w:t>&lt;/RefProc&gt;&lt;RefTypeProc&gt;</w:t>
      </w:r>
      <w:r>
        <w:t>(DEC)</w:t>
      </w:r>
      <w:r>
        <w:rPr>
          <w:rStyle w:val="HideTWBExt"/>
          <w:b w:val="0"/>
        </w:rPr>
        <w:t>&lt;/RefTypeProc&gt;</w:t>
      </w:r>
    </w:p>
    <w:p w:rsidR="002E2F2E" w:rsidRPr="000818D8" w:rsidRDefault="00903276">
      <w:pPr>
        <w:pStyle w:val="CoverDate"/>
      </w:pPr>
      <w:r>
        <w:rPr>
          <w:rStyle w:val="HideTWBExt"/>
        </w:rPr>
        <w:t>&lt;Date&gt;</w:t>
      </w:r>
      <w:r>
        <w:rPr>
          <w:rStyle w:val="HideTWBInt"/>
          <w:color w:val="auto"/>
        </w:rPr>
        <w:t>{25/01/2024}</w:t>
      </w:r>
      <w:r>
        <w:t>25.1.2024</w:t>
      </w:r>
      <w:r>
        <w:rPr>
          <w:rStyle w:val="HideTWBExt"/>
        </w:rPr>
        <w:t>&lt;/Date&gt;</w:t>
      </w:r>
    </w:p>
    <w:p w:rsidR="002E2F2E" w:rsidRPr="000818D8" w:rsidRDefault="00903276">
      <w:pPr>
        <w:pStyle w:val="CoverDocType24a"/>
      </w:pPr>
      <w:r>
        <w:rPr>
          <w:rStyle w:val="HideTWBExt"/>
          <w:b w:val="0"/>
        </w:rPr>
        <w:t>&lt;TitreType&gt;</w:t>
      </w:r>
      <w:r>
        <w:t>AV</w:t>
      </w:r>
      <w:bookmarkStart w:id="0" w:name="_GoBack"/>
      <w:bookmarkEnd w:id="0"/>
      <w:r>
        <w:t>IZ</w:t>
      </w:r>
      <w:r>
        <w:rPr>
          <w:rStyle w:val="HideTWBExt"/>
          <w:b w:val="0"/>
        </w:rPr>
        <w:t>&lt;/TitreType&gt;</w:t>
      </w:r>
    </w:p>
    <w:p w:rsidR="002E2F2E" w:rsidRPr="000818D8" w:rsidRDefault="00903276">
      <w:pPr>
        <w:pStyle w:val="CoverNormal24a"/>
      </w:pPr>
      <w:r>
        <w:rPr>
          <w:rStyle w:val="HideTWBExt"/>
        </w:rPr>
        <w:t>&lt;CommissionResp&gt;</w:t>
      </w:r>
      <w:r>
        <w:t>al Comisiei pentru drepturile femeilor și egalitatea de gen</w:t>
      </w:r>
      <w:r>
        <w:rPr>
          <w:rStyle w:val="HideTWBExt"/>
        </w:rPr>
        <w:t>&lt;/CommissionResp&gt;</w:t>
      </w:r>
    </w:p>
    <w:p w:rsidR="002E2F2E" w:rsidRPr="000818D8" w:rsidRDefault="00903276">
      <w:pPr>
        <w:pStyle w:val="CoverNormal24a"/>
      </w:pPr>
      <w:r>
        <w:rPr>
          <w:rStyle w:val="HideTWBExt"/>
        </w:rPr>
        <w:t>&lt;CommissionInt&gt;</w:t>
      </w:r>
      <w:r>
        <w:t>destinat Comisiei pentru control bugetar</w:t>
      </w:r>
      <w:r>
        <w:rPr>
          <w:rStyle w:val="HideTWBExt"/>
        </w:rPr>
        <w:t>&lt;/CommissionInt&gt;</w:t>
      </w:r>
    </w:p>
    <w:p w:rsidR="002E2F2E" w:rsidRPr="000818D8" w:rsidRDefault="00903276">
      <w:pPr>
        <w:pStyle w:val="CoverNormal"/>
      </w:pPr>
      <w:r>
        <w:rPr>
          <w:rStyle w:val="HideTWBExt"/>
        </w:rPr>
        <w:t>&lt;Titre&gt;</w:t>
      </w:r>
      <w:r>
        <w:t>referitor la descărcarea de gestiune 2022: Bugetul general al UE - Comisia Europeană</w:t>
      </w:r>
      <w:r>
        <w:rPr>
          <w:rStyle w:val="HideTWBExt"/>
        </w:rPr>
        <w:t>&lt;/Titre&gt;</w:t>
      </w:r>
    </w:p>
    <w:p w:rsidR="002E2F2E" w:rsidRPr="000818D8" w:rsidRDefault="00903276">
      <w:pPr>
        <w:pStyle w:val="CoverNormal24a"/>
      </w:pPr>
      <w:r>
        <w:rPr>
          <w:rStyle w:val="HideTWBExt"/>
        </w:rPr>
        <w:t>&lt;DocRef&gt;</w:t>
      </w:r>
      <w:r>
        <w:t>(2023/2129(DEC))</w:t>
      </w:r>
      <w:r>
        <w:rPr>
          <w:rStyle w:val="HideTWBExt"/>
        </w:rPr>
        <w:t>&lt;/DocRef&gt;</w:t>
      </w:r>
    </w:p>
    <w:p w:rsidR="002E2F2E" w:rsidRPr="000818D8" w:rsidRDefault="00903276">
      <w:pPr>
        <w:pStyle w:val="CoverNormal24a"/>
      </w:pPr>
      <w:r>
        <w:t xml:space="preserve">Raportor pentru aviz: </w:t>
      </w:r>
      <w:r>
        <w:rPr>
          <w:rStyle w:val="HideTWBExt"/>
        </w:rPr>
        <w:t>&lt;Depute&gt;</w:t>
      </w:r>
      <w:r>
        <w:t>Robert Biedroń</w:t>
      </w:r>
      <w:r>
        <w:rPr>
          <w:rStyle w:val="HideTWBExt"/>
        </w:rPr>
        <w:t>&lt;/Depute&gt;</w:t>
      </w:r>
    </w:p>
    <w:p w:rsidR="00A72C35" w:rsidRPr="000818D8" w:rsidRDefault="00A72C35" w:rsidP="00A72C35">
      <w:pPr>
        <w:pStyle w:val="CoverNormal"/>
      </w:pPr>
    </w:p>
    <w:p w:rsidR="002E2F2E" w:rsidRPr="000818D8" w:rsidRDefault="00903276" w:rsidP="00E856D2">
      <w:pPr>
        <w:widowControl/>
        <w:tabs>
          <w:tab w:val="center" w:pos="4677"/>
        </w:tabs>
      </w:pPr>
      <w:r>
        <w:br w:type="page"/>
      </w:r>
      <w:r>
        <w:lastRenderedPageBreak/>
        <w:t>PA_NonLeg</w:t>
      </w:r>
    </w:p>
    <w:p w:rsidR="002E2F2E" w:rsidRPr="000818D8" w:rsidRDefault="00903276">
      <w:pPr>
        <w:pStyle w:val="PageHeadingNotTOC"/>
      </w:pPr>
      <w:r>
        <w:br w:type="page"/>
        <w:t>SUGESTII</w:t>
      </w:r>
    </w:p>
    <w:p w:rsidR="002E2F2E" w:rsidRPr="000818D8" w:rsidRDefault="00903276" w:rsidP="008313E7">
      <w:pPr>
        <w:pStyle w:val="Normal12a"/>
      </w:pPr>
      <w:r>
        <w:t xml:space="preserve">Comisia pentru drepturile femeilor și egalitatea de gen recomandă Comisiei pentru control bugetar, care este comisie competentă, </w:t>
      </w:r>
      <w:r>
        <w:t>includerea următoarelor sugestii în propunerea de rezoluție ce urmează a fi adoptată:</w:t>
      </w:r>
    </w:p>
    <w:p w:rsidR="001E38DF" w:rsidRPr="000818D8" w:rsidRDefault="00903276" w:rsidP="001E38DF">
      <w:pPr>
        <w:pStyle w:val="NormalHanging12a"/>
        <w:rPr>
          <w:szCs w:val="24"/>
        </w:rPr>
      </w:pPr>
      <w:r>
        <w:t>A.</w:t>
      </w:r>
      <w:r>
        <w:tab/>
        <w:t>întrucât egalitatea de gen este o valoare fundamentală a Uniunii, consacrată la articolul 2 din Tratatul privind Uniunea Europeană; întrucât articolul 8 din TFUE preve</w:t>
      </w:r>
      <w:r>
        <w:t>de angajamentul Uniunii de a elimina inegalitățile și a promova egalitatea de gen între femei și bărbați, precum și de a integra perspectiva de gen;</w:t>
      </w:r>
    </w:p>
    <w:p w:rsidR="001E38DF" w:rsidRPr="000818D8" w:rsidRDefault="00903276" w:rsidP="001E38DF">
      <w:pPr>
        <w:pStyle w:val="NormalHanging12a"/>
        <w:rPr>
          <w:szCs w:val="24"/>
        </w:rPr>
      </w:pPr>
      <w:r>
        <w:t>B.</w:t>
      </w:r>
      <w:r>
        <w:tab/>
        <w:t>întrucât Parlamentul European a solicitat în repetate rânduri Comisiei să promoveze și să pună în aplica</w:t>
      </w:r>
      <w:r>
        <w:t>re integrarea perspectivei de gen, integrarea dimensiunii de gen în buget și efectuarea de evaluări ale impactului de gen în toate domeniile de politică ale Uniunii, cum ar fi execuția bugetului Uniunii și raportarea;</w:t>
      </w:r>
    </w:p>
    <w:p w:rsidR="001E38DF" w:rsidRPr="000818D8" w:rsidRDefault="00903276" w:rsidP="001E38DF">
      <w:pPr>
        <w:pStyle w:val="NormalHanging12a"/>
        <w:rPr>
          <w:szCs w:val="24"/>
        </w:rPr>
      </w:pPr>
      <w:r>
        <w:t>C.</w:t>
      </w:r>
      <w:r>
        <w:tab/>
        <w:t>întrucât, într-o serie de state mem</w:t>
      </w:r>
      <w:r>
        <w:t xml:space="preserve">bre cu o rată scăzută a natalității, femeile și cuplurile ar dori să aibă copii, dar, în practică, nu pot face acest lucru din cauza dificultăților economice, nu prin alegere, ci ca urmare a unor condiții de viață și de muncă mai dificile, ceea ce duce la </w:t>
      </w:r>
      <w:r>
        <w:t>niveluri mai ridicate ale șomajului în rândul femeilor și îngreunează exercitarea drepturilor lor respective la maternitate și paternitate la locul de muncă și complicând accesul la servicii publice de înaltă calitate și la structuri de îngrijire a copiilo</w:t>
      </w:r>
      <w:r>
        <w:t>r; întrucât este vital să se asigure dreptul femeilor de a lucra și de a beneficia de drepturi, fără a le fi afectat dreptul la maternitate, deoarece femeile continuă să fie cele mai afectate și sunt cel mai mult discriminate; întrucât printre exemplele ac</w:t>
      </w:r>
      <w:r>
        <w:t>estei discriminări se numără presiunea exercitată de angajatori asupra femeilor care participă la interviuri de angajare, în cadrul cărora sunt întrebate dacă au copii și ce vârste au, alături de presiunile economice și profesionale asupra lucrătoarelor de</w:t>
      </w:r>
      <w:r>
        <w:t xml:space="preserve"> a nu-și lua concediu de maternitate;</w:t>
      </w:r>
    </w:p>
    <w:p w:rsidR="001E38DF" w:rsidRPr="000818D8" w:rsidRDefault="00903276" w:rsidP="001E38DF">
      <w:pPr>
        <w:pStyle w:val="NormalHanging12a"/>
      </w:pPr>
      <w:r>
        <w:t>D.</w:t>
      </w:r>
      <w:r>
        <w:tab/>
        <w:t xml:space="preserve">întrucât egalitatea de gen în Uniune a fost afectată în mod deosebit de consecințele războiului din Ucraina, de criza locuințelor, care le afectează pe femei în mod disproporționat și de regresele împotriva </w:t>
      </w:r>
      <w:r>
        <w:t>egalității de gen și a drepturilor femeilor, în special a sănătății sexuale și reproductive și a drepturilor aferente (SRHR) în mai multe state membre; întrucât acest lucru adâncește și mai mult inegalitățile și împiedică egalitatea de gen;</w:t>
      </w:r>
    </w:p>
    <w:p w:rsidR="001E38DF" w:rsidRPr="000818D8" w:rsidRDefault="00903276" w:rsidP="001E38DF">
      <w:pPr>
        <w:pStyle w:val="NormalHanging12a"/>
        <w:rPr>
          <w:szCs w:val="24"/>
        </w:rPr>
      </w:pPr>
      <w:r>
        <w:t>1.</w:t>
      </w:r>
      <w:r>
        <w:tab/>
        <w:t>subliniază c</w:t>
      </w:r>
      <w:r>
        <w:t>ă o perspectivă a egalității de gen ar trebui integrată și asigurată în toate domeniile de politică, etapele și măsurile de atenuare, în special având în vedere aspectele de gen ale crizelor în curs, cum ar fi războaiele, criza climatică și energetică, inf</w:t>
      </w:r>
      <w:r>
        <w:t>lația și regresul drepturilor femeilor, în special sănătatea sexuală și reproductivă și drepturile aferente (SRHR) în Uniune și la nivel mondial; subliniază importanța integrării dimensiunii de gen în buget în toate măsurile de redresare și atenuare pentru</w:t>
      </w:r>
      <w:r>
        <w:t xml:space="preserve"> a utiliza programele UE pentru atenuarea impactului de gen al diferitelor crize;</w:t>
      </w:r>
    </w:p>
    <w:p w:rsidR="001E38DF" w:rsidRPr="000818D8" w:rsidRDefault="00903276" w:rsidP="001E38DF">
      <w:pPr>
        <w:pStyle w:val="NormalHanging12a"/>
        <w:rPr>
          <w:szCs w:val="24"/>
        </w:rPr>
      </w:pPr>
      <w:r>
        <w:t>2.</w:t>
      </w:r>
      <w:r>
        <w:tab/>
        <w:t>se arată din nou preocupat de corelația dintre atacurile la adresa statului de drept, democrație și drepturile omului și regresul în materie de egalitate de gen și dreptur</w:t>
      </w:r>
      <w:r>
        <w:t>ile femeilor; invită Comisia să își continue eforturile de consolidare a statului de drept în Uniune, în special acele propuneri legislative menite să protejeze bugetul UE în cazul unor deficiențe generalizate în ceea ce privește statul de drept, încălcări</w:t>
      </w:r>
      <w:r>
        <w:t xml:space="preserve"> ale drepturilor omului, inclusiv ale drepturilor femeilor, și încălcări ale valorilor fundamentale ale Uniunii Europene; invită Comisia să analizeze misiunea de bază a celor cărora li se acordă fonduri UE și să refuze finanțarea și să se asigure că fondur</w:t>
      </w:r>
      <w:r>
        <w:t>ile UE nu sunt puse la dispoziția niciunei entități care folosește fondurile UE pentru a reduce drepturile omului, în special drepturile fundamentale ale femeilor și egalitatea de gen, inclusiv SRHR și drepturile femeilor la integritate corporală, autonomi</w:t>
      </w:r>
      <w:r>
        <w:t>e și autodeterminare; invită statele membre să protejeze sănătatea sexuală și reproductivă și drepturile aferente, inclusiv accesul la servicii sigure și legale de avort și, în special, prin asigurarea disponibilității programelor și serviciilor de sănătat</w:t>
      </w:r>
      <w:r>
        <w:t>e reproductivă care oferă tipurile de îngrijire și de medicamente necesare pentru planificarea familială voluntară și pentru sănătatea mamei și a nou-născuților;</w:t>
      </w:r>
    </w:p>
    <w:p w:rsidR="001E38DF" w:rsidRPr="000818D8" w:rsidRDefault="00903276" w:rsidP="001E38DF">
      <w:pPr>
        <w:pStyle w:val="NormalHanging12a"/>
        <w:rPr>
          <w:szCs w:val="24"/>
        </w:rPr>
      </w:pPr>
      <w:r>
        <w:t>3.</w:t>
      </w:r>
      <w:r>
        <w:tab/>
        <w:t>ia act de metodologia Comisiei de urmărire a aspectelor de gen ale cheltuielilor începând d</w:t>
      </w:r>
      <w:r>
        <w:t>in 2023; reamintește că, potrivit evaluărilor, doar 2 % din bugetul Uniunii are ca obiectiv principal îmbunătățirea egalității de gen; invită Comisia să îmbunătățească acest punctaj prin integrarea perspectivei de gen încă de la începutul elaborării progra</w:t>
      </w:r>
      <w:r>
        <w:t>melor; reiterează faptul că sunt necesare detalii suplimentare pentru ca majoritatea cheltuielilor (73 %) evaluate în prezent ca având 0* „potențial de a contribui la egalitatea de gen” să poată fi pe deplin înțelese; ia act cu îngrijorare de faptul că Rap</w:t>
      </w:r>
      <w:r>
        <w:t>ortul special 10/2021, publicat de CCE, a confirmat că ciclul bugetar al Uniunii nu ține seama încă în mod adecvat de egalitatea de gen, deoarece lipsesc în mare măsură elemente cheie, cum ar fi analiza de gen, obiectivele legate de gen, indicatorii și res</w:t>
      </w:r>
      <w:r>
        <w:t>ponsabilizarea prin raportare;</w:t>
      </w:r>
    </w:p>
    <w:p w:rsidR="001E38DF" w:rsidRPr="000818D8" w:rsidRDefault="00903276" w:rsidP="001E38DF">
      <w:pPr>
        <w:pStyle w:val="NormalHanging12a"/>
        <w:rPr>
          <w:szCs w:val="24"/>
        </w:rPr>
      </w:pPr>
      <w:r>
        <w:t>4.</w:t>
      </w:r>
      <w:r>
        <w:tab/>
        <w:t>salută activitatea Comisiei privind o nouă clasificare de măsurare a impactului de gen al cheltuielilor Uniunii; invită Comisia să se asigure că această clasificare se axează pe o reprezentare exactă și cuprinzătoare a imp</w:t>
      </w:r>
      <w:r>
        <w:t xml:space="preserve">actului programelor asupra egalității de gen; invită Comisia, având în vedere sfârșitul acestei legislaturi, să își continue activitatea privind egalitatea de gen și solicită numirea unui comisar pentru egalitatea de gen în următorul mandat; salută faptul </w:t>
      </w:r>
      <w:r>
        <w:t>că egalitatea de gen și integrarea perspectivei de gen reprezintă unul dintre principiile orizontale pentru fondurile Uniunii în cadrul financiar multianual (CFM) pentru perioada 2021-2027 și în cadrul Mecanismului de redresare și reziliență; invită, cu to</w:t>
      </w:r>
      <w:r>
        <w:t>ate acestea, Comisia să pună pe deplin în aplicare recomandările Curții de Conturi Europene, inclusiv în evaluarea la jumătatea perioadei a actualului cadru financiar multianual și în punerea în aplicare a Mecanismului de redresare și reziliență; invită Co</w:t>
      </w:r>
      <w:r>
        <w:t>misia să se asigure că această clasificare se axează pe o reprezentare exactă și cuprinzătoare a impactului tuturor programelor existente; reiterează, în acest context, că o metodologie cuprinzătoare de monitorizare a egalității de gen trebuie să includă r</w:t>
      </w:r>
      <w:r>
        <w:t>aportarea cu privire la efectele negative asupra egalității de gen;</w:t>
      </w:r>
    </w:p>
    <w:p w:rsidR="001E38DF" w:rsidRPr="000818D8" w:rsidRDefault="00903276" w:rsidP="001E38DF">
      <w:pPr>
        <w:pStyle w:val="NormalHanging12a"/>
        <w:rPr>
          <w:szCs w:val="24"/>
        </w:rPr>
      </w:pPr>
      <w:r>
        <w:t>5.</w:t>
      </w:r>
      <w:r>
        <w:tab/>
        <w:t>insistă asupra faptului că femeile și bărbații ar trebui să beneficieze în mod egal de Mecanismul de redresare și reziliență, în special având în vedere diferența de remunerare dintre f</w:t>
      </w:r>
      <w:r>
        <w:t>emei și bărbați la nivelul Uniunii de 13 %; reamintește că Comisia a introdus o evaluare de gen a planurilor de redresare și reziliență ale statelor membre doar ca evaluare ex ante, ceea ce a arătat că unele state membre nu aveau măsuri marcate ca axate pe</w:t>
      </w:r>
      <w:r>
        <w:t xml:space="preserve"> egalitatea de gen; subliniază, prin urmare, importanța cerințelor de colectare a datelor pentru a permite o colectare sistematică și cuprinzătoare a datelor defalcate în funcție de gen în contextul tuturor politicilor relevante ale UE; îndeamnă Comisia să</w:t>
      </w:r>
      <w:r>
        <w:t xml:space="preserve"> trateze acest aspect ca pe o prioritate și să utilizeze oportunitățile de îmbunătățire a cerințelor de colectare a datelor și a indicatorilor în noile acte legislative și revizuiri, cum ar fi reformarea normelor financiare aplicabile bugetului general al </w:t>
      </w:r>
      <w:r>
        <w:t>Uniunii; invită Comisia să respecte angajamentul pozitiv asumat de președinta von der Leyen de a promova egalitatea de gen în toate procesele de elaborare a politicilor și invită Comisia să își îndeplinească angajamentele asumate în cadrul Strategiei privi</w:t>
      </w:r>
      <w:r>
        <w:t>nd egalitatea de gen 2020-2025 și subliniază, de asemenea, că trebuie depuse mult mai multe eforturi, deoarece nu există o perspectivă de gen în principalele propuneri prezentate de Comisie privind clima, mediul și economia; subliniază că în ultimul deceni</w:t>
      </w:r>
      <w:r>
        <w:t>u, odată cu izbucnirea crizei economice și financiare, inegalitățile economice, sociale, de ocupare a forței de muncă și de gen în statele membre și între acestea au îngreunat situația femeilor și fetelor; în acest sens, reamintește rolul important al Inst</w:t>
      </w:r>
      <w:r>
        <w:t>itutului European pentru Egalitatea de Șanse între Femei și Bărbați în sensibilizarea la dimensiunile și la cauzele inegalității de gen din UE; solicită, prin urmare, creșterea bugetului, a personalului și a independenței sale;</w:t>
      </w:r>
    </w:p>
    <w:p w:rsidR="001E38DF" w:rsidRPr="000818D8" w:rsidRDefault="00903276" w:rsidP="001E38DF">
      <w:pPr>
        <w:pStyle w:val="NormalHanging12a"/>
        <w:rPr>
          <w:szCs w:val="24"/>
        </w:rPr>
      </w:pPr>
      <w:r>
        <w:t>6.</w:t>
      </w:r>
      <w:r>
        <w:tab/>
        <w:t xml:space="preserve">solicită din nou o linie </w:t>
      </w:r>
      <w:r>
        <w:t>bugetară specifică pentru egalitatea de gen, în special în cadrul programului Daphne, având în vedere criza violenței de gen cu care se confruntă Uniunea; subliniază importanța consolidării inițiativei dedicate în mod specific Daphne prin creșterea resurse</w:t>
      </w:r>
      <w:r>
        <w:t>lor sale, în special a măsurilor care vizează combaterea tuturor nivelurilor și a tuturor formelor de violență de gen împotriva femeilor și fetelor și a violenței domestice, în conformitate cu articolul 7 alineatul (6) din Regulamentul (UE) 2021/692, precu</w:t>
      </w:r>
      <w:r>
        <w:t>m și a sprijinirii adecvate a victimelor; subliniază, în plus, importanța utilizării fondurilor structurale și de investiții europene, cum ar fi Fondul social european Plus (FSE +), pentru a promova egalitatea de gen, ocuparea forței de muncă în rândul fem</w:t>
      </w:r>
      <w:r>
        <w:t>eilor, capacitarea femeilor, spiritul antreprenorial, rolurile de conducere și de conducere, precum și structurile de îngrijire pe termen lung; ia act de faptul că un studiu solicitat de Comisia FEMM</w:t>
      </w:r>
      <w:r>
        <w:rPr>
          <w:vertAlign w:val="superscript"/>
        </w:rPr>
        <w:footnoteReference w:id="1"/>
      </w:r>
      <w:r>
        <w:t xml:space="preserve"> arată că bărbații sunt adesea favorizați în detrimentul</w:t>
      </w:r>
      <w:r>
        <w:t xml:space="preserve"> femeilor și al grupurilor marginalizate în ceea ce privește conceperea subvențiilor și a sprijinului în cadrul pachetului „Pregătiți pentru 55”, precum și în cadrul altor politici, programe și finanțări pentru tranziția verde;</w:t>
      </w:r>
    </w:p>
    <w:p w:rsidR="001E38DF" w:rsidRPr="000818D8" w:rsidRDefault="00903276" w:rsidP="001E38DF">
      <w:pPr>
        <w:pStyle w:val="NormalHanging12a"/>
      </w:pPr>
      <w:r>
        <w:t>7.</w:t>
      </w:r>
      <w:r>
        <w:tab/>
        <w:t>consideră, pe baza datelo</w:t>
      </w:r>
      <w:r>
        <w:t>r disponibile în prezent, că se poate acorda descărcarea de gestiune pentru Bugetul general al UE pentru execuția aferentă exercițiului financiar 2022.</w:t>
      </w:r>
    </w:p>
    <w:p w:rsidR="00526DDB" w:rsidRPr="000818D8" w:rsidRDefault="00903276" w:rsidP="00526DDB">
      <w:r>
        <w:br w:type="page"/>
      </w:r>
    </w:p>
    <w:p w:rsidR="00314030" w:rsidRPr="000818D8" w:rsidRDefault="00903276" w:rsidP="00314030">
      <w:pPr>
        <w:pStyle w:val="PageHeadingNotTOC"/>
        <w:rPr>
          <w:noProof/>
        </w:rPr>
      </w:pPr>
      <w:r>
        <w:t>ANEXĂ: ENTITĂȚILE SAU PERSOANELE</w:t>
      </w:r>
      <w:r>
        <w:br/>
        <w:t>DE LA CARE RAPORTORUL PENTRU AVIZ A PRIMIT CONTRIBUȚII</w:t>
      </w:r>
    </w:p>
    <w:p w:rsidR="00314030" w:rsidRPr="000818D8" w:rsidRDefault="00903276" w:rsidP="00314030">
      <w:pPr>
        <w:pStyle w:val="Normal24a"/>
      </w:pPr>
      <w:r>
        <w:rPr>
          <w:rStyle w:val="HideTWBExt"/>
        </w:rPr>
        <w:t>&lt;FootprintIntr</w:t>
      </w:r>
      <w:r>
        <w:rPr>
          <w:rStyle w:val="HideTWBExt"/>
        </w:rPr>
        <w:t>o&gt;</w:t>
      </w:r>
      <w:r>
        <w:t>Președintele în calitate de raportor declară pe propria răspundere că nu a primit nicio contribuție de la nicio entitate sau persoană care trebuie menționată în prezenta anexă în conformitate cu articolul 8 din anexa I la Regulamentul de procedură.</w:t>
      </w:r>
      <w:r>
        <w:rPr>
          <w:rStyle w:val="HideTWBExt"/>
        </w:rPr>
        <w:t>&lt;/Foot</w:t>
      </w:r>
      <w:r>
        <w:rPr>
          <w:rStyle w:val="HideTWBExt"/>
        </w:rPr>
        <w:t>printIntro&gt;</w:t>
      </w:r>
    </w:p>
    <w:p w:rsidR="00314030" w:rsidRPr="000818D8" w:rsidRDefault="00314030">
      <w:pPr>
        <w:autoSpaceDE w:val="0"/>
        <w:autoSpaceDN w:val="0"/>
        <w:adjustRightInd w:val="0"/>
        <w:spacing w:before="240" w:after="240"/>
        <w:jc w:val="center"/>
      </w:pPr>
    </w:p>
    <w:p w:rsidR="00314030" w:rsidRPr="000818D8" w:rsidRDefault="00314030" w:rsidP="00AA166A">
      <w:pPr>
        <w:autoSpaceDE w:val="0"/>
        <w:autoSpaceDN w:val="0"/>
        <w:adjustRightInd w:val="0"/>
        <w:spacing w:before="240" w:after="240"/>
      </w:pPr>
    </w:p>
    <w:p w:rsidR="00314030" w:rsidRPr="000818D8" w:rsidRDefault="00314030">
      <w:pPr>
        <w:autoSpaceDE w:val="0"/>
        <w:autoSpaceDN w:val="0"/>
        <w:adjustRightInd w:val="0"/>
        <w:spacing w:before="240" w:after="240"/>
        <w:jc w:val="center"/>
      </w:pPr>
    </w:p>
    <w:p w:rsidR="00314030" w:rsidRPr="000818D8" w:rsidRDefault="00314030">
      <w:pPr>
        <w:autoSpaceDE w:val="0"/>
        <w:autoSpaceDN w:val="0"/>
        <w:adjustRightInd w:val="0"/>
        <w:spacing w:before="240" w:after="240"/>
        <w:jc w:val="center"/>
      </w:pPr>
    </w:p>
    <w:p w:rsidR="00D74EFA" w:rsidRPr="000818D8" w:rsidRDefault="00D74EFA" w:rsidP="00D74EFA"/>
    <w:p w:rsidR="00AA166A" w:rsidRPr="00AA166A" w:rsidRDefault="00903276" w:rsidP="00AA166A">
      <w:r>
        <w:br w:type="page"/>
      </w:r>
    </w:p>
    <w:p w:rsidR="00AA166A" w:rsidRDefault="00903276" w:rsidP="00AA166A">
      <w:pPr>
        <w:pStyle w:val="PageHeadingNotTOC"/>
      </w:pPr>
      <w:bookmarkStart w:id="1" w:name="ProcPageAD"/>
      <w:r>
        <w:t>INFORMAȚII PRIVIND ADOPTAREA</w:t>
      </w:r>
      <w:r>
        <w:br/>
        <w:t>ÎN COMISIA SESIZATĂ PENTRU AVIZ</w:t>
      </w:r>
    </w:p>
    <w:tbl>
      <w:tblPr>
        <w:tblW w:w="0" w:type="auto"/>
        <w:tblInd w:w="-10" w:type="dxa"/>
        <w:tblLayout w:type="fixed"/>
        <w:tblCellMar>
          <w:left w:w="0" w:type="dxa"/>
          <w:right w:w="0" w:type="dxa"/>
        </w:tblCellMar>
        <w:tblLook w:val="0000" w:firstRow="0" w:lastRow="0" w:firstColumn="0" w:lastColumn="0" w:noHBand="0" w:noVBand="0"/>
      </w:tblPr>
      <w:tblGrid>
        <w:gridCol w:w="3685"/>
        <w:gridCol w:w="1530"/>
        <w:gridCol w:w="1474"/>
        <w:gridCol w:w="1474"/>
        <w:gridCol w:w="1474"/>
      </w:tblGrid>
      <w:tr w:rsidR="00B90B1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b/>
                <w:bCs/>
                <w:color w:val="000000"/>
                <w:sz w:val="20"/>
              </w:rPr>
            </w:pPr>
            <w:r>
              <w:rPr>
                <w:b/>
                <w:color w:val="000000"/>
                <w:sz w:val="20"/>
              </w:rPr>
              <w:t>Data adoptării</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A166A" w:rsidRDefault="00903276">
            <w:pPr>
              <w:autoSpaceDE w:val="0"/>
              <w:autoSpaceDN w:val="0"/>
              <w:adjustRightInd w:val="0"/>
              <w:rPr>
                <w:color w:val="000000"/>
                <w:sz w:val="20"/>
              </w:rPr>
            </w:pPr>
            <w:r>
              <w:rPr>
                <w:color w:val="000000"/>
                <w:sz w:val="20"/>
              </w:rPr>
              <w:t>24.1.2024</w:t>
            </w: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A166A" w:rsidRDefault="00AA166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nil"/>
            </w:tcBorders>
            <w:tcMar>
              <w:top w:w="79" w:type="dxa"/>
              <w:left w:w="79" w:type="dxa"/>
              <w:bottom w:w="79" w:type="dxa"/>
              <w:right w:w="79" w:type="dxa"/>
            </w:tcMar>
          </w:tcPr>
          <w:p w:rsidR="00AA166A" w:rsidRDefault="00AA166A">
            <w:pPr>
              <w:autoSpaceDE w:val="0"/>
              <w:autoSpaceDN w:val="0"/>
              <w:adjustRightInd w:val="0"/>
              <w:rPr>
                <w:rFonts w:ascii="sans-serif" w:hAnsi="sans-serif" w:cs="sans-serif"/>
                <w:color w:val="000000"/>
                <w:szCs w:val="24"/>
              </w:rPr>
            </w:pPr>
          </w:p>
        </w:tc>
        <w:tc>
          <w:tcPr>
            <w:tcW w:w="1474" w:type="dxa"/>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A166A" w:rsidRDefault="00AA166A">
            <w:pPr>
              <w:autoSpaceDE w:val="0"/>
              <w:autoSpaceDN w:val="0"/>
              <w:adjustRightInd w:val="0"/>
              <w:rPr>
                <w:rFonts w:ascii="sans-serif" w:hAnsi="sans-serif" w:cs="sans-serif"/>
                <w:color w:val="000000"/>
                <w:szCs w:val="24"/>
              </w:rPr>
            </w:pPr>
          </w:p>
        </w:tc>
      </w:tr>
      <w:tr w:rsidR="00B90B1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b/>
                <w:bCs/>
                <w:color w:val="000000"/>
                <w:sz w:val="20"/>
              </w:rPr>
            </w:pPr>
            <w:r>
              <w:rPr>
                <w:b/>
                <w:color w:val="000000"/>
                <w:sz w:val="20"/>
              </w:rPr>
              <w:t>Rezultatul votului final</w:t>
            </w:r>
          </w:p>
        </w:tc>
        <w:tc>
          <w:tcPr>
            <w:tcW w:w="1530" w:type="dxa"/>
            <w:tcBorders>
              <w:top w:val="single" w:sz="8" w:space="0" w:color="000000"/>
              <w:left w:val="nil"/>
              <w:bottom w:val="single" w:sz="8" w:space="0" w:color="000000"/>
              <w:right w:val="nil"/>
            </w:tcBorders>
            <w:tcMar>
              <w:top w:w="79" w:type="dxa"/>
              <w:left w:w="79" w:type="dxa"/>
              <w:bottom w:w="79" w:type="dxa"/>
              <w:right w:w="79" w:type="dxa"/>
            </w:tcMar>
          </w:tcPr>
          <w:p w:rsidR="00AA166A" w:rsidRDefault="00903276">
            <w:pPr>
              <w:autoSpaceDE w:val="0"/>
              <w:autoSpaceDN w:val="0"/>
              <w:adjustRightInd w:val="0"/>
              <w:rPr>
                <w:color w:val="000000"/>
                <w:sz w:val="20"/>
              </w:rPr>
            </w:pPr>
            <w:r>
              <w:rPr>
                <w:color w:val="000000"/>
                <w:sz w:val="20"/>
              </w:rPr>
              <w:t>+:</w:t>
            </w:r>
          </w:p>
          <w:p w:rsidR="00AA166A" w:rsidRDefault="00903276">
            <w:pPr>
              <w:autoSpaceDE w:val="0"/>
              <w:autoSpaceDN w:val="0"/>
              <w:adjustRightInd w:val="0"/>
              <w:rPr>
                <w:color w:val="000000"/>
                <w:sz w:val="20"/>
              </w:rPr>
            </w:pPr>
            <w:r>
              <w:rPr>
                <w:color w:val="000000"/>
                <w:sz w:val="20"/>
              </w:rPr>
              <w:t>–:</w:t>
            </w:r>
          </w:p>
          <w:p w:rsidR="00AA166A" w:rsidRDefault="00903276">
            <w:pPr>
              <w:autoSpaceDE w:val="0"/>
              <w:autoSpaceDN w:val="0"/>
              <w:adjustRightInd w:val="0"/>
              <w:rPr>
                <w:color w:val="000000"/>
                <w:sz w:val="20"/>
              </w:rPr>
            </w:pPr>
            <w:r>
              <w:rPr>
                <w:color w:val="000000"/>
                <w:sz w:val="20"/>
              </w:rPr>
              <w:t>0:</w:t>
            </w:r>
          </w:p>
        </w:tc>
        <w:tc>
          <w:tcPr>
            <w:tcW w:w="4422" w:type="dxa"/>
            <w:gridSpan w:val="3"/>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color w:val="000000"/>
                <w:sz w:val="20"/>
              </w:rPr>
            </w:pPr>
            <w:r>
              <w:rPr>
                <w:color w:val="000000"/>
                <w:sz w:val="20"/>
              </w:rPr>
              <w:t>23</w:t>
            </w:r>
          </w:p>
          <w:p w:rsidR="00AA166A" w:rsidRDefault="00903276">
            <w:pPr>
              <w:autoSpaceDE w:val="0"/>
              <w:autoSpaceDN w:val="0"/>
              <w:adjustRightInd w:val="0"/>
              <w:rPr>
                <w:color w:val="000000"/>
                <w:sz w:val="20"/>
              </w:rPr>
            </w:pPr>
            <w:r>
              <w:rPr>
                <w:color w:val="000000"/>
                <w:sz w:val="20"/>
              </w:rPr>
              <w:t>4</w:t>
            </w:r>
          </w:p>
          <w:p w:rsidR="00AA166A" w:rsidRDefault="00903276">
            <w:pPr>
              <w:autoSpaceDE w:val="0"/>
              <w:autoSpaceDN w:val="0"/>
              <w:adjustRightInd w:val="0"/>
              <w:rPr>
                <w:color w:val="000000"/>
                <w:sz w:val="20"/>
              </w:rPr>
            </w:pPr>
            <w:r>
              <w:rPr>
                <w:color w:val="000000"/>
                <w:sz w:val="20"/>
              </w:rPr>
              <w:t>2</w:t>
            </w:r>
          </w:p>
        </w:tc>
      </w:tr>
      <w:tr w:rsidR="00B90B1E">
        <w:tc>
          <w:tcPr>
            <w:tcW w:w="3685" w:type="dxa"/>
            <w:tcBorders>
              <w:top w:val="single" w:sz="8" w:space="0" w:color="000000"/>
              <w:left w:val="single" w:sz="8" w:space="0" w:color="000000"/>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b/>
                <w:bCs/>
                <w:color w:val="000000"/>
                <w:sz w:val="20"/>
              </w:rPr>
            </w:pPr>
            <w:r>
              <w:rPr>
                <w:b/>
                <w:color w:val="000000"/>
                <w:sz w:val="20"/>
              </w:rPr>
              <w:t>Membri titulari prezenți la votul final</w:t>
            </w:r>
          </w:p>
        </w:tc>
        <w:tc>
          <w:tcPr>
            <w:tcW w:w="5952" w:type="dxa"/>
            <w:gridSpan w:val="4"/>
            <w:tcBorders>
              <w:top w:val="single" w:sz="8" w:space="0" w:color="000000"/>
              <w:left w:val="nil"/>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color w:val="000000"/>
                <w:sz w:val="20"/>
              </w:rPr>
            </w:pPr>
            <w:r>
              <w:rPr>
                <w:color w:val="000000"/>
                <w:sz w:val="20"/>
              </w:rPr>
              <w:t xml:space="preserve">Christine Anderson, Robert Biedroń, Vilija Blinkevičiūtė, Maria </w:t>
            </w:r>
            <w:r>
              <w:rPr>
                <w:color w:val="000000"/>
                <w:sz w:val="20"/>
              </w:rPr>
              <w:t>da Graça Carvalho, Margarita de la Pisa Carrión, Gwendoline Delbos-Corfield, Frances Fitzgerald, Lívia Járóka, Arba Kokalari, Alice Kuhnke, Elżbieta Katarzyna Łukacijewska, Andżelika Anna Możdżanowska, Johan Nissinen, Carina Ohlsson, Sandra Pereira, Samira</w:t>
            </w:r>
            <w:r>
              <w:rPr>
                <w:color w:val="000000"/>
                <w:sz w:val="20"/>
              </w:rPr>
              <w:t xml:space="preserve"> Rafaela, Evelyn Regner, Diana Riba i Giner, Eugenia Rodríguez Palop, María Soraya Rodríguez Ramos, Maria Veronica Rossi, Sylwia Spurek, Marco Zullo</w:t>
            </w:r>
          </w:p>
        </w:tc>
      </w:tr>
      <w:tr w:rsidR="00B90B1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b/>
                <w:bCs/>
                <w:color w:val="000000"/>
                <w:sz w:val="20"/>
              </w:rPr>
            </w:pPr>
            <w:r>
              <w:rPr>
                <w:b/>
                <w:color w:val="000000"/>
                <w:sz w:val="20"/>
              </w:rPr>
              <w:t>Membri supleanți prezenți la votul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color w:val="000000"/>
                <w:sz w:val="20"/>
              </w:rPr>
            </w:pPr>
            <w:r>
              <w:rPr>
                <w:color w:val="000000"/>
                <w:sz w:val="20"/>
              </w:rPr>
              <w:t xml:space="preserve">Laura Ballarín Cereza, Sylvie Brunet, Marina Kaljurand, Eleni </w:t>
            </w:r>
            <w:r>
              <w:rPr>
                <w:color w:val="000000"/>
                <w:sz w:val="20"/>
              </w:rPr>
              <w:t>Stavrou</w:t>
            </w:r>
          </w:p>
        </w:tc>
      </w:tr>
      <w:tr w:rsidR="00B90B1E">
        <w:tc>
          <w:tcPr>
            <w:tcW w:w="3685" w:type="dxa"/>
            <w:tcBorders>
              <w:top w:val="nil"/>
              <w:left w:val="single" w:sz="8" w:space="0" w:color="000000"/>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b/>
                <w:bCs/>
                <w:color w:val="000000"/>
                <w:sz w:val="20"/>
              </w:rPr>
            </w:pPr>
            <w:r>
              <w:rPr>
                <w:b/>
                <w:color w:val="000000"/>
                <w:sz w:val="20"/>
              </w:rPr>
              <w:t>Membri supleanți [articolul 209 alineatul (7)] prezenți la votul final</w:t>
            </w:r>
          </w:p>
        </w:tc>
        <w:tc>
          <w:tcPr>
            <w:tcW w:w="5952" w:type="dxa"/>
            <w:gridSpan w:val="4"/>
            <w:tcBorders>
              <w:top w:val="nil"/>
              <w:left w:val="nil"/>
              <w:bottom w:val="single" w:sz="8" w:space="0" w:color="000000"/>
              <w:right w:val="single" w:sz="8" w:space="0" w:color="000000"/>
            </w:tcBorders>
            <w:tcMar>
              <w:top w:w="79" w:type="dxa"/>
              <w:left w:w="79" w:type="dxa"/>
              <w:bottom w:w="79" w:type="dxa"/>
              <w:right w:w="79" w:type="dxa"/>
            </w:tcMar>
          </w:tcPr>
          <w:p w:rsidR="00AA166A" w:rsidRDefault="00903276">
            <w:pPr>
              <w:autoSpaceDE w:val="0"/>
              <w:autoSpaceDN w:val="0"/>
              <w:adjustRightInd w:val="0"/>
              <w:rPr>
                <w:color w:val="000000"/>
                <w:sz w:val="20"/>
              </w:rPr>
            </w:pPr>
            <w:r>
              <w:rPr>
                <w:color w:val="000000"/>
                <w:sz w:val="20"/>
              </w:rPr>
              <w:t>Milan Brglez, Rainer Wieland</w:t>
            </w:r>
          </w:p>
        </w:tc>
      </w:tr>
    </w:tbl>
    <w:p w:rsidR="00AA166A" w:rsidRDefault="00AA166A"/>
    <w:bookmarkEnd w:id="1"/>
    <w:p w:rsidR="00D74EFA" w:rsidRPr="00AA166A" w:rsidRDefault="00D74EFA" w:rsidP="00AA166A">
      <w:pPr>
        <w:sectPr w:rsidR="00D74EFA" w:rsidRPr="00AA166A" w:rsidSect="00EC1758">
          <w:headerReference w:type="even" r:id="rId8"/>
          <w:headerReference w:type="default" r:id="rId9"/>
          <w:footerReference w:type="even" r:id="rId10"/>
          <w:footerReference w:type="default" r:id="rId11"/>
          <w:headerReference w:type="first" r:id="rId12"/>
          <w:footerReference w:type="first" r:id="rId13"/>
          <w:footnotePr>
            <w:numRestart w:val="eachSect"/>
          </w:footnotePr>
          <w:endnotePr>
            <w:numFmt w:val="decimal"/>
          </w:endnotePr>
          <w:pgSz w:w="11906" w:h="16838" w:code="9"/>
          <w:pgMar w:top="1134" w:right="1418" w:bottom="1418" w:left="1418" w:header="1134" w:footer="567" w:gutter="0"/>
          <w:cols w:space="720"/>
          <w:noEndnote/>
          <w:titlePg/>
        </w:sectPr>
      </w:pPr>
    </w:p>
    <w:p w:rsidR="00D74EFA" w:rsidRPr="000818D8" w:rsidRDefault="00903276" w:rsidP="00AA166A">
      <w:pPr>
        <w:pStyle w:val="PageHeadingNotTOC"/>
      </w:pPr>
      <w:bookmarkStart w:id="2" w:name="RollCallPageAD"/>
      <w:r>
        <w:t>VOT FINAL PRIN APEL NOMINAL</w:t>
      </w:r>
      <w:r>
        <w:rPr>
          <w:b w:val="0"/>
        </w:rPr>
        <w:br/>
      </w:r>
      <w:r>
        <w:t>ÎN COMISIA SESIZATĂ PENTRU AVIZ</w:t>
      </w:r>
    </w:p>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90B1E" w:rsidTr="008920AC">
        <w:trPr>
          <w:cantSplit/>
        </w:trPr>
        <w:tc>
          <w:tcPr>
            <w:tcW w:w="1701" w:type="dxa"/>
            <w:shd w:val="pct10" w:color="000000" w:fill="FFFFFF"/>
            <w:vAlign w:val="center"/>
          </w:tcPr>
          <w:p w:rsidR="00D74EFA" w:rsidRPr="000818D8" w:rsidRDefault="00903276" w:rsidP="003858C5">
            <w:pPr>
              <w:pStyle w:val="RollCallVotes"/>
            </w:pPr>
            <w:r>
              <w:t>23</w:t>
            </w:r>
          </w:p>
        </w:tc>
        <w:tc>
          <w:tcPr>
            <w:tcW w:w="7371" w:type="dxa"/>
            <w:shd w:val="pct10" w:color="000000" w:fill="FFFFFF"/>
          </w:tcPr>
          <w:p w:rsidR="00D74EFA" w:rsidRPr="000818D8" w:rsidRDefault="00903276" w:rsidP="003858C5">
            <w:pPr>
              <w:pStyle w:val="RollCallSymbols14pt"/>
            </w:pPr>
            <w:r>
              <w:t>+</w:t>
            </w:r>
          </w:p>
        </w:tc>
      </w:tr>
      <w:tr w:rsidR="00B90B1E" w:rsidTr="008920AC">
        <w:trPr>
          <w:cantSplit/>
        </w:trPr>
        <w:tc>
          <w:tcPr>
            <w:tcW w:w="1701" w:type="dxa"/>
            <w:shd w:val="clear" w:color="auto" w:fill="FFFFFF"/>
          </w:tcPr>
          <w:p w:rsidR="00D74EFA" w:rsidRPr="000818D8" w:rsidRDefault="00903276" w:rsidP="003858C5">
            <w:pPr>
              <w:pStyle w:val="RollCallTable"/>
            </w:pPr>
            <w:r>
              <w:t>PPE</w:t>
            </w:r>
          </w:p>
        </w:tc>
        <w:tc>
          <w:tcPr>
            <w:tcW w:w="7371" w:type="dxa"/>
            <w:shd w:val="clear" w:color="auto" w:fill="FFFFFF"/>
          </w:tcPr>
          <w:p w:rsidR="00D74EFA" w:rsidRPr="000818D8" w:rsidRDefault="00903276" w:rsidP="003858C5">
            <w:pPr>
              <w:pStyle w:val="RollCallTable"/>
            </w:pPr>
            <w:r>
              <w:t xml:space="preserve">Maria da Graça Carvalho, Frances Fitzgerald, Arba Kokalari, Elżbieta </w:t>
            </w:r>
            <w:r>
              <w:t>Katarzyna Łukacijewska, Eleni Stavrou, Rainer Wieland</w:t>
            </w:r>
          </w:p>
        </w:tc>
      </w:tr>
      <w:tr w:rsidR="00B90B1E" w:rsidTr="008920AC">
        <w:trPr>
          <w:cantSplit/>
        </w:trPr>
        <w:tc>
          <w:tcPr>
            <w:tcW w:w="1701" w:type="dxa"/>
            <w:shd w:val="clear" w:color="auto" w:fill="FFFFFF"/>
          </w:tcPr>
          <w:p w:rsidR="00D74EFA" w:rsidRPr="000818D8" w:rsidRDefault="00903276" w:rsidP="003858C5">
            <w:pPr>
              <w:pStyle w:val="RollCallTable"/>
            </w:pPr>
            <w:r>
              <w:t>Renew</w:t>
            </w:r>
          </w:p>
        </w:tc>
        <w:tc>
          <w:tcPr>
            <w:tcW w:w="7371" w:type="dxa"/>
            <w:shd w:val="clear" w:color="auto" w:fill="FFFFFF"/>
          </w:tcPr>
          <w:p w:rsidR="00D74EFA" w:rsidRPr="000818D8" w:rsidRDefault="00903276" w:rsidP="003858C5">
            <w:pPr>
              <w:pStyle w:val="RollCallTable"/>
            </w:pPr>
            <w:r>
              <w:t>Sylvie Brunet, Samira Rafaela, María Soraya Rodríguez Ramos, Marco Zullo</w:t>
            </w:r>
          </w:p>
        </w:tc>
      </w:tr>
      <w:tr w:rsidR="00B90B1E" w:rsidTr="008920AC">
        <w:trPr>
          <w:cantSplit/>
        </w:trPr>
        <w:tc>
          <w:tcPr>
            <w:tcW w:w="1701" w:type="dxa"/>
            <w:shd w:val="clear" w:color="auto" w:fill="FFFFFF"/>
          </w:tcPr>
          <w:p w:rsidR="00D74EFA" w:rsidRPr="000818D8" w:rsidRDefault="00903276" w:rsidP="003858C5">
            <w:pPr>
              <w:pStyle w:val="RollCallTable"/>
            </w:pPr>
            <w:r>
              <w:t>S&amp;D</w:t>
            </w:r>
          </w:p>
        </w:tc>
        <w:tc>
          <w:tcPr>
            <w:tcW w:w="7371" w:type="dxa"/>
            <w:shd w:val="clear" w:color="auto" w:fill="FFFFFF"/>
          </w:tcPr>
          <w:p w:rsidR="00D74EFA" w:rsidRPr="000818D8" w:rsidRDefault="00903276" w:rsidP="003858C5">
            <w:pPr>
              <w:pStyle w:val="RollCallTable"/>
            </w:pPr>
            <w:r>
              <w:t>Laura Ballarín Cereza, Robert Biedroń, Vilija Blinkevičiūtė, Milan Brglez, Marina Kaljurand, Carina Ohlsson, Evelyn R</w:t>
            </w:r>
            <w:r>
              <w:t>egner</w:t>
            </w:r>
          </w:p>
        </w:tc>
      </w:tr>
      <w:tr w:rsidR="00B90B1E" w:rsidTr="008920AC">
        <w:trPr>
          <w:cantSplit/>
        </w:trPr>
        <w:tc>
          <w:tcPr>
            <w:tcW w:w="1701" w:type="dxa"/>
            <w:shd w:val="clear" w:color="auto" w:fill="FFFFFF"/>
          </w:tcPr>
          <w:p w:rsidR="00D74EFA" w:rsidRPr="000818D8" w:rsidRDefault="00903276" w:rsidP="003858C5">
            <w:pPr>
              <w:pStyle w:val="RollCallTable"/>
            </w:pPr>
            <w:r>
              <w:t>The Left</w:t>
            </w:r>
          </w:p>
        </w:tc>
        <w:tc>
          <w:tcPr>
            <w:tcW w:w="7371" w:type="dxa"/>
            <w:shd w:val="clear" w:color="auto" w:fill="FFFFFF"/>
          </w:tcPr>
          <w:p w:rsidR="00D74EFA" w:rsidRPr="000818D8" w:rsidRDefault="00903276" w:rsidP="003858C5">
            <w:pPr>
              <w:pStyle w:val="RollCallTable"/>
            </w:pPr>
            <w:r>
              <w:t>Sandra Pereira, Eugenia Rodríguez Palop</w:t>
            </w:r>
          </w:p>
        </w:tc>
      </w:tr>
      <w:tr w:rsidR="00B90B1E" w:rsidTr="008920AC">
        <w:trPr>
          <w:cantSplit/>
        </w:trPr>
        <w:tc>
          <w:tcPr>
            <w:tcW w:w="1701" w:type="dxa"/>
            <w:shd w:val="clear" w:color="auto" w:fill="FFFFFF"/>
          </w:tcPr>
          <w:p w:rsidR="00D74EFA" w:rsidRPr="000818D8" w:rsidRDefault="00903276" w:rsidP="003858C5">
            <w:pPr>
              <w:pStyle w:val="RollCallTable"/>
            </w:pPr>
            <w:r>
              <w:t>Verts/ALE</w:t>
            </w:r>
          </w:p>
        </w:tc>
        <w:tc>
          <w:tcPr>
            <w:tcW w:w="7371" w:type="dxa"/>
            <w:shd w:val="clear" w:color="auto" w:fill="FFFFFF"/>
          </w:tcPr>
          <w:p w:rsidR="00D74EFA" w:rsidRPr="000818D8" w:rsidRDefault="00903276" w:rsidP="003858C5">
            <w:pPr>
              <w:pStyle w:val="RollCallTable"/>
            </w:pPr>
            <w:r>
              <w:t>Gwendoline Delbos-Corfield, Alice Kuhnke, Diana Riba i Giner, Sylwia Spurek</w:t>
            </w:r>
          </w:p>
        </w:tc>
      </w:tr>
    </w:tbl>
    <w:p w:rsidR="00D74EFA" w:rsidRPr="000818D8" w:rsidRDefault="00D74EFA"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90B1E" w:rsidTr="008920AC">
        <w:trPr>
          <w:cantSplit/>
        </w:trPr>
        <w:tc>
          <w:tcPr>
            <w:tcW w:w="1701" w:type="dxa"/>
            <w:shd w:val="pct10" w:color="000000" w:fill="FFFFFF"/>
            <w:vAlign w:val="center"/>
          </w:tcPr>
          <w:p w:rsidR="00D74EFA" w:rsidRPr="000818D8" w:rsidRDefault="00903276" w:rsidP="003858C5">
            <w:pPr>
              <w:pStyle w:val="RollCallVotes"/>
            </w:pPr>
            <w:r>
              <w:t>4</w:t>
            </w:r>
          </w:p>
        </w:tc>
        <w:tc>
          <w:tcPr>
            <w:tcW w:w="7371" w:type="dxa"/>
            <w:shd w:val="pct10" w:color="000000" w:fill="FFFFFF"/>
          </w:tcPr>
          <w:p w:rsidR="00D74EFA" w:rsidRPr="000818D8" w:rsidRDefault="00903276" w:rsidP="003858C5">
            <w:pPr>
              <w:pStyle w:val="RollCallSymbols14pt"/>
            </w:pPr>
            <w:r>
              <w:t>-</w:t>
            </w:r>
          </w:p>
        </w:tc>
      </w:tr>
      <w:tr w:rsidR="00B90B1E" w:rsidTr="008920AC">
        <w:trPr>
          <w:cantSplit/>
        </w:trPr>
        <w:tc>
          <w:tcPr>
            <w:tcW w:w="1701" w:type="dxa"/>
            <w:shd w:val="clear" w:color="auto" w:fill="FFFFFF"/>
          </w:tcPr>
          <w:p w:rsidR="00D74EFA" w:rsidRPr="000818D8" w:rsidRDefault="00903276" w:rsidP="003858C5">
            <w:pPr>
              <w:pStyle w:val="RollCallTable"/>
            </w:pPr>
            <w:r>
              <w:t>ECR</w:t>
            </w:r>
          </w:p>
        </w:tc>
        <w:tc>
          <w:tcPr>
            <w:tcW w:w="7371" w:type="dxa"/>
            <w:shd w:val="clear" w:color="auto" w:fill="FFFFFF"/>
          </w:tcPr>
          <w:p w:rsidR="00D74EFA" w:rsidRPr="000818D8" w:rsidRDefault="00903276" w:rsidP="003858C5">
            <w:pPr>
              <w:pStyle w:val="RollCallTable"/>
            </w:pPr>
            <w:r>
              <w:t>Johan Nissinen, Margarita de la Pisa Carrión</w:t>
            </w:r>
          </w:p>
        </w:tc>
      </w:tr>
      <w:tr w:rsidR="00B90B1E" w:rsidTr="008920AC">
        <w:trPr>
          <w:cantSplit/>
        </w:trPr>
        <w:tc>
          <w:tcPr>
            <w:tcW w:w="1701" w:type="dxa"/>
            <w:shd w:val="clear" w:color="auto" w:fill="FFFFFF"/>
          </w:tcPr>
          <w:p w:rsidR="00D74EFA" w:rsidRPr="000818D8" w:rsidRDefault="00903276" w:rsidP="003858C5">
            <w:pPr>
              <w:pStyle w:val="RollCallTable"/>
            </w:pPr>
            <w:r>
              <w:t>ID</w:t>
            </w:r>
          </w:p>
        </w:tc>
        <w:tc>
          <w:tcPr>
            <w:tcW w:w="7371" w:type="dxa"/>
            <w:shd w:val="clear" w:color="auto" w:fill="FFFFFF"/>
          </w:tcPr>
          <w:p w:rsidR="00D74EFA" w:rsidRPr="000818D8" w:rsidRDefault="00903276" w:rsidP="003858C5">
            <w:pPr>
              <w:pStyle w:val="RollCallTable"/>
            </w:pPr>
            <w:r>
              <w:t>Christine Anderson, Maria Veronica Rossi</w:t>
            </w:r>
          </w:p>
        </w:tc>
      </w:tr>
    </w:tbl>
    <w:p w:rsidR="00D74EFA" w:rsidRPr="000818D8" w:rsidRDefault="00D74EFA" w:rsidP="00147FBF"/>
    <w:tbl>
      <w:tblPr>
        <w:tblW w:w="0" w:type="auto"/>
        <w:tblInd w:w="145" w:type="dxa"/>
        <w:tblBorders>
          <w:top w:val="double" w:sz="2" w:space="0" w:color="000000"/>
          <w:left w:val="double" w:sz="2" w:space="0" w:color="000000"/>
          <w:bottom w:val="double" w:sz="2" w:space="0" w:color="000000"/>
          <w:right w:val="double" w:sz="2" w:space="0" w:color="000000"/>
          <w:insideH w:val="single" w:sz="2" w:space="0" w:color="000000"/>
          <w:insideV w:val="single" w:sz="2" w:space="0" w:color="000000"/>
        </w:tblBorders>
        <w:tblLayout w:type="fixed"/>
        <w:tblCellMar>
          <w:left w:w="145" w:type="dxa"/>
          <w:right w:w="145" w:type="dxa"/>
        </w:tblCellMar>
        <w:tblLook w:val="0000" w:firstRow="0" w:lastRow="0" w:firstColumn="0" w:lastColumn="0" w:noHBand="0" w:noVBand="0"/>
      </w:tblPr>
      <w:tblGrid>
        <w:gridCol w:w="1701"/>
        <w:gridCol w:w="7371"/>
      </w:tblGrid>
      <w:tr w:rsidR="00B90B1E" w:rsidTr="008920AC">
        <w:trPr>
          <w:cantSplit/>
        </w:trPr>
        <w:tc>
          <w:tcPr>
            <w:tcW w:w="1701" w:type="dxa"/>
            <w:shd w:val="pct10" w:color="000000" w:fill="FFFFFF"/>
            <w:vAlign w:val="center"/>
          </w:tcPr>
          <w:p w:rsidR="00D74EFA" w:rsidRPr="000818D8" w:rsidRDefault="00903276" w:rsidP="003858C5">
            <w:pPr>
              <w:pStyle w:val="RollCallVotes"/>
            </w:pPr>
            <w:r>
              <w:t>2</w:t>
            </w:r>
          </w:p>
        </w:tc>
        <w:tc>
          <w:tcPr>
            <w:tcW w:w="7371" w:type="dxa"/>
            <w:shd w:val="pct10" w:color="000000" w:fill="FFFFFF"/>
          </w:tcPr>
          <w:p w:rsidR="00D74EFA" w:rsidRPr="000818D8" w:rsidRDefault="00903276" w:rsidP="003858C5">
            <w:pPr>
              <w:pStyle w:val="RollCallSymbols14pt"/>
            </w:pPr>
            <w:r>
              <w:t>0</w:t>
            </w:r>
          </w:p>
        </w:tc>
      </w:tr>
      <w:tr w:rsidR="00B90B1E" w:rsidTr="008920AC">
        <w:trPr>
          <w:cantSplit/>
        </w:trPr>
        <w:tc>
          <w:tcPr>
            <w:tcW w:w="1701" w:type="dxa"/>
            <w:shd w:val="clear" w:color="auto" w:fill="FFFFFF"/>
          </w:tcPr>
          <w:p w:rsidR="00D74EFA" w:rsidRPr="000818D8" w:rsidRDefault="00903276" w:rsidP="003858C5">
            <w:pPr>
              <w:pStyle w:val="RollCallTable"/>
            </w:pPr>
            <w:r>
              <w:t>ECR</w:t>
            </w:r>
          </w:p>
        </w:tc>
        <w:tc>
          <w:tcPr>
            <w:tcW w:w="7371" w:type="dxa"/>
            <w:shd w:val="clear" w:color="auto" w:fill="FFFFFF"/>
          </w:tcPr>
          <w:p w:rsidR="00D74EFA" w:rsidRPr="000818D8" w:rsidRDefault="00903276" w:rsidP="003858C5">
            <w:pPr>
              <w:pStyle w:val="RollCallTable"/>
            </w:pPr>
            <w:r>
              <w:t>Andżelika Anna Możdżanowska</w:t>
            </w:r>
          </w:p>
        </w:tc>
      </w:tr>
      <w:tr w:rsidR="00B90B1E" w:rsidTr="008920AC">
        <w:trPr>
          <w:cantSplit/>
        </w:trPr>
        <w:tc>
          <w:tcPr>
            <w:tcW w:w="1701" w:type="dxa"/>
            <w:shd w:val="clear" w:color="auto" w:fill="FFFFFF"/>
          </w:tcPr>
          <w:p w:rsidR="00D74EFA" w:rsidRPr="000818D8" w:rsidRDefault="00903276" w:rsidP="003858C5">
            <w:pPr>
              <w:pStyle w:val="RollCallTable"/>
            </w:pPr>
            <w:r>
              <w:t>NI</w:t>
            </w:r>
          </w:p>
        </w:tc>
        <w:tc>
          <w:tcPr>
            <w:tcW w:w="7371" w:type="dxa"/>
            <w:shd w:val="clear" w:color="auto" w:fill="FFFFFF"/>
          </w:tcPr>
          <w:p w:rsidR="00D74EFA" w:rsidRPr="000818D8" w:rsidRDefault="00903276" w:rsidP="003858C5">
            <w:pPr>
              <w:pStyle w:val="RollCallTable"/>
            </w:pPr>
            <w:r>
              <w:t>Lívia Járóka</w:t>
            </w:r>
          </w:p>
        </w:tc>
      </w:tr>
    </w:tbl>
    <w:p w:rsidR="00D74EFA" w:rsidRPr="000818D8" w:rsidRDefault="00D74EFA" w:rsidP="00147FBF">
      <w:pPr>
        <w:pStyle w:val="Normal12a"/>
      </w:pPr>
    </w:p>
    <w:p w:rsidR="00AA166A" w:rsidRDefault="00AA166A" w:rsidP="00AA166A">
      <w:pPr>
        <w:rPr>
          <w:szCs w:val="24"/>
        </w:rPr>
      </w:pPr>
    </w:p>
    <w:p w:rsidR="00AA166A" w:rsidRPr="00CB34A7" w:rsidRDefault="00903276" w:rsidP="00AA166A">
      <w:pPr>
        <w:rPr>
          <w:szCs w:val="24"/>
        </w:rPr>
      </w:pPr>
      <w:r>
        <w:t xml:space="preserve">Legenda simbolurilor utilizate: </w:t>
      </w:r>
    </w:p>
    <w:p w:rsidR="00AA166A" w:rsidRPr="00CB34A7" w:rsidRDefault="00903276" w:rsidP="00AA166A">
      <w:pPr>
        <w:rPr>
          <w:szCs w:val="24"/>
        </w:rPr>
      </w:pPr>
      <w:r>
        <w:t>+  :  pentru</w:t>
      </w:r>
    </w:p>
    <w:p w:rsidR="00AA166A" w:rsidRPr="00CB34A7" w:rsidRDefault="00903276" w:rsidP="00AA166A">
      <w:pPr>
        <w:rPr>
          <w:szCs w:val="24"/>
        </w:rPr>
      </w:pPr>
      <w:r>
        <w:t>-  :  împotrivă</w:t>
      </w:r>
    </w:p>
    <w:p w:rsidR="00AA166A" w:rsidRPr="00CB34A7" w:rsidRDefault="00903276" w:rsidP="00AA166A">
      <w:pPr>
        <w:rPr>
          <w:szCs w:val="24"/>
        </w:rPr>
      </w:pPr>
      <w:r>
        <w:t>0  :  abțineri</w:t>
      </w:r>
    </w:p>
    <w:p w:rsidR="00AA166A" w:rsidRDefault="00AA166A" w:rsidP="00AA166A">
      <w:pPr>
        <w:rPr>
          <w:szCs w:val="24"/>
        </w:rPr>
      </w:pPr>
    </w:p>
    <w:p w:rsidR="00AA166A" w:rsidRDefault="00AA166A" w:rsidP="003858C5">
      <w:pPr>
        <w:pStyle w:val="RollCallTabs"/>
      </w:pPr>
    </w:p>
    <w:p w:rsidR="00AA166A" w:rsidRDefault="00AA166A" w:rsidP="003858C5">
      <w:pPr>
        <w:pStyle w:val="RollCallTabs"/>
      </w:pPr>
    </w:p>
    <w:p w:rsidR="00AA166A" w:rsidRDefault="00AA166A" w:rsidP="003858C5">
      <w:pPr>
        <w:pStyle w:val="RollCallTabs"/>
      </w:pPr>
    </w:p>
    <w:bookmarkEnd w:id="2"/>
    <w:p w:rsidR="00D74EFA" w:rsidRDefault="00D74EFA" w:rsidP="003858C5">
      <w:pPr>
        <w:pStyle w:val="RollCallTabs"/>
      </w:pPr>
    </w:p>
    <w:p w:rsidR="00AA166A" w:rsidRPr="000818D8" w:rsidRDefault="00AA166A" w:rsidP="003858C5">
      <w:pPr>
        <w:pStyle w:val="RollCallTabs"/>
      </w:pPr>
    </w:p>
    <w:sectPr w:rsidR="00AA166A" w:rsidRPr="000818D8" w:rsidSect="00D74EFA">
      <w:footnotePr>
        <w:numRestart w:val="eachSect"/>
      </w:footnotePr>
      <w:endnotePr>
        <w:numFmt w:val="decimal"/>
      </w:endnotePr>
      <w:pgSz w:w="11906" w:h="16838" w:code="9"/>
      <w:pgMar w:top="1134" w:right="1418" w:bottom="1418" w:left="1418" w:header="1134" w:footer="567"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903276">
      <w:r>
        <w:separator/>
      </w:r>
    </w:p>
  </w:endnote>
  <w:endnote w:type="continuationSeparator" w:id="0">
    <w:p w:rsidR="00000000" w:rsidRDefault="009032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auto"/>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Yu Mincho">
    <w:altName w:val="MS Gothic"/>
    <w:panose1 w:val="00000000000000000000"/>
    <w:charset w:val="80"/>
    <w:family w:val="roman"/>
    <w:notTrueType/>
    <w:pitch w:val="default"/>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58" w:rsidRPr="000818D8" w:rsidRDefault="00903276" w:rsidP="00EC1758">
    <w:pPr>
      <w:pStyle w:val="EPFooter"/>
    </w:pPr>
    <w:r w:rsidRPr="000818D8">
      <w:t>PE</w:t>
    </w:r>
    <w:r w:rsidRPr="000818D8">
      <w:rPr>
        <w:rStyle w:val="HideTWBExt"/>
      </w:rPr>
      <w:t>&lt;NoPE&gt;</w:t>
    </w:r>
    <w:r w:rsidRPr="000818D8">
      <w:t>754.838</w:t>
    </w:r>
    <w:r w:rsidRPr="000818D8">
      <w:rPr>
        <w:rStyle w:val="HideTWBExt"/>
      </w:rPr>
      <w:t>&lt;/NoPE&gt;&lt;Version&gt;</w:t>
    </w:r>
    <w:r w:rsidRPr="000818D8">
      <w:t>v02-00</w:t>
    </w:r>
    <w:r w:rsidRPr="000818D8">
      <w:rPr>
        <w:rStyle w:val="HideTWBExt"/>
      </w:rPr>
      <w:t>&lt;/Version&gt;</w:t>
    </w:r>
    <w:r w:rsidRPr="000818D8">
      <w:tab/>
    </w:r>
    <w:r w:rsidRPr="000818D8">
      <w:fldChar w:fldCharType="begin"/>
    </w:r>
    <w:r w:rsidRPr="000818D8">
      <w:instrText xml:space="preserve"> PAGE  \* MERGEFORMAT </w:instrText>
    </w:r>
    <w:r w:rsidRPr="000818D8">
      <w:fldChar w:fldCharType="separate"/>
    </w:r>
    <w:r>
      <w:rPr>
        <w:noProof/>
      </w:rPr>
      <w:t>8</w:t>
    </w:r>
    <w:r w:rsidRPr="000818D8">
      <w:fldChar w:fldCharType="end"/>
    </w:r>
    <w:r w:rsidRPr="000818D8">
      <w:t>/</w:t>
    </w:r>
    <w:fldSimple w:instr=" NUMPAGES  \* MERGEFORMAT ">
      <w:r>
        <w:rPr>
          <w:noProof/>
        </w:rPr>
        <w:t>8</w:t>
      </w:r>
    </w:fldSimple>
    <w:r w:rsidRPr="000818D8">
      <w:tab/>
    </w:r>
    <w:r w:rsidRPr="000818D8">
      <w:rPr>
        <w:rStyle w:val="HideTWBExt"/>
      </w:rPr>
      <w:t>&lt;PathFdR&gt;</w:t>
    </w:r>
    <w:r w:rsidRPr="000818D8">
      <w:t>AD\1294925RO.docx</w:t>
    </w:r>
    <w:r w:rsidRPr="000818D8">
      <w:rPr>
        <w:rStyle w:val="HideTWBExt"/>
      </w:rPr>
      <w:t>&lt;/PathFdR&gt;</w:t>
    </w:r>
  </w:p>
  <w:p w:rsidR="002E2F2E" w:rsidRPr="000818D8" w:rsidRDefault="00903276" w:rsidP="00EC1758">
    <w:pPr>
      <w:pStyle w:val="EPFooter2"/>
    </w:pPr>
    <w:r w:rsidRPr="000818D8">
      <w:t>RO</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58" w:rsidRPr="000818D8" w:rsidRDefault="00903276" w:rsidP="00EC1758">
    <w:pPr>
      <w:pStyle w:val="EPFooter"/>
    </w:pPr>
    <w:r w:rsidRPr="000818D8">
      <w:rPr>
        <w:rStyle w:val="HideTWBExt"/>
      </w:rPr>
      <w:t>&lt;PathFdR&gt;</w:t>
    </w:r>
    <w:r w:rsidRPr="000818D8">
      <w:t>AD\1294925RO.docx</w:t>
    </w:r>
    <w:r w:rsidRPr="000818D8">
      <w:rPr>
        <w:rStyle w:val="HideTWBExt"/>
      </w:rPr>
      <w:t>&lt;/PathFdR&gt;</w:t>
    </w:r>
    <w:r w:rsidRPr="000818D8">
      <w:tab/>
    </w:r>
    <w:r w:rsidRPr="000818D8">
      <w:fldChar w:fldCharType="begin"/>
    </w:r>
    <w:r w:rsidRPr="000818D8">
      <w:instrText xml:space="preserve"> PAGE  \* MERGEFORMAT </w:instrText>
    </w:r>
    <w:r w:rsidRPr="000818D8">
      <w:fldChar w:fldCharType="separate"/>
    </w:r>
    <w:r>
      <w:rPr>
        <w:noProof/>
      </w:rPr>
      <w:t>8</w:t>
    </w:r>
    <w:r w:rsidRPr="000818D8">
      <w:fldChar w:fldCharType="end"/>
    </w:r>
    <w:r w:rsidRPr="000818D8">
      <w:t>/</w:t>
    </w:r>
    <w:fldSimple w:instr=" NUMPAGES  \* MERGEFORMAT ">
      <w:r>
        <w:rPr>
          <w:noProof/>
        </w:rPr>
        <w:t>8</w:t>
      </w:r>
    </w:fldSimple>
    <w:r w:rsidRPr="000818D8">
      <w:tab/>
      <w:t>PE</w:t>
    </w:r>
    <w:r w:rsidRPr="000818D8">
      <w:rPr>
        <w:rStyle w:val="HideTWBExt"/>
      </w:rPr>
      <w:t>&lt;NoPE&gt;</w:t>
    </w:r>
    <w:r w:rsidRPr="000818D8">
      <w:t>754.838</w:t>
    </w:r>
    <w:r w:rsidRPr="000818D8">
      <w:rPr>
        <w:rStyle w:val="HideTWBExt"/>
      </w:rPr>
      <w:t>&lt;/NoPE&gt;&lt;Version&gt;</w:t>
    </w:r>
    <w:r w:rsidRPr="000818D8">
      <w:t>v02-00</w:t>
    </w:r>
    <w:r w:rsidRPr="000818D8">
      <w:rPr>
        <w:rStyle w:val="HideTWBExt"/>
      </w:rPr>
      <w:t>&lt;/Version&gt;</w:t>
    </w:r>
  </w:p>
  <w:p w:rsidR="002E2F2E" w:rsidRPr="000818D8" w:rsidRDefault="00903276" w:rsidP="00EC1758">
    <w:pPr>
      <w:pStyle w:val="EPFooter2"/>
    </w:pPr>
    <w:r w:rsidRPr="000818D8">
      <w:tab/>
    </w:r>
    <w:r w:rsidRPr="000818D8">
      <w:tab/>
      <w:t>RO</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C1758" w:rsidRPr="000818D8" w:rsidRDefault="00903276" w:rsidP="00EC1758">
    <w:pPr>
      <w:pStyle w:val="EPFooter"/>
    </w:pPr>
    <w:r w:rsidRPr="000818D8">
      <w:rPr>
        <w:rStyle w:val="HideTWBExt"/>
      </w:rPr>
      <w:t>&lt;PathFdR&gt;</w:t>
    </w:r>
    <w:r w:rsidRPr="000818D8">
      <w:t>AD\1294925RO.docx</w:t>
    </w:r>
    <w:r w:rsidRPr="000818D8">
      <w:rPr>
        <w:rStyle w:val="HideTWBExt"/>
      </w:rPr>
      <w:t>&lt;/PathFdR&gt;</w:t>
    </w:r>
    <w:r w:rsidRPr="000818D8">
      <w:tab/>
    </w:r>
    <w:r w:rsidRPr="000818D8">
      <w:tab/>
      <w:t>PE</w:t>
    </w:r>
    <w:r w:rsidRPr="000818D8">
      <w:rPr>
        <w:rStyle w:val="HideTWBExt"/>
      </w:rPr>
      <w:t>&lt;NoPE&gt;</w:t>
    </w:r>
    <w:r w:rsidRPr="000818D8">
      <w:t>754.838</w:t>
    </w:r>
    <w:r w:rsidRPr="000818D8">
      <w:rPr>
        <w:rStyle w:val="HideTWBExt"/>
      </w:rPr>
      <w:t>&lt;/NoPE&gt;&lt;Version&gt;</w:t>
    </w:r>
    <w:r w:rsidRPr="000818D8">
      <w:t>v02-00</w:t>
    </w:r>
    <w:r w:rsidRPr="000818D8">
      <w:rPr>
        <w:rStyle w:val="HideTWBExt"/>
      </w:rPr>
      <w:t>&lt;/Version&gt;</w:t>
    </w:r>
  </w:p>
  <w:p w:rsidR="002E2F2E" w:rsidRPr="000818D8" w:rsidRDefault="00903276" w:rsidP="00EC1758">
    <w:pPr>
      <w:pStyle w:val="EPFooter2"/>
    </w:pPr>
    <w:r w:rsidRPr="000818D8">
      <w:t>RO</w:t>
    </w:r>
    <w:r w:rsidRPr="000818D8">
      <w:tab/>
    </w:r>
    <w:r w:rsidRPr="000818D8">
      <w:rPr>
        <w:b w:val="0"/>
        <w:i/>
        <w:color w:val="C0C0C0"/>
        <w:sz w:val="22"/>
      </w:rPr>
      <w:t>Unită în diversitate</w:t>
    </w:r>
    <w:r w:rsidRPr="000818D8">
      <w:tab/>
      <w:t>RO</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3B14" w:rsidRPr="000818D8" w:rsidRDefault="00903276">
      <w:r w:rsidRPr="000818D8">
        <w:separator/>
      </w:r>
    </w:p>
  </w:footnote>
  <w:footnote w:type="continuationSeparator" w:id="0">
    <w:p w:rsidR="00213B14" w:rsidRPr="000818D8" w:rsidRDefault="00903276">
      <w:r w:rsidRPr="000818D8">
        <w:continuationSeparator/>
      </w:r>
    </w:p>
  </w:footnote>
  <w:footnote w:id="1">
    <w:p w:rsidR="001E38DF" w:rsidRPr="000818D8" w:rsidRDefault="00903276" w:rsidP="001E38DF">
      <w:pPr>
        <w:pStyle w:val="FootnoteText"/>
      </w:pPr>
      <w:r>
        <w:rPr>
          <w:rStyle w:val="FootnoteReference"/>
        </w:rPr>
        <w:footnoteRef/>
      </w:r>
      <w:r>
        <w:t xml:space="preserve">  https://www.europarl.europa.eu/RegData/etudes/STUD/2022/736899/IPOL_STU(2022)736899_EN.pdf</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66A" w:rsidRDefault="00AA166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66A" w:rsidRDefault="00AA166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66A" w:rsidRDefault="00AA166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DOCDECMNU" w:val=" 1"/>
    <w:docVar w:name="AUTHORMFMNU" w:val=" 1"/>
    <w:docVar w:name="CJMNU" w:val="1"/>
    <w:docVar w:name="CODEMNU" w:val=" 7"/>
    <w:docVar w:name="COM2KEY" w:val="FEMM"/>
    <w:docVar w:name="COMKEY" w:val="FEMM"/>
    <w:docVar w:name="CONTRIBUTIONMNU" w:val=" 2"/>
    <w:docVar w:name="FONCTIONMNU" w:val=" 2"/>
    <w:docVar w:name="LastAMInserted" w:val="12"/>
    <w:docVar w:name="LastEditedSection" w:val=" 1"/>
    <w:docVar w:name="NumberAMInserted" w:val="12"/>
    <w:docVar w:name="RepeatBlock-Amend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342\fbidi \fswiss\fcharset238\fprq2 Arial CE;}{\f343\fbidi \fswiss\fcharset204\fprq2 Arial Cyr;}_x000d__x000a_{\f345\fbidi \fswiss\fcharset161\fprq2 Arial Greek;}{\f346\fbidi \fswiss\fcharset162\fprq2 Arial Tur;}{\f347\fbidi \fswiss\fcharset177\fprq2 Arial (Hebrew);}{\f348\fbidi \fswiss\fcharset178\fprq2 Arial (Arabic);}_x000d__x000a_{\f349\fbidi \fswiss\fcharset186\fprq2 Arial Baltic;}{\f350\fbidi \fswiss\fcharset163\fprq2 Arial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15 \spriority0 \styrsid14513490 HideTWBInt;}{_x000d__x000a_\s18\ql \fi-567\li567\ri0\sa240\nowidctlpar\wrapdefault\aspalpha\aspnum\faauto\adjustright\rin0\lin567\itap0 \rtlch\fcs1 \af0\afs20\alang1025 \ltrch\fcs0 \fs24\lang2057\langfe2057\cgrid\langnp2057\langfenp2057 _x000d__x000a_\sbasedon0 \snext18 \spriority0 \styrsid14513490 NormalHanging12a;}}{\*\rsidtbl \rsid24658\rsid223860\rsid735077\rsid1718133\rsid2892074\rsid3565327\rsid4666813\rsid6641733\rsid7823322\rsid9636012\rsid10377208\rsid11215221\rsid11549030\rsid12154954_x000d__x000a_\rsid14382809\rsid14424199\rsid14513490\rsid14830128\rsid15204470\rsid15285974\rsid15950462\rsid16324206\rsid16662270}{\mmathPr\mmathFont34\mbrkBin0\mbrkBinSub0\msmallFrac0\mdispDef1\mlMargin0\mrMargin0\mdefJc1\mwrapIndent1440\mintLim0\mnaryLim1}{\info_x000d__x000a_{\author KATRIVESI Anna}{\operator KATRIVESI Anna}{\creatim\yr2024\mo1\dy24\hr15\min28}{\revtim\yr2024\mo1\dy24\hr15\min28}{\version1}{\edmins0}{\nofpages1}{\nofwords2}{\nofchars11}{\nofcharsws12}{\vern109}}{\*\xmlnstbl {\xmlns1 http://schemas.microsoft.c_x000d__x000a_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4513490\newtblstyruls\nogrowautofit\usenormstyforlist\noindnmbrts\felnbrelev\nocxsptable\indrlsweleven\noafcnsttbl\afelev\utinl\hwelev\spltpgpar\notcvasp\notbrkcnstfrctbl\notvatxbx\krnprsnet\cachedcolbal _x000d__x000a_\nouicompat \fet0{\*\wgrffmtfilter 013f}\nofeaturethrottle1\ilfomacatclnup0{\*\template C:\\Users\\AKATRI~1\\AppData\\Local\\Temp\\Blank1.dotx}{\*\ftnsep \ltrpar \pard\plain \ltrpar_x000d__x000a_\ql \li0\ri0\widctlpar\wrapdefault\aspalpha\aspnum\faauto\adjustright\rin0\lin0\itap0 \rtlch\fcs1 \af0\afs20\alang1025 \ltrch\fcs0 \fs24\lang2057\langfe2057\cgrid\langnp2057\langfenp2057 {\rtlch\fcs1 \af0 \ltrch\fcs0 \insrsid14830128 \chftnsep _x000d__x000a_\par }}{\*\ftnsepc \ltrpar \pard\plain \ltrpar\ql \li0\ri0\widctlpar\wrapdefault\aspalpha\aspnum\faauto\adjustright\rin0\lin0\itap0 \rtlch\fcs1 \af0\afs20\alang1025 \ltrch\fcs0 \fs24\lang2057\langfe2057\cgrid\langnp2057\langfenp2057 {\rtlch\fcs1 \af0 _x000d__x000a_\ltrch\fcs0 \insrsid14830128 \chftnsepc _x000d__x000a_\par }}{\*\aftnsep \ltrpar \pard\plain \ltrpar\ql \li0\ri0\widctlpar\wrapdefault\aspalpha\aspnum\faauto\adjustright\rin0\lin0\itap0 \rtlch\fcs1 \af0\afs20\alang1025 \ltrch\fcs0 \fs24\lang2057\langfe2057\cgrid\langnp2057\langfenp2057 {\rtlch\fcs1 \af0 _x000d__x000a_\ltrch\fcs0 \insrsid14830128 \chftnsep _x000d__x000a_\par }}{\*\aftnsepc \ltrpar \pard\plain \ltrpar\ql \li0\ri0\widctlpar\wrapdefault\aspalpha\aspnum\faauto\adjustright\rin0\lin0\itap0 \rtlch\fcs1 \af0\afs20\alang1025 \ltrch\fcs0 \fs24\lang2057\langfe2057\cgrid\langnp2057\langfenp2057 {\rtlch\fcs1 \af0 _x000d__x000a_\ltrch\fcs0 \insrsid14830128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8\ql \fi-567\li567\ri0\sa240\nowidctlpar\wrapdefault\aspalpha\aspnum\faauto\adjustright\rin0\lin567\itap0\pararsid14513490 \rtlch\fcs1 \af0\afs20\alang1025 \ltrch\fcs0 \fs24\lang2057\langfe2057\cgrid\langnp2057\langfenp2057 {\rtlch\fcs1 \af0 _x000d__x000a_\ltrch\fcs0 \insrsid14513490\charrsid2177812 {\*\bkmkstart restart}#}{\rtlch\fcs1 \af1 \ltrch\fcs0 \cs17\v\f1\fs20\cf15\insrsid14513490\charrsid2177812 NRMSG}{\rtlch\fcs1 \af0 \ltrch\fcs0 \insrsid14513490\charrsid2177812 #.\tab ##}{\rtlch\fcs1 \af0 _x000d__x000a_\ltrch\fcs0 \insrsid14513490\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a00e_x000d__x000a_b199d1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2057\deflangfe2057\themelang2057\themelangfe0\themelangcs1108{\fonttbl{\f0\fbidi \froman\fcharset0\fprq2{\*\panose 02020603050405020304}Times New Roman;}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32\fbidi \froman\fcharset238\fprq2 Times New Roman CE;}{\f333\fbidi \froman\fcharset204\fprq2 Times New Roman Cyr;}_x000d__x000a_{\f335\fbidi \froman\fcharset161\fprq2 Times New Roman Greek;}{\f336\fbidi \froman\fcharset162\fprq2 Times New Roman Tur;}{\f337\fbidi \froman\fcharset177\fprq2 Times New Roman (Hebrew);}{\f338\fbidi \froman\fcharset178\fprq2 Times New Roman (Arabic);}_x000d__x000a_{\f339\fbidi \froman\fcharset186\fprq2 Times New Roman Baltic;}{\f340\fbidi \froman\fcharset163\fprq2 Times New Roman (Vietnamese);}{\f672\fbidi \froman\fcharset238\fprq2 Cambria Math CE;}{\f673\fbidi \froman\fcharset204\fprq2 Cambria Math Cyr;}_x000d__x000a_{\f675\fbidi \froman\fcharset161\fprq2 Cambria Math Greek;}{\f676\fbidi \froman\fcharset162\fprq2 Cambria Math Tur;}{\f679\fbidi \froman\fcharset186\fprq2 Cambria Math Baltic;}{\f68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s17\ql \fi-567\li567\ri0\sa240\nowidctlpar\wrapdefault\aspalpha\aspnum\faauto\adjustright\rin0\lin567\itap0 \rtlch\fcs1 \af0\afs20\alang1025 \ltrch\fcs0 _x000d__x000a_\fs24\lang2057\langfe2057\cgrid\langnp2057\langfenp2057 \sbasedon0 \snext17 \spriority0 \styrsid13638299 NormalHanging12a;}}{\*\rsidtbl \rsid24658\rsid223860\rsid735077\rsid1718133\rsid2892074\rsid3565327\rsid4666813\rsid5908129\rsid6641733\rsid7823322_x000d__x000a_\rsid9636012\rsid10377208\rsid11215221\rsid11549030\rsid12154954\rsid13638299\rsid14382809\rsid14424199\rsid15204470\rsid15285974\rsid15950462\rsid16324206\rsid16662270}{\mmathPr\mmathFont34\mbrkBin0\mbrkBinSub0\msmallFrac0\mdispDef1\mlMargin0\mrMargin0_x000d__x000a_\mdefJc1\mwrapIndent1440\mintLim0\mnaryLim1}{\info{\author KATRIVESI Anna}{\operator KATRIVESI Anna}{\creatim\yr2024\mo1\dy24\hr15\min28}{\revtim\yr2024\mo1\dy24\hr15\min28}{\version1}{\edmins0}{\nofpages1}{\nofwords5}{\nofchars30}{\nofcharsws34}_x000d__x000a_{\vern109}}{\*\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4\viewscale100\pgbrdrhead\pgbrdrfoot\splytwnine\ftnlytwnine\htmautsp\nolnhtadjtbl\useltbaln\alntblind\lytcalctblwd\lyttblrtgr\lnbrkrule\nobrkwrptbl\snaptogridincell\allowfieldendsel\wrppunct_x000d__x000a_\asianbrkrule\nojkernpunct\rsidroot13638299\newtblstyruls\nogrowautofit\usenormstyforlist\noindnmbrts\felnbrelev\nocxsptable\indrlsweleven\noafcnsttbl\afelev\utinl\hwelev\spltpgpar\notcvasp\notbrkcnstfrctbl\notvatxbx\krnprsnet\cachedcolbal _x000d__x000a_\nouicompat \fet0{\*\wgrffmtfilter 013f}\nofeaturethrottle1\ilfomacatclnup0{\*\template C:\\Users\\AKATRI~1\\AppData\\Local\\Temp\\Blank1.dotx}{\*\ftnsep \ltrpar \pard\plain \ltrpar_x000d__x000a_\ql \li0\ri0\widctlpar\wrapdefault\aspalpha\aspnum\faauto\adjustright\rin0\lin0\itap0 \rtlch\fcs1 \af0\afs20\alang1025 \ltrch\fcs0 \fs24\lang2057\langfe2057\cgrid\langnp2057\langfenp2057 {\rtlch\fcs1 \af0 \ltrch\fcs0 \insrsid5908129 \chftnsep _x000d__x000a_\par }}{\*\ftnsepc \ltrpar \pard\plain \ltrpar\ql \li0\ri0\widctlpar\wrapdefault\aspalpha\aspnum\faauto\adjustright\rin0\lin0\itap0 \rtlch\fcs1 \af0\afs20\alang1025 \ltrch\fcs0 \fs24\lang2057\langfe2057\cgrid\langnp2057\langfenp2057 {\rtlch\fcs1 \af0 _x000d__x000a_\ltrch\fcs0 \insrsid5908129 \chftnsepc _x000d__x000a_\par }}{\*\aftnsep \ltrpar \pard\plain \ltrpar\ql \li0\ri0\widctlpar\wrapdefault\aspalpha\aspnum\faauto\adjustright\rin0\lin0\itap0 \rtlch\fcs1 \af0\afs20\alang1025 \ltrch\fcs0 \fs24\lang2057\langfe2057\cgrid\langnp2057\langfenp2057 {\rtlch\fcs1 \af0 _x000d__x000a_\ltrch\fcs0 \insrsid5908129 \chftnsep _x000d__x000a_\par }}{\*\aftnsepc \ltrpar \pard\plain \ltrpar\ql \li0\ri0\widctlpar\wrapdefault\aspalpha\aspnum\faauto\adjustright\rin0\lin0\itap0 \rtlch\fcs1 \af0\afs20\alang1025 \ltrch\fcs0 \fs24\lang2057\langfe2057\cgrid\langnp2057\langfenp2057 {\rtlch\fcs1 \af0 _x000d__x000a_\ltrch\fcs0 \insrsid59081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_x000d__x000a_\s17\ql \fi-567\li567\ri0\sa240\nowidctlpar\wrapdefault\aspalpha\aspnum\faauto\adjustright\rin0\lin567\itap0\pararsid13638299 \rtlch\fcs1 \af0\afs20\alang1025 \ltrch\fcs0 \fs24\lang2057\langfe2057\cgrid\langnp2057\langfenp2057 {\rtlch\fcs1 \af0 _x000d__x000a_\ltrch\fcs0 \insrsid13638299\charrsid1525456 {\*\bkmkstart restart}[ZSUGGESTIONNR]\tab [ZSUGGESTIONTEXT]}{\rtlch\fcs1 \af0 \ltrch\fcs0 \insrsid13638299\charrsid16324206 {\*\bkmkend restart}_x000d__x000a_\par }\pard\plain \ltrpar\ql \li0\ri0\widctlpar\wrapdefault\aspalpha\aspnum\faauto\adjustright\rin0\lin0\itap0\pararsid16324206 \rtlch\fcs1 \af0\afs20\alang1025 \ltrch\fcs0 \fs24\lang2057\langfe2057\cgrid\langnp2057\langfenp2057 {\rtlch\fcs1 \af0 \ltrch\fcs0 _x000d__x000a_\insrsid24658\charrsid16324206 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f2_x000d__x000a_d19bd14eda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94"/>
    <w:docVar w:name="TXTLANGUE" w:val="RO"/>
    <w:docVar w:name="TXTLANGUEMIN" w:val="ro"/>
    <w:docVar w:name="TXTNRPE" w:val="754.838"/>
    <w:docVar w:name="TXTNRPROC" w:val="2023/2129"/>
    <w:docVar w:name="TXTPEorAP" w:val="PE"/>
    <w:docVar w:name="TXTROUTE" w:val="AD\1294925RO.docx"/>
    <w:docVar w:name="TXTTITLE" w:val="2022 DISCHARGE/ General budget of the EU - Commission"/>
    <w:docVar w:name="TXTVERSION" w:val="02-00"/>
  </w:docVars>
  <w:rsids>
    <w:rsidRoot w:val="00213B14"/>
    <w:rsid w:val="000701FE"/>
    <w:rsid w:val="000818D8"/>
    <w:rsid w:val="000846BF"/>
    <w:rsid w:val="000E7EBF"/>
    <w:rsid w:val="00124F60"/>
    <w:rsid w:val="00135121"/>
    <w:rsid w:val="00140BE6"/>
    <w:rsid w:val="00147F4E"/>
    <w:rsid w:val="00147FBF"/>
    <w:rsid w:val="0016635E"/>
    <w:rsid w:val="001746D0"/>
    <w:rsid w:val="00192188"/>
    <w:rsid w:val="001B7393"/>
    <w:rsid w:val="001C3E23"/>
    <w:rsid w:val="001D2ED9"/>
    <w:rsid w:val="001E38DF"/>
    <w:rsid w:val="001E6E5E"/>
    <w:rsid w:val="001F21C1"/>
    <w:rsid w:val="00213B14"/>
    <w:rsid w:val="00245873"/>
    <w:rsid w:val="002A2487"/>
    <w:rsid w:val="002D28A7"/>
    <w:rsid w:val="002E2F2E"/>
    <w:rsid w:val="002E6F98"/>
    <w:rsid w:val="00314030"/>
    <w:rsid w:val="00325BCB"/>
    <w:rsid w:val="00331944"/>
    <w:rsid w:val="00332AD9"/>
    <w:rsid w:val="00347D2C"/>
    <w:rsid w:val="00351460"/>
    <w:rsid w:val="003554AD"/>
    <w:rsid w:val="0037356F"/>
    <w:rsid w:val="003858C5"/>
    <w:rsid w:val="00390EB2"/>
    <w:rsid w:val="00396A0E"/>
    <w:rsid w:val="003C75B3"/>
    <w:rsid w:val="003E2402"/>
    <w:rsid w:val="00450AE5"/>
    <w:rsid w:val="00461D54"/>
    <w:rsid w:val="004808C5"/>
    <w:rsid w:val="004836D1"/>
    <w:rsid w:val="004C28FB"/>
    <w:rsid w:val="004C44C0"/>
    <w:rsid w:val="0052544E"/>
    <w:rsid w:val="00526DDB"/>
    <w:rsid w:val="005940C3"/>
    <w:rsid w:val="00594C48"/>
    <w:rsid w:val="005B2F11"/>
    <w:rsid w:val="005C0BDF"/>
    <w:rsid w:val="005D60C6"/>
    <w:rsid w:val="006102E7"/>
    <w:rsid w:val="00640C1B"/>
    <w:rsid w:val="00657AFB"/>
    <w:rsid w:val="006D5BF7"/>
    <w:rsid w:val="007A4AAE"/>
    <w:rsid w:val="007C4C8D"/>
    <w:rsid w:val="008233BB"/>
    <w:rsid w:val="008313E7"/>
    <w:rsid w:val="00854CAC"/>
    <w:rsid w:val="008A1FBD"/>
    <w:rsid w:val="008A32C5"/>
    <w:rsid w:val="008C6203"/>
    <w:rsid w:val="008D61E7"/>
    <w:rsid w:val="008F7002"/>
    <w:rsid w:val="00903276"/>
    <w:rsid w:val="00941BAD"/>
    <w:rsid w:val="0096194C"/>
    <w:rsid w:val="0099493F"/>
    <w:rsid w:val="00A046F3"/>
    <w:rsid w:val="00A16BEA"/>
    <w:rsid w:val="00A236F0"/>
    <w:rsid w:val="00A312B3"/>
    <w:rsid w:val="00A72C35"/>
    <w:rsid w:val="00A82017"/>
    <w:rsid w:val="00AA166A"/>
    <w:rsid w:val="00AB3C1F"/>
    <w:rsid w:val="00AD545A"/>
    <w:rsid w:val="00AE180F"/>
    <w:rsid w:val="00AF544D"/>
    <w:rsid w:val="00B362F7"/>
    <w:rsid w:val="00B5456B"/>
    <w:rsid w:val="00B6507E"/>
    <w:rsid w:val="00B74B53"/>
    <w:rsid w:val="00B90B1E"/>
    <w:rsid w:val="00BC26E4"/>
    <w:rsid w:val="00BD1EAA"/>
    <w:rsid w:val="00C26D10"/>
    <w:rsid w:val="00C51199"/>
    <w:rsid w:val="00C52384"/>
    <w:rsid w:val="00C52739"/>
    <w:rsid w:val="00C827FF"/>
    <w:rsid w:val="00C85D0F"/>
    <w:rsid w:val="00CB34A7"/>
    <w:rsid w:val="00CD34AC"/>
    <w:rsid w:val="00D464A2"/>
    <w:rsid w:val="00D74EFA"/>
    <w:rsid w:val="00DE19FF"/>
    <w:rsid w:val="00E128F6"/>
    <w:rsid w:val="00E81BA6"/>
    <w:rsid w:val="00E856D2"/>
    <w:rsid w:val="00E929A7"/>
    <w:rsid w:val="00EB6467"/>
    <w:rsid w:val="00EC1758"/>
    <w:rsid w:val="00EE0BE6"/>
    <w:rsid w:val="00FC6460"/>
    <w:rsid w:val="00FD0D14"/>
    <w:rsid w:val="00FD4BC4"/>
    <w:rsid w:val="00FF4B50"/>
  </w:rsids>
  <m:mathPr>
    <m:mathFont m:val="Cambria Math"/>
    <m:brkBin m:val="before"/>
    <m:brkBinSub m:val="--"/>
    <m:smallFrac m:val="0"/>
    <m:dispDef/>
    <m:lMargin m:val="0"/>
    <m:rMargin m:val="0"/>
    <m:defJc m:val="centerGroup"/>
    <m:wrapIndent m:val="1440"/>
    <m:intLim m:val="subSup"/>
    <m:naryLim m:val="undOvr"/>
  </m:mathPr>
  <w:themeFontLang w:val="en-GB" w:eastAsia="ja-JP"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4AD9D28-D493-4770-A4F3-3965600566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o-RO"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1944"/>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customStyle="1" w:styleId="Normal12a">
    <w:name w:val="Normal12a"/>
    <w:basedOn w:val="Normal"/>
    <w:pPr>
      <w:spacing w:after="240"/>
    </w:pPr>
  </w:style>
  <w:style w:type="paragraph" w:styleId="TOC1">
    <w:name w:val="toc 1"/>
    <w:basedOn w:val="Normal12a"/>
    <w:next w:val="Normal12a"/>
    <w:autoRedefine/>
    <w:semiHidden/>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Pr>
      <w:rFonts w:ascii="Arial" w:hAnsi="Arial" w:cs="Arial"/>
      <w:vanish/>
      <w:color w:val="808080"/>
      <w:sz w:val="20"/>
    </w:rPr>
  </w:style>
  <w:style w:type="paragraph" w:customStyle="1" w:styleId="PageHeadingNotTOC">
    <w:name w:val="PageHeadingNotTOC"/>
    <w:basedOn w:val="Normal"/>
    <w:pPr>
      <w:keepNext/>
      <w:spacing w:after="480"/>
      <w:jc w:val="center"/>
    </w:pPr>
    <w:rPr>
      <w:rFonts w:ascii="Arial" w:hAnsi="Arial" w:cs="Arial"/>
      <w:b/>
    </w:rPr>
  </w:style>
  <w:style w:type="paragraph" w:customStyle="1" w:styleId="EPName">
    <w:name w:val="EPName"/>
    <w:basedOn w:val="Normal"/>
    <w:rsid w:val="00E856D2"/>
    <w:pPr>
      <w:spacing w:before="80" w:after="80"/>
    </w:pPr>
    <w:rPr>
      <w:rFonts w:ascii="Arial Narrow" w:hAnsi="Arial Narrow" w:cs="Arial"/>
      <w:b/>
      <w:sz w:val="32"/>
      <w:szCs w:val="22"/>
    </w:rPr>
  </w:style>
  <w:style w:type="paragraph" w:customStyle="1" w:styleId="CoverNormal24a">
    <w:name w:val="CoverNormal24a"/>
    <w:basedOn w:val="Normal"/>
    <w:rsid w:val="00347D2C"/>
    <w:pPr>
      <w:spacing w:after="480"/>
      <w:ind w:left="1417"/>
    </w:pPr>
  </w:style>
  <w:style w:type="paragraph" w:customStyle="1" w:styleId="CoverNormal">
    <w:name w:val="CoverNormal"/>
    <w:basedOn w:val="Normal"/>
    <w:pPr>
      <w:ind w:left="1418"/>
    </w:pPr>
  </w:style>
  <w:style w:type="paragraph" w:styleId="Header">
    <w:name w:val="header"/>
    <w:basedOn w:val="Normal"/>
    <w:link w:val="HeaderChar"/>
    <w:semiHidden/>
    <w:rsid w:val="005C0BDF"/>
    <w:pPr>
      <w:tabs>
        <w:tab w:val="center" w:pos="4513"/>
        <w:tab w:val="right" w:pos="9026"/>
      </w:tabs>
    </w:pPr>
  </w:style>
  <w:style w:type="paragraph" w:customStyle="1" w:styleId="CoverReference">
    <w:name w:val="CoverReference"/>
    <w:basedOn w:val="Normal"/>
    <w:rsid w:val="00E81BA6"/>
    <w:pPr>
      <w:spacing w:before="1080"/>
      <w:jc w:val="right"/>
    </w:pPr>
    <w:rPr>
      <w:rFonts w:ascii="Arial" w:hAnsi="Arial" w:cs="Arial"/>
      <w:b/>
    </w:rPr>
  </w:style>
  <w:style w:type="paragraph" w:customStyle="1" w:styleId="CoverDocType24a">
    <w:name w:val="CoverDocType24a"/>
    <w:basedOn w:val="Normal"/>
    <w:rsid w:val="00347D2C"/>
    <w:pPr>
      <w:spacing w:after="480"/>
      <w:ind w:left="1418"/>
    </w:pPr>
    <w:rPr>
      <w:rFonts w:ascii="Arial" w:hAnsi="Arial"/>
      <w:b/>
      <w:sz w:val="48"/>
    </w:rPr>
  </w:style>
  <w:style w:type="paragraph" w:customStyle="1" w:styleId="CoverDate">
    <w:name w:val="CoverDate"/>
    <w:basedOn w:val="Normal"/>
    <w:pPr>
      <w:spacing w:before="240" w:after="1200"/>
    </w:pPr>
  </w:style>
  <w:style w:type="table" w:styleId="TableGrid">
    <w:name w:val="Table Grid"/>
    <w:basedOn w:val="TableNormal"/>
    <w:rsid w:val="001746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1746D0"/>
    <w:pPr>
      <w:jc w:val="center"/>
    </w:pPr>
    <w:rPr>
      <w:rFonts w:ascii="Arial" w:hAnsi="Arial" w:cs="Arial"/>
      <w:i/>
      <w:sz w:val="22"/>
      <w:szCs w:val="22"/>
    </w:rPr>
  </w:style>
  <w:style w:type="paragraph" w:customStyle="1" w:styleId="LineTop">
    <w:name w:val="LineTop"/>
    <w:basedOn w:val="Normal"/>
    <w:next w:val="Normal"/>
    <w:rsid w:val="001746D0"/>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1746D0"/>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E856D2"/>
    <w:pPr>
      <w:spacing w:after="80"/>
    </w:pPr>
    <w:rPr>
      <w:rFonts w:ascii="Arial" w:hAnsi="Arial" w:cs="Arial"/>
      <w:sz w:val="20"/>
      <w:szCs w:val="22"/>
    </w:rPr>
  </w:style>
  <w:style w:type="paragraph" w:customStyle="1" w:styleId="EPLogo">
    <w:name w:val="EPLogo"/>
    <w:basedOn w:val="Normal"/>
    <w:qFormat/>
    <w:rsid w:val="00E856D2"/>
    <w:pPr>
      <w:jc w:val="right"/>
    </w:pPr>
  </w:style>
  <w:style w:type="paragraph" w:customStyle="1" w:styleId="NormalHanging12a">
    <w:name w:val="NormalHanging12a"/>
    <w:basedOn w:val="Normal"/>
    <w:link w:val="NormalHanging12aChar"/>
    <w:rsid w:val="008313E7"/>
    <w:pPr>
      <w:spacing w:after="240"/>
      <w:ind w:left="567" w:hanging="567"/>
    </w:pPr>
  </w:style>
  <w:style w:type="paragraph" w:customStyle="1" w:styleId="EPFooter">
    <w:name w:val="EPFooter"/>
    <w:basedOn w:val="Normal"/>
    <w:rsid w:val="00347D2C"/>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5C0BDF"/>
    <w:rPr>
      <w:sz w:val="24"/>
    </w:rPr>
  </w:style>
  <w:style w:type="paragraph" w:styleId="Footer">
    <w:name w:val="footer"/>
    <w:basedOn w:val="Normal"/>
    <w:link w:val="FooterChar"/>
    <w:semiHidden/>
    <w:rsid w:val="008233BB"/>
    <w:pPr>
      <w:tabs>
        <w:tab w:val="center" w:pos="4513"/>
        <w:tab w:val="right" w:pos="9026"/>
      </w:tabs>
    </w:pPr>
  </w:style>
  <w:style w:type="character" w:customStyle="1" w:styleId="FooterChar">
    <w:name w:val="Footer Char"/>
    <w:basedOn w:val="DefaultParagraphFont"/>
    <w:link w:val="Footer"/>
    <w:semiHidden/>
    <w:rsid w:val="008233BB"/>
    <w:rPr>
      <w:sz w:val="24"/>
    </w:rPr>
  </w:style>
  <w:style w:type="paragraph" w:styleId="BalloonText">
    <w:name w:val="Balloon Text"/>
    <w:basedOn w:val="Normal"/>
    <w:link w:val="BalloonTextChar"/>
    <w:semiHidden/>
    <w:unhideWhenUsed/>
    <w:rsid w:val="001E38DF"/>
    <w:rPr>
      <w:rFonts w:ascii="Segoe UI" w:hAnsi="Segoe UI" w:cs="Segoe UI"/>
      <w:sz w:val="18"/>
      <w:szCs w:val="18"/>
    </w:rPr>
  </w:style>
  <w:style w:type="character" w:customStyle="1" w:styleId="BalloonTextChar">
    <w:name w:val="Balloon Text Char"/>
    <w:basedOn w:val="DefaultParagraphFont"/>
    <w:link w:val="BalloonText"/>
    <w:semiHidden/>
    <w:rsid w:val="001E38DF"/>
    <w:rPr>
      <w:rFonts w:ascii="Segoe UI" w:hAnsi="Segoe UI" w:cs="Segoe UI"/>
      <w:sz w:val="18"/>
      <w:szCs w:val="18"/>
    </w:rPr>
  </w:style>
  <w:style w:type="character" w:customStyle="1" w:styleId="NormalHanging12aChar">
    <w:name w:val="NormalHanging12a Char"/>
    <w:basedOn w:val="DefaultParagraphFont"/>
    <w:link w:val="NormalHanging12a"/>
    <w:rsid w:val="001E38DF"/>
    <w:rPr>
      <w:sz w:val="24"/>
    </w:rPr>
  </w:style>
  <w:style w:type="paragraph" w:styleId="FootnoteText">
    <w:name w:val="footnote text"/>
    <w:basedOn w:val="Normal"/>
    <w:link w:val="FootnoteTextChar"/>
    <w:rsid w:val="001E38DF"/>
    <w:rPr>
      <w:sz w:val="20"/>
    </w:rPr>
  </w:style>
  <w:style w:type="character" w:customStyle="1" w:styleId="FootnoteTextChar">
    <w:name w:val="Footnote Text Char"/>
    <w:basedOn w:val="DefaultParagraphFont"/>
    <w:link w:val="FootnoteText"/>
    <w:rsid w:val="001E38DF"/>
  </w:style>
  <w:style w:type="character" w:styleId="FootnoteReference">
    <w:name w:val="footnote reference"/>
    <w:basedOn w:val="DefaultParagraphFont"/>
    <w:rsid w:val="001E38DF"/>
    <w:rPr>
      <w:vertAlign w:val="superscript"/>
    </w:rPr>
  </w:style>
  <w:style w:type="paragraph" w:customStyle="1" w:styleId="RollCallSymbols14pt">
    <w:name w:val="RollCallSymbols14pt"/>
    <w:basedOn w:val="Normal"/>
    <w:rsid w:val="00D74EFA"/>
    <w:pPr>
      <w:spacing w:before="120" w:after="120"/>
      <w:jc w:val="center"/>
    </w:pPr>
    <w:rPr>
      <w:rFonts w:ascii="Arial" w:hAnsi="Arial"/>
      <w:b/>
      <w:bCs/>
      <w:snapToGrid w:val="0"/>
      <w:sz w:val="28"/>
      <w:lang w:eastAsia="en-US"/>
    </w:rPr>
  </w:style>
  <w:style w:type="paragraph" w:customStyle="1" w:styleId="RollCallTabs">
    <w:name w:val="RollCallTabs"/>
    <w:basedOn w:val="Normal"/>
    <w:qFormat/>
    <w:rsid w:val="00D74EFA"/>
    <w:pPr>
      <w:tabs>
        <w:tab w:val="center" w:pos="284"/>
        <w:tab w:val="left" w:pos="426"/>
      </w:tabs>
    </w:pPr>
    <w:rPr>
      <w:snapToGrid w:val="0"/>
      <w:lang w:eastAsia="en-US"/>
    </w:rPr>
  </w:style>
  <w:style w:type="paragraph" w:customStyle="1" w:styleId="RollCallVotes">
    <w:name w:val="RollCallVotes"/>
    <w:basedOn w:val="Normal"/>
    <w:rsid w:val="00D74EFA"/>
    <w:pPr>
      <w:spacing w:before="120" w:after="120"/>
      <w:jc w:val="center"/>
    </w:pPr>
    <w:rPr>
      <w:b/>
      <w:bCs/>
      <w:snapToGrid w:val="0"/>
      <w:sz w:val="16"/>
      <w:lang w:eastAsia="en-US"/>
    </w:rPr>
  </w:style>
  <w:style w:type="paragraph" w:customStyle="1" w:styleId="RollCallTable">
    <w:name w:val="RollCallTable"/>
    <w:basedOn w:val="Normal"/>
    <w:rsid w:val="00D74EFA"/>
    <w:pPr>
      <w:spacing w:before="120" w:after="120"/>
    </w:pPr>
    <w:rPr>
      <w:snapToGrid w:val="0"/>
      <w:sz w:val="16"/>
      <w:lang w:eastAsia="en-US"/>
    </w:rPr>
  </w:style>
  <w:style w:type="paragraph" w:customStyle="1" w:styleId="Normal24a">
    <w:name w:val="Normal24a"/>
    <w:basedOn w:val="Normal"/>
    <w:rsid w:val="00D74EFA"/>
    <w:pPr>
      <w:spacing w:after="480"/>
    </w:pPr>
  </w:style>
  <w:style w:type="paragraph" w:customStyle="1" w:styleId="NormalBoldCenter">
    <w:name w:val="NormalBoldCenter"/>
    <w:basedOn w:val="Normal"/>
    <w:rsid w:val="00D74EFA"/>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1831</Words>
  <Characters>10482</Characters>
  <Application>Microsoft Office Word</Application>
  <DocSecurity>0</DocSecurity>
  <Lines>223</Lines>
  <Paragraphs>72</Paragraphs>
  <ScaleCrop>false</ScaleCrop>
  <HeadingPairs>
    <vt:vector size="2" baseType="variant">
      <vt:variant>
        <vt:lpstr>Title</vt:lpstr>
      </vt:variant>
      <vt:variant>
        <vt:i4>1</vt:i4>
      </vt:variant>
    </vt:vector>
  </HeadingPairs>
  <TitlesOfParts>
    <vt:vector size="1" baseType="lpstr">
      <vt:lpstr>PA_NonLeg</vt:lpstr>
    </vt:vector>
  </TitlesOfParts>
  <Company/>
  <LinksUpToDate>false</LinksUpToDate>
  <CharactersWithSpaces>12247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PA_NonLeg</dc:title>
  <dc:creator>European Parliament</dc:creator>
  <cp:lastModifiedBy>European Parliament</cp:lastModifiedBy>
  <cp:revision>2</cp:revision>
  <cp:lastPrinted>2004-10-28T10:33:00Z</cp:lastPrinted>
  <dcterms:created xsi:type="dcterms:W3CDTF">2024-02-08T14:59:00Z</dcterms:created>
  <dcterms:modified xsi:type="dcterms:W3CDTF">2024-02-08T14:59:00Z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RO</vt:lpwstr>
  </property>
  <property fmtid="{D5CDD505-2E9C-101B-9397-08002B2CF9AE}" pid="3" name="&lt;FdR&gt;">
    <vt:lpwstr>1294925</vt:lpwstr>
  </property>
  <property fmtid="{D5CDD505-2E9C-101B-9397-08002B2CF9AE}" pid="4" name="&lt;Model&gt;">
    <vt:lpwstr>PA_NonLeg</vt:lpwstr>
  </property>
  <property fmtid="{D5CDD505-2E9C-101B-9397-08002B2CF9AE}" pid="5" name="&lt;ModelCod&gt;">
    <vt:lpwstr>\\eiciBRUpr1\pdocep$\DocEP\DOCS\General\PA\PA_NonLeg\PA_NonLeg.dotx(18/09/2023 11:25:02)</vt:lpwstr>
  </property>
  <property fmtid="{D5CDD505-2E9C-101B-9397-08002B2CF9AE}" pid="6" name="&lt;ModelTra&gt;">
    <vt:lpwstr>\\eiciBRUpr1\pdocep$\DocEP\TRANSFIL\EN\PA_NonLeg.EN(18/09/2023 11:08:01)</vt:lpwstr>
  </property>
  <property fmtid="{D5CDD505-2E9C-101B-9397-08002B2CF9AE}" pid="7" name="&lt;Type&gt;">
    <vt:lpwstr>AD</vt:lpwstr>
  </property>
  <property fmtid="{D5CDD505-2E9C-101B-9397-08002B2CF9AE}" pid="8" name="Bookout">
    <vt:lpwstr>OK - 2024/02/08 15:59</vt:lpwstr>
  </property>
  <property fmtid="{D5CDD505-2E9C-101B-9397-08002B2CF9AE}" pid="9" name="Created with">
    <vt:lpwstr>9.16.1 Build [20230915]</vt:lpwstr>
  </property>
  <property fmtid="{D5CDD505-2E9C-101B-9397-08002B2CF9AE}" pid="10" name="FooterPath">
    <vt:lpwstr>AD\1294925RO.docx</vt:lpwstr>
  </property>
  <property fmtid="{D5CDD505-2E9C-101B-9397-08002B2CF9AE}" pid="11" name="LastEdited with">
    <vt:lpwstr>9.17.1 Build [20240111]</vt:lpwstr>
  </property>
  <property fmtid="{D5CDD505-2E9C-101B-9397-08002B2CF9AE}" pid="12" name="PE number">
    <vt:lpwstr>754.838</vt:lpwstr>
  </property>
  <property fmtid="{D5CDD505-2E9C-101B-9397-08002B2CF9AE}" pid="13" name="SDLStudio">
    <vt:lpwstr/>
  </property>
  <property fmtid="{D5CDD505-2E9C-101B-9397-08002B2CF9AE}" pid="14" name="SendToEpades">
    <vt:lpwstr>OK - 2024/01/25 11:17</vt:lpwstr>
  </property>
</Properties>
</file>