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4CAC" w:rsidRPr="0068718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68718C" w:rsidRDefault="001F3BFC" w:rsidP="00C85D0F">
            <w:pPr>
              <w:pStyle w:val="EPName"/>
            </w:pPr>
            <w:bookmarkStart w:id="0" w:name="_GoBack"/>
            <w:bookmarkEnd w:id="0"/>
            <w:r>
              <w:t>Evropský parlament</w:t>
            </w:r>
          </w:p>
          <w:p w:rsidR="00854CAC" w:rsidRPr="00F821B3" w:rsidRDefault="00F821B3" w:rsidP="00F821B3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68718C" w:rsidRDefault="00854CAC" w:rsidP="00C85D0F">
            <w:pPr>
              <w:pStyle w:val="EPLogo"/>
            </w:pPr>
            <w:r w:rsidRPr="0068718C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68718C" w:rsidRDefault="001746D0" w:rsidP="001746D0">
      <w:pPr>
        <w:pStyle w:val="LineTop"/>
      </w:pPr>
    </w:p>
    <w:p w:rsidR="001746D0" w:rsidRPr="0068718C" w:rsidRDefault="001746D0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Výbor pro práva žen a rovnost pohlaví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68718C" w:rsidRDefault="001746D0" w:rsidP="001746D0">
      <w:pPr>
        <w:pStyle w:val="LineBottom"/>
      </w:pPr>
    </w:p>
    <w:p w:rsidR="002E2F2E" w:rsidRPr="0068718C" w:rsidRDefault="002E2F2E">
      <w:pPr>
        <w:pStyle w:val="CoverReference"/>
      </w:pPr>
      <w:r>
        <w:rPr>
          <w:rStyle w:val="HideTWBExt"/>
          <w:b w:val="0"/>
        </w:rPr>
        <w:t>&lt;RefProc&gt;</w:t>
      </w:r>
      <w:r>
        <w:t>2023/2152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68718C" w:rsidRDefault="002E2F2E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{25/01/2024}</w:t>
      </w:r>
      <w:r>
        <w:t>25.1.2024</w:t>
      </w:r>
      <w:r>
        <w:rPr>
          <w:rStyle w:val="HideTWBExt"/>
        </w:rPr>
        <w:t>&lt;/Date&gt;</w:t>
      </w:r>
    </w:p>
    <w:p w:rsidR="002E2F2E" w:rsidRPr="0068718C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STANOVISKO</w:t>
      </w:r>
      <w:r>
        <w:rPr>
          <w:rStyle w:val="HideTWBExt"/>
          <w:b w:val="0"/>
        </w:rPr>
        <w:t>&lt;/TitreType&gt;</w:t>
      </w:r>
    </w:p>
    <w:p w:rsidR="002E2F2E" w:rsidRPr="0068718C" w:rsidRDefault="002E2F2E">
      <w:pPr>
        <w:pStyle w:val="CoverNormal24a"/>
      </w:pPr>
      <w:r>
        <w:rPr>
          <w:rStyle w:val="HideTWBExt"/>
        </w:rPr>
        <w:t>&lt;CommissionResp&gt;</w:t>
      </w:r>
      <w:r>
        <w:t>Výboru pro práva žen a rovnost pohlaví</w:t>
      </w:r>
      <w:r>
        <w:rPr>
          <w:rStyle w:val="HideTWBExt"/>
        </w:rPr>
        <w:t>&lt;/CommissionResp&gt;</w:t>
      </w:r>
    </w:p>
    <w:p w:rsidR="002E2F2E" w:rsidRPr="0068718C" w:rsidRDefault="002E2F2E">
      <w:pPr>
        <w:pStyle w:val="CoverNormal24a"/>
      </w:pPr>
      <w:r>
        <w:rPr>
          <w:rStyle w:val="HideTWBExt"/>
        </w:rPr>
        <w:t>&lt;CommissionInt&gt;</w:t>
      </w:r>
      <w:r>
        <w:t>pro Výbor pro rozpočtovou kontrolu</w:t>
      </w:r>
      <w:r>
        <w:rPr>
          <w:rStyle w:val="HideTWBExt"/>
        </w:rPr>
        <w:t>&lt;/CommissionInt&gt;</w:t>
      </w:r>
    </w:p>
    <w:p w:rsidR="002E2F2E" w:rsidRPr="0068718C" w:rsidRDefault="002E2F2E">
      <w:pPr>
        <w:pStyle w:val="CoverNormal"/>
      </w:pPr>
      <w:r>
        <w:rPr>
          <w:rStyle w:val="HideTWBExt"/>
        </w:rPr>
        <w:t>&lt;Titre&gt;</w:t>
      </w:r>
      <w:r>
        <w:t>k udělení absolutoria za rok 2022: Evropský institut pro rovnost žen a mužů</w:t>
      </w:r>
      <w:r>
        <w:rPr>
          <w:rStyle w:val="HideTWBExt"/>
        </w:rPr>
        <w:t>&lt;/Titre&gt;</w:t>
      </w:r>
    </w:p>
    <w:p w:rsidR="002E2F2E" w:rsidRPr="0068718C" w:rsidRDefault="002E2F2E">
      <w:pPr>
        <w:pStyle w:val="CoverNormal24a"/>
      </w:pPr>
      <w:r>
        <w:rPr>
          <w:rStyle w:val="HideTWBExt"/>
        </w:rPr>
        <w:t>&lt;DocRef&gt;</w:t>
      </w:r>
      <w:r>
        <w:t>(2023/2152(DEC))</w:t>
      </w:r>
      <w:r>
        <w:rPr>
          <w:rStyle w:val="HideTWBExt"/>
        </w:rPr>
        <w:t>&lt;/DocRef&gt;</w:t>
      </w:r>
    </w:p>
    <w:p w:rsidR="002E2F2E" w:rsidRPr="0068718C" w:rsidRDefault="00F821B3">
      <w:pPr>
        <w:pStyle w:val="CoverNormal24a"/>
      </w:pPr>
      <w:r>
        <w:t xml:space="preserve">Zpravodajka: </w:t>
      </w:r>
      <w:r>
        <w:rPr>
          <w:rStyle w:val="HideTWBExt"/>
        </w:rPr>
        <w:t>&lt;Depute&gt;</w:t>
      </w:r>
      <w:r>
        <w:t>Christine Anderson</w:t>
      </w:r>
      <w:r>
        <w:rPr>
          <w:rStyle w:val="HideTWBExt"/>
        </w:rPr>
        <w:t>&lt;/Depute&gt;</w:t>
      </w:r>
    </w:p>
    <w:p w:rsidR="00A72C35" w:rsidRPr="0068718C" w:rsidRDefault="00A72C35" w:rsidP="00A72C35">
      <w:pPr>
        <w:pStyle w:val="CoverNormal"/>
      </w:pPr>
    </w:p>
    <w:p w:rsidR="002E2F2E" w:rsidRPr="0068718C" w:rsidRDefault="002E2F2E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68718C" w:rsidRDefault="002E2F2E">
      <w:pPr>
        <w:pStyle w:val="PageHeadingNotTOC"/>
      </w:pPr>
      <w:r>
        <w:br w:type="page"/>
      </w:r>
      <w:r>
        <w:lastRenderedPageBreak/>
        <w:t>NÁVRHY</w:t>
      </w:r>
    </w:p>
    <w:p w:rsidR="00F821B3" w:rsidRPr="00EC32D4" w:rsidRDefault="00F821B3" w:rsidP="00F821B3">
      <w:pPr>
        <w:pStyle w:val="Normal12a"/>
      </w:pPr>
      <w:r>
        <w:t>Výbor pro práva žen a rovnost pohlaví vyzývá Výbor pro rozpočtovou kontrolu jako příslušný výbor, aby do návrhu usnesení, který přijme, začlenil tyto návrhy:</w:t>
      </w:r>
    </w:p>
    <w:p w:rsidR="00C33140" w:rsidRPr="00C87806" w:rsidRDefault="00F821B3" w:rsidP="00C33140">
      <w:pPr>
        <w:pStyle w:val="NormalHanging12a"/>
        <w:rPr>
          <w:szCs w:val="24"/>
        </w:rPr>
      </w:pPr>
      <w:bookmarkStart w:id="1" w:name="restart"/>
      <w:r>
        <w:t>A.</w:t>
      </w:r>
      <w:r>
        <w:tab/>
      </w:r>
      <w:bookmarkEnd w:id="1"/>
      <w:r>
        <w:t>vzhledem k tomu, že článek 8 SFEU stanoví, že Unie při všech svých činnostech usiluje o odstranění nerovností, zavádí zásadu začleňování hlediska rovnosti žen a mužů a podporuje rovnost žen a mužů; vzhledem k tomu, že rovnost žen a mužů musí být začleněna do všech politik EU, a to i prostřednictvím genderového rozpočtování na všech úrovních rozpočtového procesu;</w:t>
      </w:r>
    </w:p>
    <w:p w:rsidR="00C33140" w:rsidRPr="00C87806" w:rsidRDefault="00C33140" w:rsidP="00C33140">
      <w:pPr>
        <w:pStyle w:val="NormalHanging12a"/>
        <w:rPr>
          <w:szCs w:val="24"/>
        </w:rPr>
      </w:pPr>
      <w:r>
        <w:t>B.</w:t>
      </w:r>
      <w:r>
        <w:tab/>
        <w:t>vzhledem k tomu, že zaměstnanci institutu EIGE se aktivně zapojují do výměny osvědčených postupů a činností sítě agentur EU (EUAN) a jejích dílčích sítí s cílem rozvíjet součinnosti, například v oblasti lidských zdrojů, správy budov, IT služeb a bezpečnosti, spolupráce a výměny osvědčených postupů s ostatními agenturami Unie s cílem zlepšit účinnost; vzhledem k tomu, že institut EIGE iniciativně uplatňuje opatření ke zlepšení genderové vyváženosti mezi svými zaměstnanci;</w:t>
      </w:r>
    </w:p>
    <w:p w:rsidR="00C33140" w:rsidRPr="00C87806" w:rsidRDefault="00C33140" w:rsidP="00C33140">
      <w:pPr>
        <w:pStyle w:val="NormalHanging12a"/>
        <w:rPr>
          <w:szCs w:val="24"/>
        </w:rPr>
      </w:pPr>
      <w:r>
        <w:t>C.</w:t>
      </w:r>
      <w:r>
        <w:tab/>
        <w:t>vzhledem k tomu, že index rovnosti žen a mužů za rok 2023 ukazuje, že členské státy zaznamenaly mírný nárůst o pouhých 1,6 bodu na celkem 70,2 a že některé oblasti vykazují známky regrese, zejména v oblasti ekonomické a příjmové metriky</w:t>
      </w:r>
      <w:r w:rsidRPr="00C87806">
        <w:rPr>
          <w:vertAlign w:val="superscript"/>
        </w:rPr>
        <w:footnoteReference w:id="1"/>
      </w:r>
      <w:r>
        <w:t xml:space="preserve">; vzhledem k tomu, že institut EIGE byl zřízen, aby podporoval a posiloval prosazování rovnosti žen a mužů v Unii, a to i začleňováním genderového hlediska do všech politik Unie a z nich vyplývajících vnitrostátních politik, bojem proti diskriminaci na základě pohlaví a zvyšováním informovanosti občanů Unie o problematice rovnosti pohlaví; </w:t>
      </w:r>
    </w:p>
    <w:p w:rsidR="00C33140" w:rsidRPr="00C87806" w:rsidRDefault="00C33140" w:rsidP="00C33140">
      <w:pPr>
        <w:pStyle w:val="NormalHanging12a"/>
        <w:rPr>
          <w:szCs w:val="24"/>
        </w:rPr>
      </w:pPr>
      <w:r>
        <w:t>D.</w:t>
      </w:r>
      <w:r>
        <w:tab/>
        <w:t xml:space="preserve">vzhledem k tomu, že je stále více nutné, aby Unie pokročila ve své strategii pro rovnost žen a mužů s ohledem na probíhající krize, jako jsou války, klimatická krize, inflace a snahy o zvrácení pokroku ve věci práv žen, zejména v oblasti sexuálního a reprodukčního zdraví a práv v Unii a na celém světě; vzhledem k tomu, že současné následné krize s sebou nesou riziko zpomalení úsilí o dosažení rovnosti žen a mužů a riziko, že ženám bude bráněno v plném požívání jejich práv; vzhledem k tomu, že v EU jsou ženy chudobou nebo sociálním vyloučením postiženy více než muži; vzhledem k tomu, že ženy primárně vykonávají pečovatelské práce v rodině, což způsobuje, že vykonávají neúměrnou část neplacené péče a domácích prací a hrají v tomto ohledu zásadní úlohu; vzhledem k tomu, že rozdíly v platech žen a mužů činí v EU 13 %, přičemž mezi členskými státy existují rozdíly; vzhledem k tomu, že rozdíl v odměňování žen a mužů má řadu důsledků, včetně 29% rozdílu v důchodových nárocích, což starší ženy vystavuje většímu riziku chudoby a sociálního vyloučení; vzhledem k tomu, že právo na stejnou odměnu za stejnou práci není vždy dodržováno a zůstává jedním z největších problémů v úsilí o překonání diskriminace v odměňování; vzhledem k tomu, že je důležité bojovat proti diskriminaci mezi muži a ženami v přístupu k zaměstnání a k práci a podporovat rovnost v profesní dráze a profesních kategoriích v odborném vzdělávání; vyzývá členské státy, aby zvýšily veřejné investice do politik, jejichž přímým či nepřímým cílem je čelit negativním dopadům krize životních nákladů na ženy v celé jejich rozmanitosti, zaručit přístup ke kvalitním a </w:t>
      </w:r>
      <w:r>
        <w:lastRenderedPageBreak/>
        <w:t>cenově dostupným veřejným službám v oblasti péče, vzdělávání, zdraví, včetně sexuálního a reprodukčního zdraví a práv, a bydlení a chránit oběti genderově podmíněného násilí;</w:t>
      </w:r>
    </w:p>
    <w:p w:rsidR="00C33140" w:rsidRPr="00C87806" w:rsidRDefault="00C33140" w:rsidP="00C33140">
      <w:pPr>
        <w:pStyle w:val="NormalHanging12a"/>
        <w:rPr>
          <w:szCs w:val="24"/>
        </w:rPr>
      </w:pPr>
      <w:r>
        <w:t>E.</w:t>
      </w:r>
      <w:r>
        <w:tab/>
        <w:t>vzhledem k tomu, že konečný rozpočet Evropského institutu pro rovnost žen a mužů (EIGE) na rozpočtový rok 2022 činil 8 432 920 EUR, což ve srovnání s rokem 2021 představuje snížení o 3 % (EUR 8 693 358); vzhledem k tomu, že celý rozpočet institutu se odvíjí od rozpočtu Unie;</w:t>
      </w:r>
    </w:p>
    <w:p w:rsidR="00C33140" w:rsidRPr="00C87806" w:rsidRDefault="00C33140" w:rsidP="00C33140">
      <w:pPr>
        <w:pStyle w:val="NormalHanging12a"/>
        <w:rPr>
          <w:szCs w:val="24"/>
        </w:rPr>
      </w:pPr>
      <w:r>
        <w:t>1.</w:t>
      </w:r>
      <w:r>
        <w:tab/>
        <w:t>připomíná, že institut EIGE byl zřízen s cílem přispívat k prosazování rovnosti žen a mužů v Unii a posilovat ji poskytováním kvalitního výzkumu a srovnatelných údajů, pomáhat evropským orgánům a členským státům začleňovat rovnost žen a mužů do všech jejich politik a bojovat proti diskriminaci na základě pohlaví; zdůrazňuje proto zásadní úlohu institutu EIGE při shromažďování, analýze, zpracovávání a šíření údajů a nezbytných informací pro tvůrce politik a politiky Evropské unie a jejích členských států; vítá zejména probíhající práci institutu na indexu rovnosti žen a mužů a jeho nízkoprahový přístup k informacím pro občany; zdůrazňuje, že politiky v oblasti rovnosti žen a mužů a nástroje pro začleňování hlediska rovnosti žen a mužů je třeba více a účinněji integrovat; znovu opakuje svou výzvu, aby byly institutu EIGE přiděleny další personální zdroje, včetně statutárních zaměstnanců, a to s ohledem na rostoucí naléhavé požadavky, technickou pomoc a žádosti o jeho služby; vyzývá proto k tomu, aby byly v rozpočtu orgánu přiděleny větší částky, aby bylo možné posílit jejich náborové a výzkumné kapacity s cílem dále posílit jejich práci a výsledky s ohledem na následné krize a snahy o zvrácení pokroku ve věci rovnosti žen a mužů a osob LGBTIQ+, které neúměrně postihují ženy;</w:t>
      </w:r>
    </w:p>
    <w:p w:rsidR="00C33140" w:rsidRPr="00C87806" w:rsidRDefault="00C33140" w:rsidP="00C33140">
      <w:pPr>
        <w:pStyle w:val="NormalHanging12a"/>
        <w:rPr>
          <w:szCs w:val="24"/>
        </w:rPr>
      </w:pPr>
      <w:r>
        <w:t>2.</w:t>
      </w:r>
      <w:r>
        <w:tab/>
        <w:t>zdůrazňuje význam boje proti nerovnostem a nespravedlnosti vůči ženám; vyzývá Komisi a členské státy, aby přijaly naléhavá opatření k řešení chudoby a rostoucích nerovností mezi ženami, zejména mezi skupinami ve zranitelných situacích, včetně matek samoživitelek, žen se zdravotním postižením a racializovaných žen, žen LGBTIQ+, žen mezi migranty a uprchlíky, starších žen a žen ve venkovských nebo málo zalidněných oblastech; konstatuje, že toho by mohlo být dosaženo, pokud by byly navýšeny finanční prostředky na opatření v oblasti rovnosti žen a mužů, pokud jde o zaměstnanost a růst, jakož i na boj proti genderově podmíněnému násilí a rozdílům v odměňování mužů a žen, rozdílům v odměňování žen a mužů, dopadu krizí na ženy, začleňování hlediska rovnosti žen a mužů a problému zvyšování míry chudoby žen do rozpočtu, a stejně tak z hlediska práv a demokracie a právního státu; vítá proto probíhající spolupráci mezi institutem EIGE a Výborem pro práva žen a rovnost pohlaví (FEMM); zdůrazňuje, že institut EIGE vykonává obrovskou práci a významně přispívá k zajišťování cílů, hodnot a priorit Evropského parlamentu; důrazně podporuje práci institutu, jehož studie, výzkum a kvalitní údaje umožňují výboru řádně vykonával svou činnost; konstatuje, že je důležité, aby byly k dispozici spolehlivé údaje rozčleněné podle pohlaví, umožňující vytvářet politiky založené na faktech; bere na vědomí, že institut EIGE může cenným způsobem přispívat k činnosti všech výborů Evropského parlamentu a dalších agentur EU, pokud jde o lepší začleňování hlediska rovnosti žen a mužů do všech politik EU;</w:t>
      </w:r>
    </w:p>
    <w:p w:rsidR="00C33140" w:rsidRPr="00C87806" w:rsidRDefault="00C33140" w:rsidP="00C33140">
      <w:pPr>
        <w:pStyle w:val="NormalHanging12a"/>
        <w:rPr>
          <w:szCs w:val="24"/>
        </w:rPr>
      </w:pPr>
      <w:r>
        <w:t>3.</w:t>
      </w:r>
      <w:r>
        <w:tab/>
        <w:t xml:space="preserve">bere na vědomí, že institut navzdory dlouhodobému nedostatku personálu soustavně </w:t>
      </w:r>
      <w:r>
        <w:lastRenderedPageBreak/>
        <w:t>vykazuje vysokou úroveň plnění rozpočtu a že v roce 2022 dosáhl v případě prostředků na závazky až 97,91 % (v porovnání s 98,92 % v roce 2021) a v případě prostředku na platby 81,10 % (oproti 72,16 % v roce 2021);</w:t>
      </w:r>
    </w:p>
    <w:p w:rsidR="00C33140" w:rsidRPr="00C87806" w:rsidRDefault="00C33140" w:rsidP="00C33140">
      <w:pPr>
        <w:pStyle w:val="NormalHanging12a"/>
        <w:rPr>
          <w:szCs w:val="24"/>
        </w:rPr>
      </w:pPr>
      <w:r>
        <w:t>4.</w:t>
      </w:r>
      <w:r>
        <w:tab/>
        <w:t>bere na vědomí, že přenos prostředků na provozní výdaje EIGE se v roce 2023 snížil na 42,28 % (ve srovnání s 54,79 % v roce 2022);</w:t>
      </w:r>
    </w:p>
    <w:p w:rsidR="00C33140" w:rsidRPr="00C87806" w:rsidRDefault="00C33140" w:rsidP="00C33140">
      <w:pPr>
        <w:pStyle w:val="NormalHanging12a"/>
      </w:pPr>
      <w:r>
        <w:t>5.</w:t>
      </w:r>
      <w:r>
        <w:tab/>
        <w:t>konstatuje, že Evropský účetní dvůr potvrdil, že roční účetní závěrka institutu věrně zobrazuje ve všech významných ohledech jeho finanční situaci k 31. prosinci 2022 a výsledky jeho činností, jeho peněžní toky a změny čistých aktiv za uplynulý rok;</w:t>
      </w:r>
    </w:p>
    <w:p w:rsidR="00C33140" w:rsidRPr="00C87806" w:rsidRDefault="00C33140" w:rsidP="00C33140">
      <w:pPr>
        <w:pStyle w:val="NormalHanging12a"/>
        <w:rPr>
          <w:szCs w:val="24"/>
        </w:rPr>
      </w:pPr>
      <w:r>
        <w:t>6.</w:t>
      </w:r>
      <w:r>
        <w:tab/>
        <w:t>zastává názor, že na základě aktuálně dostupných údajů lze ředitelce institutu udělit absolutorium za plnění rozpočtu institutu na rozpočtový rok 2022.</w:t>
      </w:r>
    </w:p>
    <w:p w:rsidR="00F821B3" w:rsidRPr="00EC32D4" w:rsidRDefault="00F821B3" w:rsidP="00C33140">
      <w:pPr>
        <w:pStyle w:val="NormalHanging12a"/>
      </w:pPr>
    </w:p>
    <w:p w:rsidR="00F45A2A" w:rsidRPr="00F45A2A" w:rsidRDefault="00F45A2A" w:rsidP="00F45A2A">
      <w:r>
        <w:br w:type="page"/>
      </w:r>
    </w:p>
    <w:p w:rsidR="00C33140" w:rsidRDefault="00C33140" w:rsidP="00C33140">
      <w:pPr>
        <w:pStyle w:val="PageHeadingNotTOC"/>
        <w:rPr>
          <w:noProof/>
        </w:rPr>
      </w:pPr>
      <w:bookmarkStart w:id="2" w:name="FootprintPageAD"/>
      <w:bookmarkStart w:id="3" w:name="ProcPageAD"/>
      <w:r>
        <w:lastRenderedPageBreak/>
        <w:t>PŘÍLOHA: SUBJEKTY NEBO OSOBY,</w:t>
      </w:r>
      <w:r>
        <w:br/>
        <w:t>OD NICHŽ ZPRAVODAJ OBDRŽEL PODNĚTY</w:t>
      </w:r>
    </w:p>
    <w:p w:rsidR="00C33140" w:rsidRPr="0099178F" w:rsidRDefault="00C33140" w:rsidP="00C33140">
      <w:pPr>
        <w:pStyle w:val="Normal24a"/>
      </w:pPr>
      <w:r>
        <w:rPr>
          <w:rStyle w:val="HideTWBExt"/>
        </w:rPr>
        <w:t>&lt;FootprintIntro&gt;</w:t>
      </w:r>
      <w:r>
        <w:t>Předseda jakožto zpravodaj prohlašuje na svou výhradní odpovědnost, že neobdržel žádný podnět od subjektu nebo osoby, který musí být uveden v této příloze v souladu s článkem 8 přílohy I jednacího řádu.</w:t>
      </w:r>
      <w:r>
        <w:rPr>
          <w:rStyle w:val="HideTWBExt"/>
        </w:rPr>
        <w:t>&lt;/FootprintIntro&gt;</w:t>
      </w:r>
    </w:p>
    <w:p w:rsidR="00C33140" w:rsidRDefault="00C33140" w:rsidP="00C33140"/>
    <w:p w:rsidR="00C33140" w:rsidRDefault="00C33140">
      <w:pPr>
        <w:widowControl/>
      </w:pPr>
      <w:r>
        <w:br w:type="page"/>
      </w:r>
    </w:p>
    <w:p w:rsidR="00C33140" w:rsidRPr="00C33140" w:rsidRDefault="00C33140" w:rsidP="00C33140"/>
    <w:bookmarkEnd w:id="2"/>
    <w:p w:rsidR="00F45A2A" w:rsidRDefault="00F45A2A" w:rsidP="00F45A2A">
      <w:pPr>
        <w:pStyle w:val="PageHeadingNotTOC"/>
      </w:pPr>
      <w:r>
        <w:t>INFORMACE O PŘIJETÍ VE VÝBORU POŽÁDANÉM O STANOVISKO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F45A2A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F45A2A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</w:t>
            </w:r>
          </w:p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 w:rsidR="00F45A2A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Členové přítomní při konečném hlasování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Christine Anderson, Robert Biedroń, Vilija Blinkevičiūtė, Annika Bruna, Maria da Graça Carvalho, Margarita de la Pisa Carrión, Gwendoline Delbos-Corfield, Frances Fitzgerald, Lívia Járóka, Arba Kokalari, Alice Kuhnke, Elżbieta Katarzyna Łukacijewska, Andżelika Anna Możdżanowska, Johan Nissinen, Carina Ohlsson, Samira Rafaela, Evelyn Regner, Diana Riba i Giner, Eugenia Rodríguez Palop, María Soraya Rodríguez Ramos, Maria Veronica Rossi, Sylwia Spurek, Marco Zullo</w:t>
            </w:r>
          </w:p>
        </w:tc>
      </w:tr>
      <w:tr w:rsidR="00F45A2A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Náhradníci přítomní při konečném hlasování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F45A2A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Náhradníci (čl. 209 odst. 7) přítomní při konečném hlasování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45A2A" w:rsidRDefault="00F45A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Milan Brglez, Rainer Wieland</w:t>
            </w:r>
          </w:p>
        </w:tc>
      </w:tr>
    </w:tbl>
    <w:p w:rsidR="00F45A2A" w:rsidRDefault="00F45A2A"/>
    <w:bookmarkEnd w:id="3"/>
    <w:p w:rsidR="00C33140" w:rsidRDefault="00C33140">
      <w:pPr>
        <w:widowControl/>
        <w:sectPr w:rsidR="00C33140" w:rsidSect="00C3314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C33140" w:rsidRDefault="00C33140">
      <w:pPr>
        <w:widowControl/>
      </w:pPr>
    </w:p>
    <w:p w:rsidR="00C33140" w:rsidRPr="00C87806" w:rsidRDefault="00C33140" w:rsidP="00C33140">
      <w:pPr>
        <w:pStyle w:val="PageHeadingNotTOC"/>
      </w:pPr>
      <w:bookmarkStart w:id="4" w:name="RollCallPageAD"/>
      <w:r>
        <w:t>JMENOVITÉ KONEČNÉ HLASOVÁNÍ</w:t>
      </w:r>
      <w:r>
        <w:br/>
        <w:t>VE VÝBORU POŽÁDANÉM O 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33140" w:rsidRPr="00C87806" w:rsidTr="00510B59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C33140" w:rsidRPr="00C87806" w:rsidRDefault="00C33140" w:rsidP="00510B59">
            <w:pPr>
              <w:pStyle w:val="RollCallVotes"/>
            </w:pPr>
            <w:r>
              <w:t>23</w:t>
            </w:r>
          </w:p>
        </w:tc>
        <w:tc>
          <w:tcPr>
            <w:tcW w:w="7371" w:type="dxa"/>
            <w:shd w:val="pct10" w:color="000000" w:fill="FFFFFF"/>
          </w:tcPr>
          <w:p w:rsidR="00C33140" w:rsidRPr="00C87806" w:rsidRDefault="00C33140" w:rsidP="00510B59">
            <w:pPr>
              <w:pStyle w:val="RollCallSymbols14pt"/>
            </w:pPr>
            <w:r>
              <w:t>+</w:t>
            </w:r>
          </w:p>
        </w:tc>
      </w:tr>
      <w:tr w:rsidR="00C33140" w:rsidRPr="00C87806" w:rsidTr="00510B59">
        <w:trPr>
          <w:cantSplit/>
        </w:trPr>
        <w:tc>
          <w:tcPr>
            <w:tcW w:w="170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Maria da Graça Carvalho, Frances Fitzgerald, Arba Kokalari, Elżbieta Katarzyna Łukacijewska, Eleni Stavrou, Rainer Wieland</w:t>
            </w:r>
          </w:p>
        </w:tc>
      </w:tr>
      <w:tr w:rsidR="00C33140" w:rsidRPr="00C87806" w:rsidTr="00510B59">
        <w:trPr>
          <w:cantSplit/>
        </w:trPr>
        <w:tc>
          <w:tcPr>
            <w:tcW w:w="170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Sylvie Brunet, Samira Rafaela, María Soraya Rodríguez Ramos, Marco Zullo</w:t>
            </w:r>
          </w:p>
        </w:tc>
      </w:tr>
      <w:tr w:rsidR="00C33140" w:rsidRPr="00C87806" w:rsidTr="00510B59">
        <w:trPr>
          <w:cantSplit/>
        </w:trPr>
        <w:tc>
          <w:tcPr>
            <w:tcW w:w="170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Laura Ballarín Cereza, Robert Biedroń, Vilija Blinkevičiūtė, Milan Brglez, Marina Kaljurand, Carina Ohlsson, Evelyn Regner</w:t>
            </w:r>
          </w:p>
        </w:tc>
      </w:tr>
      <w:tr w:rsidR="00C33140" w:rsidRPr="00C87806" w:rsidTr="00510B59">
        <w:trPr>
          <w:cantSplit/>
        </w:trPr>
        <w:tc>
          <w:tcPr>
            <w:tcW w:w="170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Sandra Pereira, Eugenia Rodríguez Palop</w:t>
            </w:r>
          </w:p>
        </w:tc>
      </w:tr>
      <w:tr w:rsidR="00C33140" w:rsidRPr="00C87806" w:rsidTr="00510B59">
        <w:trPr>
          <w:cantSplit/>
        </w:trPr>
        <w:tc>
          <w:tcPr>
            <w:tcW w:w="170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Gwendoline Delbos-Corfield, Alice Kuhnke, Diana Riba i Giner, Sylwia Spurek</w:t>
            </w:r>
          </w:p>
        </w:tc>
      </w:tr>
    </w:tbl>
    <w:p w:rsidR="00C33140" w:rsidRPr="00C87806" w:rsidRDefault="00C33140" w:rsidP="00C33140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33140" w:rsidRPr="00C87806" w:rsidTr="00510B59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C33140" w:rsidRPr="00C87806" w:rsidRDefault="00C33140" w:rsidP="00510B59">
            <w:pPr>
              <w:pStyle w:val="RollCallVotes"/>
            </w:pPr>
            <w:r>
              <w:t>4</w:t>
            </w:r>
          </w:p>
        </w:tc>
        <w:tc>
          <w:tcPr>
            <w:tcW w:w="7371" w:type="dxa"/>
            <w:shd w:val="pct10" w:color="000000" w:fill="FFFFFF"/>
          </w:tcPr>
          <w:p w:rsidR="00C33140" w:rsidRPr="00C87806" w:rsidRDefault="00C33140" w:rsidP="00510B59">
            <w:pPr>
              <w:pStyle w:val="RollCallSymbols14pt"/>
            </w:pPr>
            <w:r>
              <w:t>-</w:t>
            </w:r>
          </w:p>
        </w:tc>
      </w:tr>
      <w:tr w:rsidR="00C33140" w:rsidRPr="00C87806" w:rsidTr="00510B59">
        <w:trPr>
          <w:cantSplit/>
        </w:trPr>
        <w:tc>
          <w:tcPr>
            <w:tcW w:w="170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Johan Nissinen, Margarita de la Pisa Carrión</w:t>
            </w:r>
          </w:p>
        </w:tc>
      </w:tr>
      <w:tr w:rsidR="00C33140" w:rsidRPr="00C87806" w:rsidTr="00510B59">
        <w:trPr>
          <w:cantSplit/>
        </w:trPr>
        <w:tc>
          <w:tcPr>
            <w:tcW w:w="170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Christine Anderson, Maria Veronica Rossi</w:t>
            </w:r>
          </w:p>
        </w:tc>
      </w:tr>
    </w:tbl>
    <w:p w:rsidR="00C33140" w:rsidRPr="00C87806" w:rsidRDefault="00C33140" w:rsidP="00C33140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33140" w:rsidRPr="00C87806" w:rsidTr="00510B59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C33140" w:rsidRPr="00C87806" w:rsidRDefault="00C33140" w:rsidP="00510B59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:rsidR="00C33140" w:rsidRPr="00C87806" w:rsidRDefault="00C33140" w:rsidP="00510B59">
            <w:pPr>
              <w:pStyle w:val="RollCallSymbols14pt"/>
            </w:pPr>
            <w:r>
              <w:t>0</w:t>
            </w:r>
          </w:p>
        </w:tc>
      </w:tr>
      <w:tr w:rsidR="00C33140" w:rsidRPr="00C87806" w:rsidTr="00510B59">
        <w:trPr>
          <w:cantSplit/>
        </w:trPr>
        <w:tc>
          <w:tcPr>
            <w:tcW w:w="170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Andżelika Anna Możdżanowska</w:t>
            </w:r>
          </w:p>
        </w:tc>
      </w:tr>
      <w:tr w:rsidR="00C33140" w:rsidRPr="00C87806" w:rsidTr="00510B59">
        <w:trPr>
          <w:cantSplit/>
        </w:trPr>
        <w:tc>
          <w:tcPr>
            <w:tcW w:w="170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C33140" w:rsidRPr="00C87806" w:rsidRDefault="00C33140" w:rsidP="00510B59">
            <w:pPr>
              <w:pStyle w:val="RollCallTable"/>
            </w:pPr>
            <w:r>
              <w:t>Lívia Járóka</w:t>
            </w:r>
          </w:p>
        </w:tc>
      </w:tr>
    </w:tbl>
    <w:p w:rsidR="00C33140" w:rsidRPr="00C87806" w:rsidRDefault="00C33140" w:rsidP="00C33140">
      <w:pPr>
        <w:pStyle w:val="Normal12a"/>
      </w:pPr>
    </w:p>
    <w:p w:rsidR="00C33140" w:rsidRPr="00C87806" w:rsidRDefault="00C33140" w:rsidP="00C33140">
      <w:r>
        <w:t>Význam zkratek:</w:t>
      </w:r>
    </w:p>
    <w:p w:rsidR="00C33140" w:rsidRPr="00C87806" w:rsidRDefault="00C33140" w:rsidP="00C33140">
      <w:pPr>
        <w:pStyle w:val="RollCallTabs"/>
      </w:pPr>
      <w:r>
        <w:t>+</w:t>
      </w:r>
      <w:r>
        <w:tab/>
        <w:t>:</w:t>
      </w:r>
      <w:r>
        <w:tab/>
        <w:t>pro</w:t>
      </w:r>
    </w:p>
    <w:p w:rsidR="00C33140" w:rsidRPr="00C87806" w:rsidRDefault="00C33140" w:rsidP="00C33140">
      <w:pPr>
        <w:pStyle w:val="RollCallTabs"/>
      </w:pPr>
      <w:r>
        <w:t>-</w:t>
      </w:r>
      <w:r>
        <w:tab/>
        <w:t>:</w:t>
      </w:r>
      <w:r>
        <w:tab/>
        <w:t>proti</w:t>
      </w:r>
    </w:p>
    <w:p w:rsidR="00C33140" w:rsidRPr="00C87806" w:rsidRDefault="00C33140" w:rsidP="00C33140">
      <w:pPr>
        <w:pStyle w:val="RollCallTabs"/>
      </w:pPr>
      <w:r>
        <w:t>0</w:t>
      </w:r>
      <w:r>
        <w:tab/>
        <w:t>:</w:t>
      </w:r>
      <w:r>
        <w:tab/>
        <w:t>zdrželi se</w:t>
      </w:r>
    </w:p>
    <w:bookmarkEnd w:id="4"/>
    <w:p w:rsidR="002E6F98" w:rsidRPr="00F45A2A" w:rsidRDefault="002E6F98" w:rsidP="00F45A2A"/>
    <w:sectPr w:rsidR="002E6F98" w:rsidRPr="00F45A2A" w:rsidSect="00C3314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BFC" w:rsidRPr="0068718C" w:rsidRDefault="001F3BFC">
      <w:r w:rsidRPr="0068718C">
        <w:separator/>
      </w:r>
    </w:p>
  </w:endnote>
  <w:endnote w:type="continuationSeparator" w:id="0">
    <w:p w:rsidR="001F3BFC" w:rsidRPr="0068718C" w:rsidRDefault="001F3BFC">
      <w:r w:rsidRPr="006871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A2A" w:rsidRDefault="00F45A2A" w:rsidP="00F45A2A">
    <w:pPr>
      <w:pStyle w:val="EPFooter"/>
    </w:pPr>
    <w:r>
      <w:t>PE</w:t>
    </w:r>
    <w:r w:rsidRPr="00F45A2A">
      <w:rPr>
        <w:rStyle w:val="HideTWBExt"/>
      </w:rPr>
      <w:t>&lt;NoPE&gt;</w:t>
    </w:r>
    <w:r>
      <w:t>754.839</w:t>
    </w:r>
    <w:r w:rsidRPr="00F45A2A">
      <w:rPr>
        <w:rStyle w:val="HideTWBExt"/>
      </w:rPr>
      <w:t>&lt;/NoPE&gt;&lt;Version&gt;</w:t>
    </w:r>
    <w:r>
      <w:t>v02-00</w:t>
    </w:r>
    <w:r w:rsidRPr="00F45A2A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5D7EA5">
      <w:rPr>
        <w:noProof/>
      </w:rPr>
      <w:t>2</w:t>
    </w:r>
    <w:r>
      <w:fldChar w:fldCharType="end"/>
    </w:r>
    <w:r>
      <w:t>/</w:t>
    </w:r>
    <w:r w:rsidR="005D7EA5">
      <w:fldChar w:fldCharType="begin"/>
    </w:r>
    <w:r w:rsidR="005D7EA5">
      <w:instrText xml:space="preserve"> NUMPAGES  \* MERGEFORMAT </w:instrText>
    </w:r>
    <w:r w:rsidR="005D7EA5">
      <w:fldChar w:fldCharType="separate"/>
    </w:r>
    <w:r w:rsidR="005D7EA5">
      <w:rPr>
        <w:noProof/>
      </w:rPr>
      <w:t>8</w:t>
    </w:r>
    <w:r w:rsidR="005D7EA5">
      <w:rPr>
        <w:noProof/>
      </w:rPr>
      <w:fldChar w:fldCharType="end"/>
    </w:r>
    <w:r>
      <w:tab/>
    </w:r>
    <w:r w:rsidRPr="00F45A2A">
      <w:rPr>
        <w:rStyle w:val="HideTWBExt"/>
      </w:rPr>
      <w:t>&lt;PathFdR&gt;</w:t>
    </w:r>
    <w:r>
      <w:t>AD\1294966CS.docx</w:t>
    </w:r>
    <w:r w:rsidRPr="00F45A2A">
      <w:rPr>
        <w:rStyle w:val="HideTWBExt"/>
      </w:rPr>
      <w:t>&lt;/PathFdR&gt;</w:t>
    </w:r>
  </w:p>
  <w:p w:rsidR="002E2F2E" w:rsidRPr="0068718C" w:rsidRDefault="00F45A2A" w:rsidP="00F45A2A">
    <w:pPr>
      <w:pStyle w:val="EPFooter2"/>
    </w:pPr>
    <w:r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A2A" w:rsidRDefault="00F45A2A" w:rsidP="00F45A2A">
    <w:pPr>
      <w:pStyle w:val="EPFooter"/>
    </w:pPr>
    <w:r w:rsidRPr="00F45A2A">
      <w:rPr>
        <w:rStyle w:val="HideTWBExt"/>
      </w:rPr>
      <w:t>&lt;PathFdR&gt;</w:t>
    </w:r>
    <w:r>
      <w:t>AD\1294966CS.docx</w:t>
    </w:r>
    <w:r w:rsidRPr="00F45A2A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5D7EA5">
      <w:rPr>
        <w:noProof/>
      </w:rPr>
      <w:t>7</w:t>
    </w:r>
    <w:r>
      <w:fldChar w:fldCharType="end"/>
    </w:r>
    <w:r>
      <w:t>/</w:t>
    </w:r>
    <w:r w:rsidR="005D7EA5">
      <w:fldChar w:fldCharType="begin"/>
    </w:r>
    <w:r w:rsidR="005D7EA5">
      <w:instrText xml:space="preserve"> NUMPAGES  \* MERGEFORMAT </w:instrText>
    </w:r>
    <w:r w:rsidR="005D7EA5">
      <w:fldChar w:fldCharType="separate"/>
    </w:r>
    <w:r w:rsidR="005D7EA5">
      <w:rPr>
        <w:noProof/>
      </w:rPr>
      <w:t>7</w:t>
    </w:r>
    <w:r w:rsidR="005D7EA5">
      <w:rPr>
        <w:noProof/>
      </w:rPr>
      <w:fldChar w:fldCharType="end"/>
    </w:r>
    <w:r>
      <w:tab/>
      <w:t>PE</w:t>
    </w:r>
    <w:r w:rsidRPr="00F45A2A">
      <w:rPr>
        <w:rStyle w:val="HideTWBExt"/>
      </w:rPr>
      <w:t>&lt;NoPE&gt;</w:t>
    </w:r>
    <w:r>
      <w:t>754.839</w:t>
    </w:r>
    <w:r w:rsidRPr="00F45A2A">
      <w:rPr>
        <w:rStyle w:val="HideTWBExt"/>
      </w:rPr>
      <w:t>&lt;/NoPE&gt;&lt;Version&gt;</w:t>
    </w:r>
    <w:r>
      <w:t>v02-00</w:t>
    </w:r>
    <w:r w:rsidRPr="00F45A2A">
      <w:rPr>
        <w:rStyle w:val="HideTWBExt"/>
      </w:rPr>
      <w:t>&lt;/Version&gt;</w:t>
    </w:r>
  </w:p>
  <w:p w:rsidR="002E2F2E" w:rsidRPr="0068718C" w:rsidRDefault="00F45A2A" w:rsidP="00F45A2A">
    <w:pPr>
      <w:pStyle w:val="EPFooter2"/>
    </w:pPr>
    <w:r>
      <w:tab/>
    </w:r>
    <w:r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A2A" w:rsidRDefault="00F45A2A" w:rsidP="00F45A2A">
    <w:pPr>
      <w:pStyle w:val="EPFooter"/>
    </w:pPr>
    <w:r w:rsidRPr="00F45A2A">
      <w:rPr>
        <w:rStyle w:val="HideTWBExt"/>
      </w:rPr>
      <w:t>&lt;PathFdR&gt;</w:t>
    </w:r>
    <w:r>
      <w:t>AD\1294966CS.docx</w:t>
    </w:r>
    <w:r w:rsidRPr="00F45A2A">
      <w:rPr>
        <w:rStyle w:val="HideTWBExt"/>
      </w:rPr>
      <w:t>&lt;/PathFdR&gt;</w:t>
    </w:r>
    <w:r>
      <w:tab/>
    </w:r>
    <w:r>
      <w:tab/>
      <w:t>PE</w:t>
    </w:r>
    <w:r w:rsidRPr="00F45A2A">
      <w:rPr>
        <w:rStyle w:val="HideTWBExt"/>
      </w:rPr>
      <w:t>&lt;NoPE&gt;</w:t>
    </w:r>
    <w:r>
      <w:t>754.839</w:t>
    </w:r>
    <w:r w:rsidRPr="00F45A2A">
      <w:rPr>
        <w:rStyle w:val="HideTWBExt"/>
      </w:rPr>
      <w:t>&lt;/NoPE&gt;&lt;Version&gt;</w:t>
    </w:r>
    <w:r>
      <w:t>v02-00</w:t>
    </w:r>
    <w:r w:rsidRPr="00F45A2A">
      <w:rPr>
        <w:rStyle w:val="HideTWBExt"/>
      </w:rPr>
      <w:t>&lt;/Version&gt;</w:t>
    </w:r>
  </w:p>
  <w:p w:rsidR="002E2F2E" w:rsidRPr="0068718C" w:rsidRDefault="00F45A2A" w:rsidP="00F45A2A">
    <w:pPr>
      <w:pStyle w:val="EPFooter2"/>
    </w:pPr>
    <w:r>
      <w:t>CS</w:t>
    </w:r>
    <w:r>
      <w:tab/>
    </w:r>
    <w:r w:rsidRPr="00F45A2A">
      <w:rPr>
        <w:b w:val="0"/>
        <w:i/>
        <w:color w:val="C0C0C0"/>
        <w:sz w:val="22"/>
      </w:rPr>
      <w:t>Jednotná v rozmanitosti</w:t>
    </w:r>
    <w:r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BFC" w:rsidRPr="0068718C" w:rsidRDefault="001F3BFC">
      <w:r w:rsidRPr="0068718C">
        <w:separator/>
      </w:r>
    </w:p>
  </w:footnote>
  <w:footnote w:type="continuationSeparator" w:id="0">
    <w:p w:rsidR="001F3BFC" w:rsidRPr="0068718C" w:rsidRDefault="001F3BFC">
      <w:r w:rsidRPr="0068718C">
        <w:continuationSeparator/>
      </w:r>
    </w:p>
  </w:footnote>
  <w:footnote w:id="1">
    <w:p w:rsidR="00C33140" w:rsidRPr="001B265E" w:rsidRDefault="00C33140" w:rsidP="00C33140">
      <w:pPr>
        <w:pStyle w:val="FootnoteText"/>
      </w:pPr>
      <w:r>
        <w:rPr>
          <w:rStyle w:val="FootnoteReference"/>
        </w:rPr>
        <w:footnoteRef/>
      </w:r>
      <w:r>
        <w:t xml:space="preserve"> https://eige.europa.eu/gender-equality-index/2023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140" w:rsidRDefault="00C33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140" w:rsidRDefault="00C33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140" w:rsidRDefault="00C33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INIMNU" w:val=" 1"/>
    <w:docVar w:name="AUTHORMFMNU" w:val=" 1"/>
    <w:docVar w:name="CJMNU" w:val="1"/>
    <w:docVar w:name="CODEMNU" w:val=" 1"/>
    <w:docVar w:name="COM2KEY" w:val="CONT"/>
    <w:docVar w:name="COMKEY" w:val="FEMM"/>
    <w:docVar w:name="CONTRIBUTIONMNU" w:val=" 2"/>
    <w:docVar w:name="DOCREFINIMNU" w:val=" 1"/>
    <w:docVar w:name="FONCTIONMNU" w:val=" 3"/>
    <w:docVar w:name="LastEditedSection" w:val=" 1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8\fbidi \froman\fcharset238\fprq2 Times New Roman CE;}{\f329\fbidi \froman\fcharset204\fprq2 Times New Roman Cyr;}_x000d__x000a_{\f331\fbidi \froman\fcharset161\fprq2 Times New Roman Greek;}{\f332\fbidi \froman\fcharset162\fprq2 Times New Roman Tur;}{\f333\fbidi \froman\fcharset177\fprq2 Times New Roman (Hebrew);}{\f334\fbidi \froman\fcharset178\fprq2 Times New Roman (Arabic);}_x000d__x000a_{\f335\fbidi \froman\fcharset186\fprq2 Times New Roman Baltic;}{\f336\fbidi \froman\fcharset163\fprq2 Times New Roman (Vietnamese);}{\f338\fbidi \fswiss\fcharset238\fprq2 Arial CE;}{\f339\fbidi \fswiss\fcharset204\fprq2 Arial Cyr;}_x000d__x000a_{\f341\fbidi \fswiss\fcharset161\fprq2 Arial Greek;}{\f342\fbidi \fswiss\fcharset162\fprq2 Arial Tur;}{\f343\fbidi \fswiss\fcharset177\fprq2 Arial (Hebrew);}{\f344\fbidi \fswiss\fcharset178\fprq2 Arial (Arabic);}_x000d__x000a_{\f345\fbidi \fswiss\fcharset186\fprq2 Arial Baltic;}{\f346\fbidi \fswiss\fcharset163\fprq2 Arial (Vietnamese);}{\f668\fbidi \froman\fcharset238\fprq2 Cambria Math CE;}{\f669\fbidi \froman\fcharset204\fprq2 Cambria Math Cyr;}_x000d__x000a_{\f671\fbidi \froman\fcharset161\fprq2 Cambria Math Greek;}{\f672\fbidi \froman\fcharset162\fprq2 Cambria Math Tur;}{\f675\fbidi \froman\fcharset186\fprq2 Cambria Math Baltic;}{\f676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3164643 HideTWBInt;}{_x000d__x000a_\s18\ql \fi-567\li567\ri0\sa240\nowidctlpar\wrapdefault\aspalpha\aspnum\faauto\adjustright\rin0\lin567\itap0 \rtlch\fcs1 \af0\afs20\alang1025 \ltrch\fcs0 \fs24\lang1029\langfe2057\cgrid\langnp1029\langfenp2057 _x000d__x000a_\sbasedon0 \snext18 \spriority0 \styrsid3164643 NormalHanging12a;}}{\*\rsidtbl \rsid24658\rsid223860\rsid735077\rsid1718133\rsid2892074\rsid3164643\rsid3361353\rsid3565327\rsid4666813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GOESSINGER SKLENAROVA Ruzena}{\operator GOESSINGER SKLENAROVA Ruzena}{\creatim\yr2024\mo1\dy30\hr9}{\revtim\yr2024\mo1\dy30\hr9}{\version1}{\edmins0}{\nofpages1}{\nofwords1}{\nofchars11}{\nofcharsws11}{\vern109}}{\*\xmlnstbl {\xmlns1 http://schem_x000d__x000a_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16464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GOES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3613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613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613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613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3164643 \rtlch\fcs1 \af0\afs20\alang1025 \ltrch\fcs0 \fs24\lang1029\langfe2057\cgrid\langnp1029\langfenp2057 {\rtlch\fcs1 \af0 _x000d__x000a_\ltrch\fcs0 \insrsid3164643\charrsid13185170 {\*\bkmkstart restart}#}{\rtlch\fcs1 \af1 \ltrch\fcs0 \cs17\v\f1\fs20\cf15\insrsid3164643\charrsid13185170 NRMSG}{\rtlch\fcs1 \af0 \ltrch\fcs0 \insrsid3164643\charrsid13185170 #\tab ##}{\rtlch\fcs1 \af0 _x000d__x000a_\ltrch\fcs0 \insrsid3164643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d_x000d__x000a_836b52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8\fbidi \froman\fcharset238\fprq2 Times New Roman CE;}{\f329\fbidi \froman\fcharset204\fprq2 Times New Roman Cyr;}_x000d__x000a_{\f331\fbidi \froman\fcharset161\fprq2 Times New Roman Greek;}{\f332\fbidi \froman\fcharset162\fprq2 Times New Roman Tur;}{\f333\fbidi \froman\fcharset177\fprq2 Times New Roman (Hebrew);}{\f334\fbidi \froman\fcharset178\fprq2 Times New Roman (Arabic);}_x000d__x000a_{\f335\fbidi \froman\fcharset186\fprq2 Times New Roman Baltic;}{\f336\fbidi \froman\fcharset163\fprq2 Times New Roman (Vietnamese);}{\f668\fbidi \froman\fcharset238\fprq2 Cambria Math CE;}{\f669\fbidi \froman\fcharset204\fprq2 Cambria Math Cyr;}_x000d__x000a_{\f671\fbidi \froman\fcharset161\fprq2 Cambria Math Greek;}{\f672\fbidi \froman\fcharset162\fprq2 Cambria Math Tur;}{\f675\fbidi \froman\fcharset186\fprq2 Cambria Math Baltic;}{\f676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219878 NormalHanging12a;}}{\*\rsidtbl \rsid24658\rsid219878\rsid223860\rsid735077\rsid1718133\rsid2892074\rsid3565327\rsid4666813\rsid6641733\rsid7823322_x000d__x000a_\rsid8527965\rsid9636012\rsid10377208\rsid11215221\rsid11549030\rsid12154954\rsid14382809\rsid14424199\rsid15204470\rsid15285974\rsid15950462\rsid16324206\rsid16662270}{\mmathPr\mmathFont34\mbrkBin0\mbrkBinSub0\msmallFrac0\mdispDef1\mlMargin0\mrMargin0_x000d__x000a_\mdefJc1\mwrapIndent1440\mintLim0\mnaryLim1}{\info{\author GOESSINGER SKLENAROVA Ruzena}{\operator GOESSINGER SKLENAROVA Ruzena}{\creatim\yr2024\mo1\dy30\hr9}{\revtim\yr2024\mo1\dy30\hr9}{\version1}{\edmins0}{\nofpages1}{\nofwords5}{\nofchars30}_x000d__x000a_{\nofcharsws3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19878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GOESS~1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852796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52796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52796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52796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219878 \rtlch\fcs1 \af0\afs20\alang1025 \ltrch\fcs0 \fs24\lang2057\langfe2057\cgrid\langnp2057\langfenp2057 {\rtlch\fcs1 \af0 \ltrch\fcs0 _x000d__x000a_\insrsid219878\charrsid1525456 {\*\bkmkstart restart}[ZSUGGESTIONNR]\tab [ZSUGGESTIONTEXT]}{\rtlch\fcs1 \af0 \ltrch\fcs0 \insrsid219878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f_x000d__x000a_846d52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XTLANGUE" w:val="CS"/>
    <w:docVar w:name="TXTLANGUEMIN" w:val="cs"/>
    <w:docVar w:name="TXTNRPE" w:val="754.839"/>
    <w:docVar w:name="TXTPEorAP" w:val="PE"/>
    <w:docVar w:name="TXTROUTE" w:val="AD\1294966CS.docx"/>
    <w:docVar w:name="TXTVERSION" w:val="02-00"/>
  </w:docVars>
  <w:rsids>
    <w:rsidRoot w:val="001F3BFC"/>
    <w:rsid w:val="000E7EBF"/>
    <w:rsid w:val="00124F60"/>
    <w:rsid w:val="00135121"/>
    <w:rsid w:val="00140BE6"/>
    <w:rsid w:val="00147F4E"/>
    <w:rsid w:val="0016635E"/>
    <w:rsid w:val="001746D0"/>
    <w:rsid w:val="001B7393"/>
    <w:rsid w:val="001D2ED9"/>
    <w:rsid w:val="001F21C1"/>
    <w:rsid w:val="001F3BFC"/>
    <w:rsid w:val="002D28A7"/>
    <w:rsid w:val="002E2F2E"/>
    <w:rsid w:val="002E6F98"/>
    <w:rsid w:val="00325BCB"/>
    <w:rsid w:val="00331944"/>
    <w:rsid w:val="00332AD9"/>
    <w:rsid w:val="00347D2C"/>
    <w:rsid w:val="0037356F"/>
    <w:rsid w:val="00390EB2"/>
    <w:rsid w:val="00396A0E"/>
    <w:rsid w:val="003E2402"/>
    <w:rsid w:val="004C28FB"/>
    <w:rsid w:val="004C44C0"/>
    <w:rsid w:val="0052544E"/>
    <w:rsid w:val="005940C3"/>
    <w:rsid w:val="00594C48"/>
    <w:rsid w:val="005B2F11"/>
    <w:rsid w:val="005C0BDF"/>
    <w:rsid w:val="005D60C6"/>
    <w:rsid w:val="005D7EA5"/>
    <w:rsid w:val="006102E7"/>
    <w:rsid w:val="00640C1B"/>
    <w:rsid w:val="00657AFB"/>
    <w:rsid w:val="0068718C"/>
    <w:rsid w:val="006D5BF7"/>
    <w:rsid w:val="008313E7"/>
    <w:rsid w:val="00854CAC"/>
    <w:rsid w:val="00874B86"/>
    <w:rsid w:val="008A32C5"/>
    <w:rsid w:val="008C6203"/>
    <w:rsid w:val="008D61E7"/>
    <w:rsid w:val="008F7002"/>
    <w:rsid w:val="0099493F"/>
    <w:rsid w:val="00A16BEA"/>
    <w:rsid w:val="00A312B3"/>
    <w:rsid w:val="00A72C35"/>
    <w:rsid w:val="00AE180F"/>
    <w:rsid w:val="00B362F7"/>
    <w:rsid w:val="00B5456B"/>
    <w:rsid w:val="00B74B53"/>
    <w:rsid w:val="00BC26E4"/>
    <w:rsid w:val="00BD1EAA"/>
    <w:rsid w:val="00C33140"/>
    <w:rsid w:val="00C52739"/>
    <w:rsid w:val="00C827FF"/>
    <w:rsid w:val="00CD34AC"/>
    <w:rsid w:val="00CF37EC"/>
    <w:rsid w:val="00DE19FF"/>
    <w:rsid w:val="00E81BA6"/>
    <w:rsid w:val="00E856D2"/>
    <w:rsid w:val="00E929A7"/>
    <w:rsid w:val="00F1432D"/>
    <w:rsid w:val="00F45A2A"/>
    <w:rsid w:val="00F821B3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AF03A58A-E738-4856-AE23-8F0DACFC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F821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821B3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rsid w:val="00C33140"/>
    <w:rPr>
      <w:sz w:val="24"/>
    </w:rPr>
  </w:style>
  <w:style w:type="paragraph" w:styleId="FootnoteText">
    <w:name w:val="footnote text"/>
    <w:basedOn w:val="Normal"/>
    <w:link w:val="FootnoteTextChar"/>
    <w:rsid w:val="00C33140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33140"/>
    <w:rPr>
      <w:lang w:val="cs-CZ"/>
    </w:rPr>
  </w:style>
  <w:style w:type="character" w:styleId="FootnoteReference">
    <w:name w:val="footnote reference"/>
    <w:basedOn w:val="DefaultParagraphFont"/>
    <w:rsid w:val="00C33140"/>
    <w:rPr>
      <w:vertAlign w:val="superscript"/>
    </w:rPr>
  </w:style>
  <w:style w:type="paragraph" w:customStyle="1" w:styleId="RollCallSymbols14pt">
    <w:name w:val="RollCallSymbols14pt"/>
    <w:basedOn w:val="Normal"/>
    <w:rsid w:val="00C3314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3314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3314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33140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C33140"/>
    <w:pPr>
      <w:spacing w:after="480"/>
    </w:pPr>
  </w:style>
  <w:style w:type="paragraph" w:customStyle="1" w:styleId="NormalBoldCenter">
    <w:name w:val="NormalBoldCenter"/>
    <w:basedOn w:val="Normal"/>
    <w:rsid w:val="00C33140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1475</Words>
  <Characters>8096</Characters>
  <Application>Microsoft Office Word</Application>
  <DocSecurity>0</DocSecurity>
  <Lines>190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2024-02-08T15:27:00Z</dcterms:created>
  <dcterms:modified xsi:type="dcterms:W3CDTF">2024-02-08T15:27:00Z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9.17.1 Build [20240111]</vt:lpwstr>
  </property>
  <property fmtid="{D5CDD505-2E9C-101B-9397-08002B2CF9AE}" pid="5" name="&lt;FdR&gt;">
    <vt:lpwstr>1294966</vt:lpwstr>
  </property>
  <property fmtid="{D5CDD505-2E9C-101B-9397-08002B2CF9AE}" pid="6" name="&lt;Type&gt;">
    <vt:lpwstr>AD</vt:lpwstr>
  </property>
  <property fmtid="{D5CDD505-2E9C-101B-9397-08002B2CF9AE}" pid="7" name="&lt;ModelCod&gt;">
    <vt:lpwstr>\\eiciLUXpr1\pdocep$\DocEP\DOCS\General\PA\PA_NonLeg\PA_NonLeg.dotx(18/09/2023 11:25:02)</vt:lpwstr>
  </property>
  <property fmtid="{D5CDD505-2E9C-101B-9397-08002B2CF9AE}" pid="8" name="&lt;ModelTra&gt;">
    <vt:lpwstr>\\eiciLUXpr1\pdocep$\DocEP\TRANSFIL\CS\PA_NonLeg.CS(18/09/2023 11:08:00)</vt:lpwstr>
  </property>
  <property fmtid="{D5CDD505-2E9C-101B-9397-08002B2CF9AE}" pid="9" name="&lt;Model&gt;">
    <vt:lpwstr>PA_NonLeg</vt:lpwstr>
  </property>
  <property fmtid="{D5CDD505-2E9C-101B-9397-08002B2CF9AE}" pid="10" name="FooterPath">
    <vt:lpwstr>AD\1294966CS.docx</vt:lpwstr>
  </property>
  <property fmtid="{D5CDD505-2E9C-101B-9397-08002B2CF9AE}" pid="11" name="PE number">
    <vt:lpwstr>754.839</vt:lpwstr>
  </property>
  <property fmtid="{D5CDD505-2E9C-101B-9397-08002B2CF9AE}" pid="12" name="Bookout">
    <vt:lpwstr>OK - 2024/02/08 16:27</vt:lpwstr>
  </property>
  <property fmtid="{D5CDD505-2E9C-101B-9397-08002B2CF9AE}" pid="13" name="SDLStudio">
    <vt:lpwstr/>
  </property>
</Properties>
</file>