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0185B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F12D88" w:rsidRDefault="006D2214" w:rsidP="00C85D0F">
            <w:pPr>
              <w:pStyle w:val="EPName"/>
            </w:pPr>
            <w:r>
              <w:t>Europski parlament</w:t>
            </w:r>
          </w:p>
          <w:p w:rsidR="00854CAC" w:rsidRPr="00F12D88" w:rsidRDefault="006D2214" w:rsidP="002A2AB6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F12D88" w:rsidRDefault="006D2214" w:rsidP="00C85D0F">
            <w:pPr>
              <w:pStyle w:val="EPLogo"/>
            </w:pPr>
            <w:r w:rsidRPr="00F12D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F12D88" w:rsidRDefault="001746D0" w:rsidP="001746D0">
      <w:pPr>
        <w:pStyle w:val="LineTop"/>
      </w:pPr>
    </w:p>
    <w:p w:rsidR="001746D0" w:rsidRPr="00F12D88" w:rsidRDefault="006D2214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Odbor za prava žena i rodnu ravnopravnost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F12D88" w:rsidRDefault="001746D0" w:rsidP="001746D0">
      <w:pPr>
        <w:pStyle w:val="LineBottom"/>
      </w:pPr>
    </w:p>
    <w:p w:rsidR="002E2F2E" w:rsidRPr="00F12D88" w:rsidRDefault="006D2214">
      <w:pPr>
        <w:pStyle w:val="CoverReference"/>
      </w:pPr>
      <w:r>
        <w:rPr>
          <w:rStyle w:val="HideTWBExt"/>
          <w:b w:val="0"/>
        </w:rPr>
        <w:t>&lt;RefProc&gt;</w:t>
      </w:r>
      <w:r>
        <w:t>2023/2152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F12D88" w:rsidRDefault="006D221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{25/01/2024}</w:t>
      </w:r>
      <w:r>
        <w:t>25.1.2024</w:t>
      </w:r>
      <w:r>
        <w:rPr>
          <w:rStyle w:val="HideTWBExt"/>
        </w:rPr>
        <w:t>&lt;/Date&gt;</w:t>
      </w:r>
    </w:p>
    <w:p w:rsidR="002E2F2E" w:rsidRPr="00F12D88" w:rsidRDefault="006D2214">
      <w:pPr>
        <w:pStyle w:val="CoverDocType24a"/>
      </w:pPr>
      <w:r>
        <w:rPr>
          <w:rStyle w:val="HideTWBExt"/>
          <w:b w:val="0"/>
        </w:rPr>
        <w:t>&lt;TitreType&gt;</w:t>
      </w:r>
      <w:r>
        <w:t>MIŠLJENJE</w:t>
      </w:r>
      <w:r>
        <w:rPr>
          <w:rStyle w:val="HideTWBExt"/>
          <w:b w:val="0"/>
        </w:rPr>
        <w:t>&lt;/TitreType&gt;</w:t>
      </w:r>
    </w:p>
    <w:p w:rsidR="002E2F2E" w:rsidRPr="00F12D88" w:rsidRDefault="006D2214">
      <w:pPr>
        <w:pStyle w:val="CoverNormal24a"/>
      </w:pPr>
      <w:r>
        <w:rPr>
          <w:rStyle w:val="HideTWBExt"/>
        </w:rPr>
        <w:t>&lt;CommissionResp&gt;</w:t>
      </w:r>
      <w:r>
        <w:t>Odbora za prava žena i rodnu ravnopravnost</w:t>
      </w:r>
      <w:r>
        <w:rPr>
          <w:rStyle w:val="HideTWBExt"/>
        </w:rPr>
        <w:t>&lt;/CommissionResp&gt;</w:t>
      </w:r>
    </w:p>
    <w:p w:rsidR="002E2F2E" w:rsidRPr="00F12D88" w:rsidRDefault="006D2214">
      <w:pPr>
        <w:pStyle w:val="CoverNormal24a"/>
      </w:pPr>
      <w:r>
        <w:rPr>
          <w:rStyle w:val="HideTWBExt"/>
        </w:rPr>
        <w:t>&lt;CommissionInt&gt;</w:t>
      </w:r>
      <w:r>
        <w:t>upućeno Odboru za proračunski nadzor</w:t>
      </w:r>
      <w:r>
        <w:rPr>
          <w:rStyle w:val="HideTWBExt"/>
        </w:rPr>
        <w:t>&lt;/CommissionInt&gt;</w:t>
      </w:r>
    </w:p>
    <w:p w:rsidR="002E2F2E" w:rsidRPr="00F12D88" w:rsidRDefault="006D2214">
      <w:pPr>
        <w:pStyle w:val="CoverNormal"/>
      </w:pPr>
      <w:r>
        <w:rPr>
          <w:rStyle w:val="HideTWBExt"/>
        </w:rPr>
        <w:t>&lt;Titre&gt;</w:t>
      </w:r>
      <w:r>
        <w:t>o razrješnici za 2022.: Europski institut za ravnopravnost spolova</w:t>
      </w:r>
      <w:r>
        <w:rPr>
          <w:rStyle w:val="HideTWBExt"/>
        </w:rPr>
        <w:t>&lt;/Titre&gt;</w:t>
      </w:r>
    </w:p>
    <w:p w:rsidR="002E2F2E" w:rsidRPr="00F12D88" w:rsidRDefault="006D2214">
      <w:pPr>
        <w:pStyle w:val="CoverNormal24a"/>
      </w:pPr>
      <w:r>
        <w:rPr>
          <w:rStyle w:val="HideTWBExt"/>
        </w:rPr>
        <w:t>&lt;DocRef&gt;</w:t>
      </w:r>
      <w:r>
        <w:t>(2023/2152(DEC))</w:t>
      </w:r>
      <w:r>
        <w:rPr>
          <w:rStyle w:val="HideTWBExt"/>
        </w:rPr>
        <w:t>&lt;/DocRef&gt;</w:t>
      </w:r>
    </w:p>
    <w:p w:rsidR="00474D09" w:rsidRPr="00C87806" w:rsidRDefault="006D2214" w:rsidP="00474D09">
      <w:pPr>
        <w:pStyle w:val="CoverNormal24a"/>
      </w:pPr>
      <w:r>
        <w:t xml:space="preserve">Izvjestitelj za mišljenje: </w:t>
      </w:r>
      <w:r>
        <w:rPr>
          <w:rStyle w:val="HideTWBExt"/>
        </w:rPr>
        <w:t>&lt;Depute&gt;</w:t>
      </w:r>
      <w:r>
        <w:t>Robert Biedroń</w:t>
      </w:r>
      <w:r>
        <w:rPr>
          <w:rStyle w:val="HideTWBExt"/>
        </w:rPr>
        <w:t>&lt;/Depute&gt;</w:t>
      </w:r>
    </w:p>
    <w:p w:rsidR="00A72C35" w:rsidRPr="00F12D88" w:rsidRDefault="00A72C35" w:rsidP="00A72C35">
      <w:pPr>
        <w:pStyle w:val="CoverNormal"/>
      </w:pPr>
    </w:p>
    <w:p w:rsidR="002E2F2E" w:rsidRPr="00F12D88" w:rsidRDefault="006D2214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F12D88" w:rsidRDefault="006D2214">
      <w:pPr>
        <w:pStyle w:val="PageHeadingNotTOC"/>
      </w:pPr>
      <w:r>
        <w:br w:type="page"/>
      </w:r>
      <w:r>
        <w:lastRenderedPageBreak/>
        <w:t>PRIJEDLOZI</w:t>
      </w:r>
    </w:p>
    <w:p w:rsidR="002E2F2E" w:rsidRPr="00F12D88" w:rsidRDefault="006D2214" w:rsidP="008313E7">
      <w:pPr>
        <w:pStyle w:val="Normal12a"/>
      </w:pPr>
      <w:r>
        <w:t>Odbor za prava žena i rodnu ravnopravnost poziva Odbor za proračunski nadzor da kao nadležni odbor u prijedlog rezolucije koji će usvojiti uvrsti sljedeće prijedloge:</w:t>
      </w:r>
    </w:p>
    <w:p w:rsidR="00F12D88" w:rsidRPr="00F12D88" w:rsidRDefault="006D2214" w:rsidP="00F12D88">
      <w:pPr>
        <w:pStyle w:val="NormalHanging12a"/>
        <w:rPr>
          <w:szCs w:val="24"/>
        </w:rPr>
      </w:pPr>
      <w:bookmarkStart w:id="0" w:name="ProcPageAD"/>
      <w:r>
        <w:t>A.</w:t>
      </w:r>
      <w:r>
        <w:tab/>
        <w:t>budući da se u članku 8. UFEU-a navodi da Unija u svim svojim aktivnostima teži uklanjanju nejednakosti, uz uspostavu načela rodno osviještene politike, te promicanju rodne ravnopravnosti između muškaraca i žena; budući da rodna ravnopravnost mora biti uključena u sve politike EU-a, među ostalim preko donošenja rodno osjetljivog proračuna na svim razinama proračunskog postupka;</w:t>
      </w:r>
    </w:p>
    <w:p w:rsidR="00F12D88" w:rsidRPr="00F12D88" w:rsidRDefault="006D2214" w:rsidP="00F12D88">
      <w:pPr>
        <w:pStyle w:val="NormalHanging12a"/>
        <w:rPr>
          <w:szCs w:val="24"/>
        </w:rPr>
      </w:pPr>
      <w:r>
        <w:t>B.</w:t>
      </w:r>
      <w:r>
        <w:tab/>
        <w:t>budući da osoblje EIGE-a aktivno sudjeluje u razmjeni najboljih praksi i aktivnostima mreže agencija EU-a (EUAN) i njezinih podmreža kako bi se razvile sinergije u područjima kao što su ljudski resursi, upravljanje zgradama, informatičke usluge i sigurnost, suradnja i razmjena dobrih praksi s drugim agencijama Unije u cilju poboljšanja učinkovitosti; budući da je EIGE poduzeo proaktivne korake kako bi primijenio aktualne mjere za poboljšanje rodne uravnoteženosti svojeg osoblja;</w:t>
      </w:r>
    </w:p>
    <w:p w:rsidR="00F12D88" w:rsidRPr="00F12D88" w:rsidRDefault="006D2214" w:rsidP="00F12D88">
      <w:pPr>
        <w:pStyle w:val="NormalHanging12a"/>
        <w:rPr>
          <w:szCs w:val="24"/>
        </w:rPr>
      </w:pPr>
      <w:r>
        <w:t>C.</w:t>
      </w:r>
      <w:r>
        <w:tab/>
        <w:t>budući da indeks rodne ravnopravnosti za 2023. pokazuje da su države članice ostvarile skromno povećanje od samo 1,6 bodova do razine od 70,2 boda te da su u nekim područjima vidljivi znakovi nazadovanja, posebno u gospodarskim parametrima i parametrima prihoda</w:t>
      </w:r>
      <w:r>
        <w:rPr>
          <w:vertAlign w:val="superscript"/>
        </w:rPr>
        <w:footnoteReference w:id="1"/>
      </w:r>
      <w:r>
        <w:t xml:space="preserve">; budući da je Europski institut za ravnopravnost spolova (EIGE) osnovan kako bi doprinio rodnoj ravnopravnosti u Uniji te kako bi ojačao njezino promicanje, što se odnosi i na uključivanje rodne osviještenosti u sve politike Unije i nacionalne politike koje iz njih proizlaze, borbu protiv rodne diskriminacije te podizanje razine osviještenosti građana EU-a o rodnoj ravnopravnosti; </w:t>
      </w:r>
    </w:p>
    <w:p w:rsidR="00F12D88" w:rsidRPr="00F12D88" w:rsidRDefault="006D2214" w:rsidP="00F12D88">
      <w:pPr>
        <w:pStyle w:val="NormalHanging12a"/>
        <w:rPr>
          <w:szCs w:val="24"/>
        </w:rPr>
      </w:pPr>
      <w:r>
        <w:t>D.</w:t>
      </w:r>
      <w:r>
        <w:tab/>
        <w:t xml:space="preserve">budući da je u svjetlu aktualnih kriza kao što su ratovi, klimatska kriza, inflacija i nazadovanje u pogledu prava žena, a posebno u pogledu spolnog i reproduktivnog zdravlja i prava, u Uniji i svijetu, sve hitnije da Unija ostvari napredak u pogledu svoje strategije za rodnu ravnopravnost; budući da aktualne krize koje su uslijedile nose rizik od usporavanja ulaganja napora za postizanje rodne ravnopravnosti i rizik u pogledu prepreka potpunom uživanju prava žena; budući da siromaštvo ili socijalna isključenost u EU-u teže pogađaju žene nego muškarce; budući da uloga primarnih skrbnika u obitelji za žene znači nerazmjernu količinu neplaćene skrbi i rada u kućanstvu jer su upravo one te koje u tom pogledu imaju ključnu ulogu; budući da razlika u plaći na temelju spola u EU-u iznosi 13 %, uz varijacije po državama članicama; budući da razlika u plaći na temelju spola sa sobom povlači niz posljedica, uključujući razliku od 29 % u mirovinskim pravima, zbog čega su starije žene izložene većem riziku od siromaštva i socijalne isključenosti; budući da se pravo na jednaku plaću za jednak rad ne poštuje uvijek te i dalje predstavlja jedan od najvećih izazova u nastojanjima da se prevlada diskriminacija u plaćama; budući da su borba protiv diskriminacije između muškaraca i žena u pristupu zapošljavanju i radu kao i promicanje jednakosti u karijeri i profesionalnim kategorijama u strukovnom osposobljavanju ključni; budući da bi države članice trebale povećati javna ulaganja u politike kojima se, izravno ili neizravno, nastoji suzbiti negativne učinke krize rastućih troškova života na žene u svoj </w:t>
      </w:r>
      <w:r>
        <w:lastRenderedPageBreak/>
        <w:t>njihovoj raznolikosti, zajamčiti pristup visokokvalitetnim, cjenovno pristupačnim javnim uslugama u području skrbi, obrazovanja, zdravstva, uključujući spolno i reproduktivno zdravlje i prava, i stanovanja, te zaštititi žrtve rodno uvjetovanog nasilja;</w:t>
      </w:r>
    </w:p>
    <w:p w:rsidR="00F12D88" w:rsidRPr="00F12D88" w:rsidRDefault="006D2214" w:rsidP="00F12D88">
      <w:pPr>
        <w:pStyle w:val="NormalHanging12a"/>
        <w:rPr>
          <w:szCs w:val="24"/>
        </w:rPr>
      </w:pPr>
      <w:r>
        <w:t>E.</w:t>
      </w:r>
      <w:r>
        <w:tab/>
        <w:t>budući da je konačni proračun Europskog instituta za ravnopravnost spolova (EIGE) za financijsku godinu 2022. iznosio 8 432 920 EUR, što je smanjenje od 3 % u odnosu na 2021. (8 693 358 EUR); budući da je cjelokupni proračun Instituta financiran iz proračuna Unije;</w:t>
      </w:r>
    </w:p>
    <w:p w:rsidR="00F12D88" w:rsidRPr="00F12D88" w:rsidRDefault="006D2214" w:rsidP="00F12D88">
      <w:pPr>
        <w:pStyle w:val="NormalHanging12a"/>
        <w:rPr>
          <w:szCs w:val="24"/>
        </w:rPr>
      </w:pPr>
      <w:r>
        <w:t>1.</w:t>
      </w:r>
      <w:r>
        <w:tab/>
        <w:t>podsjeća da je EIGE osnovan kako bi podupro i ojačao promicanje rodne ravnopravnosti u Uniji i to stavljanjem na raspolaganje kvalitetnih istraživanja i usporedivih podataka, s ciljem da se europskim institucijama i državama članicama pomogne da uključe rodnu ravnopravnost u sve svoje politike i da se bore protiv rodno uvjetovane diskriminacije; stoga naglašava ključnu ulogu koju EIGE ima za tvorce politika i politike Europske unije i njezinih država članica kada je riječ o prikupljanju, analizi, obradi i širenju podataka i potrebnih informacija; posebno pozdravlja kontinuirani rad Instituta na indeksu rodne ravnopravnosti te jednostavnost pristupa informacijama za građane; naglašava potrebu za snažnijom i učinkovitijom integracijom politika rodne ravnopravnosti i alata za rodno osviještenu politiku; ponovno poziva da se EIGE-u dodijele dodatni ljudski resursi, uključujući statutarno osoblje, s obzirom na sve veći broj hitnih zahtjeva, tehničku podršku i zahtjeve za njegovim uslugama; stoga poziva na to da se za proračun Instituta dodijele veći iznosi kako bi mogao poboljšati svoje kapacitete za zapošljavanje i istraživanje i na taj način dodatno unaprijediti svoj rad i rezultate s obzirom na krize koje su uslijedile i na nazadovanja u pogledu rodne ravnopravnosti i prava LGBTIQ+ osoba, koji nerazmjerno pogađaju žene;</w:t>
      </w:r>
    </w:p>
    <w:p w:rsidR="00F12D88" w:rsidRPr="00F12D88" w:rsidRDefault="006D2214" w:rsidP="00F12D88">
      <w:pPr>
        <w:pStyle w:val="NormalHanging12a"/>
        <w:rPr>
          <w:szCs w:val="24"/>
        </w:rPr>
      </w:pPr>
      <w:r>
        <w:t>2.</w:t>
      </w:r>
      <w:r>
        <w:tab/>
        <w:t>naglašava važnost borbe protiv neravnopravnosti i nepravde prema ženama; poziva Komisiju i države članice da poduzmu hitne mjere za rješavanje problema siromaštva i sve većih nejednakosti kada je riječ o ženama, posebno iz skupina u ranjivom položaju, uključujući samohrane majke, žene s invaliditetom, rasno diskriminirane žene, pripadnice skupine LGBTIQ+, migrantice i izbjeglice, starije žene, žene u ruralnim ili rijetko naseljenim područjima; konstatira da bi se to moglo postići na način da se ispuni potreba za povećanim financiranjem mjera rodne ravnopravnosti u pogledu zapošljavanja i rasta, kao i borbom protiv rodno uvjetovanog nasilja i razlike u plaćama između muškaraca i žena, razlike u mirovinama između muškaraca i žena, učinka kriza na žene, te rodno osviještenom politikom i donošenjem rodno osjetljivog proračuna uz uzimanje u obzir sve veće stope siromaštva među ženama, kao i u pogledu prava, demokracije i vladavine prava; u tom smislu pozdravlja kontinuiranu suradnju između EIGE-a i Odbora za prava žena i rodnu ravnopravnost (FEMM); ističe ogromne napore i vrijedan doprinos EIGE-a kada je riječ o jamčenju ostvarenja ciljeva, vrijednosti i prioriteta Europskog parlamenta; snažno podupire rad Instituta, koji zahvaljujući studijama, istraživanjima i visokokvalitetnim podacima omogućuje Odboru da kvalitetno obavlja svoj posao; konstatira važnost dostupnosti pouzdanih podataka razvrstanih po spolu kako bi se omogućilo donošenje politika na temelju dokaza; prima na znanje vrijedan doprinos koji EIGE može dati svim odborima Europskog parlamenta i drugim agencijama EU-a kako bi se rodna dimenzija bolje integrirala u sve politike EU-a;</w:t>
      </w:r>
    </w:p>
    <w:p w:rsidR="00F12D88" w:rsidRPr="00F12D88" w:rsidRDefault="006D2214" w:rsidP="00F12D88">
      <w:pPr>
        <w:pStyle w:val="NormalHanging12a"/>
        <w:rPr>
          <w:szCs w:val="24"/>
        </w:rPr>
      </w:pPr>
      <w:r>
        <w:lastRenderedPageBreak/>
        <w:t>3.</w:t>
      </w:r>
      <w:r>
        <w:tab/>
        <w:t>konstatira kontinuirano visoku razinu izvršenja proračuna EIGE-a, unatoč  kontinuirano nedovoljnom broju osoblja Agencije, pri čemu su odobrena sredstva za preuzimanje obveza 2022. iznosila do 97,91 % (u usporedbi s 98,92 % u 2021.), a stopa odobrenih sredstava za plaćanje 81,10 % (72,16 % u 2021.);</w:t>
      </w:r>
    </w:p>
    <w:p w:rsidR="00F12D88" w:rsidRPr="00F12D88" w:rsidRDefault="006D2214" w:rsidP="00F12D88">
      <w:pPr>
        <w:pStyle w:val="NormalHanging12a"/>
        <w:rPr>
          <w:szCs w:val="24"/>
        </w:rPr>
      </w:pPr>
      <w:r>
        <w:t>4.</w:t>
      </w:r>
      <w:r>
        <w:tab/>
        <w:t>prima na znanje smanjenje prenesenih rashoda poslovanja EIGE-a na 42,28 % 2023. (54,79 % 2022.);</w:t>
      </w:r>
    </w:p>
    <w:p w:rsidR="00F12D88" w:rsidRPr="00F12D88" w:rsidRDefault="006D2214" w:rsidP="00F12D88">
      <w:pPr>
        <w:pStyle w:val="NormalHanging12a"/>
      </w:pPr>
      <w:r>
        <w:t>5.</w:t>
      </w:r>
      <w:r>
        <w:tab/>
        <w:t>konstatira da je Europski revizorski sud potvrdio da godišnja računovodstvena dokumentacija EIGE-a u svim značajnim aspektima vjerno prikazuje njegovo financijsko stanje na dan 31. prosinca 2022. te rezultate poslovanja, novčane tokove i promjene u neto imovini za prethodnu godinu;</w:t>
      </w:r>
    </w:p>
    <w:p w:rsidR="00F12D88" w:rsidRPr="00F12D88" w:rsidRDefault="006D2214" w:rsidP="00F12D88">
      <w:pPr>
        <w:pStyle w:val="NormalHanging12a"/>
        <w:rPr>
          <w:szCs w:val="24"/>
        </w:rPr>
      </w:pPr>
      <w:r>
        <w:t>6.</w:t>
      </w:r>
      <w:r>
        <w:tab/>
        <w:t>smatra da se, na temelju trenutačno dostupnih podataka, direktorici EIGE-a treba dati razrješnica za izvršenje proračuna za financijsku godinu 2022.</w:t>
      </w:r>
    </w:p>
    <w:p w:rsidR="00F12D88" w:rsidRPr="00F12D88" w:rsidRDefault="006D2214" w:rsidP="00F12D88">
      <w:r>
        <w:br w:type="page"/>
      </w:r>
    </w:p>
    <w:p w:rsidR="00F12D88" w:rsidRPr="00F12D88" w:rsidRDefault="006D2214" w:rsidP="00F12D88">
      <w:pPr>
        <w:pStyle w:val="PageHeadingNotTOC"/>
        <w:rPr>
          <w:noProof/>
        </w:rPr>
      </w:pPr>
      <w:r>
        <w:lastRenderedPageBreak/>
        <w:t>PRILOG: SUBJEKTI ILI OSOBE</w:t>
      </w:r>
      <w:r>
        <w:br/>
        <w:t>OD KOJIH JE IZVJESTITELJ PRIMIO INFORMACIJE</w:t>
      </w:r>
    </w:p>
    <w:p w:rsidR="00F12D88" w:rsidRPr="00F12D88" w:rsidRDefault="006D2214" w:rsidP="00F12D88">
      <w:pPr>
        <w:pStyle w:val="Normal24a"/>
      </w:pPr>
      <w:r>
        <w:rPr>
          <w:rStyle w:val="HideTWBExt"/>
        </w:rPr>
        <w:t>&lt;FootprintIntro&gt;</w:t>
      </w:r>
      <w:r>
        <w:t>Predsjednik u svojstvu izvjestitelja izjavljuje, pod svojom isključivom odgovornošću, da nije primio nikakve informacije ni od jednog subjekta ili osobe koje bi u skladu s člankom 8. Priloga I. Poslovniku trebalo navesti u ovom Prilogu.</w:t>
      </w:r>
      <w:r>
        <w:rPr>
          <w:rStyle w:val="HideTWBExt"/>
        </w:rPr>
        <w:t>&lt;/FootprintIntro&gt;</w:t>
      </w:r>
    </w:p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F12D88" w:rsidRPr="00F12D88" w:rsidRDefault="00F12D88" w:rsidP="00F12D88"/>
    <w:p w:rsidR="00706C48" w:rsidRPr="00F12D88" w:rsidRDefault="006D2214" w:rsidP="00706C48">
      <w:pPr>
        <w:pStyle w:val="PageHeadingNotTOC"/>
      </w:pPr>
      <w:r>
        <w:lastRenderedPageBreak/>
        <w:t>INFORMACIJE O USVAJANJU U ODBORU KOJI DAJE MIŠLJENJE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70185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usvajanja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706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706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706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70185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Rezultat konačnog glasovanja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</w:t>
            </w:r>
          </w:p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0185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Zastupnici nazočni na konačnom glasovanju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Christine Anderson, Robert Biedroń, Vilija Blinkevičiūtė, Annika Bruna, Maria da Graça Carvalho, Margarita de la Pisa Carrión, Gwendoline Delbos-Corfield, Frances Fitzgerald, Lívia Járóka, Arba Kokalari, Alice Kuhnke, Elżbieta Katarzyna Łukacijewska, Andżelika Anna Możdżanowska, Johan Nissinen, Carina Ohlsson, Samira Rafaela, Evelyn Regner, Diana Riba i Giner, Eugenia Rodríguez Palop, María Soraya Rodríguez Ramos, Maria Veronica Rossi, Sylwia Spurek, Marco Zullo</w:t>
            </w:r>
          </w:p>
        </w:tc>
      </w:tr>
      <w:tr w:rsidR="0070185B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Zamjenici nazočni na konačnom glasovanju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70185B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Zamjenici nazočni na konačnom glasovanju prema čl. 209. st. 7.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6C48" w:rsidRPr="00F12D88" w:rsidRDefault="006D22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Milan Brglez, Rainer Wieland</w:t>
            </w:r>
          </w:p>
        </w:tc>
      </w:tr>
    </w:tbl>
    <w:p w:rsidR="00706C48" w:rsidRPr="00F12D88" w:rsidRDefault="00706C48"/>
    <w:bookmarkEnd w:id="0"/>
    <w:p w:rsidR="00F12D88" w:rsidRPr="00F12D88" w:rsidRDefault="00F12D88" w:rsidP="00F12D88">
      <w:pPr>
        <w:sectPr w:rsidR="00F12D88" w:rsidRPr="00F12D88" w:rsidSect="00F12D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F12D88" w:rsidRPr="00F12D88" w:rsidRDefault="006D2214" w:rsidP="00C36610">
      <w:pPr>
        <w:pStyle w:val="PageHeadingNotTOC"/>
      </w:pPr>
      <w:bookmarkStart w:id="1" w:name="RollCallPageAD"/>
      <w:r>
        <w:lastRenderedPageBreak/>
        <w:t>POIMENIČNO KONAČNO GLASOVANJE U ODBORU KOJI DAJE MIŠLJENJE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70185B" w:rsidTr="00EC6A49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F12D88" w:rsidRPr="00F12D88" w:rsidRDefault="006D2214" w:rsidP="00EC6A49">
            <w:pPr>
              <w:pStyle w:val="RollCallVotes"/>
            </w:pPr>
            <w:r>
              <w:t>23</w:t>
            </w:r>
          </w:p>
        </w:tc>
        <w:tc>
          <w:tcPr>
            <w:tcW w:w="7371" w:type="dxa"/>
            <w:shd w:val="pct10" w:color="000000" w:fill="FFFFFF"/>
          </w:tcPr>
          <w:p w:rsidR="00F12D88" w:rsidRPr="00F12D88" w:rsidRDefault="006D2214" w:rsidP="00EC6A49">
            <w:pPr>
              <w:pStyle w:val="RollCallSymbols14pt"/>
            </w:pPr>
            <w:r>
              <w:t>+</w:t>
            </w:r>
          </w:p>
        </w:tc>
      </w:tr>
      <w:tr w:rsidR="0070185B" w:rsidTr="00EC6A49">
        <w:trPr>
          <w:cantSplit/>
        </w:trPr>
        <w:tc>
          <w:tcPr>
            <w:tcW w:w="170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Maria da Graça Carvalho, Frances Fitzgerald, Arba Kokalari, Elżbieta Katarzyna Łukacijewska, Eleni Stavrou, Rainer Wieland</w:t>
            </w:r>
          </w:p>
        </w:tc>
      </w:tr>
      <w:tr w:rsidR="0070185B" w:rsidTr="00EC6A49">
        <w:trPr>
          <w:cantSplit/>
        </w:trPr>
        <w:tc>
          <w:tcPr>
            <w:tcW w:w="170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Sylvie Brunet, Samira Rafaela, María Soraya Rodríguez Ramos, Marco Zullo</w:t>
            </w:r>
          </w:p>
        </w:tc>
      </w:tr>
      <w:tr w:rsidR="0070185B" w:rsidTr="00EC6A49">
        <w:trPr>
          <w:cantSplit/>
        </w:trPr>
        <w:tc>
          <w:tcPr>
            <w:tcW w:w="170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Laura Ballarín Cereza, Robert Biedroń, Vilija Blinkevičiūtė, Milan Brglez, Marina Kaljurand, Carina Ohlsson, Evelyn Regner</w:t>
            </w:r>
          </w:p>
        </w:tc>
      </w:tr>
      <w:tr w:rsidR="0070185B" w:rsidTr="00EC6A49">
        <w:trPr>
          <w:cantSplit/>
        </w:trPr>
        <w:tc>
          <w:tcPr>
            <w:tcW w:w="170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Sandra Pereira, Eugenia Rodríguez Palop</w:t>
            </w:r>
          </w:p>
        </w:tc>
      </w:tr>
      <w:tr w:rsidR="0070185B" w:rsidTr="00EC6A49">
        <w:trPr>
          <w:cantSplit/>
        </w:trPr>
        <w:tc>
          <w:tcPr>
            <w:tcW w:w="170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Gwendoline Delbos-Corfield, Alice Kuhnke, Diana Riba i Giner, Sylwia Spurek</w:t>
            </w:r>
          </w:p>
        </w:tc>
      </w:tr>
    </w:tbl>
    <w:p w:rsidR="00F12D88" w:rsidRPr="00F12D88" w:rsidRDefault="00F12D88" w:rsidP="00F12D8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70185B" w:rsidTr="00EC6A49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F12D88" w:rsidRPr="00F12D88" w:rsidRDefault="006D2214" w:rsidP="00EC6A49">
            <w:pPr>
              <w:pStyle w:val="RollCallVotes"/>
            </w:pPr>
            <w:r>
              <w:t>4</w:t>
            </w:r>
          </w:p>
        </w:tc>
        <w:tc>
          <w:tcPr>
            <w:tcW w:w="7371" w:type="dxa"/>
            <w:shd w:val="pct10" w:color="000000" w:fill="FFFFFF"/>
          </w:tcPr>
          <w:p w:rsidR="00F12D88" w:rsidRPr="00F12D88" w:rsidRDefault="006D2214" w:rsidP="00EC6A49">
            <w:pPr>
              <w:pStyle w:val="RollCallSymbols14pt"/>
            </w:pPr>
            <w:r>
              <w:t>-</w:t>
            </w:r>
          </w:p>
        </w:tc>
      </w:tr>
      <w:tr w:rsidR="0070185B" w:rsidTr="00EC6A49">
        <w:trPr>
          <w:cantSplit/>
        </w:trPr>
        <w:tc>
          <w:tcPr>
            <w:tcW w:w="170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Johan Nissinen, Margarita de la Pisa Carrión</w:t>
            </w:r>
          </w:p>
        </w:tc>
      </w:tr>
      <w:tr w:rsidR="0070185B" w:rsidTr="00EC6A49">
        <w:trPr>
          <w:cantSplit/>
        </w:trPr>
        <w:tc>
          <w:tcPr>
            <w:tcW w:w="170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Christine Anderson, Maria Veronica Rossi</w:t>
            </w:r>
          </w:p>
        </w:tc>
      </w:tr>
    </w:tbl>
    <w:p w:rsidR="00F12D88" w:rsidRPr="00F12D88" w:rsidRDefault="00F12D88" w:rsidP="00F12D8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70185B" w:rsidTr="00EC6A49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F12D88" w:rsidRPr="00F12D88" w:rsidRDefault="006D2214" w:rsidP="00EC6A49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:rsidR="00F12D88" w:rsidRPr="00F12D88" w:rsidRDefault="006D2214" w:rsidP="00EC6A49">
            <w:pPr>
              <w:pStyle w:val="RollCallSymbols14pt"/>
            </w:pPr>
            <w:r>
              <w:t>0</w:t>
            </w:r>
          </w:p>
        </w:tc>
      </w:tr>
      <w:tr w:rsidR="0070185B" w:rsidTr="00EC6A49">
        <w:trPr>
          <w:cantSplit/>
        </w:trPr>
        <w:tc>
          <w:tcPr>
            <w:tcW w:w="170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Andżelika Anna Możdżanowska</w:t>
            </w:r>
          </w:p>
        </w:tc>
      </w:tr>
      <w:tr w:rsidR="0070185B" w:rsidTr="00EC6A49">
        <w:trPr>
          <w:cantSplit/>
        </w:trPr>
        <w:tc>
          <w:tcPr>
            <w:tcW w:w="170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F12D88" w:rsidRPr="00F12D88" w:rsidRDefault="006D2214" w:rsidP="00EC6A49">
            <w:pPr>
              <w:pStyle w:val="RollCallTable"/>
            </w:pPr>
            <w:r>
              <w:t>Lívia Járóka</w:t>
            </w:r>
          </w:p>
        </w:tc>
      </w:tr>
    </w:tbl>
    <w:p w:rsidR="00F12D88" w:rsidRPr="00F12D88" w:rsidRDefault="00F12D88" w:rsidP="00147FBF">
      <w:pPr>
        <w:pStyle w:val="Normal12a"/>
      </w:pPr>
    </w:p>
    <w:p w:rsidR="00F12D88" w:rsidRPr="00F12D88" w:rsidRDefault="006D2214" w:rsidP="00B735E3">
      <w:r>
        <w:t>Korišteni znakovi:</w:t>
      </w:r>
    </w:p>
    <w:p w:rsidR="00F12D88" w:rsidRPr="00F12D88" w:rsidRDefault="006D2214" w:rsidP="003858C5">
      <w:pPr>
        <w:pStyle w:val="RollCallTabs"/>
      </w:pPr>
      <w:r>
        <w:t>+</w:t>
      </w:r>
      <w:r>
        <w:tab/>
        <w:t>:</w:t>
      </w:r>
      <w:r>
        <w:tab/>
        <w:t>za</w:t>
      </w:r>
    </w:p>
    <w:p w:rsidR="00F12D88" w:rsidRPr="00F12D88" w:rsidRDefault="006D2214" w:rsidP="003858C5">
      <w:pPr>
        <w:pStyle w:val="RollCallTabs"/>
      </w:pPr>
      <w:r>
        <w:t>-</w:t>
      </w:r>
      <w:r>
        <w:tab/>
        <w:t>:</w:t>
      </w:r>
      <w:r>
        <w:tab/>
        <w:t>protiv</w:t>
      </w:r>
    </w:p>
    <w:p w:rsidR="00F12D88" w:rsidRPr="00F12D88" w:rsidRDefault="006D2214" w:rsidP="003858C5">
      <w:pPr>
        <w:pStyle w:val="RollCallTabs"/>
      </w:pPr>
      <w:r>
        <w:t>0</w:t>
      </w:r>
      <w:r>
        <w:tab/>
        <w:t>:</w:t>
      </w:r>
      <w:r>
        <w:tab/>
        <w:t>suzdržani</w:t>
      </w:r>
      <w:bookmarkStart w:id="2" w:name="_GoBack"/>
      <w:bookmarkEnd w:id="2"/>
    </w:p>
    <w:bookmarkEnd w:id="1"/>
    <w:sectPr w:rsidR="00F12D88" w:rsidRPr="00F12D88" w:rsidSect="00F12D8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803" w:rsidRDefault="006D2214">
      <w:r>
        <w:separator/>
      </w:r>
    </w:p>
  </w:endnote>
  <w:endnote w:type="continuationSeparator" w:id="0">
    <w:p w:rsidR="003D0803" w:rsidRDefault="006D2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D88" w:rsidRPr="00F12D88" w:rsidRDefault="006D2214" w:rsidP="00F12D88">
    <w:pPr>
      <w:pStyle w:val="EPFooter"/>
    </w:pPr>
    <w:r w:rsidRPr="00F12D88">
      <w:t>PE</w:t>
    </w:r>
    <w:r w:rsidRPr="00F12D88">
      <w:rPr>
        <w:rStyle w:val="HideTWBExt"/>
      </w:rPr>
      <w:t>&lt;NoPE&gt;</w:t>
    </w:r>
    <w:r w:rsidRPr="00F12D88">
      <w:t>754.839</w:t>
    </w:r>
    <w:r w:rsidRPr="00F12D88">
      <w:rPr>
        <w:rStyle w:val="HideTWBExt"/>
      </w:rPr>
      <w:t>&lt;/NoPE&gt;&lt;Version&gt;</w:t>
    </w:r>
    <w:r w:rsidRPr="00F12D88">
      <w:t>v02-00</w:t>
    </w:r>
    <w:r w:rsidRPr="00F12D88">
      <w:rPr>
        <w:rStyle w:val="HideTWBExt"/>
      </w:rPr>
      <w:t>&lt;/Version&gt;</w:t>
    </w:r>
    <w:r w:rsidRPr="00F12D88">
      <w:tab/>
    </w:r>
    <w:r w:rsidRPr="00F12D88">
      <w:fldChar w:fldCharType="begin"/>
    </w:r>
    <w:r w:rsidRPr="00F12D88">
      <w:instrText xml:space="preserve"> PAGE  \* MERGEFORMAT </w:instrText>
    </w:r>
    <w:r w:rsidRPr="00F12D88">
      <w:fldChar w:fldCharType="separate"/>
    </w:r>
    <w:r w:rsidR="00A37543">
      <w:rPr>
        <w:noProof/>
      </w:rPr>
      <w:t>2</w:t>
    </w:r>
    <w:r w:rsidRPr="00F12D88">
      <w:fldChar w:fldCharType="end"/>
    </w:r>
    <w:r w:rsidRPr="00F12D88">
      <w:t>/</w:t>
    </w:r>
    <w:r w:rsidR="00796792">
      <w:fldChar w:fldCharType="begin"/>
    </w:r>
    <w:r>
      <w:instrText xml:space="preserve"> NUMPAGES  \* MERGEFORMAT </w:instrText>
    </w:r>
    <w:r w:rsidR="00796792">
      <w:fldChar w:fldCharType="separate"/>
    </w:r>
    <w:r w:rsidR="00A37543">
      <w:rPr>
        <w:noProof/>
      </w:rPr>
      <w:t>8</w:t>
    </w:r>
    <w:r w:rsidR="00796792">
      <w:rPr>
        <w:noProof/>
      </w:rPr>
      <w:fldChar w:fldCharType="end"/>
    </w:r>
    <w:r w:rsidRPr="00F12D88">
      <w:tab/>
    </w:r>
    <w:r w:rsidRPr="00F12D88">
      <w:rPr>
        <w:rStyle w:val="HideTWBExt"/>
      </w:rPr>
      <w:t>&lt;PathFdR&gt;</w:t>
    </w:r>
    <w:r w:rsidRPr="00F12D88">
      <w:t>AD\1294966HR.docx</w:t>
    </w:r>
    <w:r w:rsidRPr="00F12D88">
      <w:rPr>
        <w:rStyle w:val="HideTWBExt"/>
      </w:rPr>
      <w:t>&lt;/PathFdR&gt;</w:t>
    </w:r>
  </w:p>
  <w:p w:rsidR="002E2F2E" w:rsidRPr="00F12D88" w:rsidRDefault="006D2214" w:rsidP="00F12D88">
    <w:pPr>
      <w:pStyle w:val="EPFooter2"/>
    </w:pPr>
    <w:r w:rsidRPr="00F12D88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D88" w:rsidRPr="00F12D88" w:rsidRDefault="006D2214" w:rsidP="00F12D88">
    <w:pPr>
      <w:pStyle w:val="EPFooter"/>
    </w:pPr>
    <w:r w:rsidRPr="00F12D88">
      <w:rPr>
        <w:rStyle w:val="HideTWBExt"/>
      </w:rPr>
      <w:t>&lt;PathFdR&gt;</w:t>
    </w:r>
    <w:r w:rsidRPr="00F12D88">
      <w:t>AD\1294966HR.docx</w:t>
    </w:r>
    <w:r w:rsidRPr="00F12D88">
      <w:rPr>
        <w:rStyle w:val="HideTWBExt"/>
      </w:rPr>
      <w:t>&lt;/PathFdR&gt;</w:t>
    </w:r>
    <w:r w:rsidRPr="00F12D88">
      <w:tab/>
    </w:r>
    <w:r w:rsidRPr="00F12D88">
      <w:fldChar w:fldCharType="begin"/>
    </w:r>
    <w:r w:rsidRPr="00F12D88">
      <w:instrText xml:space="preserve"> PAGE  \* MERGEFORMAT </w:instrText>
    </w:r>
    <w:r w:rsidRPr="00F12D88">
      <w:fldChar w:fldCharType="separate"/>
    </w:r>
    <w:r w:rsidR="00A37543">
      <w:rPr>
        <w:noProof/>
      </w:rPr>
      <w:t>7</w:t>
    </w:r>
    <w:r w:rsidRPr="00F12D88">
      <w:fldChar w:fldCharType="end"/>
    </w:r>
    <w:r w:rsidRPr="00F12D88">
      <w:t>/</w:t>
    </w:r>
    <w:r w:rsidR="00796792">
      <w:fldChar w:fldCharType="begin"/>
    </w:r>
    <w:r>
      <w:instrText xml:space="preserve"> NUMPAGES  \* MERGEFORMAT </w:instrText>
    </w:r>
    <w:r w:rsidR="00796792">
      <w:fldChar w:fldCharType="separate"/>
    </w:r>
    <w:r w:rsidR="00A37543">
      <w:rPr>
        <w:noProof/>
      </w:rPr>
      <w:t>8</w:t>
    </w:r>
    <w:r w:rsidR="00796792">
      <w:rPr>
        <w:noProof/>
      </w:rPr>
      <w:fldChar w:fldCharType="end"/>
    </w:r>
    <w:r w:rsidRPr="00F12D88">
      <w:tab/>
      <w:t>PE</w:t>
    </w:r>
    <w:r w:rsidRPr="00F12D88">
      <w:rPr>
        <w:rStyle w:val="HideTWBExt"/>
      </w:rPr>
      <w:t>&lt;NoPE&gt;</w:t>
    </w:r>
    <w:r w:rsidRPr="00F12D88">
      <w:t>754.839</w:t>
    </w:r>
    <w:r w:rsidRPr="00F12D88">
      <w:rPr>
        <w:rStyle w:val="HideTWBExt"/>
      </w:rPr>
      <w:t>&lt;/NoPE&gt;&lt;Version&gt;</w:t>
    </w:r>
    <w:r w:rsidRPr="00F12D88">
      <w:t>v02-00</w:t>
    </w:r>
    <w:r w:rsidRPr="00F12D88">
      <w:rPr>
        <w:rStyle w:val="HideTWBExt"/>
      </w:rPr>
      <w:t>&lt;/Version&gt;</w:t>
    </w:r>
  </w:p>
  <w:p w:rsidR="002E2F2E" w:rsidRPr="00F12D88" w:rsidRDefault="006D2214" w:rsidP="00F12D88">
    <w:pPr>
      <w:pStyle w:val="EPFooter2"/>
    </w:pPr>
    <w:r w:rsidRPr="00F12D88">
      <w:tab/>
    </w:r>
    <w:r w:rsidRPr="00F12D88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D88" w:rsidRPr="00F12D88" w:rsidRDefault="006D2214" w:rsidP="00F12D88">
    <w:pPr>
      <w:pStyle w:val="EPFooter"/>
    </w:pPr>
    <w:r w:rsidRPr="00F12D88">
      <w:rPr>
        <w:rStyle w:val="HideTWBExt"/>
      </w:rPr>
      <w:t>&lt;PathFdR&gt;</w:t>
    </w:r>
    <w:r w:rsidRPr="00F12D88">
      <w:t>AD\1294966HR.docx</w:t>
    </w:r>
    <w:r w:rsidRPr="00F12D88">
      <w:rPr>
        <w:rStyle w:val="HideTWBExt"/>
      </w:rPr>
      <w:t>&lt;/PathFdR&gt;</w:t>
    </w:r>
    <w:r w:rsidRPr="00F12D88">
      <w:tab/>
    </w:r>
    <w:r w:rsidRPr="00F12D88">
      <w:tab/>
      <w:t>PE</w:t>
    </w:r>
    <w:r w:rsidRPr="00F12D88">
      <w:rPr>
        <w:rStyle w:val="HideTWBExt"/>
      </w:rPr>
      <w:t>&lt;NoPE&gt;</w:t>
    </w:r>
    <w:r w:rsidRPr="00F12D88">
      <w:t>754.839</w:t>
    </w:r>
    <w:r w:rsidRPr="00F12D88">
      <w:rPr>
        <w:rStyle w:val="HideTWBExt"/>
      </w:rPr>
      <w:t>&lt;/NoPE&gt;&lt;Version&gt;</w:t>
    </w:r>
    <w:r w:rsidRPr="00F12D88">
      <w:t>v02-00</w:t>
    </w:r>
    <w:r w:rsidRPr="00F12D88">
      <w:rPr>
        <w:rStyle w:val="HideTWBExt"/>
      </w:rPr>
      <w:t>&lt;/Version&gt;</w:t>
    </w:r>
  </w:p>
  <w:p w:rsidR="002E2F2E" w:rsidRPr="00F12D88" w:rsidRDefault="006D2214" w:rsidP="00F12D88">
    <w:pPr>
      <w:pStyle w:val="EPFooter2"/>
    </w:pPr>
    <w:r w:rsidRPr="00F12D88">
      <w:t>HR</w:t>
    </w:r>
    <w:r w:rsidRPr="00F12D88">
      <w:tab/>
    </w:r>
    <w:r w:rsidRPr="00F12D88">
      <w:rPr>
        <w:b w:val="0"/>
        <w:i/>
        <w:color w:val="C0C0C0"/>
        <w:sz w:val="22"/>
      </w:rPr>
      <w:t>Ujedinjena u raznolikosti</w:t>
    </w:r>
    <w:r w:rsidRPr="00F12D88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941" w:rsidRPr="00F12D88" w:rsidRDefault="006D2214">
      <w:r w:rsidRPr="00F12D88">
        <w:separator/>
      </w:r>
    </w:p>
  </w:footnote>
  <w:footnote w:type="continuationSeparator" w:id="0">
    <w:p w:rsidR="00E71941" w:rsidRPr="00F12D88" w:rsidRDefault="006D2214">
      <w:r w:rsidRPr="00F12D88">
        <w:continuationSeparator/>
      </w:r>
    </w:p>
  </w:footnote>
  <w:footnote w:id="1">
    <w:p w:rsidR="00F12D88" w:rsidRPr="00F12D88" w:rsidRDefault="006D2214" w:rsidP="00F12D88">
      <w:pPr>
        <w:pStyle w:val="FootnoteText"/>
      </w:pPr>
      <w:r>
        <w:rPr>
          <w:rStyle w:val="FootnoteReference"/>
        </w:rPr>
        <w:footnoteRef/>
      </w:r>
      <w:r>
        <w:t xml:space="preserve"> https://eige.europa.eu/gender-equality-index/2023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D09" w:rsidRDefault="00474D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D09" w:rsidRDefault="00474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D09" w:rsidRDefault="00474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NU" w:val=" 2"/>
    <w:docVar w:name="CJMNU" w:val="1"/>
    <w:docVar w:name="CODEMNU" w:val=" 7"/>
    <w:docVar w:name="COM2KEY" w:val="CONT"/>
    <w:docVar w:name="COMKEY" w:val="FEMM"/>
    <w:docVar w:name="LastEditedSection" w:val=" 2"/>
    <w:docVar w:name="RepeatBlock-AmendHR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5\fbidi \froman\fcharset238\fprq2 Times New Roman CE;}{\f336\fbidi \froman\fcharset204\fprq2 Times New Roman Cyr;}_x000d__x000a_{\f338\fbidi \froman\fcharset161\fprq2 Times New Roman Greek;}{\f339\fbidi \froman\fcharset162\fprq2 Times New Roman Tur;}{\f340\fbidi \froman\fcharset177\fprq2 Times New Roman (Hebrew);}{\f341\fbidi \froman\fcharset178\fprq2 Times New Roman (Arabic);}_x000d__x000a_{\f342\fbidi \froman\fcharset186\fprq2 Times New Roman Baltic;}{\f343\fbidi \froman\fcharset163\fprq2 Times New Roman (Vietnamese);}{\f345\fbidi \fswiss\fcharset238\fprq2 Arial CE;}{\f346\fbidi \fswiss\fcharset204\fprq2 Arial Cyr;}_x000d__x000a_{\f348\fbidi \fswiss\fcharset161\fprq2 Arial Greek;}{\f349\fbidi \fswiss\fcharset162\fprq2 Arial Tur;}{\f350\fbidi \fswiss\fcharset177\fprq2 Arial (Hebrew);}{\f351\fbidi \fswiss\fcharset178\fprq2 Arial (Arabic);}_x000d__x000a_{\f352\fbidi \fswiss\fcharset186\fprq2 Arial Baltic;}{\f353\fbidi \fswiss\fcharset163\fprq2 Arial (Vietnamese);}{\f675\fbidi \froman\fcharset238\fprq2 Cambria Math CE;}{\f676\fbidi \froman\fcharset204\fprq2 Cambria Math Cyr;}_x000d__x000a_{\f678\fbidi \froman\fcharset161\fprq2 Cambria Math Greek;}{\f679\fbidi \froman\fcharset162\fprq2 Cambria Math Tur;}{\f682\fbidi \froman\fcharset186\fprq2 Cambria Math Baltic;}{\f68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0959785 HideTWBInt;}{_x000d__x000a_\s18\ql \fi-567\li567\ri0\sa240\nowidctlpar\wrapdefault\aspalpha\aspnum\faauto\adjustright\rin0\lin567\itap0 \rtlch\fcs1 \af0\afs20\alang1025 \ltrch\fcs0 \fs24\lang1050\langfe2057\cgrid\langnp1050\langfenp2057 _x000d__x000a_\sbasedon0 \snext18 \spriority0 \styrsid10959785 NormalHanging12a;}}{\*\rsidtbl \rsid24658\rsid223860\rsid735077\rsid1718133\rsid2892074\rsid3565327\rsid4666813\rsid6105525\rsid6641733\rsid7823322\rsid9636012\rsid10377208\rsid10959785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upr{\author RAONI? Ena}{\*\ud\uc0{\author RAONI{\uc1\u262 C Ena}}}}{\upr{\operator RAONI? Ena}{\*\ud\uc0{\operator RAONI{\uc1\u262 C Ena}}}}{\creatim\yr2024\mo1\dy25\hr14\min5}{\revtim\yr2024\mo1\dy25\hr14\min5}{\version1}{\edmins0}{\nofpages1}_x000d__x000a_{\nofwords3}{\nofchars18}{\nofcharsws2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70\pgbrdrhead\pgbrdrfoot\splytwnine\ftnlytwnine\htmautsp\nolnhtadjtbl\useltbaln\alntblind\lytcalctblwd\lyttblrtgr\lnbrkrule\nobrkwrptbl\snaptogridincell\allowfieldendsel\wrppunct_x000d__x000a_\asianbrkrule\nojkernpunct\rsidroot1095978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raon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1055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1055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1055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10552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10959785 \rtlch\fcs1 \af0\afs20\alang1025 \ltrch\fcs0 \fs24\lang1050\langfe2057\cgrid\langnp1050\langfenp2057 {\rtlch\fcs1 \af0 _x000d__x000a_\ltrch\fcs0 \insrsid10959785\charrsid865898 {\*\bkmkstart restart}#}{\rtlch\fcs1 \af1 \ltrch\fcs0 \cs17\v\f1\fs20\cf15\insrsid10959785\charrsid865898 NRMSG}{\rtlch\fcs1 \af0 \ltrch\fcs0 \insrsid10959785\charrsid865898 #.\tab #}{\rtlch\fcs1 \af1 _x000d__x000a_\ltrch\fcs0 \cs17\v\f1\fs20\cf15\insrsid10959785\charrsid865898 TEXTMSG2}{\rtlch\fcs1 \af0 \ltrch\fcs0 \insrsid10959785\charrsid865898 #}{\rtlch\fcs1 \af0 \ltrch\fcs0 \insrsid10959785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d_x000d__x000a_8d388f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5\fbidi \froman\fcharset238\fprq2 Times New Roman CE;}{\f336\fbidi \froman\fcharset204\fprq2 Times New Roman Cyr;}_x000d__x000a_{\f338\fbidi \froman\fcharset161\fprq2 Times New Roman Greek;}{\f339\fbidi \froman\fcharset162\fprq2 Times New Roman Tur;}{\f340\fbidi \froman\fcharset177\fprq2 Times New Roman (Hebrew);}{\f341\fbidi \froman\fcharset178\fprq2 Times New Roman (Arabic);}_x000d__x000a_{\f342\fbidi \froman\fcharset186\fprq2 Times New Roman Baltic;}{\f343\fbidi \froman\fcharset163\fprq2 Times New Roman (Vietnamese);}{\f675\fbidi \froman\fcharset238\fprq2 Cambria Math CE;}{\f676\fbidi \froman\fcharset204\fprq2 Cambria Math Cyr;}_x000d__x000a_{\f678\fbidi \froman\fcharset161\fprq2 Cambria Math Greek;}{\f679\fbidi \froman\fcharset162\fprq2 Cambria Math Tur;}{\f682\fbidi \froman\fcharset186\fprq2 Cambria Math Baltic;}{\f68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8080418 NormalHanging12a;}}{\*\rsidtbl \rsid24658\rsid223860\rsid735077\rsid1718133\rsid2244441\rsid2892074\rsid3565327\rsid4666813\rsid6641733\rsid7823322_x000d__x000a_\rsid8080418\rsid9636012\rsid10377208\rsid11215221\rsid11549030\rsid12154954\rsid14382809\rsid14424199\rsid15204470\rsid15285974\rsid15950462\rsid16324206\rsid16662270}{\mmathPr\mmathFont34\mbrkBin0\mbrkBinSub0\msmallFrac0\mdispDef1\mlMargin0\mrMargin0_x000d__x000a_\mdefJc1\mwrapIndent1440\mintLim0\mnaryLim1}{\info{\upr{\author RAONI? Ena}{\*\ud\uc0{\author RAONI{\uc1\u262 C Ena}}}}{\upr{\operator RAONI? Ena}{\*\ud\uc0{\operator RAONI{\uc1\u262 C Ena}}}}{\creatim\yr2024\mo1\dy25\hr14\min5}_x000d__x000a_{\revtim\yr2024\mo1\dy25\hr14\min5}{\version1}{\edmins0}{\nofpages1}{\nofwords5}{\nofchars30}{\nofcharsws34}{\vern109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70\pgbrdrhead\pgbrdrfoot\splytwnine\ftnlytwnine\htmautsp\nolnhtadjtbl\useltbaln\alntblind\lytcalctblwd\lyttblrtgr\lnbrkrule\nobrkwrptbl\snaptogridincell\allowfieldendsel\wrppunct_x000d__x000a_\asianbrkrule\nojkernpunct\rsidroot80804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raon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24444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4444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4444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4444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8080418 \rtlch\fcs1 \af0\afs20\alang1025 \ltrch\fcs0 \fs24\lang2057\langfe2057\cgrid\langnp2057\langfenp2057 {\rtlch\fcs1 \af0 _x000d__x000a_\ltrch\fcs0 \insrsid8080418\charrsid1525456 {\*\bkmkstart restart}[ZSUGGESTIONNR]\tab [ZSUGGESTIONTEXT]}{\rtlch\fcs1 \af0 \ltrch\fcs0 \insrsid8080418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c9_x000d__x000a_f13b8f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XTLANGUE" w:val="HR"/>
    <w:docVar w:name="TXTLANGUEMIN" w:val="hr"/>
    <w:docVar w:name="TXTNRPE" w:val="754.839"/>
    <w:docVar w:name="TXTNRPROC" w:val="2023/2152"/>
    <w:docVar w:name="TXTPEorAP" w:val="PE"/>
    <w:docVar w:name="TXTROUTE" w:val="AD\1294966HR.docx"/>
    <w:docVar w:name="TXTVERSION" w:val="02-00"/>
  </w:docVars>
  <w:rsids>
    <w:rsidRoot w:val="00AB2974"/>
    <w:rsid w:val="00063415"/>
    <w:rsid w:val="000E7EBF"/>
    <w:rsid w:val="00124F60"/>
    <w:rsid w:val="00135121"/>
    <w:rsid w:val="00140BE6"/>
    <w:rsid w:val="00147F4E"/>
    <w:rsid w:val="00147FBF"/>
    <w:rsid w:val="0016635E"/>
    <w:rsid w:val="001746D0"/>
    <w:rsid w:val="001B7393"/>
    <w:rsid w:val="001D2ED9"/>
    <w:rsid w:val="001F21C1"/>
    <w:rsid w:val="00225104"/>
    <w:rsid w:val="002A2AB6"/>
    <w:rsid w:val="002D28A7"/>
    <w:rsid w:val="002E2F2E"/>
    <w:rsid w:val="002E6F98"/>
    <w:rsid w:val="00325BCB"/>
    <w:rsid w:val="00331944"/>
    <w:rsid w:val="00332AD9"/>
    <w:rsid w:val="00347D2C"/>
    <w:rsid w:val="0037356F"/>
    <w:rsid w:val="003858C5"/>
    <w:rsid w:val="00390EB2"/>
    <w:rsid w:val="00396A0E"/>
    <w:rsid w:val="003D0803"/>
    <w:rsid w:val="003E2402"/>
    <w:rsid w:val="00474D09"/>
    <w:rsid w:val="004C28FB"/>
    <w:rsid w:val="004C44C0"/>
    <w:rsid w:val="0052544E"/>
    <w:rsid w:val="005940C3"/>
    <w:rsid w:val="00594C48"/>
    <w:rsid w:val="005B2F11"/>
    <w:rsid w:val="005C0BDF"/>
    <w:rsid w:val="005D60C6"/>
    <w:rsid w:val="006102E7"/>
    <w:rsid w:val="00640C1B"/>
    <w:rsid w:val="00657AFB"/>
    <w:rsid w:val="006D2214"/>
    <w:rsid w:val="006D5BF7"/>
    <w:rsid w:val="0070185B"/>
    <w:rsid w:val="00706C48"/>
    <w:rsid w:val="00796792"/>
    <w:rsid w:val="008313E7"/>
    <w:rsid w:val="00854CAC"/>
    <w:rsid w:val="008A32C5"/>
    <w:rsid w:val="008C6203"/>
    <w:rsid w:val="008D61E7"/>
    <w:rsid w:val="008F7002"/>
    <w:rsid w:val="0099493F"/>
    <w:rsid w:val="00A01BD2"/>
    <w:rsid w:val="00A16BEA"/>
    <w:rsid w:val="00A312B3"/>
    <w:rsid w:val="00A37543"/>
    <w:rsid w:val="00A72C35"/>
    <w:rsid w:val="00AB2974"/>
    <w:rsid w:val="00AE180F"/>
    <w:rsid w:val="00B362F7"/>
    <w:rsid w:val="00B5456B"/>
    <w:rsid w:val="00B735E3"/>
    <w:rsid w:val="00B74B53"/>
    <w:rsid w:val="00BC26E4"/>
    <w:rsid w:val="00BD1EAA"/>
    <w:rsid w:val="00C36610"/>
    <w:rsid w:val="00C52739"/>
    <w:rsid w:val="00C827FF"/>
    <w:rsid w:val="00C85D0F"/>
    <w:rsid w:val="00C87806"/>
    <w:rsid w:val="00CD34AC"/>
    <w:rsid w:val="00D7486D"/>
    <w:rsid w:val="00DE19FF"/>
    <w:rsid w:val="00E71941"/>
    <w:rsid w:val="00E81BA6"/>
    <w:rsid w:val="00E856D2"/>
    <w:rsid w:val="00E929A7"/>
    <w:rsid w:val="00EC32D4"/>
    <w:rsid w:val="00EC6A49"/>
    <w:rsid w:val="00F12D88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5B9A6-517F-4182-A504-A30C082BA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2A2A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A2AB6"/>
    <w:rPr>
      <w:sz w:val="24"/>
      <w:lang w:val="hr-HR"/>
    </w:rPr>
  </w:style>
  <w:style w:type="character" w:customStyle="1" w:styleId="NormalHanging12aChar">
    <w:name w:val="NormalHanging12a Char"/>
    <w:basedOn w:val="DefaultParagraphFont"/>
    <w:link w:val="NormalHanging12a"/>
    <w:rsid w:val="00F12D88"/>
    <w:rPr>
      <w:sz w:val="24"/>
    </w:rPr>
  </w:style>
  <w:style w:type="paragraph" w:styleId="FootnoteText">
    <w:name w:val="footnote text"/>
    <w:basedOn w:val="Normal"/>
    <w:link w:val="FootnoteTextChar"/>
    <w:rsid w:val="00F12D8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12D88"/>
    <w:rPr>
      <w:lang w:val="hr-HR"/>
    </w:rPr>
  </w:style>
  <w:style w:type="character" w:styleId="FootnoteReference">
    <w:name w:val="footnote reference"/>
    <w:basedOn w:val="DefaultParagraphFont"/>
    <w:rsid w:val="00F12D88"/>
    <w:rPr>
      <w:vertAlign w:val="superscript"/>
    </w:rPr>
  </w:style>
  <w:style w:type="paragraph" w:customStyle="1" w:styleId="Normal24a">
    <w:name w:val="Normal24a"/>
    <w:basedOn w:val="Normal"/>
    <w:rsid w:val="00F12D88"/>
    <w:pPr>
      <w:spacing w:after="480"/>
    </w:pPr>
  </w:style>
  <w:style w:type="paragraph" w:customStyle="1" w:styleId="RollCallSymbols14pt">
    <w:name w:val="RollCallSymbols14pt"/>
    <w:basedOn w:val="Normal"/>
    <w:rsid w:val="00F12D8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12D8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12D8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12D88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1437</Words>
  <Characters>8452</Characters>
  <Application>Microsoft Office Word</Application>
  <DocSecurity>0</DocSecurity>
  <Lines>225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2024-02-05T14:50:00Z</dcterms:created>
  <dcterms:modified xsi:type="dcterms:W3CDTF">2024-02-05T14:50:00Z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1294966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\\eiciLUXpr1\pdocep$\DocEP\DOCS\General\PA\PA_NonLeg\PA_NonLeg.dotx(18/09/2023 11:25:02)</vt:lpwstr>
  </property>
  <property fmtid="{D5CDD505-2E9C-101B-9397-08002B2CF9AE}" pid="6" name="&lt;ModelTra&gt;">
    <vt:lpwstr>\\eiciLUXpr1\pdocep$\DocEP\TRANSFIL\HR\PA_NonLeg.HR(18/09/2023 11:08:02)</vt:lpwstr>
  </property>
  <property fmtid="{D5CDD505-2E9C-101B-9397-08002B2CF9AE}" pid="7" name="&lt;Type&gt;">
    <vt:lpwstr>AD</vt:lpwstr>
  </property>
  <property fmtid="{D5CDD505-2E9C-101B-9397-08002B2CF9AE}" pid="8" name="Bookout">
    <vt:lpwstr>OK - 2024/02/05 15:50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AD\1294966HR.docx</vt:lpwstr>
  </property>
  <property fmtid="{D5CDD505-2E9C-101B-9397-08002B2CF9AE}" pid="11" name="LastEdited with">
    <vt:lpwstr>9.17.1 Build [20240101]</vt:lpwstr>
  </property>
  <property fmtid="{D5CDD505-2E9C-101B-9397-08002B2CF9AE}" pid="12" name="PE number">
    <vt:lpwstr>754.839</vt:lpwstr>
  </property>
  <property fmtid="{D5CDD505-2E9C-101B-9397-08002B2CF9AE}" pid="13" name="SDLStudio">
    <vt:lpwstr/>
  </property>
</Properties>
</file>