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42FA6" w:rsidTr="00C85D0F">
        <w:trPr>
          <w:trHeight w:hRule="exact" w:val="1418"/>
        </w:trPr>
        <w:tc>
          <w:tcPr>
            <w:tcW w:w="6804" w:type="dxa"/>
            <w:shd w:val="clear" w:color="auto" w:fill="auto"/>
            <w:vAlign w:val="center"/>
          </w:tcPr>
          <w:p w:rsidR="00854CAC" w:rsidRPr="00040E4C" w:rsidRDefault="006C3812" w:rsidP="00C85D0F">
            <w:pPr>
              <w:pStyle w:val="EPName"/>
            </w:pPr>
            <w:bookmarkStart w:id="0" w:name="_GoBack"/>
            <w:bookmarkEnd w:id="0"/>
            <w:r>
              <w:t>Europos Parlamentas</w:t>
            </w:r>
          </w:p>
          <w:p w:rsidR="00854CAC" w:rsidRPr="00040E4C" w:rsidRDefault="006C3812" w:rsidP="0024239A">
            <w:pPr>
              <w:pStyle w:val="EPTerm"/>
            </w:pPr>
            <w:r>
              <w:t>2019-2024</w:t>
            </w:r>
          </w:p>
        </w:tc>
        <w:tc>
          <w:tcPr>
            <w:tcW w:w="2268" w:type="dxa"/>
            <w:shd w:val="clear" w:color="auto" w:fill="auto"/>
          </w:tcPr>
          <w:p w:rsidR="00854CAC" w:rsidRPr="00040E4C" w:rsidRDefault="006C3812" w:rsidP="00C85D0F">
            <w:pPr>
              <w:pStyle w:val="EPLogo"/>
            </w:pPr>
            <w:r w:rsidRPr="00040E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040E4C" w:rsidRDefault="001746D0" w:rsidP="001746D0">
      <w:pPr>
        <w:pStyle w:val="LineTop"/>
      </w:pPr>
    </w:p>
    <w:p w:rsidR="001746D0" w:rsidRPr="00040E4C" w:rsidRDefault="006C3812" w:rsidP="001746D0">
      <w:pPr>
        <w:pStyle w:val="EPBody"/>
      </w:pPr>
      <w:r>
        <w:rPr>
          <w:rStyle w:val="HideTWBExt"/>
        </w:rPr>
        <w:t>&lt;</w:t>
      </w:r>
      <w:r>
        <w:rPr>
          <w:rStyle w:val="HideTWBExt"/>
          <w:i w:val="0"/>
        </w:rPr>
        <w:t>Commission</w:t>
      </w:r>
      <w:r>
        <w:rPr>
          <w:rStyle w:val="HideTWBExt"/>
        </w:rPr>
        <w:t>&gt;</w:t>
      </w:r>
      <w:r>
        <w:rPr>
          <w:rStyle w:val="HideTWBInt"/>
          <w:color w:val="auto"/>
        </w:rPr>
        <w:t>{FEMM}</w:t>
      </w:r>
      <w:r>
        <w:t>Moterų teisių ir lyčių lygybės komitetas</w:t>
      </w:r>
      <w:r>
        <w:rPr>
          <w:rStyle w:val="HideTWBExt"/>
        </w:rPr>
        <w:t>&lt;/</w:t>
      </w:r>
      <w:r>
        <w:rPr>
          <w:rStyle w:val="HideTWBExt"/>
          <w:i w:val="0"/>
        </w:rPr>
        <w:t>Commission</w:t>
      </w:r>
      <w:r>
        <w:rPr>
          <w:rStyle w:val="HideTWBExt"/>
        </w:rPr>
        <w:t>&gt;</w:t>
      </w:r>
    </w:p>
    <w:p w:rsidR="001746D0" w:rsidRPr="00040E4C" w:rsidRDefault="001746D0" w:rsidP="001746D0">
      <w:pPr>
        <w:pStyle w:val="LineBottom"/>
      </w:pPr>
    </w:p>
    <w:p w:rsidR="002E2F2E" w:rsidRPr="00040E4C" w:rsidRDefault="006C3812">
      <w:pPr>
        <w:pStyle w:val="CoverReference"/>
      </w:pPr>
      <w:r>
        <w:rPr>
          <w:rStyle w:val="HideTWBExt"/>
          <w:b w:val="0"/>
        </w:rPr>
        <w:t>&lt;RefProc&gt;</w:t>
      </w:r>
      <w:r>
        <w:t>2023/2152</w:t>
      </w:r>
      <w:r>
        <w:rPr>
          <w:rStyle w:val="HideTWBExt"/>
          <w:b w:val="0"/>
        </w:rPr>
        <w:t>&lt;/RefProc&gt;&lt;RefTypeProc&gt;</w:t>
      </w:r>
      <w:r>
        <w:t>(DEC)</w:t>
      </w:r>
      <w:r>
        <w:rPr>
          <w:rStyle w:val="HideTWBExt"/>
          <w:b w:val="0"/>
        </w:rPr>
        <w:t>&lt;/RefTypeProc&gt;</w:t>
      </w:r>
    </w:p>
    <w:p w:rsidR="002E2F2E" w:rsidRPr="00040E4C" w:rsidRDefault="006C3812">
      <w:pPr>
        <w:pStyle w:val="CoverDate"/>
      </w:pPr>
      <w:r>
        <w:rPr>
          <w:rStyle w:val="HideTWBExt"/>
        </w:rPr>
        <w:t>&lt;Date&gt;</w:t>
      </w:r>
      <w:r>
        <w:rPr>
          <w:rStyle w:val="HideTWBInt"/>
          <w:color w:val="auto"/>
        </w:rPr>
        <w:t>{25/01/2024}</w:t>
      </w:r>
      <w:r>
        <w:t>25.1.2024</w:t>
      </w:r>
      <w:r>
        <w:rPr>
          <w:rStyle w:val="HideTWBExt"/>
        </w:rPr>
        <w:t>&lt;/Date&gt;</w:t>
      </w:r>
    </w:p>
    <w:p w:rsidR="002E2F2E" w:rsidRPr="00040E4C" w:rsidRDefault="006C3812">
      <w:pPr>
        <w:pStyle w:val="CoverDocType24a"/>
      </w:pPr>
      <w:r>
        <w:rPr>
          <w:rStyle w:val="HideTWBExt"/>
          <w:b w:val="0"/>
        </w:rPr>
        <w:t>&lt;TitreType&gt;</w:t>
      </w:r>
      <w:r>
        <w:t>NUOMONĖ</w:t>
      </w:r>
      <w:r>
        <w:rPr>
          <w:rStyle w:val="HideTWBExt"/>
          <w:b w:val="0"/>
        </w:rPr>
        <w:t>&lt;/TitreType&gt;</w:t>
      </w:r>
    </w:p>
    <w:p w:rsidR="002E2F2E" w:rsidRPr="00040E4C" w:rsidRDefault="006C3812">
      <w:pPr>
        <w:pStyle w:val="CoverNormal24a"/>
      </w:pPr>
      <w:r>
        <w:rPr>
          <w:rStyle w:val="HideTWBExt"/>
        </w:rPr>
        <w:t>&lt;CommissionResp&gt;</w:t>
      </w:r>
      <w:r>
        <w:t>Moterų teisių ir lyčių lygybės komiteto</w:t>
      </w:r>
      <w:r>
        <w:rPr>
          <w:rStyle w:val="HideTWBExt"/>
        </w:rPr>
        <w:t>&lt;/CommissionResp&gt;</w:t>
      </w:r>
    </w:p>
    <w:p w:rsidR="002E2F2E" w:rsidRPr="00040E4C" w:rsidRDefault="006C3812">
      <w:pPr>
        <w:pStyle w:val="CoverNormal24a"/>
      </w:pPr>
      <w:r>
        <w:rPr>
          <w:rStyle w:val="HideTWBExt"/>
        </w:rPr>
        <w:t>&lt;CommissionInt&gt;</w:t>
      </w:r>
      <w:r>
        <w:t>pateikta Biudžeto kontrolės komitetui</w:t>
      </w:r>
      <w:r>
        <w:rPr>
          <w:rStyle w:val="HideTWBExt"/>
        </w:rPr>
        <w:t>&lt;/CommissionInt&gt;</w:t>
      </w:r>
    </w:p>
    <w:p w:rsidR="002E2F2E" w:rsidRPr="00040E4C" w:rsidRDefault="006C3812">
      <w:pPr>
        <w:pStyle w:val="CoverNormal"/>
      </w:pPr>
      <w:r>
        <w:rPr>
          <w:rStyle w:val="HideTWBExt"/>
        </w:rPr>
        <w:t>&lt;Titre&gt;</w:t>
      </w:r>
      <w:r>
        <w:t>dėl 2022 finansinių metų biudžeto įvykdymo patvirtinimo: Europos lyčių lygybės institutas</w:t>
      </w:r>
      <w:r>
        <w:rPr>
          <w:rStyle w:val="HideTWBExt"/>
        </w:rPr>
        <w:t>&lt;/Titre&gt;</w:t>
      </w:r>
    </w:p>
    <w:p w:rsidR="002E2F2E" w:rsidRPr="00040E4C" w:rsidRDefault="006C3812">
      <w:pPr>
        <w:pStyle w:val="CoverNormal24a"/>
      </w:pPr>
      <w:r>
        <w:rPr>
          <w:rStyle w:val="HideTWBExt"/>
        </w:rPr>
        <w:t>&lt;DocRef&gt;</w:t>
      </w:r>
      <w:r>
        <w:t>(2023/2152(DEC))</w:t>
      </w:r>
      <w:r>
        <w:rPr>
          <w:rStyle w:val="HideTWBExt"/>
        </w:rPr>
        <w:t>&lt;</w:t>
      </w:r>
      <w:r>
        <w:rPr>
          <w:rStyle w:val="HideTWBExt"/>
        </w:rPr>
        <w:t>/DocRef&gt;</w:t>
      </w:r>
    </w:p>
    <w:p w:rsidR="002E2F2E" w:rsidRPr="00040E4C" w:rsidRDefault="006C3812">
      <w:pPr>
        <w:pStyle w:val="CoverNormal24a"/>
      </w:pPr>
      <w:r>
        <w:t xml:space="preserve">Nuomonės referentas: </w:t>
      </w:r>
      <w:r>
        <w:rPr>
          <w:rStyle w:val="HideTWBExt"/>
        </w:rPr>
        <w:t>&lt;Depute&gt;</w:t>
      </w:r>
      <w:r>
        <w:t>Robert Biedroń</w:t>
      </w:r>
      <w:r>
        <w:rPr>
          <w:rStyle w:val="HideTWBExt"/>
        </w:rPr>
        <w:t>&lt;/Depute&gt;</w:t>
      </w:r>
    </w:p>
    <w:p w:rsidR="00A72C35" w:rsidRPr="00040E4C" w:rsidRDefault="00A72C35" w:rsidP="00A72C35">
      <w:pPr>
        <w:pStyle w:val="CoverNormal"/>
      </w:pPr>
    </w:p>
    <w:p w:rsidR="002E2F2E" w:rsidRPr="00040E4C" w:rsidRDefault="006C3812" w:rsidP="00E856D2">
      <w:pPr>
        <w:widowControl/>
        <w:tabs>
          <w:tab w:val="center" w:pos="4677"/>
        </w:tabs>
      </w:pPr>
      <w:r>
        <w:br w:type="page"/>
      </w:r>
      <w:r>
        <w:lastRenderedPageBreak/>
        <w:t>PA_NonLeg</w:t>
      </w:r>
    </w:p>
    <w:p w:rsidR="002E2F2E" w:rsidRPr="00040E4C" w:rsidRDefault="006C3812">
      <w:pPr>
        <w:pStyle w:val="PageHeadingNotTOC"/>
      </w:pPr>
      <w:r>
        <w:br w:type="page"/>
      </w:r>
      <w:r>
        <w:lastRenderedPageBreak/>
        <w:t>PASIŪLYMAI</w:t>
      </w:r>
    </w:p>
    <w:p w:rsidR="002E2F2E" w:rsidRPr="00040E4C" w:rsidRDefault="006C3812" w:rsidP="008313E7">
      <w:pPr>
        <w:pStyle w:val="Normal12a"/>
      </w:pPr>
      <w:r>
        <w:t>Moterų teisių ir lyčių lygybės komitetas ragina atsakingą Biudžeto kontrolės komitetą į savo pasiūlymą dėl rezoliucijos įtraukti šiuos pasiūlymus:</w:t>
      </w:r>
    </w:p>
    <w:p w:rsidR="00A34C4C" w:rsidRPr="00C87806" w:rsidRDefault="006C3812" w:rsidP="00A34C4C">
      <w:pPr>
        <w:pStyle w:val="NormalHanging12a"/>
        <w:rPr>
          <w:szCs w:val="24"/>
        </w:rPr>
      </w:pPr>
      <w:r>
        <w:t>A.</w:t>
      </w:r>
      <w:r>
        <w:tab/>
        <w:t xml:space="preserve">kadangi SESV 8 </w:t>
      </w:r>
      <w:r>
        <w:t>straipsnyje teigiama, kad visuose savo veiksmuose Sąjunga siekia pašalinti nelygybę, nustatydama lyčių aspekto integravimo principą, ir diegti vyrų ir moterų lygybę; kadangi lyčių lygybė turi būti įtraukta į visų sričių ES politiką, be kita ko, biudžeto su</w:t>
      </w:r>
      <w:r>
        <w:t>darymo metu visais biudžeto proceso lygmenimis atsižvelgiant į lyčių aspektą;</w:t>
      </w:r>
    </w:p>
    <w:p w:rsidR="00A34C4C" w:rsidRPr="00C87806" w:rsidRDefault="006C3812" w:rsidP="00A34C4C">
      <w:pPr>
        <w:pStyle w:val="NormalHanging12a"/>
        <w:rPr>
          <w:szCs w:val="24"/>
        </w:rPr>
      </w:pPr>
      <w:r>
        <w:t>B.</w:t>
      </w:r>
      <w:r>
        <w:tab/>
        <w:t>kadangi EIGE darbuotojai aktyviai dalyvauja keičiantis geriausia patirtimi ir vykdant ES agentūrų tinklo ir jo potinklių veiklą, taip siekiant plėtoti šios agentūros sinergiją</w:t>
      </w:r>
      <w:r>
        <w:t>, pvz., žmogiškųjų išteklių, pastatų valdymo, IT paslaugų ir saugumo, bendradarbiavimo ir keitimosi gerąja patirtimi su kitomis Sąjungos agentūromis srityje, kad būtų galima padidinti veiksmingumą; kadangi EIGE ėmėsi aktyvių veiksmų, kad būtų taikomos esam</w:t>
      </w:r>
      <w:r>
        <w:t>os priemonės, kuriomis siekiama pagerinti darbuotojų lyčių pusiausvyrą;</w:t>
      </w:r>
    </w:p>
    <w:p w:rsidR="00A34C4C" w:rsidRPr="00C87806" w:rsidRDefault="006C3812" w:rsidP="00A34C4C">
      <w:pPr>
        <w:pStyle w:val="NormalHanging12a"/>
        <w:rPr>
          <w:szCs w:val="24"/>
        </w:rPr>
      </w:pPr>
      <w:r>
        <w:t>C.</w:t>
      </w:r>
      <w:r>
        <w:tab/>
        <w:t xml:space="preserve">kadangi 2023 m. lyčių lygybės indeksas rodo, kad valstybėse narėse šie rodikliai padidėjo labai nedaug (tik 1,6 punkto) ir pasiekė 70,2 punkto, o kai kuriose srityse yra regresijos </w:t>
      </w:r>
      <w:r>
        <w:t>požymių, visų pirma, ekonomikos ir pajamų rodiklių srityje</w:t>
      </w:r>
      <w:r>
        <w:rPr>
          <w:vertAlign w:val="superscript"/>
        </w:rPr>
        <w:footnoteReference w:id="1"/>
      </w:r>
      <w:r>
        <w:t>; kadangi Europos lyčių lygybės institutas (EIGE) buvo įsteigtas siekiant remti lyčių lygybę ir stiprinti jos propagavimą Sąjungoje, įskaitant lyčių aspekto integravimą į visas Sąjungos politikos p</w:t>
      </w:r>
      <w:r>
        <w:t xml:space="preserve">riemones ir pagal jas parengtas nacionalinės politikos priemones, kovą su diskriminacija dėl lyties ir Sąjungos piliečių informuotumo apie lyčių lygybę didinimą; </w:t>
      </w:r>
    </w:p>
    <w:p w:rsidR="00A34C4C" w:rsidRPr="00C87806" w:rsidRDefault="006C3812" w:rsidP="00A34C4C">
      <w:pPr>
        <w:pStyle w:val="NormalHanging12a"/>
        <w:rPr>
          <w:szCs w:val="24"/>
        </w:rPr>
      </w:pPr>
      <w:r>
        <w:t>D.</w:t>
      </w:r>
      <w:r>
        <w:tab/>
        <w:t xml:space="preserve">kadangi Sąjunga, atsižvelgdama į tebesitęsiančias krizes, pvz., karus, klimato krizę, </w:t>
      </w:r>
      <w:r>
        <w:t>infliaciją ir priešišką reakciją į moterų teises, ypač lytinę ir reprodukcinę sveikatą bei teises, Sąjungoje ir visame pasaulyje vis labiau reikia pažangos įgyvendinant Lyčių lygybės strategiją; kadangi už dabartinių viena po kitos kylančių krizių slypi pa</w:t>
      </w:r>
      <w:r>
        <w:t>vojus, kad bus mažiau stengiamasi siekti lyčių lygybės ir bus trukdoma visapusiškai naudotis moterų teisėmis; kadangi moterys ES patiria didesnį skurdą ar didesnę socialinę atskirtį nei vyrai; kadangi, kaip pagrindinėms priežiūros pareigų atlikėjoms šeimoj</w:t>
      </w:r>
      <w:r>
        <w:t xml:space="preserve">e, moterims, kurios atlieka labai svarbų vaidmenį šioje srityje, tenka neproporcinga neapmokamos priežiūros ir namų ruošos darbų našta; kadangi vyrų ir moterų darbo užmokesčio skirtumas ES siekia 13 proc. ir jis įvairuoja priklausomai nuo valstybės narės; </w:t>
      </w:r>
      <w:r>
        <w:t>kadangi šis vyrų ir moterų darbo užmokesčio skirtumas turi tam tikrų pasekmių, įskaitant 29 proc. sukauptų pensijų skirtumą, dėl kurio vyresnio amžiaus moterims kyla didesnė skurdo ir socialinės atskirties rizika; kadangi teisė į vienodą užmokestį už vieno</w:t>
      </w:r>
      <w:r>
        <w:t>dą darbą ne visada užtikrinama ir tebėra vienas iš didžiausių iššūkių, kuriuos reikia spręsti kovojant su diskriminacija darbo užmokesčio srityje; kadangi labai svarbu kovoti su vyrų ir moterų diskriminacija darbo ir užimtumo srityje, skatinti lygybę karje</w:t>
      </w:r>
      <w:r>
        <w:t>ros srityje ir profesinių kategorijų, taip pat profesinio mokymo srityse; kadangi valstybės narės turi didinti viešąsias investicijas į politikos priemones, kuriomis tiesiogiai ar netiesiogiai siekiama kovoti su neigiamu pragyvenimo išlaidų krizės poveikiu</w:t>
      </w:r>
      <w:r>
        <w:t xml:space="preserve"> moterims, atsižvelgiant į jų įvairovę, užtikrinti galimybę naudotis kokybiškomis ir įperkamomis </w:t>
      </w:r>
      <w:r>
        <w:lastRenderedPageBreak/>
        <w:t>viešosiomis priežiūros, švietimo, sveikatos, įskaitant lytinę ir reprodukcinę sveikatą bei teises, ir būsto paslaugomis, be kita ko, apsaugoti smurto dėl lytie</w:t>
      </w:r>
      <w:r>
        <w:t>s aukas;</w:t>
      </w:r>
    </w:p>
    <w:p w:rsidR="00A34C4C" w:rsidRPr="00C87806" w:rsidRDefault="006C3812" w:rsidP="00A34C4C">
      <w:pPr>
        <w:pStyle w:val="NormalHanging12a"/>
        <w:rPr>
          <w:szCs w:val="24"/>
        </w:rPr>
      </w:pPr>
      <w:r>
        <w:t>E.</w:t>
      </w:r>
      <w:r>
        <w:tab/>
        <w:t>kadangi Europos lyčių lygybės instituto (toliau – EIGE) galutinis 2022 finansinių metų biudžetas siekė 8 432 920 EUR, tai yra buvo 3 proc. mažesnis už 2021 m. biudžetą (8 693 358 EUR); kadangi visą Instituto biudžetą sudaro lėšos iš Sąjungos bi</w:t>
      </w:r>
      <w:r>
        <w:t>udžeto;</w:t>
      </w:r>
    </w:p>
    <w:p w:rsidR="00A34C4C" w:rsidRPr="00C87806" w:rsidRDefault="006C3812" w:rsidP="00A34C4C">
      <w:pPr>
        <w:pStyle w:val="NormalHanging12a"/>
        <w:rPr>
          <w:szCs w:val="24"/>
        </w:rPr>
      </w:pPr>
      <w:r>
        <w:t>1.</w:t>
      </w:r>
      <w:r>
        <w:tab/>
        <w:t>primena, kad EIGE buvo įsteigtas siekiant prisidėti prie lyčių lygybės skatinimo ir ją stiprinti Sąjungoje teikiant kokybiškus mokslinius tyrimus ir palyginamus duomenis, siekiant padėti ES institucijoms ir valstybėms narėms integruoti lyčių lyg</w:t>
      </w:r>
      <w:r>
        <w:t>ybės aspektą į visas savo politikos sritis ir kovoti su diskriminacija dėl lyties; todėl atkreipia dėmesį į esminį EIGE vaidmenį renkant, analizuojant, tvarkant ir platinant duomenis ir būtiną informaciją politikos formuotojams, Europos Sąjungos ir jos val</w:t>
      </w:r>
      <w:r>
        <w:t>stybių narių politikai; ypač palankiai vertina nuolatinį Instituto darbą, susijusį su lyčių lygybės indeksu ir tuo, kad jame pateikiama informacija taptų lengvai prieinama piliečiams; pabrėžia, kad reikia tvirčiau ir veiksmingiau integruoti lyčių lygybės p</w:t>
      </w:r>
      <w:r>
        <w:t>olitiką ir lyčių aspekto integravimo priemones; dar kartą ragina EIGE, kaip jau ne kartą tai darė, skirti daugiau darbuotojų, įskaitant statutinius darbuotojus, kuriuos reikia skirti EIGE atsižvelgiant į augantį prašymų skaičių, techninę pagalbą ir prašymu</w:t>
      </w:r>
      <w:r>
        <w:t>s suteikti paslaugas; todėl ragina skirti į Institucijos biudžetą daugiau lėšų, kad ji galėtų sustiprinti savo įdarbinimo ir mokslinių tyrimų pajėgumus ir taip būtų toliau gerinamas darbas ir rezultatai, atsižvelgiant į vieną po kitos kylančias krizes ir p</w:t>
      </w:r>
      <w:r>
        <w:t>riešišką reakciją į lyčių lygybę ir LGBTIQ+ asmenis, nes tai daro neproporcingą poveikį moterims;</w:t>
      </w:r>
    </w:p>
    <w:p w:rsidR="00A34C4C" w:rsidRPr="00C87806" w:rsidRDefault="006C3812" w:rsidP="00A34C4C">
      <w:pPr>
        <w:pStyle w:val="NormalHanging12a"/>
        <w:rPr>
          <w:szCs w:val="24"/>
        </w:rPr>
      </w:pPr>
      <w:r>
        <w:t>2.</w:t>
      </w:r>
      <w:r>
        <w:tab/>
        <w:t>pabrėžia, kad svarbu kovoti su nelygybe ir neteisybe moterų atžvilgiu; ragina Komisiją ir valstybes nares imtis skubių veiksmų siekiant spręsti moterų, ypa</w:t>
      </w:r>
      <w:r>
        <w:t>č iš pažeidžiamų grupių, įskaitant vienišas motinas, moteris su negalia, rasizmo paveiktas moteris, LGBTIQ+ moteris, moteris migrantes ir moteris pabėgėles, vyresnio amžiaus moteris, moteris iš kaimo vietovių arba retai apgyvendintų vietovių, skurdo ir nel</w:t>
      </w:r>
      <w:r>
        <w:t>ygybės didėjimo problemą; pažymi, kad tai būtų galima pasiekti tenkinant poreikį skirti didesnį finansavimą lyčių lygybės veiksmams užimtumo ir ekonomikos augimo, taip pat kovos su smurtu dėl lyties ir vyrų ir moterų darbo užmokesčio skirtumo, vyrų ir mote</w:t>
      </w:r>
      <w:r>
        <w:t>rų pensijų skirtumo šalinimo, krizių poveikio moterims, lyčių aspekto integravimo ir jo įtraukimo sudarant biudžetą klausimo srityse, taip pat kovojant su didėjančiu moterų skurdu bei teisių ir demokratijos bei teisinės valstybės principo srityse; todėl dž</w:t>
      </w:r>
      <w:r>
        <w:t xml:space="preserve">iaugiasi, kad EIGE ir Moterų teisių ir lyčių lygybės (FEMM) komitetas bendradarbiauja; atkreipia dėmesį į milžinišką ir vertingą EIGE indėlį užtikrinant, kad būtų laikomasi Europos Parlamento tikslų, vertybių ir prioritetų; tvirtai remia Instituto veiklą, </w:t>
      </w:r>
      <w:r>
        <w:t>nes jis, pasitelkdamas tyrimus, mokslinius tyrimus ir aukštos kokybės duomenis, sudaro sąlygas komitetui tinkamai atlikti savo darbą; pažymi, jog svarbu turėti patikimus pagal lytį suskirstytus duomenis, kad būtų galima formuoti įrodymais grindžiamą politi</w:t>
      </w:r>
      <w:r>
        <w:t>ką; pažymi, kad EIGE gali vertingai prisidėti prie visų Europos Parlamento komitetų ir kitų ES agentūrų veiklos siekiant geriau integruoti lyčių aspektą į visas ES politikos sritis;</w:t>
      </w:r>
    </w:p>
    <w:p w:rsidR="00A34C4C" w:rsidRPr="00C87806" w:rsidRDefault="006C3812" w:rsidP="00A34C4C">
      <w:pPr>
        <w:pStyle w:val="NormalHanging12a"/>
        <w:rPr>
          <w:szCs w:val="24"/>
        </w:rPr>
      </w:pPr>
      <w:r>
        <w:t>3.</w:t>
      </w:r>
      <w:r>
        <w:tab/>
        <w:t>pažymi, kad, nepaisant nuolatinio EIGE darbuotojų trūkumo, EIGE biudžet</w:t>
      </w:r>
      <w:r>
        <w:t>o vykdymo lygis išlieka aukštas: 2022 m. įsipareigojimų asignavimų panaudojimas siekė 97,91 proc. (palyginti su 98,92 proc. 2021 m.), o mokėjimų asignavimų panaudojimo lygis buvo 81,10 proc. (72,16 proc. 2021 m.);</w:t>
      </w:r>
    </w:p>
    <w:p w:rsidR="00A34C4C" w:rsidRPr="00C87806" w:rsidRDefault="006C3812" w:rsidP="00A34C4C">
      <w:pPr>
        <w:pStyle w:val="NormalHanging12a"/>
        <w:rPr>
          <w:szCs w:val="24"/>
        </w:rPr>
      </w:pPr>
      <w:r>
        <w:lastRenderedPageBreak/>
        <w:t>4.</w:t>
      </w:r>
      <w:r>
        <w:tab/>
        <w:t>pažymi, kad 2023 m. perkeliamos EIGE ve</w:t>
      </w:r>
      <w:r>
        <w:t>iklos išlaidos sumažėjo iki 42,28 proc. (2022 m. jos sudarė 54,79 proc.);</w:t>
      </w:r>
    </w:p>
    <w:p w:rsidR="00A34C4C" w:rsidRPr="00C87806" w:rsidRDefault="006C3812" w:rsidP="00A34C4C">
      <w:pPr>
        <w:pStyle w:val="NormalHanging12a"/>
      </w:pPr>
      <w:r>
        <w:t>5.</w:t>
      </w:r>
      <w:r>
        <w:tab/>
        <w:t xml:space="preserve">pažymi, jog Europos Audito Rūmai patvirtino, kad EIGE metinėse finansinėse ataskaitose instituto finansinė būklė 2022 m. gruodžio 31 d., taigi ir tą dieną pasibaigusių finansinių </w:t>
      </w:r>
      <w:r>
        <w:t>metų jo operacijų rezultatai, pinigų srautai ir grynojo turto pokyčiai visais reikšmingais aspektais yra pateikti teisingai;</w:t>
      </w:r>
    </w:p>
    <w:p w:rsidR="00A34C4C" w:rsidRPr="00C87806" w:rsidRDefault="006C3812" w:rsidP="00A34C4C">
      <w:pPr>
        <w:pStyle w:val="NormalHanging12a"/>
        <w:rPr>
          <w:szCs w:val="24"/>
        </w:rPr>
      </w:pPr>
      <w:r>
        <w:t>6.</w:t>
      </w:r>
      <w:r>
        <w:tab/>
        <w:t>remdamasis šiuo metu turimais duomenimis, mano, kad EIGE direktorei galima patvirtinti, jog Instituto 2022 finansinių metų biudž</w:t>
      </w:r>
      <w:r>
        <w:t>etas įvykdytas.</w:t>
      </w:r>
    </w:p>
    <w:p w:rsidR="00A34C4C" w:rsidRDefault="00A34C4C" w:rsidP="004B5A3E">
      <w:pPr>
        <w:sectPr w:rsidR="00A34C4C" w:rsidSect="00A34C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34C4C" w:rsidRDefault="006C3812" w:rsidP="002B2C72">
      <w:pPr>
        <w:pStyle w:val="PageHeadingNotTOC"/>
        <w:rPr>
          <w:noProof/>
        </w:rPr>
      </w:pPr>
      <w:bookmarkStart w:id="1" w:name="FootprintPageAD"/>
      <w:r>
        <w:lastRenderedPageBreak/>
        <w:t>PRIEDAS. SUBJEKTAI AR ASMENYS,</w:t>
      </w:r>
      <w:r>
        <w:br/>
        <w:t>IŠ KURIŲ NUOMONĖS REFERENTAS GAVO INFORMACIJOS</w:t>
      </w:r>
    </w:p>
    <w:p w:rsidR="00A34C4C" w:rsidRPr="0099178F" w:rsidRDefault="006C3812" w:rsidP="00037518">
      <w:pPr>
        <w:pStyle w:val="Normal24a"/>
      </w:pPr>
      <w:r>
        <w:rPr>
          <w:rStyle w:val="HideTWBExt"/>
        </w:rPr>
        <w:t>&lt;FootprintIntro&gt;</w:t>
      </w:r>
      <w:r>
        <w:t xml:space="preserve">Pirmininkas, kaip nuomonės referentas, prisiimdamas visą atsakomybę, pareiškia, kad negavo informacijos iš jokio subjekto ar </w:t>
      </w:r>
      <w:r>
        <w:t>asmens, kuris turi būti nurodytas šiame priede pagal Darbo tvarkos taisyklių I priedo 8 straipsnį.</w:t>
      </w:r>
      <w:r>
        <w:rPr>
          <w:rStyle w:val="HideTWBExt"/>
        </w:rPr>
        <w:t>&lt;/FootprintIntro&gt;</w:t>
      </w:r>
    </w:p>
    <w:p w:rsidR="00A34C4C" w:rsidRDefault="00A34C4C" w:rsidP="00AD5932"/>
    <w:p w:rsidR="00A34C4C" w:rsidRPr="00A34C4C" w:rsidRDefault="00A34C4C" w:rsidP="00A34C4C"/>
    <w:bookmarkEnd w:id="1"/>
    <w:p w:rsidR="00A34C4C" w:rsidRDefault="00A34C4C" w:rsidP="004B5A3E">
      <w:pPr>
        <w:sectPr w:rsidR="00A34C4C" w:rsidSect="00A34C4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B5A3E" w:rsidRPr="004B5A3E" w:rsidRDefault="004B5A3E" w:rsidP="004B5A3E"/>
    <w:p w:rsidR="004B5A3E" w:rsidRDefault="006C3812" w:rsidP="004B5A3E">
      <w:pPr>
        <w:pStyle w:val="PageHeadingNotTOC"/>
      </w:pPr>
      <w:bookmarkStart w:id="2" w:name="ProcPageAD"/>
      <w:r>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42F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5A3E" w:rsidRDefault="006C3812">
            <w:pPr>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5A3E" w:rsidRDefault="004B5A3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B5A3E" w:rsidRDefault="004B5A3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5A3E" w:rsidRDefault="004B5A3E">
            <w:pPr>
              <w:autoSpaceDE w:val="0"/>
              <w:autoSpaceDN w:val="0"/>
              <w:adjustRightInd w:val="0"/>
              <w:rPr>
                <w:rFonts w:ascii="sans-serif" w:hAnsi="sans-serif" w:cs="sans-serif"/>
                <w:color w:val="000000"/>
                <w:szCs w:val="24"/>
              </w:rPr>
            </w:pPr>
          </w:p>
        </w:tc>
      </w:tr>
      <w:tr w:rsidR="00A42F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b/>
                <w:bCs/>
                <w:color w:val="000000"/>
                <w:sz w:val="20"/>
              </w:rPr>
            </w:pPr>
            <w:r>
              <w:rPr>
                <w:b/>
                <w:color w:val="000000"/>
                <w:sz w:val="20"/>
              </w:rPr>
              <w:t xml:space="preserve">Galutinio balsavimo </w:t>
            </w:r>
            <w:r>
              <w:rPr>
                <w:b/>
                <w:color w:val="000000"/>
                <w:sz w:val="20"/>
              </w:rPr>
              <w:t>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B5A3E" w:rsidRDefault="006C3812">
            <w:pPr>
              <w:autoSpaceDE w:val="0"/>
              <w:autoSpaceDN w:val="0"/>
              <w:adjustRightInd w:val="0"/>
              <w:rPr>
                <w:color w:val="000000"/>
                <w:sz w:val="20"/>
              </w:rPr>
            </w:pPr>
            <w:r>
              <w:rPr>
                <w:color w:val="000000"/>
                <w:sz w:val="20"/>
              </w:rPr>
              <w:t>+:</w:t>
            </w:r>
          </w:p>
          <w:p w:rsidR="004B5A3E" w:rsidRDefault="006C3812">
            <w:pPr>
              <w:autoSpaceDE w:val="0"/>
              <w:autoSpaceDN w:val="0"/>
              <w:adjustRightInd w:val="0"/>
              <w:rPr>
                <w:color w:val="000000"/>
                <w:sz w:val="20"/>
              </w:rPr>
            </w:pPr>
            <w:r>
              <w:rPr>
                <w:color w:val="000000"/>
                <w:sz w:val="20"/>
              </w:rPr>
              <w:t>–:</w:t>
            </w:r>
          </w:p>
          <w:p w:rsidR="004B5A3E" w:rsidRDefault="006C3812">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color w:val="000000"/>
                <w:sz w:val="20"/>
              </w:rPr>
            </w:pPr>
            <w:r>
              <w:rPr>
                <w:color w:val="000000"/>
                <w:sz w:val="20"/>
              </w:rPr>
              <w:t>23</w:t>
            </w:r>
          </w:p>
          <w:p w:rsidR="004B5A3E" w:rsidRDefault="006C3812">
            <w:pPr>
              <w:autoSpaceDE w:val="0"/>
              <w:autoSpaceDN w:val="0"/>
              <w:adjustRightInd w:val="0"/>
              <w:rPr>
                <w:color w:val="000000"/>
                <w:sz w:val="20"/>
              </w:rPr>
            </w:pPr>
            <w:r>
              <w:rPr>
                <w:color w:val="000000"/>
                <w:sz w:val="20"/>
              </w:rPr>
              <w:t>4</w:t>
            </w:r>
          </w:p>
          <w:p w:rsidR="004B5A3E" w:rsidRDefault="006C3812">
            <w:pPr>
              <w:autoSpaceDE w:val="0"/>
              <w:autoSpaceDN w:val="0"/>
              <w:adjustRightInd w:val="0"/>
              <w:rPr>
                <w:color w:val="000000"/>
                <w:sz w:val="20"/>
              </w:rPr>
            </w:pPr>
            <w:r>
              <w:rPr>
                <w:color w:val="000000"/>
                <w:sz w:val="20"/>
              </w:rPr>
              <w:t>2</w:t>
            </w:r>
          </w:p>
        </w:tc>
      </w:tr>
      <w:tr w:rsidR="00A42FA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color w:val="000000"/>
                <w:sz w:val="20"/>
              </w:rPr>
            </w:pPr>
            <w:r>
              <w:rPr>
                <w:color w:val="000000"/>
                <w:sz w:val="20"/>
              </w:rPr>
              <w:t>Christine Anderson, Robert Biedroń, Vilija Blinkevičiūtė, Annika Bruna, Maria da Graça Carvalho, Margarita de la Pisa Carrión, Gwendoline Delbos-Corfield, Frances Fitzgerald, Lívia</w:t>
            </w:r>
            <w:r>
              <w:rPr>
                <w:color w:val="000000"/>
                <w:sz w:val="20"/>
              </w:rPr>
              <w:t xml:space="preserve"> Járóka, Arba Kokalari, Alice Kuhnke, Elżbieta Katarzyna Łukacijewska, Andżelika Anna Możdżanowska, Johan Nissinen, Carina Ohlsson, Samira Rafaela, Evelyn Regner, Diana Riba i Giner, Eugenia Rodríguez Palop, María Soraya Rodríguez Ramos, Maria Veronica Ros</w:t>
            </w:r>
            <w:r>
              <w:rPr>
                <w:color w:val="000000"/>
                <w:sz w:val="20"/>
              </w:rPr>
              <w:t>si, Sylwia Spurek, Marco Zullo</w:t>
            </w:r>
          </w:p>
        </w:tc>
      </w:tr>
      <w:tr w:rsidR="00A42FA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color w:val="000000"/>
                <w:sz w:val="20"/>
              </w:rPr>
            </w:pPr>
            <w:r>
              <w:rPr>
                <w:color w:val="000000"/>
                <w:sz w:val="20"/>
              </w:rPr>
              <w:t>Laura Ballarín Cereza, Sylvie Brunet, Marina Kaljurand, Eleni Stavrou</w:t>
            </w:r>
          </w:p>
        </w:tc>
      </w:tr>
      <w:tr w:rsidR="00A42FA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B5A3E" w:rsidRDefault="006C3812">
            <w:pPr>
              <w:autoSpaceDE w:val="0"/>
              <w:autoSpaceDN w:val="0"/>
              <w:adjustRightInd w:val="0"/>
              <w:rPr>
                <w:color w:val="000000"/>
                <w:sz w:val="20"/>
              </w:rPr>
            </w:pPr>
            <w:r>
              <w:rPr>
                <w:color w:val="000000"/>
                <w:sz w:val="20"/>
              </w:rPr>
              <w:t>Milan Brglez, Rainer Wieland</w:t>
            </w:r>
          </w:p>
        </w:tc>
      </w:tr>
    </w:tbl>
    <w:p w:rsidR="004B5A3E" w:rsidRDefault="004B5A3E"/>
    <w:bookmarkEnd w:id="2"/>
    <w:p w:rsidR="00A34C4C" w:rsidRDefault="00A34C4C" w:rsidP="00A34C4C">
      <w:pPr>
        <w:sectPr w:rsidR="00A34C4C" w:rsidSect="00A34C4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34C4C" w:rsidRPr="00A34C4C" w:rsidRDefault="00A34C4C" w:rsidP="00A34C4C"/>
    <w:p w:rsidR="00A34C4C" w:rsidRPr="0099178F" w:rsidRDefault="006C3812" w:rsidP="00C36610">
      <w:pPr>
        <w:pStyle w:val="PageHeadingNotTOC"/>
      </w:pPr>
      <w:bookmarkStart w:id="3"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42FA6" w:rsidTr="00364C15">
        <w:trPr>
          <w:cantSplit/>
        </w:trPr>
        <w:tc>
          <w:tcPr>
            <w:tcW w:w="1701" w:type="dxa"/>
            <w:shd w:val="pct10" w:color="000000" w:fill="FFFFFF"/>
            <w:vAlign w:val="center"/>
          </w:tcPr>
          <w:p w:rsidR="00A34C4C" w:rsidRPr="00C87806" w:rsidRDefault="006C3812" w:rsidP="00364C15">
            <w:pPr>
              <w:pStyle w:val="RollCallVotes"/>
            </w:pPr>
            <w:r>
              <w:t>23</w:t>
            </w:r>
          </w:p>
        </w:tc>
        <w:tc>
          <w:tcPr>
            <w:tcW w:w="7371" w:type="dxa"/>
            <w:shd w:val="pct10" w:color="000000" w:fill="FFFFFF"/>
          </w:tcPr>
          <w:p w:rsidR="00A34C4C" w:rsidRPr="00C87806" w:rsidRDefault="006C3812" w:rsidP="00364C15">
            <w:pPr>
              <w:pStyle w:val="RollCallSymbols14pt"/>
            </w:pPr>
            <w:r>
              <w:t>+</w:t>
            </w:r>
          </w:p>
        </w:tc>
      </w:tr>
      <w:tr w:rsidR="00A42FA6" w:rsidTr="00364C15">
        <w:trPr>
          <w:cantSplit/>
        </w:trPr>
        <w:tc>
          <w:tcPr>
            <w:tcW w:w="1701" w:type="dxa"/>
            <w:shd w:val="clear" w:color="auto" w:fill="FFFFFF"/>
          </w:tcPr>
          <w:p w:rsidR="00A34C4C" w:rsidRPr="00C87806" w:rsidRDefault="006C3812" w:rsidP="00364C15">
            <w:pPr>
              <w:pStyle w:val="RollCallTable"/>
            </w:pPr>
            <w:r>
              <w:t>PPE</w:t>
            </w:r>
          </w:p>
        </w:tc>
        <w:tc>
          <w:tcPr>
            <w:tcW w:w="7371" w:type="dxa"/>
            <w:shd w:val="clear" w:color="auto" w:fill="FFFFFF"/>
          </w:tcPr>
          <w:p w:rsidR="00A34C4C" w:rsidRPr="00C87806" w:rsidRDefault="006C3812" w:rsidP="00364C15">
            <w:pPr>
              <w:pStyle w:val="RollCallTable"/>
            </w:pPr>
            <w:r>
              <w:t>Maria da Graça Carvalho, Frances Fitzgerald, Arba Kokalari, Elżbieta Katarzyna Łukacijewska, Eleni Stavrou, Rainer Wieland</w:t>
            </w:r>
          </w:p>
        </w:tc>
      </w:tr>
      <w:tr w:rsidR="00A42FA6" w:rsidTr="00364C15">
        <w:trPr>
          <w:cantSplit/>
        </w:trPr>
        <w:tc>
          <w:tcPr>
            <w:tcW w:w="1701" w:type="dxa"/>
            <w:shd w:val="clear" w:color="auto" w:fill="FFFFFF"/>
          </w:tcPr>
          <w:p w:rsidR="00A34C4C" w:rsidRPr="00C87806" w:rsidRDefault="006C3812" w:rsidP="00364C15">
            <w:pPr>
              <w:pStyle w:val="RollCallTable"/>
            </w:pPr>
            <w:r>
              <w:t>Renew</w:t>
            </w:r>
          </w:p>
        </w:tc>
        <w:tc>
          <w:tcPr>
            <w:tcW w:w="7371" w:type="dxa"/>
            <w:shd w:val="clear" w:color="auto" w:fill="FFFFFF"/>
          </w:tcPr>
          <w:p w:rsidR="00A34C4C" w:rsidRPr="00C87806" w:rsidRDefault="006C3812" w:rsidP="00364C15">
            <w:pPr>
              <w:pStyle w:val="RollCallTable"/>
            </w:pPr>
            <w:r>
              <w:t>Sylvie Brunet, Samira Rafaela, María Soraya Rodríguez Ramos, Marco Zullo</w:t>
            </w:r>
          </w:p>
        </w:tc>
      </w:tr>
      <w:tr w:rsidR="00A42FA6" w:rsidTr="00364C15">
        <w:trPr>
          <w:cantSplit/>
        </w:trPr>
        <w:tc>
          <w:tcPr>
            <w:tcW w:w="1701" w:type="dxa"/>
            <w:shd w:val="clear" w:color="auto" w:fill="FFFFFF"/>
          </w:tcPr>
          <w:p w:rsidR="00A34C4C" w:rsidRPr="00C87806" w:rsidRDefault="006C3812" w:rsidP="00364C15">
            <w:pPr>
              <w:pStyle w:val="RollCallTable"/>
            </w:pPr>
            <w:r>
              <w:t>S&amp;D</w:t>
            </w:r>
          </w:p>
        </w:tc>
        <w:tc>
          <w:tcPr>
            <w:tcW w:w="7371" w:type="dxa"/>
            <w:shd w:val="clear" w:color="auto" w:fill="FFFFFF"/>
          </w:tcPr>
          <w:p w:rsidR="00A34C4C" w:rsidRPr="00C87806" w:rsidRDefault="006C3812" w:rsidP="00364C15">
            <w:pPr>
              <w:pStyle w:val="RollCallTable"/>
            </w:pPr>
            <w:r>
              <w:t>Laura Ballarín Cereza, Robert Biedroń, Vilija Blinkevičiūtė, Milan Brglez, Marina Kaljurand, Carina Ohlsson, Evelyn Regner</w:t>
            </w:r>
          </w:p>
        </w:tc>
      </w:tr>
      <w:tr w:rsidR="00A42FA6" w:rsidTr="00364C15">
        <w:trPr>
          <w:cantSplit/>
        </w:trPr>
        <w:tc>
          <w:tcPr>
            <w:tcW w:w="1701" w:type="dxa"/>
            <w:shd w:val="clear" w:color="auto" w:fill="FFFFFF"/>
          </w:tcPr>
          <w:p w:rsidR="00A34C4C" w:rsidRPr="00C87806" w:rsidRDefault="006C3812" w:rsidP="00364C15">
            <w:pPr>
              <w:pStyle w:val="RollCallTable"/>
            </w:pPr>
            <w:r>
              <w:t>The Left</w:t>
            </w:r>
          </w:p>
        </w:tc>
        <w:tc>
          <w:tcPr>
            <w:tcW w:w="7371" w:type="dxa"/>
            <w:shd w:val="clear" w:color="auto" w:fill="FFFFFF"/>
          </w:tcPr>
          <w:p w:rsidR="00A34C4C" w:rsidRPr="00C87806" w:rsidRDefault="006C3812" w:rsidP="00364C15">
            <w:pPr>
              <w:pStyle w:val="RollCallTable"/>
            </w:pPr>
            <w:r>
              <w:t>Sandra Pereira, Eugenia Rodríguez Palop</w:t>
            </w:r>
          </w:p>
        </w:tc>
      </w:tr>
      <w:tr w:rsidR="00A42FA6" w:rsidTr="00364C15">
        <w:trPr>
          <w:cantSplit/>
        </w:trPr>
        <w:tc>
          <w:tcPr>
            <w:tcW w:w="1701" w:type="dxa"/>
            <w:shd w:val="clear" w:color="auto" w:fill="FFFFFF"/>
          </w:tcPr>
          <w:p w:rsidR="00A34C4C" w:rsidRPr="00C87806" w:rsidRDefault="006C3812" w:rsidP="00364C15">
            <w:pPr>
              <w:pStyle w:val="RollCallTable"/>
            </w:pPr>
            <w:r>
              <w:t>Verts/ALE</w:t>
            </w:r>
          </w:p>
        </w:tc>
        <w:tc>
          <w:tcPr>
            <w:tcW w:w="7371" w:type="dxa"/>
            <w:shd w:val="clear" w:color="auto" w:fill="FFFFFF"/>
          </w:tcPr>
          <w:p w:rsidR="00A34C4C" w:rsidRPr="00C87806" w:rsidRDefault="006C3812" w:rsidP="00364C15">
            <w:pPr>
              <w:pStyle w:val="RollCallTable"/>
            </w:pPr>
            <w:r>
              <w:t>Gwendoline Delbos-Corfield, Alice Kuhnke, Diana Riba i Giner, Sylwia Spurek</w:t>
            </w:r>
          </w:p>
        </w:tc>
      </w:tr>
    </w:tbl>
    <w:p w:rsidR="00A34C4C" w:rsidRPr="00C87806" w:rsidRDefault="00A34C4C" w:rsidP="00A34C4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42FA6" w:rsidTr="00364C15">
        <w:trPr>
          <w:cantSplit/>
        </w:trPr>
        <w:tc>
          <w:tcPr>
            <w:tcW w:w="1701" w:type="dxa"/>
            <w:shd w:val="pct10" w:color="000000" w:fill="FFFFFF"/>
            <w:vAlign w:val="center"/>
          </w:tcPr>
          <w:p w:rsidR="00A34C4C" w:rsidRPr="00C87806" w:rsidRDefault="006C3812" w:rsidP="00364C15">
            <w:pPr>
              <w:pStyle w:val="RollCallVotes"/>
            </w:pPr>
            <w:r>
              <w:t>4</w:t>
            </w:r>
          </w:p>
        </w:tc>
        <w:tc>
          <w:tcPr>
            <w:tcW w:w="7371" w:type="dxa"/>
            <w:shd w:val="pct10" w:color="000000" w:fill="FFFFFF"/>
          </w:tcPr>
          <w:p w:rsidR="00A34C4C" w:rsidRPr="00C87806" w:rsidRDefault="006C3812" w:rsidP="00364C15">
            <w:pPr>
              <w:pStyle w:val="RollCallSymbols14pt"/>
            </w:pPr>
            <w:r>
              <w:t>-</w:t>
            </w:r>
          </w:p>
        </w:tc>
      </w:tr>
      <w:tr w:rsidR="00A42FA6" w:rsidTr="00364C15">
        <w:trPr>
          <w:cantSplit/>
        </w:trPr>
        <w:tc>
          <w:tcPr>
            <w:tcW w:w="1701" w:type="dxa"/>
            <w:shd w:val="clear" w:color="auto" w:fill="FFFFFF"/>
          </w:tcPr>
          <w:p w:rsidR="00A34C4C" w:rsidRPr="00C87806" w:rsidRDefault="006C3812" w:rsidP="00364C15">
            <w:pPr>
              <w:pStyle w:val="RollCallTable"/>
            </w:pPr>
            <w:r>
              <w:t>ECR</w:t>
            </w:r>
          </w:p>
        </w:tc>
        <w:tc>
          <w:tcPr>
            <w:tcW w:w="7371" w:type="dxa"/>
            <w:shd w:val="clear" w:color="auto" w:fill="FFFFFF"/>
          </w:tcPr>
          <w:p w:rsidR="00A34C4C" w:rsidRPr="00C87806" w:rsidRDefault="006C3812" w:rsidP="00364C15">
            <w:pPr>
              <w:pStyle w:val="RollCallTable"/>
            </w:pPr>
            <w:r>
              <w:t>Johan Nissinen, Margarita de la Pisa Carrión</w:t>
            </w:r>
          </w:p>
        </w:tc>
      </w:tr>
      <w:tr w:rsidR="00A42FA6" w:rsidTr="00364C15">
        <w:trPr>
          <w:cantSplit/>
        </w:trPr>
        <w:tc>
          <w:tcPr>
            <w:tcW w:w="1701" w:type="dxa"/>
            <w:shd w:val="clear" w:color="auto" w:fill="FFFFFF"/>
          </w:tcPr>
          <w:p w:rsidR="00A34C4C" w:rsidRPr="00C87806" w:rsidRDefault="006C3812" w:rsidP="00364C15">
            <w:pPr>
              <w:pStyle w:val="RollCallTable"/>
            </w:pPr>
            <w:r>
              <w:t>ID</w:t>
            </w:r>
          </w:p>
        </w:tc>
        <w:tc>
          <w:tcPr>
            <w:tcW w:w="7371" w:type="dxa"/>
            <w:shd w:val="clear" w:color="auto" w:fill="FFFFFF"/>
          </w:tcPr>
          <w:p w:rsidR="00A34C4C" w:rsidRPr="00C87806" w:rsidRDefault="006C3812" w:rsidP="00364C15">
            <w:pPr>
              <w:pStyle w:val="RollCallTable"/>
            </w:pPr>
            <w:r>
              <w:t>Christine Anderson, Maria Veronica Rossi</w:t>
            </w:r>
          </w:p>
        </w:tc>
      </w:tr>
    </w:tbl>
    <w:p w:rsidR="00A34C4C" w:rsidRPr="00C87806" w:rsidRDefault="00A34C4C" w:rsidP="00A34C4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42FA6" w:rsidTr="00364C15">
        <w:trPr>
          <w:cantSplit/>
        </w:trPr>
        <w:tc>
          <w:tcPr>
            <w:tcW w:w="1701" w:type="dxa"/>
            <w:shd w:val="pct10" w:color="000000" w:fill="FFFFFF"/>
            <w:vAlign w:val="center"/>
          </w:tcPr>
          <w:p w:rsidR="00A34C4C" w:rsidRPr="00C87806" w:rsidRDefault="006C3812" w:rsidP="00364C15">
            <w:pPr>
              <w:pStyle w:val="RollCallVotes"/>
            </w:pPr>
            <w:r>
              <w:t>2</w:t>
            </w:r>
          </w:p>
        </w:tc>
        <w:tc>
          <w:tcPr>
            <w:tcW w:w="7371" w:type="dxa"/>
            <w:shd w:val="pct10" w:color="000000" w:fill="FFFFFF"/>
          </w:tcPr>
          <w:p w:rsidR="00A34C4C" w:rsidRPr="00C87806" w:rsidRDefault="006C3812" w:rsidP="00364C15">
            <w:pPr>
              <w:pStyle w:val="RollCallSymbols14pt"/>
            </w:pPr>
            <w:r>
              <w:t>0</w:t>
            </w:r>
          </w:p>
        </w:tc>
      </w:tr>
      <w:tr w:rsidR="00A42FA6" w:rsidTr="00364C15">
        <w:trPr>
          <w:cantSplit/>
        </w:trPr>
        <w:tc>
          <w:tcPr>
            <w:tcW w:w="1701" w:type="dxa"/>
            <w:shd w:val="clear" w:color="auto" w:fill="FFFFFF"/>
          </w:tcPr>
          <w:p w:rsidR="00A34C4C" w:rsidRPr="00C87806" w:rsidRDefault="006C3812" w:rsidP="00364C15">
            <w:pPr>
              <w:pStyle w:val="RollCallTable"/>
            </w:pPr>
            <w:r>
              <w:t>ECR</w:t>
            </w:r>
          </w:p>
        </w:tc>
        <w:tc>
          <w:tcPr>
            <w:tcW w:w="7371" w:type="dxa"/>
            <w:shd w:val="clear" w:color="auto" w:fill="FFFFFF"/>
          </w:tcPr>
          <w:p w:rsidR="00A34C4C" w:rsidRPr="00C87806" w:rsidRDefault="006C3812" w:rsidP="00364C15">
            <w:pPr>
              <w:pStyle w:val="RollCallTable"/>
            </w:pPr>
            <w:r>
              <w:t>Andżelika Anna Możdżanowska</w:t>
            </w:r>
          </w:p>
        </w:tc>
      </w:tr>
      <w:tr w:rsidR="00A42FA6" w:rsidTr="00364C15">
        <w:trPr>
          <w:cantSplit/>
        </w:trPr>
        <w:tc>
          <w:tcPr>
            <w:tcW w:w="1701" w:type="dxa"/>
            <w:shd w:val="clear" w:color="auto" w:fill="FFFFFF"/>
          </w:tcPr>
          <w:p w:rsidR="00A34C4C" w:rsidRPr="00C87806" w:rsidRDefault="006C3812" w:rsidP="00364C15">
            <w:pPr>
              <w:pStyle w:val="RollCallTable"/>
            </w:pPr>
            <w:r>
              <w:t>NI</w:t>
            </w:r>
          </w:p>
        </w:tc>
        <w:tc>
          <w:tcPr>
            <w:tcW w:w="7371" w:type="dxa"/>
            <w:shd w:val="clear" w:color="auto" w:fill="FFFFFF"/>
          </w:tcPr>
          <w:p w:rsidR="00A34C4C" w:rsidRPr="00C87806" w:rsidRDefault="006C3812" w:rsidP="00364C15">
            <w:pPr>
              <w:pStyle w:val="RollCallTable"/>
            </w:pPr>
            <w:r>
              <w:t>Lívia Járóka</w:t>
            </w:r>
          </w:p>
        </w:tc>
      </w:tr>
    </w:tbl>
    <w:p w:rsidR="00A34C4C" w:rsidRDefault="00A34C4C" w:rsidP="00147FBF">
      <w:pPr>
        <w:pStyle w:val="Normal12a"/>
      </w:pPr>
    </w:p>
    <w:p w:rsidR="00A34C4C" w:rsidRDefault="006C3812" w:rsidP="00B735E3">
      <w:r>
        <w:t>Sutartiniai ženklai:</w:t>
      </w:r>
    </w:p>
    <w:p w:rsidR="00A34C4C" w:rsidRDefault="006C3812" w:rsidP="003858C5">
      <w:pPr>
        <w:pStyle w:val="RollCallTabs"/>
      </w:pPr>
      <w:r>
        <w:t>+</w:t>
      </w:r>
      <w:r>
        <w:tab/>
        <w:t>:</w:t>
      </w:r>
      <w:r>
        <w:tab/>
        <w:t>už</w:t>
      </w:r>
    </w:p>
    <w:p w:rsidR="00A34C4C" w:rsidRDefault="006C3812" w:rsidP="003858C5">
      <w:pPr>
        <w:pStyle w:val="RollCallTabs"/>
      </w:pPr>
      <w:r>
        <w:t>-</w:t>
      </w:r>
      <w:r>
        <w:tab/>
        <w:t>:</w:t>
      </w:r>
      <w:r>
        <w:tab/>
        <w:t>prieš</w:t>
      </w:r>
    </w:p>
    <w:p w:rsidR="00A34C4C" w:rsidRDefault="006C3812" w:rsidP="003858C5">
      <w:pPr>
        <w:pStyle w:val="RollCallTabs"/>
      </w:pPr>
      <w:r>
        <w:t>0</w:t>
      </w:r>
      <w:r>
        <w:tab/>
        <w:t>:</w:t>
      </w:r>
      <w:r>
        <w:tab/>
        <w:t>susilaikė</w:t>
      </w:r>
    </w:p>
    <w:p w:rsidR="00A34C4C" w:rsidRDefault="00A34C4C" w:rsidP="00207509"/>
    <w:bookmarkEnd w:id="3"/>
    <w:p w:rsidR="002E6F98" w:rsidRPr="00A34C4C" w:rsidRDefault="002E6F98" w:rsidP="00A34C4C"/>
    <w:sectPr w:rsidR="002E6F98" w:rsidRPr="00A34C4C" w:rsidSect="00A34C4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C3812">
      <w:r>
        <w:separator/>
      </w:r>
    </w:p>
  </w:endnote>
  <w:endnote w:type="continuationSeparator" w:id="0">
    <w:p w:rsidR="00000000" w:rsidRDefault="006C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A3E" w:rsidRDefault="006C3812" w:rsidP="004B5A3E">
    <w:pPr>
      <w:pStyle w:val="EPFooter"/>
    </w:pPr>
    <w:r>
      <w:t>PE</w:t>
    </w:r>
    <w:r w:rsidRPr="004B5A3E">
      <w:rPr>
        <w:rStyle w:val="HideTWBExt"/>
      </w:rPr>
      <w:t>&lt;NoPE&gt;</w:t>
    </w:r>
    <w:r>
      <w:t>754.839</w:t>
    </w:r>
    <w:r w:rsidRPr="004B5A3E">
      <w:rPr>
        <w:rStyle w:val="HideTWBExt"/>
      </w:rPr>
      <w:t>&lt;/NoPE&gt;&lt;Version&gt;</w:t>
    </w:r>
    <w:r>
      <w:t>v02-00</w:t>
    </w:r>
    <w:r w:rsidRPr="004B5A3E">
      <w:rPr>
        <w:rStyle w:val="HideTWBExt"/>
      </w:rPr>
      <w:t>&lt;/Version&gt;</w:t>
    </w:r>
    <w:r>
      <w:tab/>
    </w:r>
    <w:r>
      <w:fldChar w:fldCharType="begin"/>
    </w:r>
    <w:r>
      <w:instrText xml:space="preserve"> PAGE  \* MERGEFORMAT </w:instrText>
    </w:r>
    <w:r>
      <w:fldChar w:fldCharType="separate"/>
    </w:r>
    <w:r>
      <w:rPr>
        <w:noProof/>
      </w:rPr>
      <w:t>8</w:t>
    </w:r>
    <w:r>
      <w:fldChar w:fldCharType="end"/>
    </w:r>
    <w:r>
      <w:t>/</w:t>
    </w:r>
    <w:r w:rsidR="00A34C4C">
      <w:fldChar w:fldCharType="begin"/>
    </w:r>
    <w:r>
      <w:instrText xml:space="preserve"> NUMPAGES  \* MERGEFORMAT </w:instrText>
    </w:r>
    <w:r w:rsidR="00A34C4C">
      <w:fldChar w:fldCharType="separate"/>
    </w:r>
    <w:r>
      <w:rPr>
        <w:noProof/>
      </w:rPr>
      <w:t>8</w:t>
    </w:r>
    <w:r w:rsidR="00A34C4C">
      <w:rPr>
        <w:noProof/>
      </w:rPr>
      <w:fldChar w:fldCharType="end"/>
    </w:r>
    <w:r>
      <w:tab/>
    </w:r>
    <w:r w:rsidRPr="004B5A3E">
      <w:rPr>
        <w:rStyle w:val="HideTWBExt"/>
      </w:rPr>
      <w:t>&lt;PathFdR&gt;</w:t>
    </w:r>
    <w:r>
      <w:t>AD\1294966LT.docx</w:t>
    </w:r>
    <w:r w:rsidRPr="004B5A3E">
      <w:rPr>
        <w:rStyle w:val="HideTWBExt"/>
      </w:rPr>
      <w:t>&lt;/PathFdR&gt;</w:t>
    </w:r>
  </w:p>
  <w:p w:rsidR="002E2F2E" w:rsidRPr="00040E4C" w:rsidRDefault="006C3812" w:rsidP="004B5A3E">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A3E" w:rsidRDefault="006C3812" w:rsidP="004B5A3E">
    <w:pPr>
      <w:pStyle w:val="EPFooter"/>
    </w:pPr>
    <w:r w:rsidRPr="004B5A3E">
      <w:rPr>
        <w:rStyle w:val="HideTWBExt"/>
      </w:rPr>
      <w:t>&lt;PathFdR&gt;</w:t>
    </w:r>
    <w:r>
      <w:t>AD\1294966LT.docx</w:t>
    </w:r>
    <w:r w:rsidRPr="004B5A3E">
      <w:rPr>
        <w:rStyle w:val="HideTWBExt"/>
      </w:rPr>
      <w:t>&lt;/PathFdR&gt;</w:t>
    </w:r>
    <w:r>
      <w:tab/>
    </w:r>
    <w:r>
      <w:fldChar w:fldCharType="begin"/>
    </w:r>
    <w:r>
      <w:instrText xml:space="preserve"> PAGE  \* MERGEFORMAT </w:instrText>
    </w:r>
    <w:r>
      <w:fldChar w:fldCharType="separate"/>
    </w:r>
    <w:r>
      <w:rPr>
        <w:noProof/>
      </w:rPr>
      <w:t>8</w:t>
    </w:r>
    <w:r>
      <w:fldChar w:fldCharType="end"/>
    </w:r>
    <w:r>
      <w:t>/</w:t>
    </w:r>
    <w:r w:rsidR="00A34C4C">
      <w:fldChar w:fldCharType="begin"/>
    </w:r>
    <w:r>
      <w:instrText xml:space="preserve"> NUMPAGES  \* MERGEFORMAT </w:instrText>
    </w:r>
    <w:r w:rsidR="00A34C4C">
      <w:fldChar w:fldCharType="separate"/>
    </w:r>
    <w:r>
      <w:rPr>
        <w:noProof/>
      </w:rPr>
      <w:t>8</w:t>
    </w:r>
    <w:r w:rsidR="00A34C4C">
      <w:rPr>
        <w:noProof/>
      </w:rPr>
      <w:fldChar w:fldCharType="end"/>
    </w:r>
    <w:r>
      <w:tab/>
      <w:t>PE</w:t>
    </w:r>
    <w:r w:rsidRPr="004B5A3E">
      <w:rPr>
        <w:rStyle w:val="HideTWBExt"/>
      </w:rPr>
      <w:t>&lt;NoPE&gt;</w:t>
    </w:r>
    <w:r>
      <w:t>754.839</w:t>
    </w:r>
    <w:r w:rsidRPr="004B5A3E">
      <w:rPr>
        <w:rStyle w:val="HideTWBExt"/>
      </w:rPr>
      <w:t>&lt;/NoPE&gt;&lt;Version&gt;</w:t>
    </w:r>
    <w:r>
      <w:t>v02-00</w:t>
    </w:r>
    <w:r w:rsidRPr="004B5A3E">
      <w:rPr>
        <w:rStyle w:val="HideTWBExt"/>
      </w:rPr>
      <w:t>&lt;/Version&gt;</w:t>
    </w:r>
  </w:p>
  <w:p w:rsidR="002E2F2E" w:rsidRPr="00040E4C" w:rsidRDefault="006C3812" w:rsidP="004B5A3E">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A3E" w:rsidRDefault="006C3812" w:rsidP="004B5A3E">
    <w:pPr>
      <w:pStyle w:val="EPFooter"/>
    </w:pPr>
    <w:r w:rsidRPr="004B5A3E">
      <w:rPr>
        <w:rStyle w:val="HideTWBExt"/>
      </w:rPr>
      <w:t>&lt;PathFdR&gt;</w:t>
    </w:r>
    <w:r>
      <w:t>AD\1294966LT.docx</w:t>
    </w:r>
    <w:r w:rsidRPr="004B5A3E">
      <w:rPr>
        <w:rStyle w:val="HideTWBExt"/>
      </w:rPr>
      <w:t>&lt;/PathFdR&gt;</w:t>
    </w:r>
    <w:r>
      <w:tab/>
    </w:r>
    <w:r>
      <w:tab/>
      <w:t>PE</w:t>
    </w:r>
    <w:r w:rsidRPr="004B5A3E">
      <w:rPr>
        <w:rStyle w:val="HideTWBExt"/>
      </w:rPr>
      <w:t>&lt;NoPE&gt;</w:t>
    </w:r>
    <w:r>
      <w:t>754.839</w:t>
    </w:r>
    <w:r w:rsidRPr="004B5A3E">
      <w:rPr>
        <w:rStyle w:val="HideTWBExt"/>
      </w:rPr>
      <w:t>&lt;/NoPE&gt;&lt;Version&gt;</w:t>
    </w:r>
    <w:r>
      <w:t>v02-00</w:t>
    </w:r>
    <w:r w:rsidRPr="004B5A3E">
      <w:rPr>
        <w:rStyle w:val="HideTWBExt"/>
      </w:rPr>
      <w:t>&lt;/Version&gt;</w:t>
    </w:r>
  </w:p>
  <w:p w:rsidR="002E2F2E" w:rsidRPr="00040E4C" w:rsidRDefault="006C3812" w:rsidP="004B5A3E">
    <w:pPr>
      <w:pStyle w:val="EPFooter2"/>
    </w:pPr>
    <w:r>
      <w:t>LT</w:t>
    </w:r>
    <w:r>
      <w:tab/>
    </w:r>
    <w:r w:rsidRPr="004B5A3E">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040E4C" w:rsidRDefault="006C3812">
      <w:r w:rsidRPr="00040E4C">
        <w:separator/>
      </w:r>
    </w:p>
  </w:footnote>
  <w:footnote w:type="continuationSeparator" w:id="0">
    <w:p w:rsidR="00875277" w:rsidRPr="00040E4C" w:rsidRDefault="006C3812">
      <w:r w:rsidRPr="00040E4C">
        <w:continuationSeparator/>
      </w:r>
    </w:p>
  </w:footnote>
  <w:footnote w:id="1">
    <w:p w:rsidR="00A34C4C" w:rsidRPr="001B265E" w:rsidRDefault="006C3812" w:rsidP="00A34C4C">
      <w:pPr>
        <w:pStyle w:val="FootnoteText"/>
      </w:pPr>
      <w:r>
        <w:rPr>
          <w:rStyle w:val="FootnoteReference"/>
        </w:rPr>
        <w:footnoteRef/>
      </w:r>
      <w:r>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C4C" w:rsidRDefault="00A34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C4C" w:rsidRDefault="00A34C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4C4C" w:rsidRDefault="00A34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CAPSFMNU" w:val=" 1"/>
    <w:docVar w:name="CJMNU" w:val="1"/>
    <w:docVar w:name="CODEMNU" w:val=" 7"/>
    <w:docVar w:name="COM2KEY" w:val="CONT"/>
    <w:docVar w:name="COMKEY" w:val="FEMM"/>
    <w:docVar w:name="CONTRIBUTIONMNU" w:val=" 2"/>
    <w:docVar w:name="FONCTIONMNU" w:val=" 3"/>
    <w:docVar w:name="LastEditedSection" w:val=" 4"/>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323920 HideTWBInt;}{_x000d__x000a_\s18\ql \fi-567\li567\ri0\sa240\nowidctlpar\wrapdefault\aspalpha\aspnum\faauto\adjustright\rin0\lin567\itap0 \rtlch\fcs1 \af0\afs20\alang1025 \ltrch\fcs0 \fs24\lang2057\langfe2057\cgrid\langnp2057\langfenp2057 _x000d__x000a_\sbasedon0 \snext18 \spriority0 \styrsid8323920 NormalHanging12a;}}{\*\rsidtbl \rsid24658\rsid223860\rsid735077\rsid1718133\rsid2892074\rsid3565327\rsid4666813\rsid6641733\rsid6766702\rsid7823322\rsid8323920\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upr{\author PUOD\'8eIUKYNAIT? Just?}{\*\ud\uc0{\author PUOD\'8eIUKYNAIT{\uc1\u278 E Just\u279 e}}}}{\upr{\operator PUOD\'8eIUKYNAIT? Just?}{\*\ud\uc0{\operator PUOD\'8eIUKYNAIT{\uc1\u278 E Just\u279 e}}}}{\creatim\yr2024\mo2\dy2\hr15\min20}_x000d__x000a_{\revtim\yr2024\mo2\dy2\hr15\min20}{\version1}{\edmins0}{\nofpages1}{\nofwords1}{\nofchars12}{\nofcharsws12}{\vern109}}{\*\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23920\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6766702 \chftnsep _x000d__x000a_\par }}{\*\ftnsepc \ltrpar \pard\plain \ltrpar\ql \li0\ri0\widctlpar\wrapdefault\aspalpha\aspnum\faauto\adjustright\rin0\lin0\itap0 \rtlch\fcs1 \af0\afs20\alang1025 \ltrch\fcs0 \fs24\lang2057\langfe2057\cgrid\langnp2057\langfenp2057 {\rtlch\fcs1 \af0 _x000d__x000a_\ltrch\fcs0 \insrsid6766702 \chftnsepc _x000d__x000a_\par }}{\*\aftnsep \ltrpar \pard\plain \ltrpar\ql \li0\ri0\widctlpar\wrapdefault\aspalpha\aspnum\faauto\adjustright\rin0\lin0\itap0 \rtlch\fcs1 \af0\afs20\alang1025 \ltrch\fcs0 \fs24\lang2057\langfe2057\cgrid\langnp2057\langfenp2057 {\rtlch\fcs1 \af0 _x000d__x000a_\ltrch\fcs0 \insrsid6766702 \chftnsep _x000d__x000a_\par }}{\*\aftnsepc \ltrpar \pard\plain \ltrpar\ql \li0\ri0\widctlpar\wrapdefault\aspalpha\aspnum\faauto\adjustright\rin0\lin0\itap0 \rtlch\fcs1 \af0\afs20\alang1025 \ltrch\fcs0 \fs24\lang2057\langfe2057\cgrid\langnp2057\langfenp2057 {\rtlch\fcs1 \af0 _x000d__x000a_\ltrch\fcs0 \insrsid6766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8323920 \rtlch\fcs1 \af0\afs20\alang1025 \ltrch\fcs0 \fs24\lang2057\langfe2057\cgrid\langnp2057\langfenp2057 {\rtlch\fcs1 \af0 _x000d__x000a_\ltrch\fcs0 \insrsid8323920\charrsid2177812 {\*\bkmkstart restart}#}{\rtlch\fcs1 \af1 \ltrch\fcs0 \cs17\v\f1\fs20\cf15\insrsid8323920\charrsid2177812 NRMSG}{\rtlch\fcs1 \af0 \ltrch\fcs0 \insrsid8323920\charrsid2177812 #.\tab ##}{\rtlch\fcs1 \af0 _x000d__x000a_\ltrch\fcs0 \insrsid832392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8_x000d__x000a_26f5e2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862851 NormalHanging12a;}}{\*\rsidtbl \rsid24658\rsid223860\rsid735077\rsid1137529\rsid1718133\rsid1862851\rsid2892074\rsid3565327\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upr{\author PUOD\'8eIUKYNAIT? Just?}{\*\ud\uc0{\author PUOD\'8eIUKYNAIT{\uc1\u278 E Just\u279 e}}}}{\upr{\operator PUOD\'8eIUKYNAIT? Just?}_x000d__x000a_{\*\ud\uc0{\operator PUOD\'8eIUKYNAIT{\uc1\u278 E Just\u279 e}}}}{\creatim\yr2024\mo2\dy2\hr15\min20}{\revtim\yr2024\mo2\dy2\hr15\min20}{\version1}{\edmins0}{\nofpages1}{\nofwords5}{\nofchars30}{\nofcharsws34}{\vern109}}{\*\xmlnstbl {\xmlns1 http://schema_x000d__x000a_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862851\newtblstyruls\nogrowautofit\usenormstyforlist\noindnmbrts\felnbrelev\nocxsptable\indrlsweleven\noafcnsttbl\afelev\utinl\hwelev\spltpgpar\notcvasp\notbrkcnstfrctbl\notvatxbx\krnprsnet\cachedcolbal _x000d__x000a_\nouicompat \fet0{\*\wgrffmtfilter 013f}\nofeaturethrottle1\ilfomacatclnup0{\*\template C:\\Users\\JPUODZ~1\\AppData\\Local\\Temp\\Blank1.dotx}{\*\ftnsep \ltrpar \pard\plain \ltrpar_x000d__x000a_\ql \li0\ri0\widctlpar\wrapdefault\aspalpha\aspnum\faauto\adjustright\rin0\lin0\itap0 \rtlch\fcs1 \af0\afs20\alang1025 \ltrch\fcs0 \fs24\lang2057\langfe2057\cgrid\langnp2057\langfenp2057 {\rtlch\fcs1 \af0 \ltrch\fcs0 \insrsid1137529 \chftnsep _x000d__x000a_\par }}{\*\ftnsepc \ltrpar \pard\plain \ltrpar\ql \li0\ri0\widctlpar\wrapdefault\aspalpha\aspnum\faauto\adjustright\rin0\lin0\itap0 \rtlch\fcs1 \af0\afs20\alang1025 \ltrch\fcs0 \fs24\lang2057\langfe2057\cgrid\langnp2057\langfenp2057 {\rtlch\fcs1 \af0 _x000d__x000a_\ltrch\fcs0 \insrsid1137529 \chftnsepc _x000d__x000a_\par }}{\*\aftnsep \ltrpar \pard\plain \ltrpar\ql \li0\ri0\widctlpar\wrapdefault\aspalpha\aspnum\faauto\adjustright\rin0\lin0\itap0 \rtlch\fcs1 \af0\afs20\alang1025 \ltrch\fcs0 \fs24\lang2057\langfe2057\cgrid\langnp2057\langfenp2057 {\rtlch\fcs1 \af0 _x000d__x000a_\ltrch\fcs0 \insrsid1137529 \chftnsep _x000d__x000a_\par }}{\*\aftnsepc \ltrpar \pard\plain \ltrpar\ql \li0\ri0\widctlpar\wrapdefault\aspalpha\aspnum\faauto\adjustright\rin0\lin0\itap0 \rtlch\fcs1 \af0\afs20\alang1025 \ltrch\fcs0 \fs24\lang2057\langfe2057\cgrid\langnp2057\langfenp2057 {\rtlch\fcs1 \af0 _x000d__x000a_\ltrch\fcs0 \insrsid1137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862851 \rtlch\fcs1 \af0\afs20\alang1025 \ltrch\fcs0 \fs24\lang2057\langfe2057\cgrid\langnp2057\langfenp2057 {\rtlch\fcs1 \af0 _x000d__x000a_\ltrch\fcs0 \insrsid1862851\charrsid1525456 {\*\bkmkstart restart}[ZSUGGESTIONNR]\tab [ZSUGGESTIONTEXT]}{\rtlch\fcs1 \af0 \ltrch\fcs0 \insrsid186285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0a_x000d__x000a_11f7e255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LT"/>
    <w:docVar w:name="TXTLANGUEMIN" w:val="lt"/>
    <w:docVar w:name="TXTNRPE" w:val="754.839"/>
    <w:docVar w:name="TXTNRPROC" w:val="2023/2152"/>
    <w:docVar w:name="TXTPEorAP" w:val="PE"/>
    <w:docVar w:name="TXTROUTE" w:val="AD\1294966LT.docx"/>
    <w:docVar w:name="TXTTITLE" w:val="2022 discharge: European Institute for Gender Equality"/>
    <w:docVar w:name="TXTVERSION" w:val="02-00"/>
  </w:docVars>
  <w:rsids>
    <w:rsidRoot w:val="00875277"/>
    <w:rsid w:val="00037518"/>
    <w:rsid w:val="00040E4C"/>
    <w:rsid w:val="000D28B3"/>
    <w:rsid w:val="000E30B9"/>
    <w:rsid w:val="000E5908"/>
    <w:rsid w:val="000E7EBF"/>
    <w:rsid w:val="00124F60"/>
    <w:rsid w:val="00135121"/>
    <w:rsid w:val="00140BE6"/>
    <w:rsid w:val="00147F4E"/>
    <w:rsid w:val="00147FBF"/>
    <w:rsid w:val="0016635E"/>
    <w:rsid w:val="001746D0"/>
    <w:rsid w:val="00180131"/>
    <w:rsid w:val="001B265E"/>
    <w:rsid w:val="001B7393"/>
    <w:rsid w:val="001D2ED9"/>
    <w:rsid w:val="001F21C1"/>
    <w:rsid w:val="00207509"/>
    <w:rsid w:val="0024239A"/>
    <w:rsid w:val="002B2C72"/>
    <w:rsid w:val="002D28A7"/>
    <w:rsid w:val="002E2F2E"/>
    <w:rsid w:val="002E6F98"/>
    <w:rsid w:val="00325BCB"/>
    <w:rsid w:val="00331944"/>
    <w:rsid w:val="00332AD9"/>
    <w:rsid w:val="00347D2C"/>
    <w:rsid w:val="00364C15"/>
    <w:rsid w:val="0037356F"/>
    <w:rsid w:val="003858C5"/>
    <w:rsid w:val="00390EB2"/>
    <w:rsid w:val="00396A0E"/>
    <w:rsid w:val="003E2402"/>
    <w:rsid w:val="004B5A3E"/>
    <w:rsid w:val="004C28FB"/>
    <w:rsid w:val="004C44C0"/>
    <w:rsid w:val="004C4A86"/>
    <w:rsid w:val="004E57F9"/>
    <w:rsid w:val="0052544E"/>
    <w:rsid w:val="00526B33"/>
    <w:rsid w:val="00531DA6"/>
    <w:rsid w:val="00575693"/>
    <w:rsid w:val="005940C3"/>
    <w:rsid w:val="00594C48"/>
    <w:rsid w:val="005B2F11"/>
    <w:rsid w:val="005C0BDF"/>
    <w:rsid w:val="005D60C6"/>
    <w:rsid w:val="005D67F0"/>
    <w:rsid w:val="006102E7"/>
    <w:rsid w:val="00640C1B"/>
    <w:rsid w:val="00652CF2"/>
    <w:rsid w:val="00657AFB"/>
    <w:rsid w:val="006719B9"/>
    <w:rsid w:val="006C3812"/>
    <w:rsid w:val="006D5BF7"/>
    <w:rsid w:val="007E0BB6"/>
    <w:rsid w:val="008313E7"/>
    <w:rsid w:val="00854CAC"/>
    <w:rsid w:val="00875277"/>
    <w:rsid w:val="008A32C5"/>
    <w:rsid w:val="008C6203"/>
    <w:rsid w:val="008D61E7"/>
    <w:rsid w:val="008F7002"/>
    <w:rsid w:val="00950C18"/>
    <w:rsid w:val="0099178F"/>
    <w:rsid w:val="0099493F"/>
    <w:rsid w:val="00A16BEA"/>
    <w:rsid w:val="00A312B3"/>
    <w:rsid w:val="00A34C4C"/>
    <w:rsid w:val="00A42FA6"/>
    <w:rsid w:val="00A72C35"/>
    <w:rsid w:val="00AC646C"/>
    <w:rsid w:val="00AD5932"/>
    <w:rsid w:val="00AE180F"/>
    <w:rsid w:val="00B362F7"/>
    <w:rsid w:val="00B5456B"/>
    <w:rsid w:val="00B735E3"/>
    <w:rsid w:val="00B74B53"/>
    <w:rsid w:val="00BC26E4"/>
    <w:rsid w:val="00BD1EAA"/>
    <w:rsid w:val="00C36610"/>
    <w:rsid w:val="00C52739"/>
    <w:rsid w:val="00C827FF"/>
    <w:rsid w:val="00C85D0F"/>
    <w:rsid w:val="00C87806"/>
    <w:rsid w:val="00CD34AC"/>
    <w:rsid w:val="00D97022"/>
    <w:rsid w:val="00DE19FF"/>
    <w:rsid w:val="00E81BA6"/>
    <w:rsid w:val="00E856D2"/>
    <w:rsid w:val="00E929A7"/>
    <w:rsid w:val="00EA6D13"/>
    <w:rsid w:val="00EC32D4"/>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character" w:customStyle="1" w:styleId="NormalHanging12aChar">
    <w:name w:val="NormalHanging12a Char"/>
    <w:basedOn w:val="DefaultParagraphFont"/>
    <w:link w:val="NormalHanging12a"/>
    <w:rsid w:val="00A34C4C"/>
    <w:rPr>
      <w:sz w:val="24"/>
    </w:rPr>
  </w:style>
  <w:style w:type="paragraph" w:styleId="FootnoteText">
    <w:name w:val="footnote text"/>
    <w:basedOn w:val="Normal"/>
    <w:link w:val="FootnoteTextChar"/>
    <w:rsid w:val="00A34C4C"/>
    <w:rPr>
      <w:sz w:val="20"/>
    </w:rPr>
  </w:style>
  <w:style w:type="character" w:customStyle="1" w:styleId="FootnoteTextChar">
    <w:name w:val="Footnote Text Char"/>
    <w:basedOn w:val="DefaultParagraphFont"/>
    <w:link w:val="FootnoteText"/>
    <w:rsid w:val="00A34C4C"/>
    <w:rPr>
      <w:lang w:val="lt-LT"/>
    </w:rPr>
  </w:style>
  <w:style w:type="character" w:styleId="FootnoteReference">
    <w:name w:val="footnote reference"/>
    <w:basedOn w:val="DefaultParagraphFont"/>
    <w:rsid w:val="00A34C4C"/>
    <w:rPr>
      <w:vertAlign w:val="superscript"/>
    </w:rPr>
  </w:style>
  <w:style w:type="paragraph" w:customStyle="1" w:styleId="Normal24a">
    <w:name w:val="Normal24a"/>
    <w:basedOn w:val="Normal"/>
    <w:rsid w:val="00A34C4C"/>
    <w:pPr>
      <w:spacing w:after="480"/>
    </w:pPr>
  </w:style>
  <w:style w:type="paragraph" w:customStyle="1" w:styleId="NormalBoldCenter">
    <w:name w:val="NormalBoldCenter"/>
    <w:basedOn w:val="Normal"/>
    <w:rsid w:val="00A34C4C"/>
    <w:pPr>
      <w:jc w:val="center"/>
    </w:pPr>
    <w:rPr>
      <w:b/>
    </w:rPr>
  </w:style>
  <w:style w:type="paragraph" w:customStyle="1" w:styleId="RollCallSymbols14pt">
    <w:name w:val="RollCallSymbols14pt"/>
    <w:basedOn w:val="Normal"/>
    <w:rsid w:val="00A34C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34C4C"/>
    <w:pPr>
      <w:tabs>
        <w:tab w:val="center" w:pos="284"/>
        <w:tab w:val="left" w:pos="426"/>
      </w:tabs>
    </w:pPr>
    <w:rPr>
      <w:snapToGrid w:val="0"/>
      <w:lang w:eastAsia="en-US"/>
    </w:rPr>
  </w:style>
  <w:style w:type="paragraph" w:customStyle="1" w:styleId="RollCallVotes">
    <w:name w:val="RollCallVotes"/>
    <w:basedOn w:val="Normal"/>
    <w:rsid w:val="00A34C4C"/>
    <w:pPr>
      <w:spacing w:before="120" w:after="120"/>
      <w:jc w:val="center"/>
    </w:pPr>
    <w:rPr>
      <w:b/>
      <w:bCs/>
      <w:snapToGrid w:val="0"/>
      <w:sz w:val="16"/>
      <w:lang w:eastAsia="en-US"/>
    </w:rPr>
  </w:style>
  <w:style w:type="paragraph" w:customStyle="1" w:styleId="RollCallTable">
    <w:name w:val="RollCallTable"/>
    <w:basedOn w:val="Normal"/>
    <w:rsid w:val="00A34C4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771F8-3F4F-4C58-8746-EB0461D37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1332</Words>
  <Characters>8540</Characters>
  <Application>Microsoft Office Word</Application>
  <DocSecurity>0</DocSecurity>
  <Lines>190</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2024-02-08T15:52:00Z</dcterms:created>
  <dcterms:modified xsi:type="dcterms:W3CDTF">2024-02-08T15:52:00Z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1294966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Bookout">
    <vt:lpwstr>OK - 2024/02/08 16:51</vt:lpwstr>
  </property>
  <property fmtid="{D5CDD505-2E9C-101B-9397-08002B2CF9AE}" pid="9" name="Created with">
    <vt:lpwstr>9.16.1 Build [20230915]</vt:lpwstr>
  </property>
  <property fmtid="{D5CDD505-2E9C-101B-9397-08002B2CF9AE}" pid="10" name="FooterPath">
    <vt:lpwstr>AD\1294966LT.docx</vt:lpwstr>
  </property>
  <property fmtid="{D5CDD505-2E9C-101B-9397-08002B2CF9AE}" pid="11" name="LastEdited with">
    <vt:lpwstr>9.17.1 Build [20240111]</vt:lpwstr>
  </property>
  <property fmtid="{D5CDD505-2E9C-101B-9397-08002B2CF9AE}" pid="12" name="PE number">
    <vt:lpwstr>754.839</vt:lpwstr>
  </property>
  <property fmtid="{D5CDD505-2E9C-101B-9397-08002B2CF9AE}" pid="13" name="SDLStudio">
    <vt:lpwstr/>
  </property>
  <property fmtid="{D5CDD505-2E9C-101B-9397-08002B2CF9AE}" pid="14" name="SendToEpades">
    <vt:lpwstr>OK - 2023/10/18 10:49</vt:lpwstr>
  </property>
</Properties>
</file>