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2269B4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54CAC" w:rsidRPr="00DB3BEE" w:rsidRDefault="00C046E6" w:rsidP="00C85D0F">
            <w:pPr>
              <w:pStyle w:val="EPName"/>
            </w:pPr>
            <w:r>
              <w:t>Parlament Ewropew</w:t>
            </w:r>
          </w:p>
          <w:p w:rsidR="00854CAC" w:rsidRPr="00DB3BEE" w:rsidRDefault="00C046E6" w:rsidP="0024239A">
            <w:pPr>
              <w:pStyle w:val="EPTerm"/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854CAC" w:rsidRPr="00DB3BEE" w:rsidRDefault="00C046E6" w:rsidP="00C85D0F">
            <w:pPr>
              <w:pStyle w:val="EPLogo"/>
            </w:pPr>
            <w:r w:rsidRPr="00DB3BE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746D0" w:rsidRPr="00DB3BEE" w:rsidRDefault="001746D0" w:rsidP="001746D0">
      <w:pPr>
        <w:pStyle w:val="LineTop"/>
      </w:pPr>
    </w:p>
    <w:p w:rsidR="001746D0" w:rsidRPr="00DB3BEE" w:rsidRDefault="00C046E6" w:rsidP="001746D0">
      <w:pPr>
        <w:pStyle w:val="EPBody"/>
      </w:pPr>
      <w:r>
        <w:rPr>
          <w:rStyle w:val="HideTWBExt"/>
        </w:rPr>
        <w:t>&lt;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  <w:r>
        <w:rPr>
          <w:rStyle w:val="HideTWBInt"/>
          <w:color w:val="auto"/>
        </w:rPr>
        <w:t>{FEMM}</w:t>
      </w:r>
      <w:r>
        <w:t>Kumitat għad-Drittijiet tan-Nisa u għall-Ugwaljanza bejn is-Sessi</w:t>
      </w:r>
      <w:r>
        <w:rPr>
          <w:rStyle w:val="HideTWBExt"/>
        </w:rPr>
        <w:t>&lt;/</w:t>
      </w:r>
      <w:r>
        <w:rPr>
          <w:rStyle w:val="HideTWBExt"/>
          <w:i w:val="0"/>
        </w:rPr>
        <w:t>Commission</w:t>
      </w:r>
      <w:r>
        <w:rPr>
          <w:rStyle w:val="HideTWBExt"/>
        </w:rPr>
        <w:t>&gt;</w:t>
      </w:r>
    </w:p>
    <w:p w:rsidR="001746D0" w:rsidRPr="00DB3BEE" w:rsidRDefault="001746D0" w:rsidP="001746D0">
      <w:pPr>
        <w:pStyle w:val="LineBottom"/>
      </w:pPr>
    </w:p>
    <w:p w:rsidR="002E2F2E" w:rsidRPr="00DB3BEE" w:rsidRDefault="00C046E6">
      <w:pPr>
        <w:pStyle w:val="CoverReference"/>
      </w:pPr>
      <w:r>
        <w:rPr>
          <w:rStyle w:val="HideTWBExt"/>
          <w:b w:val="0"/>
        </w:rPr>
        <w:t>&lt;RefProc&gt;</w:t>
      </w:r>
      <w:r>
        <w:t>2023/2152</w:t>
      </w:r>
      <w:r>
        <w:rPr>
          <w:rStyle w:val="HideTWBExt"/>
          <w:b w:val="0"/>
        </w:rPr>
        <w:t>&lt;/RefProc&gt;&lt;RefTypeProc&gt;</w:t>
      </w:r>
      <w:r>
        <w:t>(DEC)</w:t>
      </w:r>
      <w:r>
        <w:rPr>
          <w:rStyle w:val="HideTWBExt"/>
          <w:b w:val="0"/>
        </w:rPr>
        <w:t>&lt;/RefTypeProc&gt;</w:t>
      </w:r>
    </w:p>
    <w:p w:rsidR="002E2F2E" w:rsidRPr="00DB3BEE" w:rsidRDefault="00C046E6">
      <w:pPr>
        <w:pStyle w:val="CoverDate"/>
      </w:pPr>
      <w:r>
        <w:rPr>
          <w:rStyle w:val="HideTWBExt"/>
        </w:rPr>
        <w:t>&lt;Date&gt;</w:t>
      </w:r>
      <w:r>
        <w:rPr>
          <w:rStyle w:val="HideTWBInt"/>
          <w:color w:val="auto"/>
        </w:rPr>
        <w:t>{25/01/2024}</w:t>
      </w:r>
      <w:r>
        <w:t>25.1.2024</w:t>
      </w:r>
      <w:r>
        <w:rPr>
          <w:rStyle w:val="HideTWBExt"/>
        </w:rPr>
        <w:t>&lt;/Date&gt;</w:t>
      </w:r>
    </w:p>
    <w:p w:rsidR="002E2F2E" w:rsidRPr="00DB3BEE" w:rsidRDefault="00C046E6">
      <w:pPr>
        <w:pStyle w:val="CoverDocType24a"/>
      </w:pPr>
      <w:r>
        <w:rPr>
          <w:rStyle w:val="HideTWBExt"/>
          <w:b w:val="0"/>
        </w:rPr>
        <w:t>&lt;TitreType&gt;</w:t>
      </w:r>
      <w:r>
        <w:t>OPINJONI</w:t>
      </w:r>
      <w:r>
        <w:rPr>
          <w:rStyle w:val="HideTWBExt"/>
          <w:b w:val="0"/>
        </w:rPr>
        <w:t>&lt;/TitreType&gt;</w:t>
      </w:r>
    </w:p>
    <w:p w:rsidR="002E2F2E" w:rsidRPr="00DB3BEE" w:rsidRDefault="00C046E6">
      <w:pPr>
        <w:pStyle w:val="CoverNormal24a"/>
      </w:pPr>
      <w:r>
        <w:rPr>
          <w:rStyle w:val="HideTWBExt"/>
        </w:rPr>
        <w:t>&lt;CommissionResp&gt;</w:t>
      </w:r>
      <w:r>
        <w:t>tal-Kumitat għad-Drittijiet tan-Nisa u għall-Ugwaljanza bejn is-Sessi</w:t>
      </w:r>
      <w:r>
        <w:rPr>
          <w:rStyle w:val="HideTWBExt"/>
        </w:rPr>
        <w:t>&lt;/CommissionResp&gt;</w:t>
      </w:r>
    </w:p>
    <w:p w:rsidR="002E2F2E" w:rsidRPr="00DB3BEE" w:rsidRDefault="00C046E6">
      <w:pPr>
        <w:pStyle w:val="CoverNormal24a"/>
      </w:pPr>
      <w:r>
        <w:rPr>
          <w:rStyle w:val="HideTWBExt"/>
        </w:rPr>
        <w:t>&lt;CommissionInt&gt;</w:t>
      </w:r>
      <w:r>
        <w:t>għall-Kumitat għall-Kontroll tal-Baġit</w:t>
      </w:r>
      <w:r>
        <w:rPr>
          <w:rStyle w:val="HideTWBExt"/>
        </w:rPr>
        <w:t>&lt;/CommissionInt&gt;</w:t>
      </w:r>
    </w:p>
    <w:p w:rsidR="002E2F2E" w:rsidRPr="00DB3BEE" w:rsidRDefault="00C046E6">
      <w:pPr>
        <w:pStyle w:val="CoverNormal"/>
      </w:pPr>
      <w:r>
        <w:rPr>
          <w:rStyle w:val="HideTWBExt"/>
        </w:rPr>
        <w:t>&lt;Titre&gt;</w:t>
      </w:r>
      <w:r>
        <w:t>dwar il-kwittanza 2022: L-Istitut Ewropew għall-Ugwaljanza bejn</w:t>
      </w:r>
      <w:r>
        <w:t xml:space="preserve"> is-Sessi</w:t>
      </w:r>
      <w:r>
        <w:rPr>
          <w:rStyle w:val="HideTWBExt"/>
        </w:rPr>
        <w:t>&lt;/Titre&gt;</w:t>
      </w:r>
    </w:p>
    <w:p w:rsidR="002E2F2E" w:rsidRPr="00DB3BEE" w:rsidRDefault="00C046E6">
      <w:pPr>
        <w:pStyle w:val="CoverNormal24a"/>
      </w:pPr>
      <w:r>
        <w:rPr>
          <w:rStyle w:val="HideTWBExt"/>
        </w:rPr>
        <w:t>&lt;DocRef&gt;</w:t>
      </w:r>
      <w:r>
        <w:t>(2023/2152(DEC))</w:t>
      </w:r>
      <w:r>
        <w:rPr>
          <w:rStyle w:val="HideTWBExt"/>
        </w:rPr>
        <w:t>&lt;/DocRef&gt;</w:t>
      </w:r>
    </w:p>
    <w:p w:rsidR="002E2F2E" w:rsidRPr="00DB3BEE" w:rsidRDefault="00C046E6">
      <w:pPr>
        <w:pStyle w:val="CoverNormal24a"/>
      </w:pPr>
      <w:r>
        <w:t xml:space="preserve">Rapporteur għal opinjoni: </w:t>
      </w:r>
      <w:r>
        <w:rPr>
          <w:rStyle w:val="HideTWBExt"/>
        </w:rPr>
        <w:t>&lt;Depute&gt;</w:t>
      </w:r>
      <w:r>
        <w:t>Robert Biedroń</w:t>
      </w:r>
      <w:r>
        <w:rPr>
          <w:rStyle w:val="HideTWBExt"/>
        </w:rPr>
        <w:t>&lt;/Depute&gt;</w:t>
      </w:r>
    </w:p>
    <w:p w:rsidR="00A72C35" w:rsidRPr="00DB3BEE" w:rsidRDefault="00A72C35" w:rsidP="00A72C35">
      <w:pPr>
        <w:pStyle w:val="CoverNormal"/>
      </w:pPr>
    </w:p>
    <w:p w:rsidR="002E2F2E" w:rsidRPr="00DB3BEE" w:rsidRDefault="00C046E6" w:rsidP="00E856D2">
      <w:pPr>
        <w:widowControl/>
        <w:tabs>
          <w:tab w:val="center" w:pos="4677"/>
        </w:tabs>
      </w:pPr>
      <w:r>
        <w:br w:type="page"/>
      </w:r>
      <w:r>
        <w:lastRenderedPageBreak/>
        <w:t>PA_NonLeg</w:t>
      </w:r>
    </w:p>
    <w:p w:rsidR="002E2F2E" w:rsidRPr="00DB3BEE" w:rsidRDefault="00C046E6">
      <w:pPr>
        <w:pStyle w:val="PageHeadingNotTOC"/>
      </w:pPr>
      <w:bookmarkStart w:id="0" w:name="_GoBack"/>
      <w:bookmarkEnd w:id="0"/>
      <w:r>
        <w:br w:type="page"/>
      </w:r>
      <w:r>
        <w:lastRenderedPageBreak/>
        <w:t>SUĠĠERIMENTI</w:t>
      </w:r>
    </w:p>
    <w:p w:rsidR="002E2F2E" w:rsidRPr="00DB3BEE" w:rsidRDefault="00C046E6" w:rsidP="008313E7">
      <w:pPr>
        <w:pStyle w:val="Normal12a"/>
      </w:pPr>
      <w:r>
        <w:t xml:space="preserve">Il-Kumitat għad-Drittijiet tan-Nisa u għall-Ugwaljanza bejn is-Sessi jistieden lill-Kumitat għall-Kontroll tal-Baġit, </w:t>
      </w:r>
      <w:r>
        <w:t>bħala l-kumitat responsabbli, biex jinkorpora s-suġġerimenti li ġejjin fil-mozzjoni għal riżoluzzjoni tiegħu:</w:t>
      </w:r>
    </w:p>
    <w:p w:rsidR="00B80519" w:rsidRPr="00C87806" w:rsidRDefault="00C046E6" w:rsidP="00B80519">
      <w:pPr>
        <w:pStyle w:val="NormalHanging12a"/>
        <w:rPr>
          <w:szCs w:val="24"/>
        </w:rPr>
      </w:pPr>
      <w:r>
        <w:t>A.</w:t>
      </w:r>
      <w:r>
        <w:tab/>
        <w:t>billi l-Artikolu 8 tat-TFUE jiddikjara li fl-azzjonijiet kollha tagħha l-Unjoni għandha tfittex li telimina l-inugwaljanzi, tistabbilixxi l-pri</w:t>
      </w:r>
      <w:r>
        <w:t>nċipju tal-integrazzjoni tal-perspettiva tal-ġeneri u tippromwovi l-ugwaljanza bejn il-ġeneri bejn l-irġiel u n-nisa; billi l-ugwaljanza bejn il-ġeneri trid tiġi inkorporata fil-politiki kollha tal-UE, inkluż permezz tal-ibbaġitjar skont il-ġeneru fil-live</w:t>
      </w:r>
      <w:r>
        <w:t>lli kollha tal-proċess baġitarju;</w:t>
      </w:r>
    </w:p>
    <w:p w:rsidR="00B80519" w:rsidRPr="00C87806" w:rsidRDefault="00C046E6" w:rsidP="00B80519">
      <w:pPr>
        <w:pStyle w:val="NormalHanging12a"/>
        <w:rPr>
          <w:szCs w:val="24"/>
        </w:rPr>
      </w:pPr>
      <w:r>
        <w:t>B.</w:t>
      </w:r>
      <w:r>
        <w:tab/>
        <w:t xml:space="preserve">billi l-persunal tal-Istitut Ewropew għall-Ugwaljanza bejn is-Sessi (EIGE) qed jinvolvi ruħu b’mod attiv fl-iskambju tal-aħjar prattiki u fl-attivitajiet tan-Network tal-Aġenziji tal-UE (EUAN) u tas-subnetworks tiegħu, </w:t>
      </w:r>
      <w:r>
        <w:t xml:space="preserve">sabiex jiżviluppa s-sinerġiji tiegħu bħar-riżorsi umani, il-ġestjoni tal-bini, is-servizzi tal-IT u s-sigurtà, il-kooperazzjoni u l-iskambju ta’ prattiki tajba ma’ aġenziji oħra tal-Unjoni bl-għan li tittejjeb l-effiċjenza; billi l-EIGE ħa passi proattivi </w:t>
      </w:r>
      <w:r>
        <w:t>biex japplika miżuri kontinwi għat-titjib tal-bilanċ bejn il-ġeneri fost il-persunal tiegħu;</w:t>
      </w:r>
    </w:p>
    <w:p w:rsidR="00B80519" w:rsidRPr="00C87806" w:rsidRDefault="00C046E6" w:rsidP="00B80519">
      <w:pPr>
        <w:pStyle w:val="NormalHanging12a"/>
        <w:rPr>
          <w:szCs w:val="24"/>
        </w:rPr>
      </w:pPr>
      <w:r>
        <w:t>C.</w:t>
      </w:r>
      <w:r>
        <w:tab/>
        <w:t>billi l-Indiċi tal-Ugwaljanza bejn il-Ġeneri tal-2023 juri li l-Istati Membri għamlu żieda modesta ta’ 1,6 punt biss biex jilħqu s-70,2, u b’xi oqsma juru sinja</w:t>
      </w:r>
      <w:r>
        <w:t>li ta’ rigressjoni, b’mod partikolari fil-metriċi ekonomiċi u tal-introjtu</w:t>
      </w:r>
      <w:r>
        <w:rPr>
          <w:vertAlign w:val="superscript"/>
        </w:rPr>
        <w:footnoteReference w:id="1"/>
      </w:r>
      <w:r>
        <w:t>; billi l-Istitut Ewropew għall-Ugwaljanza bejn is-Sessi (EIGE) twaqqaf biex jikkontribwixxi għall-promozzjoni tal-ugwaljanza bejn il-ġeneri fl-Unjoni u jsaħħaħha, u billi dan jinkl</w:t>
      </w:r>
      <w:r>
        <w:t>udi l-integrazzjoni tal-perspettiva tal-ġeneri fil-politiki kollha tal-Unjoni u l-politiki nazzjonali li jirriżultaw, il-ġlieda kontra d-diskriminazzjoni bbażata fuq il-ġeneru, u s-sensibilizzazzjoni taċ-ċittadini tal-Unjoni dwar l-ugwaljanza bejn il-ġener</w:t>
      </w:r>
      <w:r>
        <w:t xml:space="preserve">i; </w:t>
      </w:r>
    </w:p>
    <w:p w:rsidR="00B80519" w:rsidRPr="00C87806" w:rsidRDefault="00C046E6" w:rsidP="00B80519">
      <w:pPr>
        <w:pStyle w:val="NormalHanging12a"/>
        <w:rPr>
          <w:szCs w:val="24"/>
        </w:rPr>
      </w:pPr>
      <w:r>
        <w:t>D.</w:t>
      </w:r>
      <w:r>
        <w:tab/>
        <w:t xml:space="preserve">billi hemm urġenza dejjem akbar biex l-Unjoni tavvanza fl-Istrateġija tagħha dwar l-Ugwaljanza bejn il-Ġeneri, fid-dawl tal-kriżijiet li għaddejjin bħalissa bħall-gwerer, il-kriżi klimatika, l-inflazzjoni, u r-rigressjoni kontra d-drittijiet </w:t>
      </w:r>
      <w:r>
        <w:t>tan-nisa, speċjalment is-saħħa sesswali u riproduttiva u d-drittijiet relatati (SRHR) fl-Unjoni u mad-dinja kollha; billi l-kriżijiet sussegwenti attwali għandhom ir-riskju li jnaqqsu r-ritmu tal-isforzi biex tinkiseb l-ugwaljanza bejn il-ġeneri u r-riskju</w:t>
      </w:r>
      <w:r>
        <w:t xml:space="preserve"> li jfixklu t-tgawdija sħiħa tad-drittijiet tan-nisa; billi n-nisa fl-UE jintlaqtu b’mod aktar sever mill-faqar jew l-esklużjoni soċjali mill-irġiel; billi r-rwol tagħhom bħala indokraturi primarji fi ħdan il-familja jpoġġi ammont sproporzjonat ta’ kura u </w:t>
      </w:r>
      <w:r>
        <w:t>xogħol domestiku bla ħlas fuq in-nisa, li jaqdu rwol essenzjali f’dan ir-rigward; billi d-differenza fil-pagi bejn il-ġeneri fl-UE hija ta’ 13 %, differenza li tvarja fost l-Istati Membri; billi d-differenza fil-pagi bejn il-ġeneri għandha għadd ta’ implik</w:t>
      </w:r>
      <w:r>
        <w:t>azzjonijiet, inkluża differenza ta’ 29 % fl-intitolamenti tal-pensjoni, li tpoġġi lin-nisa anzjani f’riskju akbar ta’ faqar u esklużjoni soċjali; billi d-dritt għal paga ugwali għal xogħol ugwali mhuwiex dejjem rispettat u għadu waħda mill-akbar sfidi fl-i</w:t>
      </w:r>
      <w:r>
        <w:t xml:space="preserve">sforzi biex tingħeleb id-diskriminazzjoni fil-pagi; billi l-importanza tal-ġlieda kontra d-diskriminazzjoni bejn l-irġiel u n-nisa fl-aċċess għall-impjieg u x-xogħol, u l-promozzjoni tal-ugwaljanza fil-karrieri u fil-kategoriji professjonali fit-taħriġ </w:t>
      </w:r>
      <w:r>
        <w:lastRenderedPageBreak/>
        <w:t>vok</w:t>
      </w:r>
      <w:r>
        <w:t>azzjonali hija essenzjali; billi l-Istati Membri għandhom iżidu l-investiment pubbliku f’politiki li, direttament jew indirettament, għandhom l-għan li jiġġieldu l-effetti negattivi tal-kriżi tal-għoli tal-ħajja fuq in-nisa fid-diversità kollha tagħhom, ji</w:t>
      </w:r>
      <w:r>
        <w:t>ggarantixxu aċċess għal servizzi pubbliċi affordabbli u ta’ kwalità għolja għall-kura, l-edukazzjoni, is-saħħa, inklużi s-saħħa sesswali u riproduttiva u d-drittijiet relatati, u l-akkomodazzjoni, u jipproteġu lill-vittmi tal-vjolenza abbażi tal-ġeneru;</w:t>
      </w:r>
    </w:p>
    <w:p w:rsidR="00B80519" w:rsidRPr="00C87806" w:rsidRDefault="00C046E6" w:rsidP="00B80519">
      <w:pPr>
        <w:pStyle w:val="NormalHanging12a"/>
        <w:rPr>
          <w:szCs w:val="24"/>
        </w:rPr>
      </w:pPr>
      <w:r>
        <w:t>E.</w:t>
      </w:r>
      <w:r>
        <w:tab/>
        <w:t>billi l-baġit finali tal-Istitut Ewropew għall-Ugwaljanza bejn is-Sessi (“EIGE”) għas-sena finanzjarja 2022 kien ta’ EUR 8,432,920, li jirrappreżenta żieda ta’ 3 % meta mqabbel mal-2021 (EUR 8,693,358); billi l-baġit kollu tal-Istitut ġej mill-baġit tal-U</w:t>
      </w:r>
      <w:r>
        <w:t>njoni;</w:t>
      </w:r>
    </w:p>
    <w:p w:rsidR="00B80519" w:rsidRPr="00C87806" w:rsidRDefault="00C046E6" w:rsidP="00B80519">
      <w:pPr>
        <w:pStyle w:val="NormalHanging12a"/>
        <w:rPr>
          <w:szCs w:val="24"/>
        </w:rPr>
      </w:pPr>
      <w:r>
        <w:t>1.</w:t>
      </w:r>
      <w:r>
        <w:tab/>
        <w:t>Ifakkar li l-EIGE ġie stabbilit sabiex jikkontribwixxi għall-promozzjoni tal-ugwaljanza bejn il-ġeneri fl-Unjoni u jsaħħaħha billi jipprovdi riċerka ta’ kwalità u data komparabbli, biex jgħin lill-istituzzjonijiet Ewropej u lill-Istati Membri jin</w:t>
      </w:r>
      <w:r>
        <w:t>tegraw l-ugwaljanza bejn il-ġeneri fil-politiki kollha tagħhom u jiġġieldu d-diskriminazzjoni abbażi tal-ġeneru; jenfasizza għalhekk ir-rwol kruċjali tal-EIGE fil-ġbir, l-analiżi, l-ipproċessar u t-tixrid tad-data u l-informazzjoni meħtieġa għal dawk li jf</w:t>
      </w:r>
      <w:r>
        <w:t>asslu l-politika, il-politiki tal-Unjoni Ewropea u l-Istati Membri rispettivi tagħha; jilqa’ b’mod partikolari l-ħidma kontinwa tal-Istitut dwar l-Indiċi tal-Ugwaljanza bejn il-Ġeneri u l-aċċess tiegħu b’limitu baxx għall-informazzjoni għaċ-ċittadini; jenf</w:t>
      </w:r>
      <w:r>
        <w:t>asizza l-ħtieġa ta’ integrazzjoni aktar b’saħħitha u aktar effiċjenti tal-politiki dwar l-ugwaljanza bejn il-ġeneri u tal-għodod għall-integrazzjoni tal-perspettiva tal-ġeneri; itenni t-talbiet ripetuti tiegħu għal aktar riżorsi ta’ persunal, inkluż persun</w:t>
      </w:r>
      <w:r>
        <w:t>al statutorju li għandu jiġi allokat lill-EIGE fid-dawl ta’ talbiet urġenti, assistenza teknika u talbiet għas-servizzi tiegħu dejjem jiżdiedu; jitlob, għalhekk, li jiġu allokati ammonti akbar fil-baġit tal-Istituzzjoni sabiex ikunu jistgħu jissaħħu l-kapa</w:t>
      </w:r>
      <w:r>
        <w:t>ċitajiet ta’ reklutaġġ u riċerka tagħha, sabiex ikomplu jsaħħu l-ħidma u l-output tagħhom fid-dawl ta’ kriżijiet u rigressjonijiet sussegwenti kontra l-ugwaljanza bejn il-ġeneri u l-persuni LGBTIQ+ li jolqtu lin-nisa b’mod sproporzjonat;</w:t>
      </w:r>
    </w:p>
    <w:p w:rsidR="00B80519" w:rsidRPr="00C87806" w:rsidRDefault="00C046E6" w:rsidP="00B80519">
      <w:pPr>
        <w:pStyle w:val="NormalHanging12a"/>
        <w:rPr>
          <w:szCs w:val="24"/>
        </w:rPr>
      </w:pPr>
      <w:r>
        <w:t>2.</w:t>
      </w:r>
      <w:r>
        <w:tab/>
        <w:t>Jisħaq fuq l-im</w:t>
      </w:r>
      <w:r>
        <w:t>portanza tal-ġlieda kontra l-inugwaljanzi u l-inġustizzji kontra n-nisa; jistieden lill-Kummissjoni u lill-Istati Membri jieħdu azzjoni urġenti biex jindirizzaw il-faqar u l-inugwaljanzi li qed jiżdiedu fost in-nisa, speċjalment fost il-gruppi f’sitwazzjon</w:t>
      </w:r>
      <w:r>
        <w:t xml:space="preserve">ijiet vulnerabbli, inklużi l-ommijiet waħedhom, in-nisa b’diżabbiltà, in-nisa diskriminati minħabba r-razza, in-nisa LGBTIQ+, in-nisa migranti u rifuġjati, in-nisa anzjani u n-nisa f’żoni rurali jew b’popolazzjonijiet baxxi; jinnota li dan jista’ jinkiseb </w:t>
      </w:r>
      <w:r>
        <w:t>billi tiġi ssodisfata l-ħtieġa għal aktar finanzjament għal azzjonijiet ta’ ugwaljanza bejn is-sessi f’termini ta’ impjiegi u tkabbir, kif ukoll billi tiġi miġġielda l-vjolenza sessista u d-differenza fil-pagi bejn l-irġiel u n-nisa, id-differenza fil-pagi</w:t>
      </w:r>
      <w:r>
        <w:t xml:space="preserve"> tal-pensjonijiet bejn l-irġiel u n-nisa, l-impatt tal-kriżijiet fuq in-nisa, l-integrazzjoni tal-perspettiva tal-ġeneri u l-ibbaġitjar tar-rata dejjem tiżdied tal-faqar fost in-nisa, kif ukoll f’termini ta’ drittijiet u demokrazija u l-istat tad-dritt; ji</w:t>
      </w:r>
      <w:r>
        <w:t>lqa’ l-kooperazzjoni li għaddejja bejn l-EIGE u l-Kumitat għad-Drittijiet tan-Nisa u l-Ugwaljanza bejn is-Sessi (FEMM); jisħaq fuq l-isforzi enormi u l-kontribut siewi li l-EIGE jagħti biex jiżgura l-objettivi, il-valuri u l-prijoritajiet tal-Parlament Ewr</w:t>
      </w:r>
      <w:r>
        <w:t xml:space="preserve">opew; jappoġġja bis-sħiħ il-ħidma tal-Istitut, li, permezz ta’ studji, riċerka u data ta’ kwalità għolja, jippermetti lill-Kumitat iwettaq il-ħidma tiegħu kif xieraq; jinnota l-importanza tad-disponibbiltà ta’ data affidabbli diżaggregata </w:t>
      </w:r>
      <w:r>
        <w:lastRenderedPageBreak/>
        <w:t>skont il-ġeneru s</w:t>
      </w:r>
      <w:r>
        <w:t>abiex ikun jista’ jsir tfassil ta’ politika bbażat fuq l-evidenza; jinnota l-kontribut siewi li l-EIGE jista’ jagħti lill-Kumitati kollha tal-Parlament Ewropew u aġenziji oħra tal-UE sabiex l-integrazzjoni tal-perspettiva tal-ġeneri tiġi integrata aħjar fi</w:t>
      </w:r>
      <w:r>
        <w:t>l-politiki kollha tal-UE;</w:t>
      </w:r>
    </w:p>
    <w:p w:rsidR="00B80519" w:rsidRPr="00C87806" w:rsidRDefault="00C046E6" w:rsidP="00B80519">
      <w:pPr>
        <w:pStyle w:val="NormalHanging12a"/>
        <w:rPr>
          <w:szCs w:val="24"/>
        </w:rPr>
      </w:pPr>
      <w:r>
        <w:t>3.</w:t>
      </w:r>
      <w:r>
        <w:tab/>
        <w:t>Jinnota l-livell għoli kontinwu ta’ eżekuzzjoni tal-baġit tal-EIGE, minkejja n-nuqqas persistenti ta’ persunal tal-aġenzija, b’approprjazzjonijiet ta’ impenn sa 97,91 % fl-2022 (meta mqabbla ma’ 98,92 % fl-2021), u rata ta’ app</w:t>
      </w:r>
      <w:r>
        <w:t>roprjazzjonijiet ta’ pagament ta’ 81,10 % (72,16 % fl-2021);</w:t>
      </w:r>
    </w:p>
    <w:p w:rsidR="00B80519" w:rsidRPr="00C87806" w:rsidRDefault="00C046E6" w:rsidP="00B80519">
      <w:pPr>
        <w:pStyle w:val="NormalHanging12a"/>
        <w:rPr>
          <w:szCs w:val="24"/>
        </w:rPr>
      </w:pPr>
      <w:r>
        <w:t>4.</w:t>
      </w:r>
      <w:r>
        <w:tab/>
        <w:t>Jirrikonoxxi tnaqqis fin-nefqa amministrattiva riportata tal-EIGE għal 42,28 % fl-2023 (54,79 % fl-2022);</w:t>
      </w:r>
    </w:p>
    <w:p w:rsidR="00B80519" w:rsidRPr="00C87806" w:rsidRDefault="00C046E6" w:rsidP="00B80519">
      <w:pPr>
        <w:pStyle w:val="NormalHanging12a"/>
      </w:pPr>
      <w:r>
        <w:t>5.</w:t>
      </w:r>
      <w:r>
        <w:tab/>
        <w:t>Jinnota li l-Qorti Ewropea tal-Awdituri kkonfermat il-kontijiet annwali tal-EIGE ji</w:t>
      </w:r>
      <w:r>
        <w:t>ppreżentaw b’mod ġust, fl-aspetti materjali kollha, il-pożizzjoni finanzjarja tiegħu sal-31 ta’ Diċembru 2022 u r-riżultati tal-operazzjonijiet tiegħu, il-flussi tal-flus tiegħu u l-bidliet fl-assi netti għas-sena li sussegwentement ingħalqet;</w:t>
      </w:r>
    </w:p>
    <w:p w:rsidR="0024239A" w:rsidRPr="00DB3BEE" w:rsidRDefault="00C046E6" w:rsidP="00B80519">
      <w:pPr>
        <w:pStyle w:val="NormalHanging12a"/>
      </w:pPr>
      <w:r>
        <w:t>6.</w:t>
      </w:r>
      <w:r>
        <w:tab/>
        <w:t>Huwa tal-</w:t>
      </w:r>
      <w:r>
        <w:t>fehma li, fuq il-bażi tad-data attwalment disponibbli, għandha tingħata kwittanza lid-Direttur tal-EIGE fir-rigward tal-implimentazzjoni tal-baġit tiegħu għas-sena finanzjarja 2022.</w:t>
      </w:r>
    </w:p>
    <w:p w:rsidR="00B80519" w:rsidRDefault="00B80519" w:rsidP="005602AC">
      <w:pPr>
        <w:sectPr w:rsidR="00B80519" w:rsidSect="00B8051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B80519" w:rsidRDefault="00C046E6" w:rsidP="002B2C72">
      <w:pPr>
        <w:pStyle w:val="PageHeadingNotTOC"/>
        <w:rPr>
          <w:noProof/>
        </w:rPr>
      </w:pPr>
      <w:bookmarkStart w:id="1" w:name="FootprintPageAD"/>
      <w:r>
        <w:lastRenderedPageBreak/>
        <w:t>ANNESS: ENTITAJIET JEW PERSUNI</w:t>
      </w:r>
      <w:r>
        <w:br/>
        <w:t xml:space="preserve">LI R-RAPPORTEUR GĦAL OPINJONI RĊIEVA </w:t>
      </w:r>
      <w:r>
        <w:t>KONTRIBUT MINGĦANDHOM</w:t>
      </w:r>
    </w:p>
    <w:p w:rsidR="00B80519" w:rsidRPr="0099178F" w:rsidRDefault="00C046E6" w:rsidP="00037518">
      <w:pPr>
        <w:pStyle w:val="Normal24a"/>
      </w:pPr>
      <w:r>
        <w:rPr>
          <w:rStyle w:val="HideTWBExt"/>
        </w:rPr>
        <w:t>&lt;FootprintIntro&gt;</w:t>
      </w:r>
      <w:r>
        <w:t>Ir-rapporteur għal opinjoni jiddikjara, taħt ir-responsabbiltà esklużiva tiegħu, li ma rċieva l-ebda kontribut minn entità jew persuna li jrid jissemma f’dan l-Anness f’konformità mal-Artikolu 8 tal-Anness I tar-Regoli</w:t>
      </w:r>
      <w:r>
        <w:t xml:space="preserve"> ta’ Proċedura.</w:t>
      </w:r>
      <w:r>
        <w:rPr>
          <w:rStyle w:val="HideTWBExt"/>
        </w:rPr>
        <w:t>&lt;/FootprintIntro&gt;</w:t>
      </w:r>
    </w:p>
    <w:p w:rsidR="00B80519" w:rsidRDefault="00B80519" w:rsidP="00AD5932"/>
    <w:p w:rsidR="00B80519" w:rsidRPr="00B80519" w:rsidRDefault="00B80519" w:rsidP="00B80519"/>
    <w:bookmarkEnd w:id="1"/>
    <w:p w:rsidR="00B80519" w:rsidRDefault="00B80519" w:rsidP="005602AC">
      <w:pPr>
        <w:sectPr w:rsidR="00B80519" w:rsidSect="00B8051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602AC" w:rsidRPr="005602AC" w:rsidRDefault="005602AC" w:rsidP="005602AC"/>
    <w:p w:rsidR="005602AC" w:rsidRDefault="00C046E6" w:rsidP="005602AC">
      <w:pPr>
        <w:pStyle w:val="PageHeadingNotTOC"/>
      </w:pPr>
      <w:bookmarkStart w:id="2" w:name="ProcPageAD"/>
      <w:r>
        <w:t>INFORMAZZJONI DWAR L-ADOZZJONI</w:t>
      </w:r>
      <w:r>
        <w:br/>
        <w:t>FIL-KUMITAT LI JINTALAB JAGĦTI OPINJONI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85"/>
        <w:gridCol w:w="1530"/>
        <w:gridCol w:w="1474"/>
        <w:gridCol w:w="1474"/>
        <w:gridCol w:w="1474"/>
      </w:tblGrid>
      <w:tr w:rsidR="002269B4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02AC" w:rsidRDefault="00C046E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Data tal-adozzjoni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02AC" w:rsidRDefault="00C046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24.1.2024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02AC" w:rsidRDefault="005602AC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02AC" w:rsidRDefault="005602AC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02AC" w:rsidRDefault="005602AC">
            <w:pPr>
              <w:autoSpaceDE w:val="0"/>
              <w:autoSpaceDN w:val="0"/>
              <w:adjustRightInd w:val="0"/>
              <w:rPr>
                <w:rFonts w:ascii="sans-serif" w:hAnsi="sans-serif" w:cs="sans-serif"/>
                <w:color w:val="000000"/>
                <w:szCs w:val="24"/>
              </w:rPr>
            </w:pPr>
          </w:p>
        </w:tc>
      </w:tr>
      <w:tr w:rsidR="002269B4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02AC" w:rsidRDefault="00C046E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Riżultat tal-votazzjoni finali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02AC" w:rsidRDefault="00C046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+:</w:t>
            </w:r>
          </w:p>
          <w:p w:rsidR="005602AC" w:rsidRDefault="00C046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–:</w:t>
            </w:r>
          </w:p>
          <w:p w:rsidR="005602AC" w:rsidRDefault="00C046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02AC" w:rsidRDefault="00C046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23</w:t>
            </w:r>
          </w:p>
          <w:p w:rsidR="005602AC" w:rsidRDefault="00C046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4</w:t>
            </w:r>
          </w:p>
          <w:p w:rsidR="005602AC" w:rsidRDefault="00C046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2</w:t>
            </w:r>
          </w:p>
        </w:tc>
      </w:tr>
      <w:tr w:rsidR="002269B4"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02AC" w:rsidRDefault="00C046E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 xml:space="preserve">Membri preżenti għall-votazzjoni </w:t>
            </w:r>
            <w:r>
              <w:rPr>
                <w:b/>
                <w:color w:val="000000"/>
                <w:sz w:val="20"/>
              </w:rPr>
              <w:t>finali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02AC" w:rsidRDefault="00C046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Christine Anderson, Robert Biedroń, Vilija Blinkevičiūtė, Annika Bruna, Maria da Graça Carvalho, Margarita de la Pisa Carrión, Gwendoline Delbos-Corfield, Frances Fitzgerald, Lívia Járóka, Arba Kokalari, Alice Kuhnke, Elżbieta Katarzyna Łukacijewska</w:t>
            </w:r>
            <w:r>
              <w:rPr>
                <w:color w:val="000000"/>
                <w:sz w:val="20"/>
              </w:rPr>
              <w:t>, Andżelika Anna Możdżanowska, Johan Nissinen, Carina Ohlsson, Samira Rafaela, Evelyn Regner, Diana Riba i Giner, Eugenia Rodríguez Palop, María Soraya Rodríguez Ramos, Maria Veronica Rossi, Sylwia Spurek, Marco Zullo</w:t>
            </w:r>
          </w:p>
        </w:tc>
      </w:tr>
      <w:tr w:rsidR="002269B4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02AC" w:rsidRDefault="00C046E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Sostituti preżenti għall-votazzjoni f</w:t>
            </w:r>
            <w:r>
              <w:rPr>
                <w:b/>
                <w:color w:val="000000"/>
                <w:sz w:val="20"/>
              </w:rPr>
              <w:t>inali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02AC" w:rsidRDefault="00C046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Laura Ballarín Cereza, Sylvie Brunet, Marina Kaljurand, Eleni Stavrou</w:t>
            </w:r>
          </w:p>
        </w:tc>
      </w:tr>
      <w:tr w:rsidR="002269B4"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02AC" w:rsidRDefault="00C046E6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Sostituti (skont l-Artikolu 209(7)) preżenti għall-votazzjoni finali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5602AC" w:rsidRDefault="00C046E6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Milan Brglez, Rainer Wieland</w:t>
            </w:r>
          </w:p>
        </w:tc>
      </w:tr>
    </w:tbl>
    <w:p w:rsidR="005602AC" w:rsidRPr="00B80519" w:rsidRDefault="005602AC" w:rsidP="00B80519"/>
    <w:bookmarkEnd w:id="2"/>
    <w:p w:rsidR="00B80519" w:rsidRDefault="00B80519" w:rsidP="00B80519">
      <w:pPr>
        <w:sectPr w:rsidR="00B80519" w:rsidSect="00B80519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B80519" w:rsidRPr="0099178F" w:rsidRDefault="00C046E6" w:rsidP="00C36610">
      <w:pPr>
        <w:pStyle w:val="PageHeadingNotTOC"/>
      </w:pPr>
      <w:bookmarkStart w:id="3" w:name="RollCallPageAD"/>
      <w:r>
        <w:lastRenderedPageBreak/>
        <w:t>VOTAZZJONI FINALI B’SEJĦA TAL-ISMIJIET</w:t>
      </w:r>
      <w:r>
        <w:br/>
      </w:r>
      <w:r>
        <w:t>FIL-KUMITAT LI JINTALAB JAGĦTI OPINJONI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2269B4" w:rsidTr="005F2651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B80519" w:rsidRPr="00C87806" w:rsidRDefault="00C046E6" w:rsidP="005F2651">
            <w:pPr>
              <w:pStyle w:val="RollCallVotes"/>
            </w:pPr>
            <w:r>
              <w:t>23</w:t>
            </w:r>
          </w:p>
        </w:tc>
        <w:tc>
          <w:tcPr>
            <w:tcW w:w="7371" w:type="dxa"/>
            <w:shd w:val="pct10" w:color="000000" w:fill="FFFFFF"/>
          </w:tcPr>
          <w:p w:rsidR="00B80519" w:rsidRPr="00C87806" w:rsidRDefault="00C046E6" w:rsidP="005F2651">
            <w:pPr>
              <w:pStyle w:val="RollCallSymbols14pt"/>
            </w:pPr>
            <w:r>
              <w:t>+</w:t>
            </w:r>
          </w:p>
        </w:tc>
      </w:tr>
      <w:tr w:rsidR="002269B4" w:rsidTr="005F2651">
        <w:trPr>
          <w:cantSplit/>
        </w:trPr>
        <w:tc>
          <w:tcPr>
            <w:tcW w:w="1701" w:type="dxa"/>
            <w:shd w:val="clear" w:color="auto" w:fill="FFFFFF"/>
          </w:tcPr>
          <w:p w:rsidR="00B80519" w:rsidRPr="00C87806" w:rsidRDefault="00C046E6" w:rsidP="005F2651">
            <w:pPr>
              <w:pStyle w:val="RollCallTable"/>
            </w:pPr>
            <w:r>
              <w:t>PPE</w:t>
            </w:r>
          </w:p>
        </w:tc>
        <w:tc>
          <w:tcPr>
            <w:tcW w:w="7371" w:type="dxa"/>
            <w:shd w:val="clear" w:color="auto" w:fill="FFFFFF"/>
          </w:tcPr>
          <w:p w:rsidR="00B80519" w:rsidRPr="00C87806" w:rsidRDefault="00C046E6" w:rsidP="005F2651">
            <w:pPr>
              <w:pStyle w:val="RollCallTable"/>
            </w:pPr>
            <w:r>
              <w:t>Maria da Graça Carvalho, Frances Fitzgerald, Arba Kokalari, Elżbieta Katarzyna Łukacijewska, Eleni Stavrou, Rainer Wieland</w:t>
            </w:r>
          </w:p>
        </w:tc>
      </w:tr>
      <w:tr w:rsidR="002269B4" w:rsidTr="005F2651">
        <w:trPr>
          <w:cantSplit/>
        </w:trPr>
        <w:tc>
          <w:tcPr>
            <w:tcW w:w="1701" w:type="dxa"/>
            <w:shd w:val="clear" w:color="auto" w:fill="FFFFFF"/>
          </w:tcPr>
          <w:p w:rsidR="00B80519" w:rsidRPr="00C87806" w:rsidRDefault="00C046E6" w:rsidP="005F2651">
            <w:pPr>
              <w:pStyle w:val="RollCallTable"/>
            </w:pPr>
            <w:r>
              <w:t>Renew</w:t>
            </w:r>
          </w:p>
        </w:tc>
        <w:tc>
          <w:tcPr>
            <w:tcW w:w="7371" w:type="dxa"/>
            <w:shd w:val="clear" w:color="auto" w:fill="FFFFFF"/>
          </w:tcPr>
          <w:p w:rsidR="00B80519" w:rsidRPr="00C87806" w:rsidRDefault="00C046E6" w:rsidP="005F2651">
            <w:pPr>
              <w:pStyle w:val="RollCallTable"/>
            </w:pPr>
            <w:r>
              <w:t>Sylvie Brunet, Samira Rafaela, María Soraya Rodríguez Ramos, Marco Zullo</w:t>
            </w:r>
          </w:p>
        </w:tc>
      </w:tr>
      <w:tr w:rsidR="002269B4" w:rsidTr="005F2651">
        <w:trPr>
          <w:cantSplit/>
        </w:trPr>
        <w:tc>
          <w:tcPr>
            <w:tcW w:w="1701" w:type="dxa"/>
            <w:shd w:val="clear" w:color="auto" w:fill="FFFFFF"/>
          </w:tcPr>
          <w:p w:rsidR="00B80519" w:rsidRPr="00C87806" w:rsidRDefault="00C046E6" w:rsidP="005F2651">
            <w:pPr>
              <w:pStyle w:val="RollCallTable"/>
            </w:pPr>
            <w:r>
              <w:t>S&amp;D</w:t>
            </w:r>
          </w:p>
        </w:tc>
        <w:tc>
          <w:tcPr>
            <w:tcW w:w="7371" w:type="dxa"/>
            <w:shd w:val="clear" w:color="auto" w:fill="FFFFFF"/>
          </w:tcPr>
          <w:p w:rsidR="00B80519" w:rsidRPr="00C87806" w:rsidRDefault="00C046E6" w:rsidP="005F2651">
            <w:pPr>
              <w:pStyle w:val="RollCallTable"/>
            </w:pPr>
            <w:r>
              <w:t>Laura Ballarín Cereza, Robert Biedroń, Vilija Blinkevičiūtė, Milan Brglez, Marina Kaljurand, Carina Ohlsson, Evelyn Regner</w:t>
            </w:r>
          </w:p>
        </w:tc>
      </w:tr>
      <w:tr w:rsidR="002269B4" w:rsidTr="005F2651">
        <w:trPr>
          <w:cantSplit/>
        </w:trPr>
        <w:tc>
          <w:tcPr>
            <w:tcW w:w="1701" w:type="dxa"/>
            <w:shd w:val="clear" w:color="auto" w:fill="FFFFFF"/>
          </w:tcPr>
          <w:p w:rsidR="00B80519" w:rsidRPr="00C87806" w:rsidRDefault="00C046E6" w:rsidP="005F2651">
            <w:pPr>
              <w:pStyle w:val="RollCallTable"/>
            </w:pPr>
            <w:r>
              <w:t>The Left</w:t>
            </w:r>
          </w:p>
        </w:tc>
        <w:tc>
          <w:tcPr>
            <w:tcW w:w="7371" w:type="dxa"/>
            <w:shd w:val="clear" w:color="auto" w:fill="FFFFFF"/>
          </w:tcPr>
          <w:p w:rsidR="00B80519" w:rsidRPr="00C87806" w:rsidRDefault="00C046E6" w:rsidP="005F2651">
            <w:pPr>
              <w:pStyle w:val="RollCallTable"/>
            </w:pPr>
            <w:r>
              <w:t>Sandra Pereira, Eugenia Rodríguez Palop</w:t>
            </w:r>
          </w:p>
        </w:tc>
      </w:tr>
      <w:tr w:rsidR="002269B4" w:rsidTr="005F2651">
        <w:trPr>
          <w:cantSplit/>
        </w:trPr>
        <w:tc>
          <w:tcPr>
            <w:tcW w:w="1701" w:type="dxa"/>
            <w:shd w:val="clear" w:color="auto" w:fill="FFFFFF"/>
          </w:tcPr>
          <w:p w:rsidR="00B80519" w:rsidRPr="00C87806" w:rsidRDefault="00C046E6" w:rsidP="005F2651">
            <w:pPr>
              <w:pStyle w:val="RollCallTable"/>
            </w:pPr>
            <w:r>
              <w:t>Verts/ALE</w:t>
            </w:r>
          </w:p>
        </w:tc>
        <w:tc>
          <w:tcPr>
            <w:tcW w:w="7371" w:type="dxa"/>
            <w:shd w:val="clear" w:color="auto" w:fill="FFFFFF"/>
          </w:tcPr>
          <w:p w:rsidR="00B80519" w:rsidRPr="00C87806" w:rsidRDefault="00C046E6" w:rsidP="005F2651">
            <w:pPr>
              <w:pStyle w:val="RollCallTable"/>
            </w:pPr>
            <w:r>
              <w:t>Gwendoline Delbos-Corfield, Alice Kuhnke, Diana Riba i Giner, Sylwia</w:t>
            </w:r>
            <w:r>
              <w:t xml:space="preserve"> Spurek</w:t>
            </w:r>
          </w:p>
        </w:tc>
      </w:tr>
    </w:tbl>
    <w:p w:rsidR="00B80519" w:rsidRPr="00C87806" w:rsidRDefault="00B80519" w:rsidP="00B80519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2269B4" w:rsidTr="005F2651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B80519" w:rsidRPr="00C87806" w:rsidRDefault="00C046E6" w:rsidP="005F2651">
            <w:pPr>
              <w:pStyle w:val="RollCallVotes"/>
            </w:pPr>
            <w:r>
              <w:t>4</w:t>
            </w:r>
          </w:p>
        </w:tc>
        <w:tc>
          <w:tcPr>
            <w:tcW w:w="7371" w:type="dxa"/>
            <w:shd w:val="pct10" w:color="000000" w:fill="FFFFFF"/>
          </w:tcPr>
          <w:p w:rsidR="00B80519" w:rsidRPr="00C87806" w:rsidRDefault="00C046E6" w:rsidP="005F2651">
            <w:pPr>
              <w:pStyle w:val="RollCallSymbols14pt"/>
            </w:pPr>
            <w:r>
              <w:t>-</w:t>
            </w:r>
          </w:p>
        </w:tc>
      </w:tr>
      <w:tr w:rsidR="002269B4" w:rsidTr="005F2651">
        <w:trPr>
          <w:cantSplit/>
        </w:trPr>
        <w:tc>
          <w:tcPr>
            <w:tcW w:w="1701" w:type="dxa"/>
            <w:shd w:val="clear" w:color="auto" w:fill="FFFFFF"/>
          </w:tcPr>
          <w:p w:rsidR="00B80519" w:rsidRPr="00C87806" w:rsidRDefault="00C046E6" w:rsidP="005F2651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:rsidR="00B80519" w:rsidRPr="00C87806" w:rsidRDefault="00C046E6" w:rsidP="005F2651">
            <w:pPr>
              <w:pStyle w:val="RollCallTable"/>
            </w:pPr>
            <w:r>
              <w:t>Johan Nissinen, Margarita de la Pisa Carrión</w:t>
            </w:r>
          </w:p>
        </w:tc>
      </w:tr>
      <w:tr w:rsidR="002269B4" w:rsidTr="005F2651">
        <w:trPr>
          <w:cantSplit/>
        </w:trPr>
        <w:tc>
          <w:tcPr>
            <w:tcW w:w="1701" w:type="dxa"/>
            <w:shd w:val="clear" w:color="auto" w:fill="FFFFFF"/>
          </w:tcPr>
          <w:p w:rsidR="00B80519" w:rsidRPr="00C87806" w:rsidRDefault="00C046E6" w:rsidP="005F2651">
            <w:pPr>
              <w:pStyle w:val="RollCallTable"/>
            </w:pPr>
            <w:r>
              <w:t>ID</w:t>
            </w:r>
          </w:p>
        </w:tc>
        <w:tc>
          <w:tcPr>
            <w:tcW w:w="7371" w:type="dxa"/>
            <w:shd w:val="clear" w:color="auto" w:fill="FFFFFF"/>
          </w:tcPr>
          <w:p w:rsidR="00B80519" w:rsidRPr="00C87806" w:rsidRDefault="00C046E6" w:rsidP="005F2651">
            <w:pPr>
              <w:pStyle w:val="RollCallTable"/>
            </w:pPr>
            <w:r>
              <w:t>Christine Anderson, Maria Veronica Rossi</w:t>
            </w:r>
          </w:p>
        </w:tc>
      </w:tr>
    </w:tbl>
    <w:p w:rsidR="00B80519" w:rsidRPr="00C87806" w:rsidRDefault="00B80519" w:rsidP="00B80519"/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 w:firstRow="0" w:lastRow="0" w:firstColumn="0" w:lastColumn="0" w:noHBand="0" w:noVBand="0"/>
      </w:tblPr>
      <w:tblGrid>
        <w:gridCol w:w="1701"/>
        <w:gridCol w:w="7371"/>
      </w:tblGrid>
      <w:tr w:rsidR="002269B4" w:rsidTr="005F2651"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B80519" w:rsidRPr="00C87806" w:rsidRDefault="00C046E6" w:rsidP="005F2651">
            <w:pPr>
              <w:pStyle w:val="RollCallVotes"/>
            </w:pPr>
            <w:r>
              <w:t>2</w:t>
            </w:r>
          </w:p>
        </w:tc>
        <w:tc>
          <w:tcPr>
            <w:tcW w:w="7371" w:type="dxa"/>
            <w:shd w:val="pct10" w:color="000000" w:fill="FFFFFF"/>
          </w:tcPr>
          <w:p w:rsidR="00B80519" w:rsidRPr="00C87806" w:rsidRDefault="00C046E6" w:rsidP="005F2651">
            <w:pPr>
              <w:pStyle w:val="RollCallSymbols14pt"/>
            </w:pPr>
            <w:r>
              <w:t>0</w:t>
            </w:r>
          </w:p>
        </w:tc>
      </w:tr>
      <w:tr w:rsidR="002269B4" w:rsidTr="005F2651">
        <w:trPr>
          <w:cantSplit/>
        </w:trPr>
        <w:tc>
          <w:tcPr>
            <w:tcW w:w="1701" w:type="dxa"/>
            <w:shd w:val="clear" w:color="auto" w:fill="FFFFFF"/>
          </w:tcPr>
          <w:p w:rsidR="00B80519" w:rsidRPr="00C87806" w:rsidRDefault="00C046E6" w:rsidP="005F2651">
            <w:pPr>
              <w:pStyle w:val="RollCallTable"/>
            </w:pPr>
            <w:r>
              <w:t>ECR</w:t>
            </w:r>
          </w:p>
        </w:tc>
        <w:tc>
          <w:tcPr>
            <w:tcW w:w="7371" w:type="dxa"/>
            <w:shd w:val="clear" w:color="auto" w:fill="FFFFFF"/>
          </w:tcPr>
          <w:p w:rsidR="00B80519" w:rsidRPr="00C87806" w:rsidRDefault="00C046E6" w:rsidP="005F2651">
            <w:pPr>
              <w:pStyle w:val="RollCallTable"/>
            </w:pPr>
            <w:r>
              <w:t>Andżelika Anna Możdżanowska</w:t>
            </w:r>
          </w:p>
        </w:tc>
      </w:tr>
      <w:tr w:rsidR="002269B4" w:rsidTr="005F2651">
        <w:trPr>
          <w:cantSplit/>
        </w:trPr>
        <w:tc>
          <w:tcPr>
            <w:tcW w:w="1701" w:type="dxa"/>
            <w:shd w:val="clear" w:color="auto" w:fill="FFFFFF"/>
          </w:tcPr>
          <w:p w:rsidR="00B80519" w:rsidRPr="00C87806" w:rsidRDefault="00C046E6" w:rsidP="005F2651">
            <w:pPr>
              <w:pStyle w:val="RollCallTable"/>
            </w:pPr>
            <w:r>
              <w:t>NI</w:t>
            </w:r>
          </w:p>
        </w:tc>
        <w:tc>
          <w:tcPr>
            <w:tcW w:w="7371" w:type="dxa"/>
            <w:shd w:val="clear" w:color="auto" w:fill="FFFFFF"/>
          </w:tcPr>
          <w:p w:rsidR="00B80519" w:rsidRPr="00C87806" w:rsidRDefault="00C046E6" w:rsidP="005F2651">
            <w:pPr>
              <w:pStyle w:val="RollCallTable"/>
            </w:pPr>
            <w:r>
              <w:t>Lívia Járóka</w:t>
            </w:r>
          </w:p>
        </w:tc>
      </w:tr>
    </w:tbl>
    <w:p w:rsidR="00B80519" w:rsidRDefault="00B80519" w:rsidP="00147FBF">
      <w:pPr>
        <w:pStyle w:val="Normal12a"/>
      </w:pPr>
    </w:p>
    <w:p w:rsidR="00B80519" w:rsidRDefault="00C046E6" w:rsidP="00B735E3">
      <w:r>
        <w:t>Tifsira tas-simboli użati:</w:t>
      </w:r>
    </w:p>
    <w:p w:rsidR="00B80519" w:rsidRDefault="00C046E6" w:rsidP="003858C5">
      <w:pPr>
        <w:pStyle w:val="RollCallTabs"/>
      </w:pPr>
      <w:r>
        <w:t>+</w:t>
      </w:r>
      <w:r>
        <w:tab/>
        <w:t>:</w:t>
      </w:r>
      <w:r>
        <w:tab/>
        <w:t>favur</w:t>
      </w:r>
    </w:p>
    <w:p w:rsidR="00B80519" w:rsidRDefault="00C046E6" w:rsidP="003858C5">
      <w:pPr>
        <w:pStyle w:val="RollCallTabs"/>
      </w:pPr>
      <w:r>
        <w:t>-</w:t>
      </w:r>
      <w:r>
        <w:tab/>
        <w:t>:</w:t>
      </w:r>
      <w:r>
        <w:tab/>
        <w:t>kontra</w:t>
      </w:r>
    </w:p>
    <w:p w:rsidR="00B80519" w:rsidRDefault="00C046E6" w:rsidP="003858C5">
      <w:pPr>
        <w:pStyle w:val="RollCallTabs"/>
      </w:pPr>
      <w:r>
        <w:t>0</w:t>
      </w:r>
      <w:r>
        <w:tab/>
        <w:t>:</w:t>
      </w:r>
      <w:r>
        <w:tab/>
        <w:t>astensjoni</w:t>
      </w:r>
    </w:p>
    <w:p w:rsidR="00B80519" w:rsidRDefault="00B80519" w:rsidP="00207509"/>
    <w:bookmarkEnd w:id="3"/>
    <w:p w:rsidR="002E6F98" w:rsidRPr="00B80519" w:rsidRDefault="002E6F98" w:rsidP="00B80519"/>
    <w:sectPr w:rsidR="002E6F98" w:rsidRPr="00B80519" w:rsidSect="00B8051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C046E6">
      <w:r>
        <w:separator/>
      </w:r>
    </w:p>
  </w:endnote>
  <w:endnote w:type="continuationSeparator" w:id="0">
    <w:p w:rsidR="00000000" w:rsidRDefault="00C046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ans-serif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02AC" w:rsidRDefault="00C046E6" w:rsidP="005602AC">
    <w:pPr>
      <w:pStyle w:val="EPFooter"/>
    </w:pPr>
    <w:r>
      <w:t>PE</w:t>
    </w:r>
    <w:r w:rsidRPr="005602AC">
      <w:rPr>
        <w:rStyle w:val="HideTWBExt"/>
      </w:rPr>
      <w:t>&lt;NoPE&gt;</w:t>
    </w:r>
    <w:r>
      <w:t>754.839</w:t>
    </w:r>
    <w:r w:rsidRPr="005602AC">
      <w:rPr>
        <w:rStyle w:val="HideTWBExt"/>
      </w:rPr>
      <w:t>&lt;/NoPE&gt;&lt;Version&gt;</w:t>
    </w:r>
    <w:r>
      <w:t>v02-00</w:t>
    </w:r>
    <w:r w:rsidRPr="005602AC">
      <w:rPr>
        <w:rStyle w:val="HideTWBExt"/>
      </w:rPr>
      <w:t>&lt;/Version&gt;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4</w:t>
    </w:r>
    <w:r>
      <w:fldChar w:fldCharType="end"/>
    </w:r>
    <w:r>
      <w:t>/</w:t>
    </w:r>
    <w:r w:rsidR="00B80519">
      <w:fldChar w:fldCharType="begin"/>
    </w:r>
    <w:r>
      <w:instrText xml:space="preserve"> NUMPAGES  \* MERGEFORMAT </w:instrText>
    </w:r>
    <w:r w:rsidR="00B80519">
      <w:fldChar w:fldCharType="separate"/>
    </w:r>
    <w:r>
      <w:rPr>
        <w:noProof/>
      </w:rPr>
      <w:t>8</w:t>
    </w:r>
    <w:r w:rsidR="00B80519">
      <w:rPr>
        <w:noProof/>
      </w:rPr>
      <w:fldChar w:fldCharType="end"/>
    </w:r>
    <w:r>
      <w:tab/>
    </w:r>
    <w:r w:rsidRPr="005602AC">
      <w:rPr>
        <w:rStyle w:val="HideTWBExt"/>
      </w:rPr>
      <w:t>&lt;PathFdR&gt;</w:t>
    </w:r>
    <w:r>
      <w:t>AD\1294966MT.docx</w:t>
    </w:r>
    <w:r w:rsidRPr="005602AC">
      <w:rPr>
        <w:rStyle w:val="HideTWBExt"/>
      </w:rPr>
      <w:t>&lt;/PathFdR&gt;</w:t>
    </w:r>
  </w:p>
  <w:p w:rsidR="002E2F2E" w:rsidRPr="00DB3BEE" w:rsidRDefault="00C046E6" w:rsidP="005602AC">
    <w:pPr>
      <w:pStyle w:val="EPFooter2"/>
    </w:pPr>
    <w:r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02AC" w:rsidRDefault="00C046E6" w:rsidP="005602AC">
    <w:pPr>
      <w:pStyle w:val="EPFooter"/>
    </w:pPr>
    <w:r w:rsidRPr="005602AC">
      <w:rPr>
        <w:rStyle w:val="HideTWBExt"/>
      </w:rPr>
      <w:t>&lt;PathFdR&gt;</w:t>
    </w:r>
    <w:r>
      <w:t>AD\1294966MT.docx</w:t>
    </w:r>
    <w:r w:rsidRPr="005602AC">
      <w:rPr>
        <w:rStyle w:val="HideTWBExt"/>
      </w:rPr>
      <w:t>&lt;/PathFdR&gt;</w:t>
    </w:r>
    <w: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fldChar w:fldCharType="end"/>
    </w:r>
    <w:r>
      <w:t>/</w:t>
    </w:r>
    <w:r w:rsidR="00B80519">
      <w:fldChar w:fldCharType="begin"/>
    </w:r>
    <w:r>
      <w:instrText xml:space="preserve"> NUMPAGES  \* MERGEFORMAT </w:instrText>
    </w:r>
    <w:r w:rsidR="00B80519">
      <w:fldChar w:fldCharType="separate"/>
    </w:r>
    <w:r>
      <w:rPr>
        <w:noProof/>
      </w:rPr>
      <w:t>8</w:t>
    </w:r>
    <w:r w:rsidR="00B80519">
      <w:rPr>
        <w:noProof/>
      </w:rPr>
      <w:fldChar w:fldCharType="end"/>
    </w:r>
    <w:r>
      <w:tab/>
      <w:t>PE</w:t>
    </w:r>
    <w:r w:rsidRPr="005602AC">
      <w:rPr>
        <w:rStyle w:val="HideTWBExt"/>
      </w:rPr>
      <w:t>&lt;NoPE&gt;</w:t>
    </w:r>
    <w:r>
      <w:t>754.839</w:t>
    </w:r>
    <w:r w:rsidRPr="005602AC">
      <w:rPr>
        <w:rStyle w:val="HideTWBExt"/>
      </w:rPr>
      <w:t>&lt;/</w:t>
    </w:r>
    <w:r w:rsidRPr="005602AC">
      <w:rPr>
        <w:rStyle w:val="HideTWBExt"/>
      </w:rPr>
      <w:t>NoPE&gt;&lt;Version&gt;</w:t>
    </w:r>
    <w:r>
      <w:t>v02-00</w:t>
    </w:r>
    <w:r w:rsidRPr="005602AC">
      <w:rPr>
        <w:rStyle w:val="HideTWBExt"/>
      </w:rPr>
      <w:t>&lt;/Version&gt;</w:t>
    </w:r>
  </w:p>
  <w:p w:rsidR="002E2F2E" w:rsidRPr="00DB3BEE" w:rsidRDefault="00C046E6" w:rsidP="005602AC">
    <w:pPr>
      <w:pStyle w:val="EPFooter2"/>
    </w:pPr>
    <w:r>
      <w:tab/>
    </w:r>
    <w:r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02AC" w:rsidRDefault="00C046E6" w:rsidP="005602AC">
    <w:pPr>
      <w:pStyle w:val="EPFooter"/>
    </w:pPr>
    <w:r w:rsidRPr="005602AC">
      <w:rPr>
        <w:rStyle w:val="HideTWBExt"/>
      </w:rPr>
      <w:t>&lt;PathFdR&gt;</w:t>
    </w:r>
    <w:r>
      <w:t>AD\1294966MT.docx</w:t>
    </w:r>
    <w:r w:rsidRPr="005602AC">
      <w:rPr>
        <w:rStyle w:val="HideTWBExt"/>
      </w:rPr>
      <w:t>&lt;/PathFdR&gt;</w:t>
    </w:r>
    <w:r>
      <w:tab/>
    </w:r>
    <w:r>
      <w:tab/>
      <w:t>PE</w:t>
    </w:r>
    <w:r w:rsidRPr="005602AC">
      <w:rPr>
        <w:rStyle w:val="HideTWBExt"/>
      </w:rPr>
      <w:t>&lt;NoPE&gt;</w:t>
    </w:r>
    <w:r>
      <w:t>754.839</w:t>
    </w:r>
    <w:r w:rsidRPr="005602AC">
      <w:rPr>
        <w:rStyle w:val="HideTWBExt"/>
      </w:rPr>
      <w:t>&lt;/NoPE&gt;&lt;Version&gt;</w:t>
    </w:r>
    <w:r>
      <w:t>v02-00</w:t>
    </w:r>
    <w:r w:rsidRPr="005602AC">
      <w:rPr>
        <w:rStyle w:val="HideTWBExt"/>
      </w:rPr>
      <w:t>&lt;/Version&gt;</w:t>
    </w:r>
  </w:p>
  <w:p w:rsidR="002E2F2E" w:rsidRPr="00DB3BEE" w:rsidRDefault="00C046E6" w:rsidP="005602AC">
    <w:pPr>
      <w:pStyle w:val="EPFooter2"/>
    </w:pPr>
    <w:r>
      <w:t>MT</w:t>
    </w:r>
    <w:r>
      <w:tab/>
    </w:r>
    <w:r w:rsidRPr="005602AC">
      <w:rPr>
        <w:b w:val="0"/>
        <w:i/>
        <w:color w:val="C0C0C0"/>
        <w:sz w:val="22"/>
      </w:rPr>
      <w:t>Magħquda fid-diversità</w:t>
    </w:r>
    <w:r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6E88" w:rsidRPr="00DB3BEE" w:rsidRDefault="00C046E6">
      <w:r w:rsidRPr="00DB3BEE">
        <w:separator/>
      </w:r>
    </w:p>
  </w:footnote>
  <w:footnote w:type="continuationSeparator" w:id="0">
    <w:p w:rsidR="00366E88" w:rsidRPr="00DB3BEE" w:rsidRDefault="00C046E6">
      <w:r w:rsidRPr="00DB3BEE">
        <w:continuationSeparator/>
      </w:r>
    </w:p>
  </w:footnote>
  <w:footnote w:id="1">
    <w:p w:rsidR="00B80519" w:rsidRPr="001B265E" w:rsidRDefault="00C046E6" w:rsidP="00B80519">
      <w:pPr>
        <w:pStyle w:val="FootnoteText"/>
      </w:pPr>
      <w:r>
        <w:rPr>
          <w:rStyle w:val="FootnoteReference"/>
        </w:rPr>
        <w:footnoteRef/>
      </w:r>
      <w:r>
        <w:t xml:space="preserve"> https://eige.europa.eu/gender-equality-index/2023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519" w:rsidRDefault="00B8051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519" w:rsidRDefault="00B8051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0519" w:rsidRDefault="00B805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DOCDECMNU" w:val=" 1"/>
    <w:docVar w:name="AUTHORMFMNU" w:val=" 1"/>
    <w:docVar w:name="CJMNU" w:val="1"/>
    <w:docVar w:name="CODEMNU" w:val=" 7"/>
    <w:docVar w:name="COM2KEY" w:val="CONT"/>
    <w:docVar w:name="COMKEY" w:val="FEMM"/>
    <w:docVar w:name="CONTRIBUTIONMNU" w:val=" 2"/>
    <w:docVar w:name="FONCTIONMNU" w:val=" 1"/>
    <w:docVar w:name="LastEditedSection" w:val=" 4"/>
    <w:docVar w:name="RepeatBlock-Amend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3\fbidi \froman\fcharset238\fprq2 Times New Roman CE;}{\f334\fbidi \froman\fcharset204\fprq2 Times New Roman Cyr;}_x000d__x000a_{\f336\fbidi \froman\fcharset161\fprq2 Times New Roman Greek;}{\f337\fbidi \froman\fcharset162\fprq2 Times New Roman Tur;}{\f338\fbidi \froman\fcharset177\fprq2 Times New Roman (Hebrew);}{\f339\fbidi \froman\fcharset178\fprq2 Times New Roman (Arabic);}_x000d__x000a_{\f340\fbidi \froman\fcharset186\fprq2 Times New Roman Baltic;}{\f341\fbidi \froman\fcharset163\fprq2 Times New Roman (Vietnamese);}{\f343\fbidi \fswiss\fcharset238\fprq2 Arial CE;}{\f344\fbidi \fswiss\fcharset204\fprq2 Arial Cyr;}_x000d__x000a_{\f346\fbidi \fswiss\fcharset161\fprq2 Arial Greek;}{\f347\fbidi \fswiss\fcharset162\fprq2 Arial Tur;}{\f348\fbidi \fswiss\fcharset177\fprq2 Arial (Hebrew);}{\f349\fbidi \fswiss\fcharset178\fprq2 Arial (Arabic);}_x000d__x000a_{\f350\fbidi \fswiss\fcharset186\fprq2 Arial Baltic;}{\f351\fbidi \fswiss\fcharset163\fprq2 Arial (Vietnamese);}{\f673\fbidi \froman\fcharset238\fprq2 Cambria Math CE;}{\f674\fbidi \froman\fcharset204\fprq2 Cambria Math Cyr;}_x000d__x000a_{\f676\fbidi \froman\fcharset161\fprq2 Cambria Math Greek;}{\f677\fbidi \froman\fcharset162\fprq2 Cambria Math Tur;}{\f680\fbidi \froman\fcharset186\fprq2 Cambria Math Baltic;}{\f68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15 \spriority0 \styrsid15405366 HideTWBInt;}{_x000d__x000a_\s18\ql \fi-567\li567\ri0\sa240\nowidctlpar\wrapdefault\aspalpha\aspnum\faauto\adjustright\rin0\lin567\itap0 \rtlch\fcs1 \af0\afs20\alang1025 \ltrch\fcs0 \fs24\lang2057\langfe2057\cgrid\langnp2057\langfenp2057 _x000d__x000a_\sbasedon0 \snext18 \spriority0 \styrsid15405366 NormalHanging12a;}}{\*\rsidtbl \rsid24658\rsid223860\rsid735077\rsid1718133\rsid2892074\rsid3565327\rsid4666813\rsid6641733\rsid7823322\rsid8408170\rsid9636012\rsid10377208\rsid11215221\rsid11549030_x000d__x000a_\rsid12154954\rsid14382809\rsid14424199\rsid15204470\rsid15285974\rsid15405366\rsid15950462\rsid16324206\rsid16662270}{\mmathPr\mmathFont34\mbrkBin0\mbrkBinSub0\msmallFrac0\mdispDef1\mlMargin0\mrMargin0\mdefJc1\mwrapIndent1440\mintLim0\mnaryLim1}{\info_x000d__x000a_{\author SCIRTO GAUCI Lindsay}{\operator SCIRTO GAUCI Lindsay}{\creatim\yr2024\mo1\dy25\hr16\min8}{\revtim\yr2024\mo1\dy25\hr16\min8}{\version1}{\edmins0}{\nofpages1}{\nofwords1}{\nofchars12}{\nofcharsws12}{\vern109}}{\*\xmlnstbl {\xmlns1 http://schemas.m_x000d__x000a_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405366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LSCIRT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840817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84081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84081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840817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8\ql \fi-567\li567\ri0\sa240\nowidctlpar\wrapdefault\aspalpha\aspnum\faauto\adjustright\rin0\lin567\itap0\pararsid15405366 \rtlch\fcs1 \af0\afs20\alang1025 \ltrch\fcs0 \fs24\lang2057\langfe2057\cgrid\langnp2057\langfenp2057 {\rtlch\fcs1 \af0 _x000d__x000a_\ltrch\fcs0 \insrsid15405366\charrsid2177812 {\*\bkmkstart restart}#}{\rtlch\fcs1 \af1 \ltrch\fcs0 \cs17\v\f1\fs20\cf15\insrsid15405366\charrsid2177812 NRMSG}{\rtlch\fcs1 \af0 \ltrch\fcs0 \insrsid15405366\charrsid2177812 #.\tab ##}{\rtlch\fcs1 \af0 _x000d__x000a_\ltrch\fcs0 \insrsid15405366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ba_x000d__x000a_1a4da04f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333\fbidi \froman\fcharset238\fprq2 Times New Roman CE;}{\f334\fbidi \froman\fcharset204\fprq2 Times New Roman Cyr;}_x000d__x000a_{\f336\fbidi \froman\fcharset161\fprq2 Times New Roman Greek;}{\f337\fbidi \froman\fcharset162\fprq2 Times New Roman Tur;}{\f338\fbidi \froman\fcharset177\fprq2 Times New Roman (Hebrew);}{\f339\fbidi \froman\fcharset178\fprq2 Times New Roman (Arabic);}_x000d__x000a_{\f340\fbidi \froman\fcharset186\fprq2 Times New Roman Baltic;}{\f341\fbidi \froman\fcharset163\fprq2 Times New Roman (Vietnamese);}{\f673\fbidi \froman\fcharset238\fprq2 Cambria Math CE;}{\f674\fbidi \froman\fcharset204\fprq2 Cambria Math Cyr;}_x000d__x000a_{\f676\fbidi \froman\fcharset161\fprq2 Cambria Math Greek;}{\f677\fbidi \froman\fcharset162\fprq2 Cambria Math Tur;}{\f680\fbidi \froman\fcharset186\fprq2 Cambria Math Baltic;}{\f681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47\fbidi \fswiss\fcharset222\fprq2 DokChampa (Thai){\*\falt Leelawadee UI};}{\flominor\f31548\fbidi \froman\fcharset238\fprq2 Times New Roman CE;}{\flominor\f31549\fbidi \froman\fcharset204\fprq2 Times New Roman Cyr;}_x000d__x000a_{\flominor\f31551\fbidi \froman\fcharset161\fprq2 Times New Roman Greek;}{\flominor\f31552\fbidi \froman\fcharset162\fprq2 Times New Roman Tur;}{\flominor\f31553\fbidi \froman\fcharset177\fprq2 Times New Roman (Hebrew);}_x000d__x000a_{\flominor\f31554\fbidi \froman\fcharset178\fprq2 Times New Roman (Arabic);}{\flominor\f31555\fbidi \froman\fcharset186\fprq2 Times New Roman Baltic;}{\flominor\f31556\fbidi \froman\fcharset163\fprq2 Times New Roman (Vietnamese);}_x000d__x000a_{\fdbminor\f31558\fbidi \froman\fcharset238\fprq2 Times New Roman CE;}{\fdbminor\f31559\fbidi \froman\fcharset204\fprq2 Times New Roman Cyr;}{\fdbminor\f31561\fbidi \froman\fcharset161\fprq2 Times New Roman Greek;}_x000d__x000a_{\fdbminor\f31562\fbidi \froman\fcharset162\fprq2 Times New Roman Tur;}{\fdbminor\f31563\fbidi \froman\fcharset177\fprq2 Times New Roman (Hebrew);}{\fdbminor\f31564\fbidi \froman\fcharset178\fprq2 Times New Roman (Arabic);}_x000d__x000a_{\fdbminor\f31565\fbidi \froman\fcharset186\fprq2 Times New Roman Baltic;}{\fdbminor\f31566\fbidi \froman\fcharset163\fprq2 Times New Roman (Vietnamese);}{\fhiminor\f31568\fbidi \fswiss\fcharset238\fprq2 Calibri CE;}_x000d__x000a_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s17\ql \fi-567\li567\ri0\sa240\nowidctlpar\wrapdefault\aspalpha\aspnum\faauto\adjustright\rin0\lin567\itap0 \rtlch\fcs1 \af0\afs20\alang1025 \ltrch\fcs0 _x000d__x000a_\fs24\lang2057\langfe2057\cgrid\langnp2057\langfenp2057 \sbasedon0 \snext17 \spriority0 \styrsid13914957 NormalHanging12a;}}{\*\rsidtbl \rsid24658\rsid223860\rsid735077\rsid1718133\rsid2892074\rsid3565327\rsid4666813\rsid6641733\rsid7823322\rsid9636012_x000d__x000a_\rsid10377208\rsid11215221\rsid11549030\rsid12022877\rsid12154954\rsid13914957\rsid14382809\rsid14424199\rsid15204470\rsid15285974\rsid15950462\rsid16324206\rsid16662270}{\mmathPr\mmathFont34\mbrkBin0\mbrkBinSub0\msmallFrac0\mdispDef1\mlMargin0\mrMargin0_x000d__x000a_\mdefJc1\mwrapIndent1440\mintLim0\mnaryLim1}{\info{\author SCIRTO GAUCI Lindsay}{\operator SCIRTO GAUCI Lindsay}{\creatim\yr2024\mo1\dy25\hr16\min8}{\revtim\yr2024\mo1\dy25\hr16\min8}{\version1}{\edmins0}{\nofpages1}{\nofwords5}{\nofchars30}_x000d__x000a_{\nofcharsws34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3914957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LSCIRT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2022877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02287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02287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022877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_x000d__x000a_\s17\ql \fi-567\li567\ri0\sa240\nowidctlpar\wrapdefault\aspalpha\aspnum\faauto\adjustright\rin0\lin567\itap0\pararsid13914957 \rtlch\fcs1 \af0\afs20\alang1025 \ltrch\fcs0 \fs24\lang2057\langfe2057\cgrid\langnp2057\langfenp2057 {\rtlch\fcs1 \af0 _x000d__x000a_\ltrch\fcs0 \insrsid13914957\charrsid1525456 {\*\bkmkstart restart}[ZSUGGESTIONNR]\tab [ZSUGGESTIONTEXT]}{\rtlch\fcs1 \af0 \ltrch\fcs0 \insrsid13914957\charrsid16324206 {\*\bkmkend restart}_x000d__x000a_\par }\pard\plain \ltrpar\ql \li0\ri0\widctlpar\wrapdefault\aspalpha\aspnum\faauto\adjustright\rin0\lin0\itap0\pararsid16324206 \rtlch\fcs1 \af0\afs20\alang1025 \ltrch\fcs0 \fs24\lang2057\langfe2057\cgrid\langnp2057\langfenp2057 {\rtlch\fcs1 \af0 \ltrch\fcs0 _x000d__x000a_\insrsid24658\charrsid16324206 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41_x000d__x000a_554fa04f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PA_NonLeg"/>
    <w:docVar w:name="strSubDir" w:val="1294"/>
    <w:docVar w:name="TXTLANGUE" w:val="MT"/>
    <w:docVar w:name="TXTLANGUEMIN" w:val="mt"/>
    <w:docVar w:name="TXTNRPE" w:val="754.839"/>
    <w:docVar w:name="TXTNRPROC" w:val="2023/2152"/>
    <w:docVar w:name="TXTPEorAP" w:val="PE"/>
    <w:docVar w:name="TXTROUTE" w:val="AD\1294966MT.docx"/>
    <w:docVar w:name="TXTTITLE" w:val="2022 discharge: European Institute for Gender Equality"/>
    <w:docVar w:name="TXTVERSION" w:val="02-00"/>
  </w:docVars>
  <w:rsids>
    <w:rsidRoot w:val="00875277"/>
    <w:rsid w:val="00037518"/>
    <w:rsid w:val="000D28B3"/>
    <w:rsid w:val="000E30B9"/>
    <w:rsid w:val="000E7EBF"/>
    <w:rsid w:val="00124F60"/>
    <w:rsid w:val="00135121"/>
    <w:rsid w:val="00140BE6"/>
    <w:rsid w:val="00147F4E"/>
    <w:rsid w:val="00147FBF"/>
    <w:rsid w:val="0016635E"/>
    <w:rsid w:val="001746D0"/>
    <w:rsid w:val="00180131"/>
    <w:rsid w:val="001B265E"/>
    <w:rsid w:val="001B7393"/>
    <w:rsid w:val="001D2ED9"/>
    <w:rsid w:val="001F21C1"/>
    <w:rsid w:val="00207509"/>
    <w:rsid w:val="002269B4"/>
    <w:rsid w:val="0024239A"/>
    <w:rsid w:val="002B2C72"/>
    <w:rsid w:val="002D28A7"/>
    <w:rsid w:val="002E2F2E"/>
    <w:rsid w:val="002E6F98"/>
    <w:rsid w:val="00325BCB"/>
    <w:rsid w:val="00331944"/>
    <w:rsid w:val="00332AD9"/>
    <w:rsid w:val="00347D2C"/>
    <w:rsid w:val="00366E88"/>
    <w:rsid w:val="0037356F"/>
    <w:rsid w:val="003858C5"/>
    <w:rsid w:val="00390EB2"/>
    <w:rsid w:val="00396A0E"/>
    <w:rsid w:val="003E2402"/>
    <w:rsid w:val="004047F2"/>
    <w:rsid w:val="004C28FB"/>
    <w:rsid w:val="004C44C0"/>
    <w:rsid w:val="004C4A86"/>
    <w:rsid w:val="004E57F9"/>
    <w:rsid w:val="0052544E"/>
    <w:rsid w:val="005602AC"/>
    <w:rsid w:val="00575693"/>
    <w:rsid w:val="005940C3"/>
    <w:rsid w:val="00594C48"/>
    <w:rsid w:val="005B2F11"/>
    <w:rsid w:val="005C0BDF"/>
    <w:rsid w:val="005D0A2D"/>
    <w:rsid w:val="005D60C6"/>
    <w:rsid w:val="005D67F0"/>
    <w:rsid w:val="005F2651"/>
    <w:rsid w:val="006102E7"/>
    <w:rsid w:val="00640C1B"/>
    <w:rsid w:val="00652CF2"/>
    <w:rsid w:val="00657AFB"/>
    <w:rsid w:val="006719B9"/>
    <w:rsid w:val="006D5BF7"/>
    <w:rsid w:val="007B15EC"/>
    <w:rsid w:val="007E0BB6"/>
    <w:rsid w:val="008313E7"/>
    <w:rsid w:val="00854CAC"/>
    <w:rsid w:val="00875277"/>
    <w:rsid w:val="008A32C5"/>
    <w:rsid w:val="008C6203"/>
    <w:rsid w:val="008D61E7"/>
    <w:rsid w:val="008F7002"/>
    <w:rsid w:val="00950C18"/>
    <w:rsid w:val="0099178F"/>
    <w:rsid w:val="0099493F"/>
    <w:rsid w:val="00A16BEA"/>
    <w:rsid w:val="00A312B3"/>
    <w:rsid w:val="00A72C35"/>
    <w:rsid w:val="00AC646C"/>
    <w:rsid w:val="00AD5932"/>
    <w:rsid w:val="00AE180F"/>
    <w:rsid w:val="00B362F7"/>
    <w:rsid w:val="00B5456B"/>
    <w:rsid w:val="00B735E3"/>
    <w:rsid w:val="00B74B53"/>
    <w:rsid w:val="00B80519"/>
    <w:rsid w:val="00BC26E4"/>
    <w:rsid w:val="00BD1EAA"/>
    <w:rsid w:val="00BE580C"/>
    <w:rsid w:val="00C046E6"/>
    <w:rsid w:val="00C36610"/>
    <w:rsid w:val="00C52739"/>
    <w:rsid w:val="00C827FF"/>
    <w:rsid w:val="00C85D0F"/>
    <w:rsid w:val="00C87806"/>
    <w:rsid w:val="00CD34AC"/>
    <w:rsid w:val="00D97022"/>
    <w:rsid w:val="00DB3BEE"/>
    <w:rsid w:val="00DE19FF"/>
    <w:rsid w:val="00E81BA6"/>
    <w:rsid w:val="00E856D2"/>
    <w:rsid w:val="00E929A7"/>
    <w:rsid w:val="00EA6D13"/>
    <w:rsid w:val="00EC32D4"/>
    <w:rsid w:val="00FC6460"/>
    <w:rsid w:val="00FD0D14"/>
    <w:rsid w:val="00FD4BC4"/>
    <w:rsid w:val="00FF4B50"/>
    <w:rsid w:val="00FF6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6394A3-936B-4CBD-BC26-143BD8FB5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t-M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1944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pPr>
      <w:spacing w:after="240"/>
    </w:pPr>
  </w:style>
  <w:style w:type="paragraph" w:styleId="TOC1">
    <w:name w:val="toc 1"/>
    <w:basedOn w:val="Normal12a"/>
    <w:next w:val="Normal12a"/>
    <w:autoRedefine/>
    <w:semiHidden/>
  </w:style>
  <w:style w:type="paragraph" w:styleId="TOCHeading">
    <w:name w:val="TOC Heading"/>
    <w:basedOn w:val="Normal"/>
    <w:next w:val="Normal"/>
    <w:semiHidden/>
    <w:qFormat/>
    <w:pPr>
      <w:keepNext/>
      <w:spacing w:before="240" w:after="240"/>
      <w:jc w:val="center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NotTOC">
    <w:name w:val="PageHeadingNotTOC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Name">
    <w:name w:val="EPName"/>
    <w:basedOn w:val="Normal"/>
    <w:rsid w:val="00E856D2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347D2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styleId="Header">
    <w:name w:val="header"/>
    <w:basedOn w:val="Normal"/>
    <w:link w:val="HeaderChar"/>
    <w:semiHidden/>
    <w:rsid w:val="005C0BDF"/>
    <w:pPr>
      <w:tabs>
        <w:tab w:val="center" w:pos="4513"/>
        <w:tab w:val="right" w:pos="9026"/>
      </w:tabs>
    </w:pPr>
  </w:style>
  <w:style w:type="paragraph" w:customStyle="1" w:styleId="CoverReference">
    <w:name w:val="CoverReference"/>
    <w:basedOn w:val="Normal"/>
    <w:rsid w:val="00E81BA6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347D2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table" w:styleId="TableGrid">
    <w:name w:val="Table Grid"/>
    <w:basedOn w:val="TableNormal"/>
    <w:rsid w:val="00174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1746D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1746D0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1746D0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E856D2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E856D2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313E7"/>
    <w:pPr>
      <w:spacing w:after="240"/>
      <w:ind w:left="567" w:hanging="567"/>
    </w:pPr>
  </w:style>
  <w:style w:type="paragraph" w:customStyle="1" w:styleId="EPFooter">
    <w:name w:val="EPFooter"/>
    <w:basedOn w:val="Normal"/>
    <w:rsid w:val="00347D2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C0BDF"/>
    <w:rPr>
      <w:sz w:val="24"/>
    </w:rPr>
  </w:style>
  <w:style w:type="paragraph" w:styleId="Footer">
    <w:name w:val="footer"/>
    <w:basedOn w:val="Normal"/>
    <w:link w:val="FooterChar"/>
    <w:semiHidden/>
    <w:rsid w:val="007E0B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7E0BB6"/>
    <w:rPr>
      <w:sz w:val="24"/>
    </w:rPr>
  </w:style>
  <w:style w:type="character" w:customStyle="1" w:styleId="NormalHanging12aChar">
    <w:name w:val="NormalHanging12a Char"/>
    <w:basedOn w:val="DefaultParagraphFont"/>
    <w:link w:val="NormalHanging12a"/>
    <w:rsid w:val="00B80519"/>
    <w:rPr>
      <w:sz w:val="24"/>
    </w:rPr>
  </w:style>
  <w:style w:type="paragraph" w:styleId="FootnoteText">
    <w:name w:val="footnote text"/>
    <w:basedOn w:val="Normal"/>
    <w:link w:val="FootnoteTextChar"/>
    <w:rsid w:val="00B80519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B80519"/>
    <w:rPr>
      <w:lang w:val="mt-MT"/>
    </w:rPr>
  </w:style>
  <w:style w:type="character" w:styleId="FootnoteReference">
    <w:name w:val="footnote reference"/>
    <w:basedOn w:val="DefaultParagraphFont"/>
    <w:rsid w:val="00B80519"/>
    <w:rPr>
      <w:vertAlign w:val="superscript"/>
    </w:rPr>
  </w:style>
  <w:style w:type="paragraph" w:customStyle="1" w:styleId="Normal24a">
    <w:name w:val="Normal24a"/>
    <w:basedOn w:val="Normal"/>
    <w:rsid w:val="00B80519"/>
    <w:pPr>
      <w:spacing w:after="480"/>
    </w:pPr>
  </w:style>
  <w:style w:type="paragraph" w:customStyle="1" w:styleId="NormalBoldCenter">
    <w:name w:val="NormalBoldCenter"/>
    <w:basedOn w:val="Normal"/>
    <w:rsid w:val="00B80519"/>
    <w:pPr>
      <w:jc w:val="center"/>
    </w:pPr>
    <w:rPr>
      <w:b/>
    </w:rPr>
  </w:style>
  <w:style w:type="paragraph" w:customStyle="1" w:styleId="RollCallSymbols14pt">
    <w:name w:val="RollCallSymbols14pt"/>
    <w:basedOn w:val="Normal"/>
    <w:rsid w:val="00B8051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B8051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B8051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B80519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161F7-9554-4700-9F45-D1F9B4DAA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1316</Words>
  <Characters>9513</Characters>
  <Application>Microsoft Office Word</Application>
  <DocSecurity>0</DocSecurity>
  <Lines>197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PA_NonLeg</vt:lpstr>
    </vt:vector>
  </TitlesOfParts>
  <Company/>
  <LinksUpToDate>false</LinksUpToDate>
  <CharactersWithSpaces>10754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creator>European Parliament</dc:creator>
  <cp:lastModifiedBy>European Parliament</cp:lastModifiedBy>
  <cp:revision>2</cp:revision>
  <cp:lastPrinted>2004-10-28T10:33:00Z</cp:lastPrinted>
  <dcterms:created xsi:type="dcterms:W3CDTF">2024-02-07T08:58:00Z</dcterms:created>
  <dcterms:modified xsi:type="dcterms:W3CDTF">2024-02-07T08:58:00Z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1294966</vt:lpwstr>
  </property>
  <property fmtid="{D5CDD505-2E9C-101B-9397-08002B2CF9AE}" pid="4" name="&lt;Model&gt;">
    <vt:lpwstr>PA_NonLeg</vt:lpwstr>
  </property>
  <property fmtid="{D5CDD505-2E9C-101B-9397-08002B2CF9AE}" pid="5" name="&lt;ModelCod&gt;">
    <vt:lpwstr>\\eiciBRUpr1\pdocep$\DocEP\DOCS\General\PA\PA_NonLeg\PA_NonLeg.dotx(18/09/2023 11:25:02)</vt:lpwstr>
  </property>
  <property fmtid="{D5CDD505-2E9C-101B-9397-08002B2CF9AE}" pid="6" name="&lt;ModelTra&gt;">
    <vt:lpwstr>\\eiciBRUpr1\pdocep$\DocEP\TRANSFIL\EN\PA_NonLeg.EN(18/09/2023 11:08:01)</vt:lpwstr>
  </property>
  <property fmtid="{D5CDD505-2E9C-101B-9397-08002B2CF9AE}" pid="7" name="&lt;Type&gt;">
    <vt:lpwstr>AD</vt:lpwstr>
  </property>
  <property fmtid="{D5CDD505-2E9C-101B-9397-08002B2CF9AE}" pid="8" name="Bookout">
    <vt:lpwstr>OK - 2024/02/07 09:58</vt:lpwstr>
  </property>
  <property fmtid="{D5CDD505-2E9C-101B-9397-08002B2CF9AE}" pid="9" name="Created with">
    <vt:lpwstr>9.16.1 Build [20230915]</vt:lpwstr>
  </property>
  <property fmtid="{D5CDD505-2E9C-101B-9397-08002B2CF9AE}" pid="10" name="FooterPath">
    <vt:lpwstr>AD\1294966MT.docx</vt:lpwstr>
  </property>
  <property fmtid="{D5CDD505-2E9C-101B-9397-08002B2CF9AE}" pid="11" name="LastEdited with">
    <vt:lpwstr>9.17.1 Build [20240101]</vt:lpwstr>
  </property>
  <property fmtid="{D5CDD505-2E9C-101B-9397-08002B2CF9AE}" pid="12" name="PE number">
    <vt:lpwstr>754.839</vt:lpwstr>
  </property>
  <property fmtid="{D5CDD505-2E9C-101B-9397-08002B2CF9AE}" pid="13" name="SDLStudio">
    <vt:lpwstr/>
  </property>
  <property fmtid="{D5CDD505-2E9C-101B-9397-08002B2CF9AE}" pid="14" name="SendToEpades">
    <vt:lpwstr>OK - 2023/10/18 10:49</vt:lpwstr>
  </property>
</Properties>
</file>