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32F95" w:rsidTr="00C85D0F">
        <w:trPr>
          <w:trHeight w:hRule="exact" w:val="1418"/>
        </w:trPr>
        <w:tc>
          <w:tcPr>
            <w:tcW w:w="6804" w:type="dxa"/>
            <w:shd w:val="clear" w:color="auto" w:fill="auto"/>
            <w:vAlign w:val="center"/>
          </w:tcPr>
          <w:p w:rsidR="00854CAC" w:rsidRPr="00A80508" w:rsidRDefault="00181649" w:rsidP="00C85D0F">
            <w:pPr>
              <w:pStyle w:val="EPName"/>
            </w:pPr>
            <w:bookmarkStart w:id="0" w:name="_GoBack"/>
            <w:bookmarkEnd w:id="0"/>
            <w:r>
              <w:t>Europees Parlement</w:t>
            </w:r>
          </w:p>
          <w:p w:rsidR="00854CAC" w:rsidRPr="00A80508" w:rsidRDefault="00181649" w:rsidP="0024239A">
            <w:pPr>
              <w:pStyle w:val="EPTerm"/>
            </w:pPr>
            <w:r>
              <w:t>2019-2024</w:t>
            </w:r>
          </w:p>
        </w:tc>
        <w:tc>
          <w:tcPr>
            <w:tcW w:w="2268" w:type="dxa"/>
            <w:shd w:val="clear" w:color="auto" w:fill="auto"/>
          </w:tcPr>
          <w:p w:rsidR="00854CAC" w:rsidRPr="00A80508" w:rsidRDefault="00181649" w:rsidP="00C85D0F">
            <w:pPr>
              <w:pStyle w:val="EPLogo"/>
            </w:pPr>
            <w:r w:rsidRPr="00A8050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A80508" w:rsidRDefault="001746D0" w:rsidP="001746D0">
      <w:pPr>
        <w:pStyle w:val="LineTop"/>
      </w:pPr>
    </w:p>
    <w:p w:rsidR="001746D0" w:rsidRPr="00A80508" w:rsidRDefault="00181649" w:rsidP="001746D0">
      <w:pPr>
        <w:pStyle w:val="EPBody"/>
      </w:pPr>
      <w:r>
        <w:rPr>
          <w:rStyle w:val="HideTWBExt"/>
        </w:rPr>
        <w:t>&lt;</w:t>
      </w:r>
      <w:r>
        <w:rPr>
          <w:rStyle w:val="HideTWBExt"/>
          <w:i w:val="0"/>
        </w:rPr>
        <w:t>Commission</w:t>
      </w:r>
      <w:r>
        <w:rPr>
          <w:rStyle w:val="HideTWBExt"/>
        </w:rPr>
        <w:t>&gt;</w:t>
      </w:r>
      <w:r>
        <w:rPr>
          <w:rStyle w:val="HideTWBInt"/>
          <w:color w:val="auto"/>
        </w:rPr>
        <w:t>{FEMM}</w:t>
      </w:r>
      <w:r>
        <w:t>Commissie vrouwenrechten en gendergelijkheid</w:t>
      </w:r>
      <w:r>
        <w:rPr>
          <w:rStyle w:val="HideTWBExt"/>
        </w:rPr>
        <w:t>&lt;/</w:t>
      </w:r>
      <w:r>
        <w:rPr>
          <w:rStyle w:val="HideTWBExt"/>
          <w:i w:val="0"/>
        </w:rPr>
        <w:t>Commission</w:t>
      </w:r>
      <w:r>
        <w:rPr>
          <w:rStyle w:val="HideTWBExt"/>
        </w:rPr>
        <w:t>&gt;</w:t>
      </w:r>
    </w:p>
    <w:p w:rsidR="001746D0" w:rsidRPr="00A80508" w:rsidRDefault="001746D0" w:rsidP="001746D0">
      <w:pPr>
        <w:pStyle w:val="LineBottom"/>
      </w:pPr>
    </w:p>
    <w:p w:rsidR="002E2F2E" w:rsidRPr="00A80508" w:rsidRDefault="00181649">
      <w:pPr>
        <w:pStyle w:val="CoverReference"/>
      </w:pPr>
      <w:r>
        <w:rPr>
          <w:rStyle w:val="HideTWBExt"/>
          <w:b w:val="0"/>
        </w:rPr>
        <w:t>&lt;RefProc&gt;</w:t>
      </w:r>
      <w:r>
        <w:t>2023/2152</w:t>
      </w:r>
      <w:r>
        <w:rPr>
          <w:rStyle w:val="HideTWBExt"/>
          <w:b w:val="0"/>
        </w:rPr>
        <w:t>&lt;/RefProc&gt;&lt;RefTypeProc&gt;</w:t>
      </w:r>
      <w:r>
        <w:t>(DEC)</w:t>
      </w:r>
      <w:r>
        <w:rPr>
          <w:rStyle w:val="HideTWBExt"/>
          <w:b w:val="0"/>
        </w:rPr>
        <w:t>&lt;/RefTypeProc&gt;</w:t>
      </w:r>
    </w:p>
    <w:p w:rsidR="002E2F2E" w:rsidRPr="00A80508" w:rsidRDefault="00181649">
      <w:pPr>
        <w:pStyle w:val="CoverDate"/>
      </w:pPr>
      <w:r>
        <w:rPr>
          <w:rStyle w:val="HideTWBExt"/>
        </w:rPr>
        <w:t>&lt;Date&gt;</w:t>
      </w:r>
      <w:r>
        <w:rPr>
          <w:rStyle w:val="HideTWBInt"/>
          <w:color w:val="auto"/>
        </w:rPr>
        <w:t>{25/01/2024}</w:t>
      </w:r>
      <w:r>
        <w:t>25.1.2024</w:t>
      </w:r>
      <w:r>
        <w:rPr>
          <w:rStyle w:val="HideTWBExt"/>
        </w:rPr>
        <w:t>&lt;/Date&gt;</w:t>
      </w:r>
    </w:p>
    <w:p w:rsidR="002E2F2E" w:rsidRPr="00A80508" w:rsidRDefault="00181649">
      <w:pPr>
        <w:pStyle w:val="CoverDocType24a"/>
      </w:pPr>
      <w:r>
        <w:rPr>
          <w:rStyle w:val="HideTWBExt"/>
          <w:b w:val="0"/>
        </w:rPr>
        <w:t>&lt;TitreType&gt;</w:t>
      </w:r>
      <w:r>
        <w:t>ADVIES</w:t>
      </w:r>
      <w:r>
        <w:rPr>
          <w:rStyle w:val="HideTWBExt"/>
          <w:b w:val="0"/>
        </w:rPr>
        <w:t>&lt;/TitreType&gt;</w:t>
      </w:r>
    </w:p>
    <w:p w:rsidR="002E2F2E" w:rsidRPr="00A80508" w:rsidRDefault="00181649">
      <w:pPr>
        <w:pStyle w:val="CoverNormal24a"/>
      </w:pPr>
      <w:r>
        <w:rPr>
          <w:rStyle w:val="HideTWBExt"/>
        </w:rPr>
        <w:t>&lt;CommissionResp&gt;</w:t>
      </w:r>
      <w:r>
        <w:t>van</w:t>
      </w:r>
      <w:r>
        <w:t xml:space="preserve"> de Commissie vrouwenrechten en gendergelijkheid</w:t>
      </w:r>
      <w:r>
        <w:rPr>
          <w:rStyle w:val="HideTWBExt"/>
        </w:rPr>
        <w:t>&lt;/CommissionResp&gt;</w:t>
      </w:r>
    </w:p>
    <w:p w:rsidR="002E2F2E" w:rsidRPr="00A80508" w:rsidRDefault="00181649">
      <w:pPr>
        <w:pStyle w:val="CoverNormal24a"/>
      </w:pPr>
      <w:r>
        <w:rPr>
          <w:rStyle w:val="HideTWBExt"/>
        </w:rPr>
        <w:t>&lt;CommissionInt&gt;</w:t>
      </w:r>
      <w:r>
        <w:t>aan de Commissie begrotingscontrole</w:t>
      </w:r>
      <w:r>
        <w:rPr>
          <w:rStyle w:val="HideTWBExt"/>
        </w:rPr>
        <w:t>&lt;/CommissionInt&gt;</w:t>
      </w:r>
    </w:p>
    <w:p w:rsidR="002E2F2E" w:rsidRPr="00A80508" w:rsidRDefault="00181649">
      <w:pPr>
        <w:pStyle w:val="CoverNormal"/>
      </w:pPr>
      <w:r>
        <w:rPr>
          <w:rStyle w:val="HideTWBExt"/>
        </w:rPr>
        <w:t>&lt;Titre&gt;</w:t>
      </w:r>
      <w:r>
        <w:t>inzake kwijting 2022: Europees Instituut voor gendergelijkheid</w:t>
      </w:r>
      <w:r>
        <w:rPr>
          <w:rStyle w:val="HideTWBExt"/>
        </w:rPr>
        <w:t>&lt;/Titre&gt;</w:t>
      </w:r>
    </w:p>
    <w:p w:rsidR="002E2F2E" w:rsidRPr="00A80508" w:rsidRDefault="00181649">
      <w:pPr>
        <w:pStyle w:val="CoverNormal24a"/>
      </w:pPr>
      <w:r>
        <w:rPr>
          <w:rStyle w:val="HideTWBExt"/>
        </w:rPr>
        <w:t>&lt;DocRef&gt;</w:t>
      </w:r>
      <w:r>
        <w:t>(2023/2152(DEC))</w:t>
      </w:r>
      <w:r>
        <w:rPr>
          <w:rStyle w:val="HideTWBExt"/>
        </w:rPr>
        <w:t>&lt;/DocRef&gt;</w:t>
      </w:r>
    </w:p>
    <w:p w:rsidR="002E2F2E" w:rsidRPr="00A80508" w:rsidRDefault="00181649">
      <w:pPr>
        <w:pStyle w:val="CoverNormal24a"/>
      </w:pPr>
      <w:r>
        <w:t xml:space="preserve">Rapporteur </w:t>
      </w:r>
      <w:r>
        <w:t xml:space="preserve">voor advies: </w:t>
      </w:r>
      <w:r>
        <w:rPr>
          <w:rStyle w:val="HideTWBExt"/>
        </w:rPr>
        <w:t>&lt;Depute&gt;</w:t>
      </w:r>
      <w:r>
        <w:t>Robert Biedroń</w:t>
      </w:r>
      <w:r>
        <w:rPr>
          <w:rStyle w:val="HideTWBExt"/>
        </w:rPr>
        <w:t>&lt;/Depute&gt;</w:t>
      </w:r>
    </w:p>
    <w:p w:rsidR="00A72C35" w:rsidRPr="00A80508" w:rsidRDefault="00A72C35" w:rsidP="00A72C35">
      <w:pPr>
        <w:pStyle w:val="CoverNormal"/>
      </w:pPr>
    </w:p>
    <w:p w:rsidR="002E2F2E" w:rsidRPr="00A80508" w:rsidRDefault="00181649" w:rsidP="00E856D2">
      <w:pPr>
        <w:widowControl/>
        <w:tabs>
          <w:tab w:val="center" w:pos="4677"/>
        </w:tabs>
      </w:pPr>
      <w:r>
        <w:br w:type="page"/>
      </w:r>
      <w:r>
        <w:lastRenderedPageBreak/>
        <w:t>PA_NonLeg</w:t>
      </w:r>
    </w:p>
    <w:p w:rsidR="002E2F2E" w:rsidRPr="00A80508" w:rsidRDefault="00181649">
      <w:pPr>
        <w:pStyle w:val="PageHeadingNotTOC"/>
      </w:pPr>
      <w:r>
        <w:br w:type="page"/>
      </w:r>
      <w:r>
        <w:lastRenderedPageBreak/>
        <w:t>SUGGESTIES</w:t>
      </w:r>
    </w:p>
    <w:p w:rsidR="002E2F2E" w:rsidRPr="00A80508" w:rsidRDefault="00181649" w:rsidP="008313E7">
      <w:pPr>
        <w:pStyle w:val="Normal12a"/>
      </w:pPr>
      <w:r>
        <w:t>De Commissie vrouwenrechten en gendergelijkheid verzoekt de bevoegde Commissie begrotingscontrole onderstaande suggesties in haar ontwerpresolutie op te nemen:</w:t>
      </w:r>
    </w:p>
    <w:p w:rsidR="00CF03A5" w:rsidRPr="00C87806" w:rsidRDefault="00181649" w:rsidP="00CF03A5">
      <w:pPr>
        <w:pStyle w:val="NormalHanging12a"/>
        <w:rPr>
          <w:szCs w:val="24"/>
        </w:rPr>
      </w:pPr>
      <w:bookmarkStart w:id="1" w:name="restart"/>
      <w:r>
        <w:t>A.</w:t>
      </w:r>
      <w:r>
        <w:tab/>
      </w:r>
      <w:bookmarkStart w:id="2" w:name="ProcPageAD"/>
      <w:bookmarkEnd w:id="1"/>
      <w:r>
        <w:t xml:space="preserve">overwegende dat in </w:t>
      </w:r>
      <w:r>
        <w:t xml:space="preserve">artikel 8 VWEU is bepaald dat de Unie er bij elk optreden naar streeft de ongelijkheden tussen mannen en vrouwen op te heffen, waarmee het beginsel van gendermainstreaming is ingevoerd, en de gelijkheid van mannen en vrouwen te bevorderen; overwegende dat </w:t>
      </w:r>
      <w:r>
        <w:t>gendergelijkheid in al het EU-beleid moet worden geïntegreerd, onder meer door genderbudgettering op alle niveaus van het begrotingsproces;</w:t>
      </w:r>
    </w:p>
    <w:p w:rsidR="00CF03A5" w:rsidRPr="00C87806" w:rsidRDefault="00181649" w:rsidP="00CF03A5">
      <w:pPr>
        <w:pStyle w:val="NormalHanging12a"/>
        <w:rPr>
          <w:szCs w:val="24"/>
        </w:rPr>
      </w:pPr>
      <w:r>
        <w:t>B.</w:t>
      </w:r>
      <w:r>
        <w:tab/>
        <w:t>overwegende dat het personeel van het EIGE actief deelneemt aan de uitwisseling van beste praktijken en de activi</w:t>
      </w:r>
      <w:r>
        <w:t>teiten van het netwerk van EU</w:t>
      </w:r>
      <w:r>
        <w:noBreakHyphen/>
        <w:t>agentschappen (EUAN), om synergieën te ontwikkelen op gebieden als personeelszaken, gebouwenbeheer, IT-diensten en beveiliging, samenwerking en de uitwisseling van optimale werkwijzen met andere EU-agentschappen, met het oog o</w:t>
      </w:r>
      <w:r>
        <w:t>p meer efficiëntie; overwegende dat het EIGE proactieve stappen heeft genomen voor het doorvoeren van de huidige maatregelen ter verbetering van het genderevenwicht onder zijn personeel;</w:t>
      </w:r>
    </w:p>
    <w:p w:rsidR="00CF03A5" w:rsidRPr="00C87806" w:rsidRDefault="00181649" w:rsidP="00CF03A5">
      <w:pPr>
        <w:pStyle w:val="NormalHanging12a"/>
        <w:rPr>
          <w:szCs w:val="24"/>
        </w:rPr>
      </w:pPr>
      <w:r>
        <w:t>C.</w:t>
      </w:r>
      <w:r>
        <w:tab/>
        <w:t>overwegende dat uit de index voor gendergelijkheid voor 2023 blijk</w:t>
      </w:r>
      <w:r>
        <w:t>t dat de lidstaten slechts een bescheiden stijging van 1,6 punt laten zien, tot een score van 70,2, waarbij op sommige gebieden zelfs tekenen zijn van achteruitgang, met name wat betreft indicatoren als economie en inkomen</w:t>
      </w:r>
      <w:r>
        <w:rPr>
          <w:vertAlign w:val="superscript"/>
        </w:rPr>
        <w:footnoteReference w:id="1"/>
      </w:r>
      <w:r>
        <w:t>; overwegende dat het Europees In</w:t>
      </w:r>
      <w:r>
        <w:t>stituut voor gendergelijkheid (EIGE) is opgericht om bij te dragen aan gendergelijkheid in de Unie en om de bevordering ervan te versterken, onder meer door gendermainstreaming op te nemen in alle beleidssectoren van de Unie en het daaruit voortvloeiende n</w:t>
      </w:r>
      <w:r>
        <w:t xml:space="preserve">ationale beleid, om discriminatie op grond van geslacht te bestrijden en om de burgers van de Unie bewust te maken van gendergelijkheid; </w:t>
      </w:r>
    </w:p>
    <w:p w:rsidR="00CF03A5" w:rsidRPr="00C87806" w:rsidRDefault="00181649" w:rsidP="00CF03A5">
      <w:pPr>
        <w:pStyle w:val="NormalHanging12a"/>
        <w:rPr>
          <w:szCs w:val="24"/>
        </w:rPr>
      </w:pPr>
      <w:r>
        <w:t>D.</w:t>
      </w:r>
      <w:r>
        <w:tab/>
        <w:t xml:space="preserve">overwegende dat het in het licht van aanhoudende crisissituaties binnen de Unie en wereldwijd, zoals oorlogen, de </w:t>
      </w:r>
      <w:r>
        <w:t>klimaatcrisis, inflatie en de achteruitgang op het gebied van vrouwenrechten, met name seksuele en reproductieve gezondheid en rechten, steeds dringender wordt voor de Unie om vorderingen te maken met haar strategie voor gendergelijkheid; overwegende dat d</w:t>
      </w:r>
      <w:r>
        <w:t>e huidige opeenvolgende crisissituaties de inspanningen voor het bereiken van gendergelijkheid dreigen te vertragen en vrouwen dreigen te verhinderen hun rechten ten volle uit te oefenen; overwegende dat vrouwen in de EU zwaarder worden getroffen door armo</w:t>
      </w:r>
      <w:r>
        <w:t>ede of sociale uitsluiting dan mannen; overwegende dat onbetaalde zorg en huishoudelijk werk veelal de verantwoordelijkheid zijn van vrouwen, die als voornaamste zorgverlener binnen het gezin een essentiële rol opnemen in dit verband; overwegende dat manne</w:t>
      </w:r>
      <w:r>
        <w:t>n in de EU gemiddeld 13 % meer verdienen dan vrouwen, maar dat dit percentage verschilt tussen de lidstaten; overwegende dat deze genderloonkloof onder meer leidt tot ongelijke pensioeninkomens, waarbij die van mannen 29 % hoger liggen dan die van vrouwen,</w:t>
      </w:r>
      <w:r>
        <w:t xml:space="preserve"> met als gevolg dat oudere vrouwen een hoger risico lopen op armoede en sociale uitsluiting; overwegende dat het recht op gelijk loon voor gelijk werk niet altijd </w:t>
      </w:r>
      <w:r>
        <w:lastRenderedPageBreak/>
        <w:t>nageleefd wordt en dat dit een van de grootste uitdagingen blijft bij het uitbannen van loond</w:t>
      </w:r>
      <w:r>
        <w:t xml:space="preserve">iscriminatie; overwegende dat het van essentieel belang is om discriminatie tussen mannen en vrouwen bij de toegang tot banen en werk te bestrijden en om gelijkheid in loopbanen en beroepscategorieën in beroepsopleidingen te bevorderen; overwegende dat de </w:t>
      </w:r>
      <w:r>
        <w:t>lidstaten moeten zorgen voor meer openbare investeringen in beleid dat direct of indirect gericht is op het tegengaan van de negatieve effecten van de crisis op de kosten van levensonderhoud van vrouwen in al hun diversiteit, om toegang te garanderen tot h</w:t>
      </w:r>
      <w:r>
        <w:t>oogwaardige, betaalbare openbare diensten op het gebied van zorg, onderwijs, gezondheid – waaronder seksuele en reproductieve gezondheid en rechten – en huisvesting, en om slachtoffers van gendergerelateerd geweld te beschermen;</w:t>
      </w:r>
    </w:p>
    <w:p w:rsidR="00CF03A5" w:rsidRPr="00C87806" w:rsidRDefault="00181649" w:rsidP="00CF03A5">
      <w:pPr>
        <w:pStyle w:val="NormalHanging12a"/>
        <w:rPr>
          <w:szCs w:val="24"/>
        </w:rPr>
      </w:pPr>
      <w:r>
        <w:t>E.</w:t>
      </w:r>
      <w:r>
        <w:tab/>
        <w:t>overwegende dat de defin</w:t>
      </w:r>
      <w:r>
        <w:t xml:space="preserve">itieve begroting van het Europees Instituut voor gendergelijkheid (EIGE) voor het begrotingsjaar 2022 in totaal 8 432 920 EUR bedroeg, wat neerkomt op een afname van 3 % ten opzichte van 2021 (8 693 358 EUR); overwegende dat de begroting van het Instituut </w:t>
      </w:r>
      <w:r>
        <w:t>volledig wordt gefinancierd met middelen van de Uniebegroting;</w:t>
      </w:r>
    </w:p>
    <w:p w:rsidR="00CF03A5" w:rsidRPr="00C87806" w:rsidRDefault="00181649" w:rsidP="00CF03A5">
      <w:pPr>
        <w:pStyle w:val="NormalHanging12a"/>
        <w:rPr>
          <w:szCs w:val="24"/>
        </w:rPr>
      </w:pPr>
      <w:r>
        <w:t>1.</w:t>
      </w:r>
      <w:r>
        <w:tab/>
        <w:t>herinnert eraan dat het EIGE is opgericht om bij te dragen aan gendergelijkheid in de Unie en de bevordering van gendergelijkheid in de Unie te versterken door middel van hoogwaardig onderzo</w:t>
      </w:r>
      <w:r>
        <w:t>ek en het verstrekken van vergelijkbare gegevens, om de Europese instellingen en de lidstaten te helpen gendergelijkheid in alle aspecten van hun beleid te integreren en discriminatie op grond van gender te bestrijden; benadrukt daarom dat het EIGE een cru</w:t>
      </w:r>
      <w:r>
        <w:t xml:space="preserve">ciale rol speelt bij het verzamelen, analyseren, verwerken en verspreiden van gegevens en noodzakelijke informatie voor beleidsmakers, het EU-beleid en de EU-lidstaten; is met name ingenomen met de doorlopende werkzaamheden van het Instituut op het gebied </w:t>
      </w:r>
      <w:r>
        <w:t>van de index voor gendergelijkheid en zijn laagdrempelige informatie voor burgers; onderstreept de noodzaak van een sterkere en efficiëntere integratie van het gendergelijkheidsbeleid en de gendermainstreaminginstrumenten; herhaalt zijn eerdere oproep om h</w:t>
      </w:r>
      <w:r>
        <w:t>et EIGE van meer personele middelen te voorzien, onder meer door bijkomende statutaire medewerkers toe te wijzen, gezien de stijgende vraag naar zijn technische bijstand en diensten en de toenemende urgentie daarvan; pleit daarom voor een verhoging van zij</w:t>
      </w:r>
      <w:r>
        <w:t>n begroting zodat het Instituut zijn capaciteit voor aanwervingen en onderzoek kan vergroten met het oog op een verdere verbetering van zijn werkzaamheden en prestaties, gezien de opeenvolgende crisissituaties en de achteruitgang op het gebied van de gelij</w:t>
      </w:r>
      <w:r>
        <w:t>kheid van mannen en vrouwen en lhbtiq-personen, die vrouwen onevenredig hard treffen;</w:t>
      </w:r>
    </w:p>
    <w:p w:rsidR="00CF03A5" w:rsidRPr="00C87806" w:rsidRDefault="00181649" w:rsidP="00CF03A5">
      <w:pPr>
        <w:pStyle w:val="NormalHanging12a"/>
        <w:rPr>
          <w:szCs w:val="24"/>
        </w:rPr>
      </w:pPr>
      <w:r>
        <w:t>2.</w:t>
      </w:r>
      <w:r>
        <w:tab/>
        <w:t>benadrukt hoe belangrijk het is ongelijkheden en onrecht jegens vrouwen tegen te gaan; verzoekt de Commissie en de lidstaten om met spoed actie te ondernemen tegen arm</w:t>
      </w:r>
      <w:r>
        <w:t>oede en de toenemende ongelijkheden onder vrouwen, met name onder groepen in kwetsbare situaties, zoals alleenstaande moeders, vrouwen met een handicap, op grond van racisme gediscrimineerde vrouwen, lhbtiq+-vrouwen, vrouwelijke migranten en vluchtelingen,</w:t>
      </w:r>
      <w:r>
        <w:t xml:space="preserve"> oudere vrouwen en vrouwen in plattelands- of dunbevolkte gebieden; merkt op dat dit kan worden bereikt door tegemoet te komen aan de behoefte aan meer financiële middelen voor gendergelijkheidsmaatregelen op het gebied van werkgelegenheid en groei, om het</w:t>
      </w:r>
      <w:r>
        <w:t xml:space="preserve"> hoofd te bieden aan gendergerelateerd geweld, de pensioenkloof tussen mannen en vrouwen, de gevolgen van crises voor vrouwen, gendermainstreaming en de toenemende armoede onder vrouwen, alsook op het gebied van rechten en democratie en de rechtsstaat; is </w:t>
      </w:r>
      <w:r>
        <w:t>in dit verband ingenomen met de lopende samenwerking tussen het EIGE en de Commissie vrouwenrechten en gendergelijkheid (FEMM); onderstreept dat het EIGE enorme inspanningen en een waardevolle bijdrage levert ten aanzien van de doelstellingen, waarden en p</w:t>
      </w:r>
      <w:r>
        <w:t>rioriteiten van het Europees Parlement; staat volledig achter de werkzaamheden van het Instituut, dat de commissie door middel van zijn studies, onderzoek en kwalitatief hoogwaardige gegevens in staat stelt haar werk naar behoren te doen; benadrukt hoe bel</w:t>
      </w:r>
      <w:r>
        <w:t>angrijk de beschikbaarheid van betrouwbare naar geslacht uitgesplitste gegevens is voor empirisch onderbouwde beleidsvorming; wijst erop dat het EIGE een waardevolle bijdrage kan leveren aan het beter verwerken van gendermainstreaming in het algehele EU-be</w:t>
      </w:r>
      <w:r>
        <w:t>leid door alle commissies van het Europees Parlement en andere EU-agentschappen;</w:t>
      </w:r>
    </w:p>
    <w:p w:rsidR="00CF03A5" w:rsidRPr="00C87806" w:rsidRDefault="00181649" w:rsidP="00CF03A5">
      <w:pPr>
        <w:pStyle w:val="NormalHanging12a"/>
        <w:rPr>
          <w:szCs w:val="24"/>
        </w:rPr>
      </w:pPr>
      <w:r>
        <w:t>3.</w:t>
      </w:r>
      <w:r>
        <w:tab/>
        <w:t>neemt kennis van het aanhoudend hoge uitvoeringspercentage van de begroting van het EIGE, ondanks de aanhoudende onderbezetting van het Instituut, met vastleggingskredieten</w:t>
      </w:r>
      <w:r>
        <w:t xml:space="preserve"> tot 97,91 % in 2022 (tegenover 98,92 % in 2021), en een uitvoeringsgraad van de betalingskredieten van 81,10 % (72,16 % in 2021);</w:t>
      </w:r>
    </w:p>
    <w:p w:rsidR="00CF03A5" w:rsidRPr="00C87806" w:rsidRDefault="00181649" w:rsidP="00CF03A5">
      <w:pPr>
        <w:pStyle w:val="NormalHanging12a"/>
        <w:rPr>
          <w:szCs w:val="24"/>
        </w:rPr>
      </w:pPr>
      <w:r>
        <w:t>4.</w:t>
      </w:r>
      <w:r>
        <w:tab/>
        <w:t>stelt vast dat de overgedragen operationele uitgaven van het EIGE zijn afgenomen tot 42,28 % in 2023 (54,79 % in 2022);</w:t>
      </w:r>
    </w:p>
    <w:p w:rsidR="00CF03A5" w:rsidRPr="00C87806" w:rsidRDefault="00181649" w:rsidP="00CF03A5">
      <w:pPr>
        <w:pStyle w:val="NormalHanging12a"/>
      </w:pPr>
      <w:r>
        <w:t>5.</w:t>
      </w:r>
      <w:r>
        <w:tab/>
        <w:t>stelt vast dat de Europese Rekenkamer heeft bevestigd dat de jaarrekening van het EIGE op alle materiële punten een getrouw beeld geeft van zijn financiële situatie per 31 december 2022 en van de resultaten van zijn verrichtingen, van zijn kasstromen en v</w:t>
      </w:r>
      <w:r>
        <w:t>an de veranderingen in de nettoactiva voor het afgesloten jaar;</w:t>
      </w:r>
    </w:p>
    <w:p w:rsidR="00CF03A5" w:rsidRPr="00C87806" w:rsidRDefault="00181649" w:rsidP="00CF03A5">
      <w:pPr>
        <w:pStyle w:val="NormalHanging12a"/>
        <w:rPr>
          <w:szCs w:val="24"/>
        </w:rPr>
      </w:pPr>
      <w:r>
        <w:t>6.</w:t>
      </w:r>
      <w:r>
        <w:tab/>
        <w:t>is op grond van de op dit moment beschikbare gegevens van mening dat kwijting kan worden verleend aan de directeur van het EIGE voor de uitvoering van de begroting van het EIGE voor het beg</w:t>
      </w:r>
      <w:r>
        <w:t>rotingsjaar 2022.</w:t>
      </w:r>
    </w:p>
    <w:p w:rsidR="00E14216" w:rsidRDefault="00181649" w:rsidP="00E14216">
      <w:pPr>
        <w:pStyle w:val="PageHeadingNotTOC"/>
        <w:rPr>
          <w:noProof/>
        </w:rPr>
      </w:pPr>
      <w:r>
        <w:br w:type="page"/>
        <w:t>BIJLAGE: ENTITEITEN WAARVAN OF PERSONEN VAN WIE</w:t>
      </w:r>
      <w:r>
        <w:br/>
        <w:t>DE RAPPORTEUR VOOR ADVIES INPUT HEEFT ONTVANGEN</w:t>
      </w:r>
    </w:p>
    <w:p w:rsidR="00E14216" w:rsidRPr="0099178F" w:rsidRDefault="00181649" w:rsidP="00E14216">
      <w:pPr>
        <w:pStyle w:val="Normal24a"/>
      </w:pPr>
      <w:r>
        <w:rPr>
          <w:rStyle w:val="HideTWBExt"/>
        </w:rPr>
        <w:t>&lt;FootprintIntro&gt;</w:t>
      </w:r>
      <w:r>
        <w:t>De voorzitter als rapporteur verklaart onder zijn exclusieve verantwoordelijkheid, geen input te hebben ontvangen van een ent</w:t>
      </w:r>
      <w:r>
        <w:t>iteit of persoon die overeenkomstig artikel 8 van bijlage I bij het Reglement in deze bijlage moet worden vermeld.</w:t>
      </w:r>
      <w:r>
        <w:rPr>
          <w:rStyle w:val="HideTWBExt"/>
        </w:rPr>
        <w:t>&lt;/FootprintIntro&gt;</w:t>
      </w:r>
    </w:p>
    <w:p w:rsidR="009F4949" w:rsidRDefault="009F4949">
      <w:pPr>
        <w:widowControl/>
      </w:pPr>
    </w:p>
    <w:p w:rsidR="00CF03A5" w:rsidRPr="00C87806" w:rsidRDefault="00CF03A5" w:rsidP="00CF03A5"/>
    <w:p w:rsidR="00FB6311" w:rsidRPr="00CF03A5" w:rsidRDefault="00181649" w:rsidP="00E14216">
      <w:pPr>
        <w:pStyle w:val="NormalHanging12a"/>
        <w:pageBreakBefore/>
        <w:rPr>
          <w:rFonts w:ascii="Arial" w:hAnsi="Arial" w:cs="Arial"/>
          <w:b/>
        </w:rPr>
      </w:pPr>
      <w:r>
        <w:rPr>
          <w:rFonts w:ascii="Arial" w:hAnsi="Arial"/>
          <w:b/>
        </w:rPr>
        <w:t>INFORMATIE OVER DE GOEDKEURING IN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32F9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B6311" w:rsidRDefault="00181649">
            <w:pPr>
              <w:autoSpaceDE w:val="0"/>
              <w:autoSpaceDN w:val="0"/>
              <w:adjustRightInd w:val="0"/>
              <w:rPr>
                <w:b/>
                <w:bCs/>
                <w:color w:val="000000"/>
                <w:sz w:val="20"/>
              </w:rPr>
            </w:pPr>
            <w:r>
              <w:rPr>
                <w:b/>
                <w:color w:val="000000"/>
                <w:sz w:val="20"/>
              </w:rPr>
              <w:t>Datum goedkeuring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B6311" w:rsidRDefault="00181649">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B6311" w:rsidRDefault="00FB631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B6311" w:rsidRDefault="00FB631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B6311" w:rsidRDefault="00FB6311">
            <w:pPr>
              <w:autoSpaceDE w:val="0"/>
              <w:autoSpaceDN w:val="0"/>
              <w:adjustRightInd w:val="0"/>
              <w:rPr>
                <w:rFonts w:ascii="sans-serif" w:hAnsi="sans-serif" w:cs="sans-serif"/>
                <w:color w:val="000000"/>
                <w:szCs w:val="24"/>
              </w:rPr>
            </w:pPr>
          </w:p>
        </w:tc>
      </w:tr>
      <w:tr w:rsidR="00D32F9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B6311" w:rsidRDefault="00181649">
            <w:pPr>
              <w:autoSpaceDE w:val="0"/>
              <w:autoSpaceDN w:val="0"/>
              <w:adjustRightInd w:val="0"/>
              <w:rPr>
                <w:b/>
                <w:bCs/>
                <w:color w:val="000000"/>
                <w:sz w:val="20"/>
              </w:rPr>
            </w:pPr>
            <w:r>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B6311" w:rsidRDefault="00181649">
            <w:pPr>
              <w:autoSpaceDE w:val="0"/>
              <w:autoSpaceDN w:val="0"/>
              <w:adjustRightInd w:val="0"/>
              <w:rPr>
                <w:color w:val="000000"/>
                <w:sz w:val="20"/>
              </w:rPr>
            </w:pPr>
            <w:r>
              <w:rPr>
                <w:color w:val="000000"/>
                <w:sz w:val="20"/>
              </w:rPr>
              <w:t>+:</w:t>
            </w:r>
          </w:p>
          <w:p w:rsidR="00FB6311" w:rsidRDefault="00181649">
            <w:pPr>
              <w:autoSpaceDE w:val="0"/>
              <w:autoSpaceDN w:val="0"/>
              <w:adjustRightInd w:val="0"/>
              <w:rPr>
                <w:color w:val="000000"/>
                <w:sz w:val="20"/>
              </w:rPr>
            </w:pPr>
            <w:r>
              <w:rPr>
                <w:color w:val="000000"/>
                <w:sz w:val="20"/>
              </w:rPr>
              <w:t>–:</w:t>
            </w:r>
          </w:p>
          <w:p w:rsidR="00FB6311" w:rsidRDefault="0018164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B6311" w:rsidRDefault="00181649">
            <w:pPr>
              <w:autoSpaceDE w:val="0"/>
              <w:autoSpaceDN w:val="0"/>
              <w:adjustRightInd w:val="0"/>
              <w:rPr>
                <w:color w:val="000000"/>
                <w:sz w:val="20"/>
              </w:rPr>
            </w:pPr>
            <w:r>
              <w:rPr>
                <w:color w:val="000000"/>
                <w:sz w:val="20"/>
              </w:rPr>
              <w:t>23</w:t>
            </w:r>
          </w:p>
          <w:p w:rsidR="00FB6311" w:rsidRDefault="00181649">
            <w:pPr>
              <w:autoSpaceDE w:val="0"/>
              <w:autoSpaceDN w:val="0"/>
              <w:adjustRightInd w:val="0"/>
              <w:rPr>
                <w:color w:val="000000"/>
                <w:sz w:val="20"/>
              </w:rPr>
            </w:pPr>
            <w:r>
              <w:rPr>
                <w:color w:val="000000"/>
                <w:sz w:val="20"/>
              </w:rPr>
              <w:t>4</w:t>
            </w:r>
          </w:p>
          <w:p w:rsidR="00FB6311" w:rsidRDefault="00181649">
            <w:pPr>
              <w:autoSpaceDE w:val="0"/>
              <w:autoSpaceDN w:val="0"/>
              <w:adjustRightInd w:val="0"/>
              <w:rPr>
                <w:color w:val="000000"/>
                <w:sz w:val="20"/>
              </w:rPr>
            </w:pPr>
            <w:r>
              <w:rPr>
                <w:color w:val="000000"/>
                <w:sz w:val="20"/>
              </w:rPr>
              <w:t>2</w:t>
            </w:r>
          </w:p>
        </w:tc>
      </w:tr>
      <w:tr w:rsidR="00D32F9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B6311" w:rsidRDefault="00181649">
            <w:pPr>
              <w:autoSpaceDE w:val="0"/>
              <w:autoSpaceDN w:val="0"/>
              <w:adjustRightInd w:val="0"/>
              <w:rPr>
                <w:b/>
                <w:bCs/>
                <w:color w:val="000000"/>
                <w:sz w:val="20"/>
              </w:rPr>
            </w:pPr>
            <w:r>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B6311" w:rsidRDefault="00181649">
            <w:pPr>
              <w:autoSpaceDE w:val="0"/>
              <w:autoSpaceDN w:val="0"/>
              <w:adjustRightInd w:val="0"/>
              <w:rPr>
                <w:color w:val="000000"/>
                <w:sz w:val="20"/>
              </w:rPr>
            </w:pPr>
            <w:r>
              <w:rPr>
                <w:color w:val="000000"/>
                <w:sz w:val="20"/>
              </w:rPr>
              <w:t xml:space="preserve">Christine Anderson, Robert Biedroń, Vilija Blinkevičiūtė, Annika Bruna, Maria da Graça Carvalho, Margarita de la Pisa Carrión, Gwendoline Delbos-Corfield, Frances Fitzgerald, Lívia Járóka, Arba Kokalari, Alice </w:t>
            </w:r>
            <w:r>
              <w:rPr>
                <w:color w:val="000000"/>
                <w:sz w:val="20"/>
              </w:rPr>
              <w:t>Kuhnke, Elżbieta Katarzyna Łukacijewska, Andżelika Anna Możdżanowska, Johan Nissinen, Carina Ohlsson, Samira Rafaela, Evelyn Regner, Diana Riba i Giner, Eugenia Rodríguez Palop, María Soraya Rodríguez Ramos, Maria Veronica Rossi, Sylwia Spurek, Marco Zullo</w:t>
            </w:r>
          </w:p>
        </w:tc>
      </w:tr>
      <w:tr w:rsidR="00D32F9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B6311" w:rsidRDefault="00181649">
            <w:pPr>
              <w:autoSpaceDE w:val="0"/>
              <w:autoSpaceDN w:val="0"/>
              <w:adjustRightInd w:val="0"/>
              <w:rPr>
                <w:b/>
                <w:bCs/>
                <w:color w:val="000000"/>
                <w:sz w:val="20"/>
              </w:rPr>
            </w:pPr>
            <w:r>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B6311" w:rsidRDefault="00181649">
            <w:pPr>
              <w:autoSpaceDE w:val="0"/>
              <w:autoSpaceDN w:val="0"/>
              <w:adjustRightInd w:val="0"/>
              <w:rPr>
                <w:color w:val="000000"/>
                <w:sz w:val="20"/>
              </w:rPr>
            </w:pPr>
            <w:r>
              <w:rPr>
                <w:color w:val="000000"/>
                <w:sz w:val="20"/>
              </w:rPr>
              <w:t>Laura Ballarín Cereza, Sylvie Brunet, Marina Kaljurand, Eleni Stavrou</w:t>
            </w:r>
          </w:p>
        </w:tc>
      </w:tr>
      <w:tr w:rsidR="00D32F9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B6311" w:rsidRDefault="00181649">
            <w:pPr>
              <w:autoSpaceDE w:val="0"/>
              <w:autoSpaceDN w:val="0"/>
              <w:adjustRightInd w:val="0"/>
              <w:rPr>
                <w:b/>
                <w:bCs/>
                <w:color w:val="000000"/>
                <w:sz w:val="20"/>
              </w:rPr>
            </w:pPr>
            <w:r>
              <w:rPr>
                <w:b/>
                <w:color w:val="000000"/>
                <w:sz w:val="20"/>
              </w:rPr>
              <w:t>Bij de eindstemming aanwezige plaatsvervangers (art. 209, lid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B6311" w:rsidRDefault="00181649">
            <w:pPr>
              <w:autoSpaceDE w:val="0"/>
              <w:autoSpaceDN w:val="0"/>
              <w:adjustRightInd w:val="0"/>
              <w:rPr>
                <w:color w:val="000000"/>
                <w:sz w:val="20"/>
              </w:rPr>
            </w:pPr>
            <w:r>
              <w:rPr>
                <w:color w:val="000000"/>
                <w:sz w:val="20"/>
              </w:rPr>
              <w:t>Milan Brglez, Rainer Wieland</w:t>
            </w:r>
          </w:p>
        </w:tc>
      </w:tr>
    </w:tbl>
    <w:p w:rsidR="009F4949" w:rsidRPr="009F4949" w:rsidRDefault="009F4949" w:rsidP="009F4949">
      <w:bookmarkStart w:id="3" w:name="FootprintPageAD"/>
      <w:bookmarkEnd w:id="2"/>
    </w:p>
    <w:bookmarkEnd w:id="3"/>
    <w:p w:rsidR="009F4949" w:rsidRDefault="009F4949" w:rsidP="00CF03A5">
      <w:pPr>
        <w:sectPr w:rsidR="009F4949" w:rsidSect="009F49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F03A5" w:rsidRPr="0099178F" w:rsidRDefault="00181649" w:rsidP="00C36610">
      <w:pPr>
        <w:pStyle w:val="PageHeadingNotTOC"/>
      </w:pPr>
      <w:bookmarkStart w:id="4" w:name="RollCallPageAD"/>
      <w:r>
        <w:t>HOOFDELIJKE EINDSTEMMING IN DE ADVISERENDE COMMISSIE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2F95" w:rsidTr="00CF03A5">
        <w:trPr>
          <w:cantSplit/>
        </w:trPr>
        <w:tc>
          <w:tcPr>
            <w:tcW w:w="1701" w:type="dxa"/>
            <w:shd w:val="pct10" w:color="000000" w:fill="FFFFFF"/>
            <w:vAlign w:val="center"/>
          </w:tcPr>
          <w:p w:rsidR="00CF03A5" w:rsidRPr="00F079B8" w:rsidRDefault="00181649" w:rsidP="003858C5">
            <w:pPr>
              <w:pStyle w:val="RollCallVotes"/>
            </w:pPr>
            <w:r>
              <w:t>23</w:t>
            </w:r>
          </w:p>
        </w:tc>
        <w:tc>
          <w:tcPr>
            <w:tcW w:w="7371" w:type="dxa"/>
            <w:shd w:val="pct10" w:color="000000" w:fill="FFFFFF"/>
          </w:tcPr>
          <w:p w:rsidR="00CF03A5" w:rsidRPr="00AB7DBA" w:rsidRDefault="00181649" w:rsidP="003858C5">
            <w:pPr>
              <w:pStyle w:val="RollCallSymbols14pt"/>
            </w:pPr>
            <w:r>
              <w:t>+</w:t>
            </w:r>
          </w:p>
        </w:tc>
      </w:tr>
      <w:tr w:rsidR="00D32F95" w:rsidTr="00CF03A5">
        <w:trPr>
          <w:cantSplit/>
        </w:trPr>
        <w:tc>
          <w:tcPr>
            <w:tcW w:w="1701" w:type="dxa"/>
            <w:shd w:val="clear" w:color="auto" w:fill="FFFFFF"/>
          </w:tcPr>
          <w:p w:rsidR="00CF03A5" w:rsidRPr="00C87806" w:rsidRDefault="00181649" w:rsidP="00CF03A5">
            <w:pPr>
              <w:pStyle w:val="RollCallTable"/>
            </w:pPr>
            <w:r>
              <w:t>PPE</w:t>
            </w:r>
          </w:p>
        </w:tc>
        <w:tc>
          <w:tcPr>
            <w:tcW w:w="7371" w:type="dxa"/>
            <w:shd w:val="clear" w:color="auto" w:fill="FFFFFF"/>
          </w:tcPr>
          <w:p w:rsidR="00CF03A5" w:rsidRPr="00C87806" w:rsidRDefault="00181649" w:rsidP="00CF03A5">
            <w:pPr>
              <w:pStyle w:val="RollCallTable"/>
            </w:pPr>
            <w:r>
              <w:t>Maria da Graça Carvalho, Frances Fitzgerald, Arba Kokalari, Elżbieta Katarzyna Łukacijewska, Eleni Stavrou, Rainer Wieland</w:t>
            </w:r>
          </w:p>
        </w:tc>
      </w:tr>
      <w:tr w:rsidR="00D32F95" w:rsidTr="00CF03A5">
        <w:trPr>
          <w:cantSplit/>
        </w:trPr>
        <w:tc>
          <w:tcPr>
            <w:tcW w:w="1701" w:type="dxa"/>
            <w:shd w:val="clear" w:color="auto" w:fill="FFFFFF"/>
          </w:tcPr>
          <w:p w:rsidR="00CF03A5" w:rsidRPr="00C87806" w:rsidRDefault="00181649" w:rsidP="00CF03A5">
            <w:pPr>
              <w:pStyle w:val="RollCallTable"/>
            </w:pPr>
            <w:r>
              <w:t>Renew</w:t>
            </w:r>
          </w:p>
        </w:tc>
        <w:tc>
          <w:tcPr>
            <w:tcW w:w="7371" w:type="dxa"/>
            <w:shd w:val="clear" w:color="auto" w:fill="FFFFFF"/>
          </w:tcPr>
          <w:p w:rsidR="00CF03A5" w:rsidRPr="00C87806" w:rsidRDefault="00181649" w:rsidP="00CF03A5">
            <w:pPr>
              <w:pStyle w:val="RollCallTable"/>
            </w:pPr>
            <w:r>
              <w:t xml:space="preserve">Sylvie Brunet, Samira Rafaela, </w:t>
            </w:r>
            <w:r>
              <w:t>María Soraya Rodríguez Ramos, Marco Zullo</w:t>
            </w:r>
          </w:p>
        </w:tc>
      </w:tr>
      <w:tr w:rsidR="00D32F95" w:rsidTr="00CF03A5">
        <w:trPr>
          <w:cantSplit/>
        </w:trPr>
        <w:tc>
          <w:tcPr>
            <w:tcW w:w="1701" w:type="dxa"/>
            <w:shd w:val="clear" w:color="auto" w:fill="FFFFFF"/>
          </w:tcPr>
          <w:p w:rsidR="00CF03A5" w:rsidRPr="00C87806" w:rsidRDefault="00181649" w:rsidP="00CF03A5">
            <w:pPr>
              <w:pStyle w:val="RollCallTable"/>
            </w:pPr>
            <w:r>
              <w:t>S&amp;D</w:t>
            </w:r>
          </w:p>
        </w:tc>
        <w:tc>
          <w:tcPr>
            <w:tcW w:w="7371" w:type="dxa"/>
            <w:shd w:val="clear" w:color="auto" w:fill="FFFFFF"/>
          </w:tcPr>
          <w:p w:rsidR="00CF03A5" w:rsidRPr="00C87806" w:rsidRDefault="00181649" w:rsidP="00CF03A5">
            <w:pPr>
              <w:pStyle w:val="RollCallTable"/>
            </w:pPr>
            <w:r>
              <w:t>Laura Ballarín Cereza, Robert Biedroń, Vilija Blinkevičiūtė, Milan Brglez, Marina Kaljurand, Carina Ohlsson, Evelyn Regner</w:t>
            </w:r>
          </w:p>
        </w:tc>
      </w:tr>
      <w:tr w:rsidR="00D32F95" w:rsidTr="00CF03A5">
        <w:trPr>
          <w:cantSplit/>
        </w:trPr>
        <w:tc>
          <w:tcPr>
            <w:tcW w:w="1701" w:type="dxa"/>
            <w:shd w:val="clear" w:color="auto" w:fill="FFFFFF"/>
          </w:tcPr>
          <w:p w:rsidR="00CF03A5" w:rsidRPr="00C87806" w:rsidRDefault="00181649" w:rsidP="00CF03A5">
            <w:pPr>
              <w:pStyle w:val="RollCallTable"/>
            </w:pPr>
            <w:r>
              <w:t>The Left</w:t>
            </w:r>
          </w:p>
        </w:tc>
        <w:tc>
          <w:tcPr>
            <w:tcW w:w="7371" w:type="dxa"/>
            <w:shd w:val="clear" w:color="auto" w:fill="FFFFFF"/>
          </w:tcPr>
          <w:p w:rsidR="00CF03A5" w:rsidRPr="00C87806" w:rsidRDefault="00181649" w:rsidP="00CF03A5">
            <w:pPr>
              <w:pStyle w:val="RollCallTable"/>
            </w:pPr>
            <w:r>
              <w:t>Sandra Pereira, Eugenia Rodríguez Palop</w:t>
            </w:r>
          </w:p>
        </w:tc>
      </w:tr>
      <w:tr w:rsidR="00D32F95" w:rsidTr="00CF03A5">
        <w:trPr>
          <w:cantSplit/>
        </w:trPr>
        <w:tc>
          <w:tcPr>
            <w:tcW w:w="1701" w:type="dxa"/>
            <w:shd w:val="clear" w:color="auto" w:fill="FFFFFF"/>
          </w:tcPr>
          <w:p w:rsidR="00CF03A5" w:rsidRPr="00C87806" w:rsidRDefault="00181649" w:rsidP="00CF03A5">
            <w:pPr>
              <w:pStyle w:val="RollCallTable"/>
            </w:pPr>
            <w:r>
              <w:t>Verts/ALE</w:t>
            </w:r>
          </w:p>
        </w:tc>
        <w:tc>
          <w:tcPr>
            <w:tcW w:w="7371" w:type="dxa"/>
            <w:shd w:val="clear" w:color="auto" w:fill="FFFFFF"/>
          </w:tcPr>
          <w:p w:rsidR="00CF03A5" w:rsidRPr="00C87806" w:rsidRDefault="00181649" w:rsidP="00CF03A5">
            <w:pPr>
              <w:pStyle w:val="RollCallTable"/>
            </w:pPr>
            <w:r>
              <w:t>Gwendoline Delbos-Corfiel</w:t>
            </w:r>
            <w:r>
              <w:t>d, Alice Kuhnke, Diana Riba i Giner, Sylwia Spurek</w:t>
            </w:r>
          </w:p>
        </w:tc>
      </w:tr>
    </w:tbl>
    <w:p w:rsidR="00CF03A5" w:rsidRDefault="00CF03A5"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2F95" w:rsidTr="00CF03A5">
        <w:trPr>
          <w:cantSplit/>
        </w:trPr>
        <w:tc>
          <w:tcPr>
            <w:tcW w:w="1701" w:type="dxa"/>
            <w:shd w:val="pct10" w:color="000000" w:fill="FFFFFF"/>
            <w:vAlign w:val="center"/>
          </w:tcPr>
          <w:p w:rsidR="00CF03A5" w:rsidRPr="00BF54D6" w:rsidRDefault="00181649" w:rsidP="003858C5">
            <w:pPr>
              <w:pStyle w:val="RollCallVotes"/>
            </w:pPr>
            <w:r>
              <w:t>4</w:t>
            </w:r>
          </w:p>
        </w:tc>
        <w:tc>
          <w:tcPr>
            <w:tcW w:w="7371" w:type="dxa"/>
            <w:shd w:val="pct10" w:color="000000" w:fill="FFFFFF"/>
          </w:tcPr>
          <w:p w:rsidR="00CF03A5" w:rsidRPr="00AB7DBA" w:rsidRDefault="00181649" w:rsidP="003858C5">
            <w:pPr>
              <w:pStyle w:val="RollCallSymbols14pt"/>
            </w:pPr>
            <w:r>
              <w:t>-</w:t>
            </w:r>
          </w:p>
        </w:tc>
      </w:tr>
      <w:tr w:rsidR="00D32F95" w:rsidTr="00CF03A5">
        <w:trPr>
          <w:cantSplit/>
        </w:trPr>
        <w:tc>
          <w:tcPr>
            <w:tcW w:w="1701" w:type="dxa"/>
            <w:shd w:val="clear" w:color="auto" w:fill="FFFFFF"/>
          </w:tcPr>
          <w:p w:rsidR="00CF03A5" w:rsidRPr="00C87806" w:rsidRDefault="00181649" w:rsidP="00CF03A5">
            <w:pPr>
              <w:pStyle w:val="RollCallTable"/>
            </w:pPr>
            <w:r>
              <w:t>ECR</w:t>
            </w:r>
          </w:p>
        </w:tc>
        <w:tc>
          <w:tcPr>
            <w:tcW w:w="7371" w:type="dxa"/>
            <w:shd w:val="clear" w:color="auto" w:fill="FFFFFF"/>
          </w:tcPr>
          <w:p w:rsidR="00CF03A5" w:rsidRPr="00C87806" w:rsidRDefault="00181649" w:rsidP="00CF03A5">
            <w:pPr>
              <w:pStyle w:val="RollCallTable"/>
            </w:pPr>
            <w:r>
              <w:t>Johan Nissinen, Margarita de la Pisa Carrión</w:t>
            </w:r>
          </w:p>
        </w:tc>
      </w:tr>
      <w:tr w:rsidR="00D32F95" w:rsidTr="00CF03A5">
        <w:trPr>
          <w:cantSplit/>
        </w:trPr>
        <w:tc>
          <w:tcPr>
            <w:tcW w:w="1701" w:type="dxa"/>
            <w:shd w:val="clear" w:color="auto" w:fill="FFFFFF"/>
          </w:tcPr>
          <w:p w:rsidR="00CF03A5" w:rsidRPr="00C87806" w:rsidRDefault="00181649" w:rsidP="00CF03A5">
            <w:pPr>
              <w:pStyle w:val="RollCallTable"/>
            </w:pPr>
            <w:r>
              <w:t>ID</w:t>
            </w:r>
          </w:p>
        </w:tc>
        <w:tc>
          <w:tcPr>
            <w:tcW w:w="7371" w:type="dxa"/>
            <w:shd w:val="clear" w:color="auto" w:fill="FFFFFF"/>
          </w:tcPr>
          <w:p w:rsidR="00CF03A5" w:rsidRPr="00C87806" w:rsidRDefault="00181649" w:rsidP="00CF03A5">
            <w:pPr>
              <w:pStyle w:val="RollCallTable"/>
            </w:pPr>
            <w:r>
              <w:t>Christine Anderson, Maria Veronica Rossi</w:t>
            </w:r>
          </w:p>
        </w:tc>
      </w:tr>
    </w:tbl>
    <w:p w:rsidR="00CF03A5" w:rsidRDefault="00CF03A5"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2F95" w:rsidTr="00CF03A5">
        <w:trPr>
          <w:cantSplit/>
        </w:trPr>
        <w:tc>
          <w:tcPr>
            <w:tcW w:w="1701" w:type="dxa"/>
            <w:shd w:val="pct10" w:color="000000" w:fill="FFFFFF"/>
            <w:vAlign w:val="center"/>
          </w:tcPr>
          <w:p w:rsidR="00CF03A5" w:rsidRPr="00BF54D6" w:rsidRDefault="00181649" w:rsidP="00CF03A5">
            <w:pPr>
              <w:pStyle w:val="RollCallVotes"/>
            </w:pPr>
            <w:r>
              <w:t>2</w:t>
            </w:r>
          </w:p>
        </w:tc>
        <w:tc>
          <w:tcPr>
            <w:tcW w:w="7371" w:type="dxa"/>
            <w:shd w:val="pct10" w:color="000000" w:fill="FFFFFF"/>
          </w:tcPr>
          <w:p w:rsidR="00CF03A5" w:rsidRPr="00AB7DBA" w:rsidRDefault="00181649" w:rsidP="003858C5">
            <w:pPr>
              <w:pStyle w:val="RollCallSymbols14pt"/>
            </w:pPr>
            <w:r>
              <w:t>0</w:t>
            </w:r>
          </w:p>
        </w:tc>
      </w:tr>
      <w:tr w:rsidR="00D32F95" w:rsidTr="00CF03A5">
        <w:trPr>
          <w:cantSplit/>
        </w:trPr>
        <w:tc>
          <w:tcPr>
            <w:tcW w:w="1701" w:type="dxa"/>
            <w:shd w:val="clear" w:color="auto" w:fill="FFFFFF"/>
          </w:tcPr>
          <w:p w:rsidR="00CF03A5" w:rsidRPr="00C87806" w:rsidRDefault="00181649" w:rsidP="00CF03A5">
            <w:pPr>
              <w:pStyle w:val="RollCallTable"/>
            </w:pPr>
            <w:r>
              <w:t>ECR</w:t>
            </w:r>
          </w:p>
        </w:tc>
        <w:tc>
          <w:tcPr>
            <w:tcW w:w="7371" w:type="dxa"/>
            <w:shd w:val="clear" w:color="auto" w:fill="FFFFFF"/>
          </w:tcPr>
          <w:p w:rsidR="00CF03A5" w:rsidRPr="00C87806" w:rsidRDefault="00181649" w:rsidP="00CF03A5">
            <w:pPr>
              <w:pStyle w:val="RollCallTable"/>
            </w:pPr>
            <w:r>
              <w:t>Andżelika Anna Możdżanowska</w:t>
            </w:r>
          </w:p>
        </w:tc>
      </w:tr>
      <w:tr w:rsidR="00D32F95" w:rsidTr="00CF03A5">
        <w:trPr>
          <w:cantSplit/>
        </w:trPr>
        <w:tc>
          <w:tcPr>
            <w:tcW w:w="1701" w:type="dxa"/>
            <w:shd w:val="clear" w:color="auto" w:fill="FFFFFF"/>
          </w:tcPr>
          <w:p w:rsidR="00CF03A5" w:rsidRPr="00C87806" w:rsidRDefault="00181649" w:rsidP="00CF03A5">
            <w:pPr>
              <w:pStyle w:val="RollCallTable"/>
            </w:pPr>
            <w:r>
              <w:t>NI</w:t>
            </w:r>
          </w:p>
        </w:tc>
        <w:tc>
          <w:tcPr>
            <w:tcW w:w="7371" w:type="dxa"/>
            <w:shd w:val="clear" w:color="auto" w:fill="FFFFFF"/>
          </w:tcPr>
          <w:p w:rsidR="00CF03A5" w:rsidRPr="00C87806" w:rsidRDefault="00181649" w:rsidP="00CF03A5">
            <w:pPr>
              <w:pStyle w:val="RollCallTable"/>
            </w:pPr>
            <w:r>
              <w:t>Lívia Járóka</w:t>
            </w:r>
          </w:p>
        </w:tc>
      </w:tr>
    </w:tbl>
    <w:p w:rsidR="00CF03A5" w:rsidRDefault="00CF03A5" w:rsidP="00147FBF">
      <w:pPr>
        <w:pStyle w:val="Normal12a"/>
      </w:pPr>
    </w:p>
    <w:p w:rsidR="00CF03A5" w:rsidRDefault="00181649" w:rsidP="00B735E3">
      <w:r>
        <w:t>Verklaring van de gebruikte tekens:</w:t>
      </w:r>
    </w:p>
    <w:p w:rsidR="00CF03A5" w:rsidRDefault="00181649" w:rsidP="003858C5">
      <w:pPr>
        <w:pStyle w:val="RollCallTabs"/>
      </w:pPr>
      <w:r>
        <w:t>+</w:t>
      </w:r>
      <w:r>
        <w:tab/>
        <w:t>:</w:t>
      </w:r>
      <w:r>
        <w:tab/>
        <w:t>voor</w:t>
      </w:r>
    </w:p>
    <w:p w:rsidR="00CF03A5" w:rsidRDefault="00181649" w:rsidP="003858C5">
      <w:pPr>
        <w:pStyle w:val="RollCallTabs"/>
      </w:pPr>
      <w:r>
        <w:t>-</w:t>
      </w:r>
      <w:r>
        <w:tab/>
        <w:t>:</w:t>
      </w:r>
      <w:r>
        <w:tab/>
        <w:t>tegen</w:t>
      </w:r>
    </w:p>
    <w:p w:rsidR="002E6F98" w:rsidRPr="00CF03A5" w:rsidRDefault="00181649" w:rsidP="00CF03A5">
      <w:pPr>
        <w:pStyle w:val="RollCallTabs"/>
      </w:pPr>
      <w:r>
        <w:t>0</w:t>
      </w:r>
      <w:r>
        <w:tab/>
        <w:t>:</w:t>
      </w:r>
      <w:r>
        <w:tab/>
        <w:t>onthouding</w:t>
      </w:r>
      <w:bookmarkEnd w:id="4"/>
    </w:p>
    <w:sectPr w:rsidR="002E6F98" w:rsidRPr="00CF03A5" w:rsidSect="009F494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81649">
      <w:r>
        <w:separator/>
      </w:r>
    </w:p>
  </w:endnote>
  <w:endnote w:type="continuationSeparator" w:id="0">
    <w:p w:rsidR="00000000" w:rsidRDefault="00181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311" w:rsidRDefault="00181649" w:rsidP="00FB6311">
    <w:pPr>
      <w:pStyle w:val="EPFooter"/>
    </w:pPr>
    <w:r>
      <w:t>PE</w:t>
    </w:r>
    <w:r w:rsidRPr="00FB6311">
      <w:rPr>
        <w:rStyle w:val="HideTWBExt"/>
      </w:rPr>
      <w:t>&lt;NoPE&gt;</w:t>
    </w:r>
    <w:r>
      <w:t>754.839</w:t>
    </w:r>
    <w:r w:rsidRPr="00FB6311">
      <w:rPr>
        <w:rStyle w:val="HideTWBExt"/>
      </w:rPr>
      <w:t>&lt;/NoPE&gt;&lt;Version&gt;</w:t>
    </w:r>
    <w:r>
      <w:t>v02-00</w:t>
    </w:r>
    <w:r w:rsidRPr="00FB6311">
      <w:rPr>
        <w:rStyle w:val="HideTWBExt"/>
      </w:rPr>
      <w:t>&lt;/Version&gt;</w:t>
    </w:r>
    <w:r>
      <w:tab/>
    </w:r>
    <w:r>
      <w:fldChar w:fldCharType="begin"/>
    </w:r>
    <w:r>
      <w:instrText xml:space="preserve"> PAGE  \* MERGEFORMAT </w:instrText>
    </w:r>
    <w:r>
      <w:fldChar w:fldCharType="separate"/>
    </w:r>
    <w:r>
      <w:rPr>
        <w:noProof/>
      </w:rPr>
      <w:t>8</w:t>
    </w:r>
    <w:r>
      <w:fldChar w:fldCharType="end"/>
    </w:r>
    <w:r>
      <w:t>/</w:t>
    </w:r>
    <w:fldSimple w:instr=" NUMPAGES  \* MERGEFORMAT ">
      <w:r>
        <w:rPr>
          <w:noProof/>
        </w:rPr>
        <w:t>8</w:t>
      </w:r>
    </w:fldSimple>
    <w:r>
      <w:tab/>
    </w:r>
    <w:r w:rsidRPr="00FB6311">
      <w:rPr>
        <w:rStyle w:val="HideTWBExt"/>
      </w:rPr>
      <w:t>&lt;PathFdR&gt;</w:t>
    </w:r>
    <w:r>
      <w:t>AD\1294966NL.docx</w:t>
    </w:r>
    <w:r w:rsidRPr="00FB6311">
      <w:rPr>
        <w:rStyle w:val="HideTWBExt"/>
      </w:rPr>
      <w:t>&lt;/PathFdR&gt;</w:t>
    </w:r>
  </w:p>
  <w:p w:rsidR="002E2F2E" w:rsidRPr="00A80508" w:rsidRDefault="00181649" w:rsidP="00FB6311">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311" w:rsidRDefault="00181649" w:rsidP="00FB6311">
    <w:pPr>
      <w:pStyle w:val="EPFooter"/>
    </w:pPr>
    <w:r w:rsidRPr="00FB6311">
      <w:rPr>
        <w:rStyle w:val="HideTWBExt"/>
      </w:rPr>
      <w:t>&lt;PathFdR&gt;</w:t>
    </w:r>
    <w:r>
      <w:t>AD\1294966NL.docx</w:t>
    </w:r>
    <w:r w:rsidRPr="00FB6311">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8</w:t>
      </w:r>
    </w:fldSimple>
    <w:r>
      <w:tab/>
      <w:t>PE</w:t>
    </w:r>
    <w:r w:rsidRPr="00FB6311">
      <w:rPr>
        <w:rStyle w:val="HideTWBExt"/>
      </w:rPr>
      <w:t>&lt;NoPE&gt;</w:t>
    </w:r>
    <w:r>
      <w:t>754.839</w:t>
    </w:r>
    <w:r w:rsidRPr="00FB6311">
      <w:rPr>
        <w:rStyle w:val="HideTWBExt"/>
      </w:rPr>
      <w:t>&lt;/NoPE&gt;&lt;Version&gt;</w:t>
    </w:r>
    <w:r>
      <w:t>v02-00</w:t>
    </w:r>
    <w:r w:rsidRPr="00FB6311">
      <w:rPr>
        <w:rStyle w:val="HideTWBExt"/>
      </w:rPr>
      <w:t>&lt;/Version&gt;</w:t>
    </w:r>
  </w:p>
  <w:p w:rsidR="002E2F2E" w:rsidRPr="00A80508" w:rsidRDefault="00181649" w:rsidP="00FB6311">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311" w:rsidRDefault="00181649" w:rsidP="00FB6311">
    <w:pPr>
      <w:pStyle w:val="EPFooter"/>
    </w:pPr>
    <w:r w:rsidRPr="00FB6311">
      <w:rPr>
        <w:rStyle w:val="HideTWBExt"/>
      </w:rPr>
      <w:t>&lt;PathFdR&gt;</w:t>
    </w:r>
    <w:r>
      <w:t>AD\1294966NL.docx</w:t>
    </w:r>
    <w:r w:rsidRPr="00FB6311">
      <w:rPr>
        <w:rStyle w:val="HideTWBExt"/>
      </w:rPr>
      <w:t>&lt;/PathFdR&gt;</w:t>
    </w:r>
    <w:r>
      <w:tab/>
    </w:r>
    <w:r>
      <w:tab/>
      <w:t>PE</w:t>
    </w:r>
    <w:r w:rsidRPr="00FB6311">
      <w:rPr>
        <w:rStyle w:val="HideTWBExt"/>
      </w:rPr>
      <w:t>&lt;NoPE&gt;</w:t>
    </w:r>
    <w:r>
      <w:t>754.839</w:t>
    </w:r>
    <w:r w:rsidRPr="00FB6311">
      <w:rPr>
        <w:rStyle w:val="HideTWBExt"/>
      </w:rPr>
      <w:t>&lt;/NoPE&gt;&lt;Version&gt;</w:t>
    </w:r>
    <w:r>
      <w:t>v02-00</w:t>
    </w:r>
    <w:r w:rsidRPr="00FB6311">
      <w:rPr>
        <w:rStyle w:val="HideTWBExt"/>
      </w:rPr>
      <w:t>&lt;/Version&gt;</w:t>
    </w:r>
  </w:p>
  <w:p w:rsidR="002E2F2E" w:rsidRPr="00A80508" w:rsidRDefault="00181649" w:rsidP="00FB6311">
    <w:pPr>
      <w:pStyle w:val="EPFooter2"/>
    </w:pPr>
    <w:r>
      <w:t>NL</w:t>
    </w:r>
    <w:r>
      <w:tab/>
    </w:r>
    <w:r w:rsidRPr="00FB6311">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277" w:rsidRPr="00A80508" w:rsidRDefault="00181649">
      <w:r w:rsidRPr="00A80508">
        <w:separator/>
      </w:r>
    </w:p>
  </w:footnote>
  <w:footnote w:type="continuationSeparator" w:id="0">
    <w:p w:rsidR="00875277" w:rsidRPr="00A80508" w:rsidRDefault="00181649">
      <w:r w:rsidRPr="00A80508">
        <w:continuationSeparator/>
      </w:r>
    </w:p>
  </w:footnote>
  <w:footnote w:id="1">
    <w:p w:rsidR="00CF03A5" w:rsidRPr="001B265E" w:rsidRDefault="00181649" w:rsidP="00CF03A5">
      <w:pPr>
        <w:pStyle w:val="FootnoteText"/>
      </w:pPr>
      <w:r>
        <w:rPr>
          <w:rStyle w:val="FootnoteReference"/>
        </w:rPr>
        <w:footnoteRef/>
      </w:r>
      <w:r>
        <w:t xml:space="preserve"> https://eige.europa.eu/gender-equality-index/2023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949" w:rsidRDefault="009F49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949" w:rsidRDefault="009F49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949" w:rsidRDefault="009F49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FEMM"/>
    <w:docVar w:name="CONTRIBUTIONMNU" w:val=" 2"/>
    <w:docVar w:name="FONCTIONMNU" w:val=" 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433339 HideTWBInt;}{_x000d__x000a_\s18\ql \fi-567\li567\ri0\sa240\nowidctlpar\wrapdefault\aspalpha\aspnum\faauto\adjustright\rin0\lin567\itap0 \rtlch\fcs1 \af0\afs20\alang1025 \ltrch\fcs0 \fs24\lang2057\langfe2057\cgrid\langnp2057\langfenp2057 _x000d__x000a_\sbasedon0 \snext18 \spriority0 \styrsid7433339 NormalHanging12a;}}{\*\rsidtbl \rsid24658\rsid223860\rsid735077\rsid1185516\rsid1718133\rsid2892074\rsid3565327\rsid4666813\rsid6641733\rsid7433339\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SCHULZ Viktoria}{\operator SCHULZ Viktoria}{\creatim\yr2024\mo2\dy2\hr10\min30}{\revtim\yr2024\mo2\dy2\hr10\min30}{\version1}{\edmins0}{\nofpages1}{\nofwords1}{\nofchars12}{\nofcharsws12}{\vern109}}{\*\xmlnstbl {\xmlns1 http://schemas.microsoft.c_x000d__x000a_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33339\newtblstyruls\nogrowautofit\usenormstyforlist\noindnmbrts\felnbrelev\nocxsptable\indrlsweleven\noafcnsttbl\afelev\utinl\hwelev\spltpgpar\notcvasp\notbrkcnstfrctbl\notvatxbx\krnprsnet\cachedcolbal _x000d__x000a_\nouicompat \fet0{\*\wgrffmtfilter 013f}\nofeaturethrottle1\ilfomacatclnup0{\*\template C:\\Users\\vschulz\\AppData\\Local\\Temp\\Blank1.dotx}{\*\ftnsep \ltrpar \pard\plain \ltrpar_x000d__x000a_\ql \li0\ri0\widctlpar\wrapdefault\aspalpha\aspnum\faauto\adjustright\rin0\lin0\itap0 \rtlch\fcs1 \af0\afs20\alang1025 \ltrch\fcs0 \fs24\lang2057\langfe2057\cgrid\langnp2057\langfenp2057 {\rtlch\fcs1 \af0 \ltrch\fcs0 \insrsid1185516 \chftnsep _x000d__x000a_\par }}{\*\ftnsepc \ltrpar \pard\plain \ltrpar\ql \li0\ri0\widctlpar\wrapdefault\aspalpha\aspnum\faauto\adjustright\rin0\lin0\itap0 \rtlch\fcs1 \af0\afs20\alang1025 \ltrch\fcs0 \fs24\lang2057\langfe2057\cgrid\langnp2057\langfenp2057 {\rtlch\fcs1 \af0 _x000d__x000a_\ltrch\fcs0 \insrsid1185516 \chftnsepc _x000d__x000a_\par }}{\*\aftnsep \ltrpar \pard\plain \ltrpar\ql \li0\ri0\widctlpar\wrapdefault\aspalpha\aspnum\faauto\adjustright\rin0\lin0\itap0 \rtlch\fcs1 \af0\afs20\alang1025 \ltrch\fcs0 \fs24\lang2057\langfe2057\cgrid\langnp2057\langfenp2057 {\rtlch\fcs1 \af0 _x000d__x000a_\ltrch\fcs0 \insrsid1185516 \chftnsep _x000d__x000a_\par }}{\*\aftnsepc \ltrpar \pard\plain \ltrpar\ql \li0\ri0\widctlpar\wrapdefault\aspalpha\aspnum\faauto\adjustright\rin0\lin0\itap0 \rtlch\fcs1 \af0\afs20\alang1025 \ltrch\fcs0 \fs24\lang2057\langfe2057\cgrid\langnp2057\langfenp2057 {\rtlch\fcs1 \af0 _x000d__x000a_\ltrch\fcs0 \insrsid11855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7433339 \rtlch\fcs1 \af0\afs20\alang1025 \ltrch\fcs0 \fs24\lang2057\langfe2057\cgrid\langnp2057\langfenp2057 {\rtlch\fcs1 \af0 _x000d__x000a_\ltrch\fcs0 \insrsid7433339\charrsid2177812 {\*\bkmkstart restart}#}{\rtlch\fcs1 \af1 \ltrch\fcs0 \cs17\v\f1\fs20\cf15\insrsid7433339\charrsid2177812 NRMSG}{\rtlch\fcs1 \af0 \ltrch\fcs0 \insrsid7433339\charrsid2177812 #.\tab ##}{\rtlch\fcs1 \af0 _x000d__x000a_\ltrch\fcs0 \insrsid743333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07_x000d__x000a_f16aba5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6197058 NormalHanging12a;}}{\*\rsidtbl \rsid24658\rsid223860\rsid735077\rsid1718133\rsid2892074\rsid3565327\rsid4666813\rsid5113903\rsid6641733\rsid7823322_x000d__x000a_\rsid9636012\rsid10377208\rsid11215221\rsid11549030\rsid12154954\rsid14382809\rsid14424199\rsid15204470\rsid15285974\rsid15950462\rsid16197058\rsid16324206\rsid16662270}{\mmathPr\mmathFont34\mbrkBin0\mbrkBinSub0\msmallFrac0\mdispDef1\mlMargin0\mrMargin0_x000d__x000a_\mdefJc1\mwrapIndent1440\mintLim0\mnaryLim1}{\info{\author SCHULZ Viktoria}{\operator SCHULZ Viktoria}{\creatim\yr2024\mo2\dy2\hr10\min30}{\revtim\yr2024\mo2\dy2\hr10\min30}{\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97058\newtblstyruls\nogrowautofit\usenormstyforlist\noindnmbrts\felnbrelev\nocxsptable\indrlsweleven\noafcnsttbl\afelev\utinl\hwelev\spltpgpar\notcvasp\notbrkcnstfrctbl\notvatxbx\krnprsnet\cachedcolbal _x000d__x000a_\nouicompat \fet0{\*\wgrffmtfilter 013f}\nofeaturethrottle1\ilfomacatclnup0{\*\template C:\\Users\\vschulz\\AppData\\Local\\Temp\\Blank1.dotx}{\*\ftnsep \ltrpar \pard\plain \ltrpar_x000d__x000a_\ql \li0\ri0\widctlpar\wrapdefault\aspalpha\aspnum\faauto\adjustright\rin0\lin0\itap0 \rtlch\fcs1 \af0\afs20\alang1025 \ltrch\fcs0 \fs24\lang2057\langfe2057\cgrid\langnp2057\langfenp2057 {\rtlch\fcs1 \af0 \ltrch\fcs0 \insrsid5113903 \chftnsep _x000d__x000a_\par }}{\*\ftnsepc \ltrpar \pard\plain \ltrpar\ql \li0\ri0\widctlpar\wrapdefault\aspalpha\aspnum\faauto\adjustright\rin0\lin0\itap0 \rtlch\fcs1 \af0\afs20\alang1025 \ltrch\fcs0 \fs24\lang2057\langfe2057\cgrid\langnp2057\langfenp2057 {\rtlch\fcs1 \af0 _x000d__x000a_\ltrch\fcs0 \insrsid5113903 \chftnsepc _x000d__x000a_\par }}{\*\aftnsep \ltrpar \pard\plain \ltrpar\ql \li0\ri0\widctlpar\wrapdefault\aspalpha\aspnum\faauto\adjustright\rin0\lin0\itap0 \rtlch\fcs1 \af0\afs20\alang1025 \ltrch\fcs0 \fs24\lang2057\langfe2057\cgrid\langnp2057\langfenp2057 {\rtlch\fcs1 \af0 _x000d__x000a_\ltrch\fcs0 \insrsid5113903 \chftnsep _x000d__x000a_\par }}{\*\aftnsepc \ltrpar \pard\plain \ltrpar\ql \li0\ri0\widctlpar\wrapdefault\aspalpha\aspnum\faauto\adjustright\rin0\lin0\itap0 \rtlch\fcs1 \af0\afs20\alang1025 \ltrch\fcs0 \fs24\lang2057\langfe2057\cgrid\langnp2057\langfenp2057 {\rtlch\fcs1 \af0 _x000d__x000a_\ltrch\fcs0 \insrsid51139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6197058 \rtlch\fcs1 \af0\afs20\alang1025 \ltrch\fcs0 \fs24\lang2057\langfe2057\cgrid\langnp2057\langfenp2057 {\rtlch\fcs1 \af0 _x000d__x000a_\ltrch\fcs0 \insrsid16197058\charrsid1525456 {\*\bkmkstart restart}[ZSUGGESTIONNR]\tab [ZSUGGESTIONTEXT]}{\rtlch\fcs1 \af0 \ltrch\fcs0 \insrsid1619705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d_x000d__x000a_7d6fba5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NL"/>
    <w:docVar w:name="TXTLANGUEMIN" w:val="nl"/>
    <w:docVar w:name="TXTNRPE" w:val="754.839"/>
    <w:docVar w:name="TXTNRPROC" w:val="2023/2152"/>
    <w:docVar w:name="TXTPEorAP" w:val="PE"/>
    <w:docVar w:name="TXTROUTE" w:val="AD\1294966NL.docx"/>
    <w:docVar w:name="TXTTITLE" w:val="2022 discharge: European Institute for Gender Equality"/>
    <w:docVar w:name="TXTVERSION" w:val="02-00"/>
  </w:docVars>
  <w:rsids>
    <w:rsidRoot w:val="00875277"/>
    <w:rsid w:val="00017482"/>
    <w:rsid w:val="000A4AF3"/>
    <w:rsid w:val="000D28B3"/>
    <w:rsid w:val="000E30B9"/>
    <w:rsid w:val="000E7EBF"/>
    <w:rsid w:val="00124F60"/>
    <w:rsid w:val="00135121"/>
    <w:rsid w:val="00140BE6"/>
    <w:rsid w:val="00147F4E"/>
    <w:rsid w:val="00147FBF"/>
    <w:rsid w:val="0016635E"/>
    <w:rsid w:val="001746D0"/>
    <w:rsid w:val="00180131"/>
    <w:rsid w:val="00181649"/>
    <w:rsid w:val="001B265E"/>
    <w:rsid w:val="001B7393"/>
    <w:rsid w:val="001D2ED9"/>
    <w:rsid w:val="001F21C1"/>
    <w:rsid w:val="0024239A"/>
    <w:rsid w:val="002D28A7"/>
    <w:rsid w:val="002E2F2E"/>
    <w:rsid w:val="002E6F98"/>
    <w:rsid w:val="00325BCB"/>
    <w:rsid w:val="00331944"/>
    <w:rsid w:val="00332AD9"/>
    <w:rsid w:val="00347D2C"/>
    <w:rsid w:val="0037356F"/>
    <w:rsid w:val="003858C5"/>
    <w:rsid w:val="00390EB2"/>
    <w:rsid w:val="00396A0E"/>
    <w:rsid w:val="003E2402"/>
    <w:rsid w:val="004C28FB"/>
    <w:rsid w:val="004C44C0"/>
    <w:rsid w:val="004C4A86"/>
    <w:rsid w:val="004E57F9"/>
    <w:rsid w:val="0052544E"/>
    <w:rsid w:val="00575693"/>
    <w:rsid w:val="005940C3"/>
    <w:rsid w:val="00594C48"/>
    <w:rsid w:val="005B2F11"/>
    <w:rsid w:val="005C0BDF"/>
    <w:rsid w:val="005D60C6"/>
    <w:rsid w:val="005D67F0"/>
    <w:rsid w:val="006102E7"/>
    <w:rsid w:val="00640C1B"/>
    <w:rsid w:val="00652CF2"/>
    <w:rsid w:val="00657AFB"/>
    <w:rsid w:val="006719B9"/>
    <w:rsid w:val="006D5BF7"/>
    <w:rsid w:val="007E0BB6"/>
    <w:rsid w:val="008313E7"/>
    <w:rsid w:val="00854CAC"/>
    <w:rsid w:val="00875277"/>
    <w:rsid w:val="008A32C5"/>
    <w:rsid w:val="008C6203"/>
    <w:rsid w:val="008D61E7"/>
    <w:rsid w:val="008F7002"/>
    <w:rsid w:val="00950C18"/>
    <w:rsid w:val="0099178F"/>
    <w:rsid w:val="0099493F"/>
    <w:rsid w:val="009C5991"/>
    <w:rsid w:val="009F4949"/>
    <w:rsid w:val="00A16BEA"/>
    <w:rsid w:val="00A312B3"/>
    <w:rsid w:val="00A72C35"/>
    <w:rsid w:val="00A80508"/>
    <w:rsid w:val="00AB7DBA"/>
    <w:rsid w:val="00AC646C"/>
    <w:rsid w:val="00AE180F"/>
    <w:rsid w:val="00B362F7"/>
    <w:rsid w:val="00B5456B"/>
    <w:rsid w:val="00B735E3"/>
    <w:rsid w:val="00B74B53"/>
    <w:rsid w:val="00BC26E4"/>
    <w:rsid w:val="00BD1EAA"/>
    <w:rsid w:val="00BF54D6"/>
    <w:rsid w:val="00C36610"/>
    <w:rsid w:val="00C52739"/>
    <w:rsid w:val="00C827FF"/>
    <w:rsid w:val="00C85D0F"/>
    <w:rsid w:val="00C87806"/>
    <w:rsid w:val="00CD34AC"/>
    <w:rsid w:val="00CF03A5"/>
    <w:rsid w:val="00D32F95"/>
    <w:rsid w:val="00D97022"/>
    <w:rsid w:val="00DE19FF"/>
    <w:rsid w:val="00E14216"/>
    <w:rsid w:val="00E81BA6"/>
    <w:rsid w:val="00E856D2"/>
    <w:rsid w:val="00E929A7"/>
    <w:rsid w:val="00EA6D13"/>
    <w:rsid w:val="00EC32D4"/>
    <w:rsid w:val="00F079B8"/>
    <w:rsid w:val="00FB6311"/>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6394A3-936B-4CBD-BC26-143BD8FB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7E0BB6"/>
    <w:pPr>
      <w:tabs>
        <w:tab w:val="center" w:pos="4513"/>
        <w:tab w:val="right" w:pos="9026"/>
      </w:tabs>
    </w:pPr>
  </w:style>
  <w:style w:type="character" w:customStyle="1" w:styleId="FooterChar">
    <w:name w:val="Footer Char"/>
    <w:basedOn w:val="DefaultParagraphFont"/>
    <w:link w:val="Footer"/>
    <w:semiHidden/>
    <w:rsid w:val="007E0BB6"/>
    <w:rPr>
      <w:sz w:val="24"/>
    </w:rPr>
  </w:style>
  <w:style w:type="character" w:customStyle="1" w:styleId="NormalHanging12aChar">
    <w:name w:val="NormalHanging12a Char"/>
    <w:basedOn w:val="DefaultParagraphFont"/>
    <w:link w:val="NormalHanging12a"/>
    <w:rsid w:val="00CF03A5"/>
    <w:rPr>
      <w:sz w:val="24"/>
    </w:rPr>
  </w:style>
  <w:style w:type="paragraph" w:styleId="FootnoteText">
    <w:name w:val="footnote text"/>
    <w:basedOn w:val="Normal"/>
    <w:link w:val="FootnoteTextChar"/>
    <w:rsid w:val="00CF03A5"/>
    <w:rPr>
      <w:sz w:val="20"/>
    </w:rPr>
  </w:style>
  <w:style w:type="character" w:customStyle="1" w:styleId="FootnoteTextChar">
    <w:name w:val="Footnote Text Char"/>
    <w:basedOn w:val="DefaultParagraphFont"/>
    <w:link w:val="FootnoteText"/>
    <w:rsid w:val="00CF03A5"/>
    <w:rPr>
      <w:lang w:val="nl-NL"/>
    </w:rPr>
  </w:style>
  <w:style w:type="character" w:styleId="FootnoteReference">
    <w:name w:val="footnote reference"/>
    <w:basedOn w:val="DefaultParagraphFont"/>
    <w:rsid w:val="00CF03A5"/>
    <w:rPr>
      <w:vertAlign w:val="superscript"/>
    </w:rPr>
  </w:style>
  <w:style w:type="paragraph" w:customStyle="1" w:styleId="RollCallSymbols14pt">
    <w:name w:val="RollCallSymbols14pt"/>
    <w:basedOn w:val="Normal"/>
    <w:rsid w:val="00CF03A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F03A5"/>
    <w:pPr>
      <w:tabs>
        <w:tab w:val="center" w:pos="284"/>
        <w:tab w:val="left" w:pos="426"/>
      </w:tabs>
    </w:pPr>
    <w:rPr>
      <w:snapToGrid w:val="0"/>
      <w:lang w:eastAsia="en-US"/>
    </w:rPr>
  </w:style>
  <w:style w:type="paragraph" w:customStyle="1" w:styleId="RollCallVotes">
    <w:name w:val="RollCallVotes"/>
    <w:basedOn w:val="Normal"/>
    <w:rsid w:val="00CF03A5"/>
    <w:pPr>
      <w:spacing w:before="120" w:after="120"/>
      <w:jc w:val="center"/>
    </w:pPr>
    <w:rPr>
      <w:b/>
      <w:bCs/>
      <w:snapToGrid w:val="0"/>
      <w:sz w:val="16"/>
      <w:lang w:eastAsia="en-US"/>
    </w:rPr>
  </w:style>
  <w:style w:type="paragraph" w:customStyle="1" w:styleId="RollCallTable">
    <w:name w:val="RollCallTable"/>
    <w:basedOn w:val="Normal"/>
    <w:rsid w:val="00CF03A5"/>
    <w:pPr>
      <w:spacing w:before="120" w:after="120"/>
    </w:pPr>
    <w:rPr>
      <w:snapToGrid w:val="0"/>
      <w:sz w:val="16"/>
      <w:lang w:eastAsia="en-US"/>
    </w:rPr>
  </w:style>
  <w:style w:type="paragraph" w:customStyle="1" w:styleId="Normal24a">
    <w:name w:val="Normal24a"/>
    <w:basedOn w:val="Normal"/>
    <w:rsid w:val="00CF03A5"/>
    <w:pPr>
      <w:spacing w:after="480"/>
    </w:pPr>
  </w:style>
  <w:style w:type="paragraph" w:customStyle="1" w:styleId="NormalBoldCenter">
    <w:name w:val="NormalBoldCenter"/>
    <w:basedOn w:val="Normal"/>
    <w:rsid w:val="00CF03A5"/>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2B3F1-DEE9-458B-A3FE-23256183C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1572</Words>
  <Characters>9332</Characters>
  <Application>Microsoft Office Word</Application>
  <DocSecurity>0</DocSecurity>
  <Lines>200</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2024-02-06T16:22:00Z</dcterms:created>
  <dcterms:modified xsi:type="dcterms:W3CDTF">2024-02-06T16:22:00Z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1294966</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Bookout">
    <vt:lpwstr>OK - 2024/02/06 17:22</vt:lpwstr>
  </property>
  <property fmtid="{D5CDD505-2E9C-101B-9397-08002B2CF9AE}" pid="9" name="Created with">
    <vt:lpwstr>9.16.1 Build [20230915]</vt:lpwstr>
  </property>
  <property fmtid="{D5CDD505-2E9C-101B-9397-08002B2CF9AE}" pid="10" name="FooterPath">
    <vt:lpwstr>AD\1294966NL.docx</vt:lpwstr>
  </property>
  <property fmtid="{D5CDD505-2E9C-101B-9397-08002B2CF9AE}" pid="11" name="LastEdited with">
    <vt:lpwstr>9.17.1 Build [20240111]</vt:lpwstr>
  </property>
  <property fmtid="{D5CDD505-2E9C-101B-9397-08002B2CF9AE}" pid="12" name="PE number">
    <vt:lpwstr>754.839</vt:lpwstr>
  </property>
  <property fmtid="{D5CDD505-2E9C-101B-9397-08002B2CF9AE}" pid="13" name="SDLStudio">
    <vt:lpwstr/>
  </property>
  <property fmtid="{D5CDD505-2E9C-101B-9397-08002B2CF9AE}" pid="14" name="SendToEpades">
    <vt:lpwstr>OK - 2023/10/18 10:49</vt:lpwstr>
  </property>
</Properties>
</file>