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FE43E3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54CAC" w:rsidRPr="00B64C35" w:rsidRDefault="00802594" w:rsidP="00C85D0F">
            <w:pPr>
              <w:pStyle w:val="EPName"/>
            </w:pPr>
            <w:r>
              <w:t>Parlament Europejski</w:t>
            </w:r>
          </w:p>
          <w:p w:rsidR="00854CAC" w:rsidRPr="00B64C35" w:rsidRDefault="00802594" w:rsidP="0024239A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854CAC" w:rsidRPr="00B64C35" w:rsidRDefault="00802594" w:rsidP="00C85D0F">
            <w:pPr>
              <w:pStyle w:val="EPLogo"/>
            </w:pPr>
            <w:r w:rsidRPr="00B64C3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46D0" w:rsidRPr="00B64C35" w:rsidRDefault="001746D0" w:rsidP="001746D0">
      <w:pPr>
        <w:pStyle w:val="LineTop"/>
      </w:pPr>
    </w:p>
    <w:p w:rsidR="001746D0" w:rsidRPr="00B64C35" w:rsidRDefault="00802594" w:rsidP="001746D0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{FEMM}</w:t>
      </w:r>
      <w:r>
        <w:t>Komisja Praw Kobiet i Równouprawnienia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1746D0" w:rsidRPr="00B64C35" w:rsidRDefault="001746D0" w:rsidP="001746D0">
      <w:pPr>
        <w:pStyle w:val="LineBottom"/>
      </w:pPr>
    </w:p>
    <w:p w:rsidR="002E2F2E" w:rsidRPr="00B64C35" w:rsidRDefault="00802594">
      <w:pPr>
        <w:pStyle w:val="CoverReference"/>
      </w:pPr>
      <w:r>
        <w:rPr>
          <w:rStyle w:val="HideTWBExt"/>
          <w:b w:val="0"/>
        </w:rPr>
        <w:t>&lt;RefProc&gt;</w:t>
      </w:r>
      <w:r>
        <w:t>2023/2152</w:t>
      </w:r>
      <w:r>
        <w:rPr>
          <w:rStyle w:val="HideTWBExt"/>
          <w:b w:val="0"/>
        </w:rPr>
        <w:t>&lt;/RefProc&gt;&lt;RefTypeProc&gt;</w:t>
      </w:r>
      <w:r>
        <w:t>(DEC)</w:t>
      </w:r>
      <w:r>
        <w:rPr>
          <w:rStyle w:val="HideTWBExt"/>
          <w:b w:val="0"/>
        </w:rPr>
        <w:t>&lt;/RefTypeProc&gt;</w:t>
      </w:r>
    </w:p>
    <w:p w:rsidR="002E2F2E" w:rsidRPr="00B64C35" w:rsidRDefault="00802594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{25/01/2024}</w:t>
      </w:r>
      <w:r>
        <w:t>25.1.2024</w:t>
      </w:r>
      <w:r>
        <w:rPr>
          <w:rStyle w:val="HideTWBExt"/>
        </w:rPr>
        <w:t>&lt;/Date&gt;</w:t>
      </w:r>
    </w:p>
    <w:p w:rsidR="002E2F2E" w:rsidRPr="00B64C35" w:rsidRDefault="00802594">
      <w:pPr>
        <w:pStyle w:val="CoverDocType24a"/>
      </w:pPr>
      <w:r>
        <w:rPr>
          <w:rStyle w:val="HideTWBExt"/>
          <w:b w:val="0"/>
        </w:rPr>
        <w:t>&lt;TitreType&gt;</w:t>
      </w:r>
      <w:r>
        <w:t>OPINIA</w:t>
      </w:r>
      <w:r>
        <w:rPr>
          <w:rStyle w:val="HideTWBExt"/>
          <w:b w:val="0"/>
        </w:rPr>
        <w:t>&lt;/TitreType&gt;</w:t>
      </w:r>
    </w:p>
    <w:p w:rsidR="002E2F2E" w:rsidRPr="00B64C35" w:rsidRDefault="00802594">
      <w:pPr>
        <w:pStyle w:val="CoverNormal24a"/>
      </w:pPr>
      <w:r>
        <w:rPr>
          <w:rStyle w:val="HideTWBExt"/>
        </w:rPr>
        <w:t>&lt;CommissionResp&gt;</w:t>
      </w:r>
      <w:r>
        <w:t>Komisji</w:t>
      </w:r>
      <w:r>
        <w:t xml:space="preserve"> Praw Kobiet i Równouprawnienia</w:t>
      </w:r>
      <w:r>
        <w:rPr>
          <w:rStyle w:val="HideTWBExt"/>
        </w:rPr>
        <w:t>&lt;/CommissionResp&gt;</w:t>
      </w:r>
    </w:p>
    <w:p w:rsidR="002E2F2E" w:rsidRPr="00B64C35" w:rsidRDefault="00802594">
      <w:pPr>
        <w:pStyle w:val="CoverNormal24a"/>
      </w:pPr>
      <w:r>
        <w:rPr>
          <w:rStyle w:val="HideTWBExt"/>
        </w:rPr>
        <w:t>&lt;CommissionInt&gt;</w:t>
      </w:r>
      <w:r>
        <w:t>dla Komisji Kontroli Budżetowej</w:t>
      </w:r>
      <w:r>
        <w:rPr>
          <w:rStyle w:val="HideTWBExt"/>
        </w:rPr>
        <w:t>&lt;/CommissionInt&gt;</w:t>
      </w:r>
    </w:p>
    <w:p w:rsidR="002E2F2E" w:rsidRPr="00B64C35" w:rsidRDefault="00802594">
      <w:pPr>
        <w:pStyle w:val="CoverNormal"/>
      </w:pPr>
      <w:r>
        <w:rPr>
          <w:rStyle w:val="HideTWBExt"/>
        </w:rPr>
        <w:t>&lt;Titre&gt;</w:t>
      </w:r>
      <w:r>
        <w:t>w sprawie absolutorium za rok 2022: Europejski Instytut ds. Równości Kobiet i Mężczyzn</w:t>
      </w:r>
      <w:r>
        <w:rPr>
          <w:rStyle w:val="HideTWBExt"/>
        </w:rPr>
        <w:t>&lt;/Titre&gt;</w:t>
      </w:r>
    </w:p>
    <w:p w:rsidR="002E2F2E" w:rsidRPr="00B64C35" w:rsidRDefault="00802594">
      <w:pPr>
        <w:pStyle w:val="CoverNormal24a"/>
      </w:pPr>
      <w:r>
        <w:rPr>
          <w:rStyle w:val="HideTWBExt"/>
        </w:rPr>
        <w:t>&lt;DocRef&gt;</w:t>
      </w:r>
      <w:r>
        <w:t>(2023/2152(DEC))</w:t>
      </w:r>
      <w:r>
        <w:rPr>
          <w:rStyle w:val="HideTWBExt"/>
        </w:rPr>
        <w:t>&lt;/DocRef&gt;</w:t>
      </w:r>
    </w:p>
    <w:p w:rsidR="002E2F2E" w:rsidRPr="00B64C35" w:rsidRDefault="00802594">
      <w:pPr>
        <w:pStyle w:val="CoverNormal24a"/>
      </w:pPr>
      <w:r>
        <w:t>Sprawozd</w:t>
      </w:r>
      <w:r>
        <w:t xml:space="preserve">awca komisji opiniodawczej: </w:t>
      </w:r>
      <w:r>
        <w:rPr>
          <w:rStyle w:val="HideTWBExt"/>
        </w:rPr>
        <w:t>&lt;Depute&gt;</w:t>
      </w:r>
      <w:r>
        <w:t>Robert Biedroń</w:t>
      </w:r>
      <w:r>
        <w:rPr>
          <w:rStyle w:val="HideTWBExt"/>
        </w:rPr>
        <w:t>&lt;/Depute&gt;</w:t>
      </w:r>
    </w:p>
    <w:p w:rsidR="00A72C35" w:rsidRPr="00B64C35" w:rsidRDefault="00A72C35" w:rsidP="00A72C35">
      <w:pPr>
        <w:pStyle w:val="CoverNormal"/>
      </w:pPr>
    </w:p>
    <w:p w:rsidR="002E2F2E" w:rsidRPr="00B64C35" w:rsidRDefault="00802594" w:rsidP="00E856D2">
      <w:pPr>
        <w:widowControl/>
        <w:tabs>
          <w:tab w:val="center" w:pos="4677"/>
        </w:tabs>
      </w:pPr>
      <w:r>
        <w:br w:type="page"/>
      </w:r>
      <w:r>
        <w:lastRenderedPageBreak/>
        <w:t>PA_NonLeg</w:t>
      </w:r>
    </w:p>
    <w:p w:rsidR="002E2F2E" w:rsidRPr="00B64C35" w:rsidRDefault="00802594">
      <w:pPr>
        <w:pStyle w:val="PageHeadingNotTOC"/>
      </w:pPr>
      <w:r>
        <w:br w:type="page"/>
      </w:r>
      <w:r>
        <w:lastRenderedPageBreak/>
        <w:t>WSKAZÓWKI</w:t>
      </w:r>
    </w:p>
    <w:p w:rsidR="002E2F2E" w:rsidRPr="00B64C35" w:rsidRDefault="00802594" w:rsidP="008313E7">
      <w:pPr>
        <w:pStyle w:val="Normal12a"/>
      </w:pPr>
      <w:r>
        <w:t xml:space="preserve">Komisja Praw Kobiet i Równouprawnienia zwraca się do Komisji Kontroli Budżetowej, jako komisji przedmiotowo właściwej, o uwzględnienie w końcowym tekście projektu rezolucji </w:t>
      </w:r>
      <w:r>
        <w:t>następujących wskazówek:</w:t>
      </w:r>
    </w:p>
    <w:p w:rsidR="003D337D" w:rsidRPr="00B64C35" w:rsidRDefault="00802594" w:rsidP="003D337D">
      <w:pPr>
        <w:pStyle w:val="NormalHanging12a"/>
        <w:rPr>
          <w:szCs w:val="24"/>
        </w:rPr>
      </w:pPr>
      <w:r>
        <w:t>A.</w:t>
      </w:r>
      <w:r>
        <w:tab/>
        <w:t>mając na uwadze, że art. 8 TFUE stanowi, iż we wszystkich swoich działaniach Unia zmierza do zniesienia nierówności, ustanawiając zasadę uwzględniania aspektu płci oraz wspierania równości płci mężczyzn i kobiet; mając na uwadze</w:t>
      </w:r>
      <w:r>
        <w:t>, że równość płci musi zostać włączona do wszystkich strategii politycznych UE, również za pomocą sporządzania budżetu z uwzględnieniem aspektu płci na wszystkich etapach procedury budżetowej;</w:t>
      </w:r>
    </w:p>
    <w:p w:rsidR="003D337D" w:rsidRPr="00B64C35" w:rsidRDefault="00802594" w:rsidP="003D337D">
      <w:pPr>
        <w:pStyle w:val="NormalHanging12a"/>
        <w:rPr>
          <w:szCs w:val="24"/>
        </w:rPr>
      </w:pPr>
      <w:r>
        <w:t>B.</w:t>
      </w:r>
      <w:r>
        <w:tab/>
        <w:t xml:space="preserve">mając na uwadze, że pracownicy EIGE aktywnie angażują się w </w:t>
      </w:r>
      <w:r>
        <w:t>wymianę najlepszych praktyk oraz działania sieci agencji UE (EUAN) i jej podsieci w celu rozwijania synergii w dziedzinach takich jak zasoby ludzkie, zarządzanie budynkami, usługi i bezpieczeństwo informatyczne, współpraca i wymiana dobrych praktyk z innym</w:t>
      </w:r>
      <w:r>
        <w:t>i agencjami Unii w celu poprawy wydajności; mając na uwadze, że EIGE podjął proaktywne kroki w celu zastosowania bieżących środków na rzecz poprawy równowagi płci wśród swoich pracowników;</w:t>
      </w:r>
    </w:p>
    <w:p w:rsidR="003D337D" w:rsidRPr="00B64C35" w:rsidRDefault="00802594" w:rsidP="003D337D">
      <w:pPr>
        <w:pStyle w:val="NormalHanging12a"/>
        <w:rPr>
          <w:szCs w:val="24"/>
        </w:rPr>
      </w:pPr>
      <w:r>
        <w:t>C.</w:t>
      </w:r>
      <w:r>
        <w:tab/>
        <w:t>mając na uwadze, że wskaźnik równouprawnienia płci z 2023 r. pok</w:t>
      </w:r>
      <w:r>
        <w:t>azuje, że państwa członkowskie odnotowały niewielki wzrost o zaledwie 1,6 punktu, osiągając 70,2 punktów, zaś w niektórych dziedzinach obserwuje się oznaki regresu, w szczególności pod względem wskaźników gospodarczych i dotyczących dochodów</w:t>
      </w:r>
      <w:r>
        <w:rPr>
          <w:vertAlign w:val="superscript"/>
        </w:rPr>
        <w:footnoteReference w:id="1"/>
      </w:r>
      <w:r>
        <w:t>; mając na uwa</w:t>
      </w:r>
      <w:r>
        <w:t>dze, że Europejski Instytut ds. Równości Kobiet i Mężczyzn (EIGE) został ustanowiony w celu wniesienia wkładu na rzecz równouprawnienia płci i lepszego propagowania równouprawnienia płci w Unii, w tym poprzez włączanie problematyki płci do głównego nurtu w</w:t>
      </w:r>
      <w:r>
        <w:t xml:space="preserve">e wszystkich obszarach polityki Unii oraz w wynikających z nich krajowych strategiach politycznych, a także zwalczanie dyskryminacji ze względu na płeć i szerzenie wśród obywateli Unii wiedzy na temat problematyki równouprawnienia płci; </w:t>
      </w:r>
    </w:p>
    <w:p w:rsidR="003D337D" w:rsidRPr="00B64C35" w:rsidRDefault="00802594" w:rsidP="003D337D">
      <w:pPr>
        <w:pStyle w:val="NormalHanging12a"/>
        <w:rPr>
          <w:szCs w:val="24"/>
        </w:rPr>
      </w:pPr>
      <w:r>
        <w:t>D.</w:t>
      </w:r>
      <w:r>
        <w:tab/>
        <w:t xml:space="preserve">mając na </w:t>
      </w:r>
      <w:r>
        <w:t>uwadze, że w świetle trwających kryzysów, takich jak wojny, kryzys klimatyczny, inflacja oraz regres w zakresie praw kobiet, zwłaszcza w odniesieniu do praw i zdrowia seksualnego i reprodukcyjnego w Unii i na całym świecie, staje się coraz pilniejsze, by U</w:t>
      </w:r>
      <w:r>
        <w:t>nia poczyniła postępy w realizacji strategii na rzecz równouprawnienia płci; mając na uwadze, że obecne kryzysy niosą ze sobą ryzyko spowolnienia wysiłków na rzecz osiągnięcia równości płci oraz ryzyko utrudnienia kobietom pełnego korzystania z przysługują</w:t>
      </w:r>
      <w:r>
        <w:t>cych im praw; mając na uwadze, że kobiety w UE są bardziej dotknięte ubóstwem lub wykluczeniem społecznym niż mężczyźni; mając na uwadze, że sprawowana przez kobiety rola głównych opiekunek w rodzinie nakłada na kobiety nieproporcjonalne obciążenie wiążące</w:t>
      </w:r>
      <w:r>
        <w:t xml:space="preserve"> się z nieodpłatną opieką i pracą w gospodarstwie domowym, w których to dziedzinach kobiety odgrywają kluczową rolę; mając na uwadze, że różnica w wysokości wynagrodzeń kobiet i mężczyzn w UE wynosi 13 %, chociaż odsetek ten różni się w poszczególnych pańs</w:t>
      </w:r>
      <w:r>
        <w:t xml:space="preserve">twach członkowskich; mając na uwadze, że to zróżnicowanie wynagrodzenia ze </w:t>
      </w:r>
      <w:r>
        <w:lastRenderedPageBreak/>
        <w:t>względu na płeć ma szereg konsekwencji, w tym wynoszącą 29 % różnicę w uprawnieniach emerytalnych, co naraża starsze kobiety na większe ryzyko ubóstwa i wykluczenia społecznego; maj</w:t>
      </w:r>
      <w:r>
        <w:t>ąc na uwadze, że prawo do równego wynagrodzenia za taką samą pracę nie zawsze jest gwarantowane i pozostaje jednym z największych wyzwań, którym należy stawić czoła w walce z dyskryminacją płacową; mając na uwadze, że ważne jest zwalczanie dyskryminacji mi</w:t>
      </w:r>
      <w:r>
        <w:t>ędzy mężczyznami i kobietami w dostępie do zatrudnienia i pracy, a także promowanie równości w karierze i kategoriach zawodowych w kształceniu zawodowym; mając na uwadze, że państwa członkowskie powinny zwiększyć inwestycje publiczne w strategie polityczne</w:t>
      </w:r>
      <w:r>
        <w:t>, których celem pośrednim lub bezpośrednim jest przeciwdziałanie negatywnym skutkom kryzysu kosztów życia dla kobiet w całej ich różnorodności, zagwarantowanie dostępu do wysokiej jakości przystępnych cenowo usług publicznych w obszarze opieki, edukacji, m</w:t>
      </w:r>
      <w:r>
        <w:t>ieszkań oraz zdrowia, w tym zdrowia seksualnego i reprodukcyjnego oraz praw w tym zakresie, a także ochrona ofiar przemocy ze względu na płeć;</w:t>
      </w:r>
    </w:p>
    <w:p w:rsidR="003D337D" w:rsidRPr="00B64C35" w:rsidRDefault="00802594" w:rsidP="003D337D">
      <w:pPr>
        <w:pStyle w:val="NormalHanging12a"/>
        <w:rPr>
          <w:szCs w:val="24"/>
        </w:rPr>
      </w:pPr>
      <w:r>
        <w:t>E.</w:t>
      </w:r>
      <w:r>
        <w:tab/>
        <w:t>mając na uwadze, że ostateczny budżet Europejskiego Instytutu ds. Równości Kobiet i Mężczyzn (EIGE) na rok budżetowy 2022 wyniósł 8 432 920 </w:t>
      </w:r>
      <w:r>
        <w:t>EUR, co stanowi spadek o 3 % w porównaniu z 2021 r. (8 693 358 </w:t>
      </w:r>
      <w:bookmarkStart w:id="0" w:name="_GoBack"/>
      <w:bookmarkEnd w:id="0"/>
      <w:r>
        <w:t>EUR); mając na uwadze, że cały budżet Instytutu pochodzi z budżetu Unii;</w:t>
      </w:r>
    </w:p>
    <w:p w:rsidR="003D337D" w:rsidRPr="00B64C35" w:rsidRDefault="00802594" w:rsidP="003D337D">
      <w:pPr>
        <w:pStyle w:val="NormalHanging12a"/>
        <w:rPr>
          <w:szCs w:val="24"/>
        </w:rPr>
      </w:pPr>
      <w:r>
        <w:t>1.</w:t>
      </w:r>
      <w:r>
        <w:tab/>
        <w:t>przypomina, że EIGE został ustanowiony w celu przyczynienia się do równości płci w Unii</w:t>
      </w:r>
      <w:r>
        <w:t xml:space="preserve"> i wzmocnienia jej promowania przez dostarczanie wysokiej jakości badań naukowych i porównywalnych danych, aby pomóc instytucjom europejskim i państwom członkowskim we włączaniu problematyki równości płci do głównego nurtu wszystkich ich strategii politycz</w:t>
      </w:r>
      <w:r>
        <w:t xml:space="preserve">nych i zwalczaniu dyskryminacji ze względu na płeć; podkreśla zatem kluczową rolę EIGE w gromadzeniu, analizowaniu, przetwarzaniu i rozpowszechnianiu danych i informacji niezbędnych dla decydentów politycznych oraz strategii politycznych Unii Europejskiej </w:t>
      </w:r>
      <w:r>
        <w:t>i jej państw członkowskich; z zadowoleniem przyjmuje w szczególności postępujące prace Instytutu nad wskaźnikiem równouprawnienia płci i łatwy dostęp obywateli do posiadanych przez niego informacji; podkreśla potrzebę silniejszej i skuteczniejszej integrac</w:t>
      </w:r>
      <w:r>
        <w:t xml:space="preserve">ji polityki równości płci i narzędzi uwzględniania aspektu płci; ponawia swoje wielokrotne apele o przydzielenie EIGE dodatkowych zasobów kadrowych, w tym personelu statutowego, w świetle rosnących pilnych potrzeb, pomocy technicznej i zapotrzebowaniem na </w:t>
      </w:r>
      <w:r>
        <w:t>jego usługi; apeluje zatem o przeznaczenie większych kwot w budżecie Instytucji, aby móc zwiększyć jej zdolności rekrutacyjne i badawcze w celu dalszego usprawnienia jej pracy i wyników w świetle kolejnych kryzysów i regresów w zakresie równości płci i osó</w:t>
      </w:r>
      <w:r>
        <w:t>b LGBTIQ+, które to zjawiska w nieproporcjonalnie duży sposób dotykają kobiety;</w:t>
      </w:r>
    </w:p>
    <w:p w:rsidR="003D337D" w:rsidRPr="00B64C35" w:rsidRDefault="00802594" w:rsidP="003D337D">
      <w:pPr>
        <w:pStyle w:val="NormalHanging12a"/>
        <w:rPr>
          <w:szCs w:val="24"/>
        </w:rPr>
      </w:pPr>
      <w:r>
        <w:t>2.</w:t>
      </w:r>
      <w:r>
        <w:tab/>
        <w:t>podkreśla, jak ważne jest zwalczanie nierówności i niesprawiedliwości wobec kobiet; wzywa Komisję i państwa członkowskie, by podjęły pilne działania w celu rozwiązania probl</w:t>
      </w:r>
      <w:r>
        <w:t>emu ubóstwa i rosnących nierówności wśród kobiet, zwłaszcza wśród grup znajdujących się w trudnej sytuacji, w tym samotnych matek, kobiet z niepełnosprawnościami, kobiet dyskryminowanych na tle rasowym, kobiet LGBTIQ+, migrantek i uchodźczyń, kobiet starsz</w:t>
      </w:r>
      <w:r>
        <w:t>ych oraz kobiet na obszarach wiejskich lub słabo zaludnionych; zauważa, że można to osiągnąć przez zaspokojenie potrzeby zwiększonego finansowania działań na rzecz równości płci w zakresie zatrudnienia i wzrostu gospodarczego, a także w celu zwalczania prz</w:t>
      </w:r>
      <w:r>
        <w:t xml:space="preserve">emocy uwarunkowanej płcią i różnic w wynagrodzeniach i emeryturach ze względu na płeć, przeciwdziałania </w:t>
      </w:r>
      <w:r>
        <w:lastRenderedPageBreak/>
        <w:t>wpływowi kryzysów na kobiety, uwzględniania aspektu płci i sporządzania budżetu z uwzględnieniem aspektu płci w związku z rosnącym wskaźnikiem ubóstwa w</w:t>
      </w:r>
      <w:r>
        <w:t>śród kobiet oraz w odniesieniu do praw, demokracji i praworządności; w związku z tym z zadowoleniem przyjmuje bieżącą współpracę między EIGE a Komisją Praw Kobiet i Równouprawnienia (FEMM); podkreśla olbrzymie wysiłki i cenny wkład EIGE w realizację celów,</w:t>
      </w:r>
      <w:r>
        <w:t xml:space="preserve"> wartości i priorytetów Parlamentu Europejskiego; zdecydowanie popiera prace Instytutu, który dzięki swoim analizom, badaniom i wysokiej jakości danym umożliwia komisji właściwe wykonywanie jej prac; zwraca uwagę na znaczenie dostępności wiarygodnych danyc</w:t>
      </w:r>
      <w:r>
        <w:t>h segregowanych według kryterium płci, aby umożliwić kształtowanie polityki opartej na rzetelnych informacjach; zwraca uwagę na cenny wkład, jaki EIGE może wnieść w prace wszystkich komisji Parlamentu Europejskiego i innych agencji UE z myślą o lepszym uwz</w:t>
      </w:r>
      <w:r>
        <w:t>ględnianiu aspektu płci we wszystkich strategiach politycznych UE;</w:t>
      </w:r>
    </w:p>
    <w:p w:rsidR="003D337D" w:rsidRPr="00B64C35" w:rsidRDefault="00802594" w:rsidP="003D337D">
      <w:pPr>
        <w:pStyle w:val="NormalHanging12a"/>
        <w:rPr>
          <w:szCs w:val="24"/>
        </w:rPr>
      </w:pPr>
      <w:r>
        <w:t>3.</w:t>
      </w:r>
      <w:r>
        <w:tab/>
        <w:t>odnotowuje stały wysoki poziom wykonania budżetu EIGE, pomimo utrzymującego się niedoboru personelu w agencji, przy czym środki na zobowiązania wykonano w 2022 r. do 97,91 % (w porównani</w:t>
      </w:r>
      <w:r>
        <w:t>u z 98,92 % w 2021 r.), a wskaźnik środków na płatności wyniósł 81,10 % (72,16 % w 2021 r.);</w:t>
      </w:r>
    </w:p>
    <w:p w:rsidR="003D337D" w:rsidRPr="00B64C35" w:rsidRDefault="00802594" w:rsidP="003D337D">
      <w:pPr>
        <w:pStyle w:val="NormalHanging12a"/>
        <w:rPr>
          <w:szCs w:val="24"/>
        </w:rPr>
      </w:pPr>
      <w:r>
        <w:t>4.</w:t>
      </w:r>
      <w:r>
        <w:tab/>
        <w:t>odnotowuje spadek przeniesionych wydatków operacyjnych EIGE do 42,28 % w 2023 r. (54,79 % w 2022 r.);</w:t>
      </w:r>
    </w:p>
    <w:p w:rsidR="003D337D" w:rsidRPr="00B64C35" w:rsidRDefault="00802594" w:rsidP="003D337D">
      <w:pPr>
        <w:pStyle w:val="NormalHanging12a"/>
      </w:pPr>
      <w:r>
        <w:t>5.</w:t>
      </w:r>
      <w:r>
        <w:tab/>
        <w:t>odnotowuje, że Europejski Trybunał Obrachunkowy potwier</w:t>
      </w:r>
      <w:r>
        <w:t>dził, iż roczne sprawozdanie finansowe EIGE rzetelnie przedstawia, we wszystkich istotnych aspektach, jego sytuację finansową na dzień 31 grudnia 2022 r. oraz wyniki transakcji, przepływy pieniężne i zmiany w aktywach netto za rok, który upłynął;</w:t>
      </w:r>
    </w:p>
    <w:p w:rsidR="003D337D" w:rsidRPr="00B64C35" w:rsidRDefault="00802594" w:rsidP="003D337D">
      <w:pPr>
        <w:pStyle w:val="NormalHanging12a"/>
        <w:rPr>
          <w:szCs w:val="24"/>
        </w:rPr>
      </w:pPr>
      <w:r>
        <w:t>6.</w:t>
      </w:r>
      <w:r>
        <w:tab/>
        <w:t>w opar</w:t>
      </w:r>
      <w:r>
        <w:t>ciu o obecnie dostępne informacje uważa, że należy udzielić dyrektor EIGE absolutorium z wykonania budżetu EIGE na rok budżetowy 2022.</w:t>
      </w:r>
    </w:p>
    <w:p w:rsidR="004542C8" w:rsidRPr="00B64C35" w:rsidRDefault="00802594" w:rsidP="004542C8">
      <w:r>
        <w:br w:type="page"/>
      </w:r>
    </w:p>
    <w:p w:rsidR="0096225D" w:rsidRPr="00B64C35" w:rsidRDefault="00802594" w:rsidP="0096225D">
      <w:pPr>
        <w:pStyle w:val="PageHeadingNotTOC"/>
        <w:rPr>
          <w:noProof/>
        </w:rPr>
      </w:pPr>
      <w:r>
        <w:lastRenderedPageBreak/>
        <w:t>ZAŁĄCZNIK: PODMIOTY LUB OSOBY,</w:t>
      </w:r>
      <w:r>
        <w:br/>
        <w:t>OD KTÓRYCH SPRAWOZDAWCA KOMISJI OPINIODAWCZEJ OTRZYMAŁ INFORMACJE</w:t>
      </w:r>
    </w:p>
    <w:p w:rsidR="0096225D" w:rsidRPr="00B64C35" w:rsidRDefault="00802594" w:rsidP="0096225D">
      <w:pPr>
        <w:pStyle w:val="Normal24a"/>
      </w:pPr>
      <w:r>
        <w:rPr>
          <w:rStyle w:val="HideTWBExt"/>
        </w:rPr>
        <w:t>&lt;FootprintIntro&gt;</w:t>
      </w:r>
      <w:r>
        <w:t>Przewo</w:t>
      </w:r>
      <w:r>
        <w:t>dniczący, jako sprawozdawca, oświadcza na własną odpowiedzialność, że nie otrzymał informacji od żadnego podmiotu ani osoby, które należałoby wymienić w tym załączniku zgodnie z art. 8 załącznika I do Regulaminu.</w:t>
      </w:r>
      <w:r>
        <w:rPr>
          <w:rStyle w:val="HideTWBExt"/>
        </w:rPr>
        <w:t>&lt;/FootprintIntro&gt;</w:t>
      </w:r>
    </w:p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96225D" w:rsidRPr="00B64C35" w:rsidRDefault="0096225D" w:rsidP="005318CB"/>
    <w:p w:rsidR="003C6A83" w:rsidRPr="003C6A83" w:rsidRDefault="00802594" w:rsidP="003C6A83">
      <w:r>
        <w:br w:type="page"/>
      </w:r>
    </w:p>
    <w:p w:rsidR="003C6A83" w:rsidRDefault="00802594" w:rsidP="003C6A83">
      <w:pPr>
        <w:pStyle w:val="PageHeadingNotTOC"/>
      </w:pPr>
      <w:bookmarkStart w:id="1" w:name="ProcPageAD"/>
      <w:r>
        <w:lastRenderedPageBreak/>
        <w:t>INFORMACJE O PRZYJĘCIU PRZEZ KOMISJĘ OPINIODAWCZĄ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FE43E3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C6A83" w:rsidRDefault="0080259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Data przyjęcia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C6A83" w:rsidRDefault="0080259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24.1.2024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C6A83" w:rsidRDefault="003C6A83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C6A83" w:rsidRDefault="003C6A83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C6A83" w:rsidRDefault="003C6A83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FE43E3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C6A83" w:rsidRDefault="0080259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Wynik głosowania końcowego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C6A83" w:rsidRDefault="0080259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+:</w:t>
            </w:r>
          </w:p>
          <w:p w:rsidR="003C6A83" w:rsidRDefault="0080259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:rsidR="003C6A83" w:rsidRDefault="0080259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C6A83" w:rsidRDefault="0080259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23</w:t>
            </w:r>
          </w:p>
          <w:p w:rsidR="003C6A83" w:rsidRDefault="0080259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  <w:p w:rsidR="003C6A83" w:rsidRDefault="0080259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</w:tr>
      <w:tr w:rsidR="00FE43E3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C6A83" w:rsidRDefault="0080259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Posłowie obecni podczas głosowania końcowego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C6A83" w:rsidRDefault="0080259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Christine Anderson, Robert Biedroń, Vilija Blinkevičiūtė, Annika Bruna, </w:t>
            </w:r>
            <w:r>
              <w:rPr>
                <w:color w:val="000000"/>
                <w:sz w:val="20"/>
              </w:rPr>
              <w:t xml:space="preserve">Maria da Graça Carvalho, Margarita de la Pisa Carrión, Gwendoline Delbos-Corfield, Frances Fitzgerald, Lívia Járóka, Arba Kokalari, Alice Kuhnke, Elżbieta Katarzyna Łukacijewska, Andżelika Anna Możdżanowska, Johan Nissinen, Carina Ohlsson, Samira Rafaela, </w:t>
            </w:r>
            <w:r>
              <w:rPr>
                <w:color w:val="000000"/>
                <w:sz w:val="20"/>
              </w:rPr>
              <w:t>Evelyn Regner, Diana Riba i Giner, Eugenia Rodríguez Palop, María Soraya Rodríguez Ramos, Maria Veronica Rossi, Sylwia Spurek, Marco Zullo</w:t>
            </w:r>
          </w:p>
        </w:tc>
      </w:tr>
      <w:tr w:rsidR="00FE43E3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C6A83" w:rsidRDefault="0080259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Zastępcy obecni podczas głosowania końcowego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C6A83" w:rsidRDefault="0080259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Laura Ballarín Cereza, Sylvie Brunet, Marina Kaljurand, Eleni Stavrou</w:t>
            </w:r>
          </w:p>
        </w:tc>
      </w:tr>
      <w:tr w:rsidR="00FE43E3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C6A83" w:rsidRDefault="0080259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Zastępcy (art. 209 ust. 7) obecni podczas głosowania końcowego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C6A83" w:rsidRDefault="0080259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Milan Brglez, Rainer Wieland</w:t>
            </w:r>
          </w:p>
        </w:tc>
      </w:tr>
    </w:tbl>
    <w:p w:rsidR="003C6A83" w:rsidRPr="003C6A83" w:rsidRDefault="003C6A83" w:rsidP="003C6A83"/>
    <w:bookmarkEnd w:id="1"/>
    <w:p w:rsidR="003C6A83" w:rsidRDefault="003C6A83" w:rsidP="003C6A83">
      <w:pPr>
        <w:sectPr w:rsidR="003C6A83" w:rsidSect="003C6A8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3C6A83" w:rsidRPr="0099178F" w:rsidRDefault="00802594" w:rsidP="00C36610">
      <w:pPr>
        <w:pStyle w:val="PageHeadingNotTOC"/>
      </w:pPr>
      <w:bookmarkStart w:id="2" w:name="RollCallPageAD"/>
      <w:r>
        <w:lastRenderedPageBreak/>
        <w:t>GŁOSOWANIE KOŃCOWE W FORMIE GŁOSOWANIA IMIENNEGO W KOMISJI OPINIODAWCZEJ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FE43E3" w:rsidTr="00020966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3C6A83" w:rsidRPr="00B64C35" w:rsidRDefault="00802594" w:rsidP="00020966">
            <w:pPr>
              <w:pStyle w:val="RollCallVotes"/>
            </w:pPr>
            <w:r>
              <w:t>23</w:t>
            </w:r>
          </w:p>
        </w:tc>
        <w:tc>
          <w:tcPr>
            <w:tcW w:w="7371" w:type="dxa"/>
            <w:shd w:val="pct10" w:color="000000" w:fill="FFFFFF"/>
          </w:tcPr>
          <w:p w:rsidR="003C6A83" w:rsidRPr="00B64C35" w:rsidRDefault="00802594" w:rsidP="00020966">
            <w:pPr>
              <w:pStyle w:val="RollCallSymbols14pt"/>
            </w:pPr>
            <w:r>
              <w:t>+</w:t>
            </w:r>
          </w:p>
        </w:tc>
      </w:tr>
      <w:tr w:rsidR="00FE43E3" w:rsidTr="00020966">
        <w:trPr>
          <w:cantSplit/>
        </w:trPr>
        <w:tc>
          <w:tcPr>
            <w:tcW w:w="1701" w:type="dxa"/>
            <w:shd w:val="clear" w:color="auto" w:fill="FFFFFF"/>
          </w:tcPr>
          <w:p w:rsidR="003C6A83" w:rsidRPr="00B64C35" w:rsidRDefault="00802594" w:rsidP="00020966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:rsidR="003C6A83" w:rsidRPr="00B64C35" w:rsidRDefault="00802594" w:rsidP="00020966">
            <w:pPr>
              <w:pStyle w:val="RollCallTable"/>
            </w:pPr>
            <w:r>
              <w:t>Maria da Graça Carvalho, Frances Fitzgerald, Arba Kokalari,</w:t>
            </w:r>
            <w:r>
              <w:t xml:space="preserve"> Elżbieta Katarzyna Łukacijewska, Eleni Stavrou, Rainer Wieland</w:t>
            </w:r>
          </w:p>
        </w:tc>
      </w:tr>
      <w:tr w:rsidR="00FE43E3" w:rsidTr="00020966">
        <w:trPr>
          <w:cantSplit/>
        </w:trPr>
        <w:tc>
          <w:tcPr>
            <w:tcW w:w="1701" w:type="dxa"/>
            <w:shd w:val="clear" w:color="auto" w:fill="FFFFFF"/>
          </w:tcPr>
          <w:p w:rsidR="003C6A83" w:rsidRPr="00B64C35" w:rsidRDefault="00802594" w:rsidP="00020966">
            <w:pPr>
              <w:pStyle w:val="RollCallTable"/>
            </w:pPr>
            <w:r>
              <w:t>Renew</w:t>
            </w:r>
          </w:p>
        </w:tc>
        <w:tc>
          <w:tcPr>
            <w:tcW w:w="7371" w:type="dxa"/>
            <w:shd w:val="clear" w:color="auto" w:fill="FFFFFF"/>
          </w:tcPr>
          <w:p w:rsidR="003C6A83" w:rsidRPr="00B64C35" w:rsidRDefault="00802594" w:rsidP="00020966">
            <w:pPr>
              <w:pStyle w:val="RollCallTable"/>
            </w:pPr>
            <w:r>
              <w:t>Sylvie Brunet, Samira Rafaela, María Soraya Rodríguez Ramos, Marco Zullo</w:t>
            </w:r>
          </w:p>
        </w:tc>
      </w:tr>
      <w:tr w:rsidR="00FE43E3" w:rsidTr="00020966">
        <w:trPr>
          <w:cantSplit/>
        </w:trPr>
        <w:tc>
          <w:tcPr>
            <w:tcW w:w="1701" w:type="dxa"/>
            <w:shd w:val="clear" w:color="auto" w:fill="FFFFFF"/>
          </w:tcPr>
          <w:p w:rsidR="003C6A83" w:rsidRPr="00B64C35" w:rsidRDefault="00802594" w:rsidP="00020966">
            <w:pPr>
              <w:pStyle w:val="RollCallTable"/>
            </w:pPr>
            <w:r>
              <w:t>S&amp;D</w:t>
            </w:r>
          </w:p>
        </w:tc>
        <w:tc>
          <w:tcPr>
            <w:tcW w:w="7371" w:type="dxa"/>
            <w:shd w:val="clear" w:color="auto" w:fill="FFFFFF"/>
          </w:tcPr>
          <w:p w:rsidR="003C6A83" w:rsidRPr="00B64C35" w:rsidRDefault="00802594" w:rsidP="00020966">
            <w:pPr>
              <w:pStyle w:val="RollCallTable"/>
            </w:pPr>
            <w:r>
              <w:t>Laura Ballarín Cereza, Robert Biedroń, Vilija Blinkevičiūtė, Milan Brglez, Marina Kaljurand, Carina Ohlsson</w:t>
            </w:r>
            <w:r>
              <w:t>, Evelyn Regner</w:t>
            </w:r>
          </w:p>
        </w:tc>
      </w:tr>
      <w:tr w:rsidR="00FE43E3" w:rsidRPr="00802594" w:rsidTr="00020966">
        <w:trPr>
          <w:cantSplit/>
        </w:trPr>
        <w:tc>
          <w:tcPr>
            <w:tcW w:w="1701" w:type="dxa"/>
            <w:shd w:val="clear" w:color="auto" w:fill="FFFFFF"/>
          </w:tcPr>
          <w:p w:rsidR="003C6A83" w:rsidRPr="00B64C35" w:rsidRDefault="00802594" w:rsidP="00020966">
            <w:pPr>
              <w:pStyle w:val="RollCallTable"/>
            </w:pPr>
            <w:r>
              <w:t>The Left</w:t>
            </w:r>
          </w:p>
        </w:tc>
        <w:tc>
          <w:tcPr>
            <w:tcW w:w="7371" w:type="dxa"/>
            <w:shd w:val="clear" w:color="auto" w:fill="FFFFFF"/>
          </w:tcPr>
          <w:p w:rsidR="003C6A83" w:rsidRPr="00802594" w:rsidRDefault="00802594" w:rsidP="00020966">
            <w:pPr>
              <w:pStyle w:val="RollCallTable"/>
              <w:rPr>
                <w:lang w:val="pt-PT"/>
              </w:rPr>
            </w:pPr>
            <w:r w:rsidRPr="00802594">
              <w:rPr>
                <w:lang w:val="pt-PT"/>
              </w:rPr>
              <w:t>Sandra Pereira, Eugenia Rodríguez Palop</w:t>
            </w:r>
          </w:p>
        </w:tc>
      </w:tr>
      <w:tr w:rsidR="00FE43E3" w:rsidTr="00020966">
        <w:trPr>
          <w:cantSplit/>
        </w:trPr>
        <w:tc>
          <w:tcPr>
            <w:tcW w:w="1701" w:type="dxa"/>
            <w:shd w:val="clear" w:color="auto" w:fill="FFFFFF"/>
          </w:tcPr>
          <w:p w:rsidR="003C6A83" w:rsidRPr="00B64C35" w:rsidRDefault="00802594" w:rsidP="00020966">
            <w:pPr>
              <w:pStyle w:val="RollCallTable"/>
            </w:pPr>
            <w:r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3C6A83" w:rsidRPr="00B64C35" w:rsidRDefault="00802594" w:rsidP="00020966">
            <w:pPr>
              <w:pStyle w:val="RollCallTable"/>
            </w:pPr>
            <w:r>
              <w:t>Gwendoline Delbos-Corfield, Alice Kuhnke, Diana Riba i Giner, Sylwia Spurek</w:t>
            </w:r>
          </w:p>
        </w:tc>
      </w:tr>
    </w:tbl>
    <w:p w:rsidR="003C6A83" w:rsidRPr="00B64C35" w:rsidRDefault="003C6A83" w:rsidP="003C6A83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FE43E3" w:rsidTr="00020966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3C6A83" w:rsidRPr="00B64C35" w:rsidRDefault="00802594" w:rsidP="00020966">
            <w:pPr>
              <w:pStyle w:val="RollCallVotes"/>
            </w:pPr>
            <w:r>
              <w:t>4</w:t>
            </w:r>
          </w:p>
        </w:tc>
        <w:tc>
          <w:tcPr>
            <w:tcW w:w="7371" w:type="dxa"/>
            <w:shd w:val="pct10" w:color="000000" w:fill="FFFFFF"/>
          </w:tcPr>
          <w:p w:rsidR="003C6A83" w:rsidRPr="00B64C35" w:rsidRDefault="00802594" w:rsidP="00020966">
            <w:pPr>
              <w:pStyle w:val="RollCallSymbols14pt"/>
            </w:pPr>
            <w:r>
              <w:t>-</w:t>
            </w:r>
          </w:p>
        </w:tc>
      </w:tr>
      <w:tr w:rsidR="00FE43E3" w:rsidTr="00020966">
        <w:trPr>
          <w:cantSplit/>
        </w:trPr>
        <w:tc>
          <w:tcPr>
            <w:tcW w:w="1701" w:type="dxa"/>
            <w:shd w:val="clear" w:color="auto" w:fill="FFFFFF"/>
          </w:tcPr>
          <w:p w:rsidR="003C6A83" w:rsidRPr="00B64C35" w:rsidRDefault="00802594" w:rsidP="00020966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:rsidR="003C6A83" w:rsidRPr="00B64C35" w:rsidRDefault="00802594" w:rsidP="00020966">
            <w:pPr>
              <w:pStyle w:val="RollCallTable"/>
            </w:pPr>
            <w:r>
              <w:t>Johan Nissinen, Margarita de la Pisa Carrión</w:t>
            </w:r>
          </w:p>
        </w:tc>
      </w:tr>
      <w:tr w:rsidR="00FE43E3" w:rsidRPr="00802594" w:rsidTr="00020966">
        <w:trPr>
          <w:cantSplit/>
        </w:trPr>
        <w:tc>
          <w:tcPr>
            <w:tcW w:w="1701" w:type="dxa"/>
            <w:shd w:val="clear" w:color="auto" w:fill="FFFFFF"/>
          </w:tcPr>
          <w:p w:rsidR="003C6A83" w:rsidRPr="00B64C35" w:rsidRDefault="00802594" w:rsidP="00020966">
            <w:pPr>
              <w:pStyle w:val="RollCallTable"/>
            </w:pPr>
            <w:r>
              <w:t>ID</w:t>
            </w:r>
          </w:p>
        </w:tc>
        <w:tc>
          <w:tcPr>
            <w:tcW w:w="7371" w:type="dxa"/>
            <w:shd w:val="clear" w:color="auto" w:fill="FFFFFF"/>
          </w:tcPr>
          <w:p w:rsidR="003C6A83" w:rsidRPr="00802594" w:rsidRDefault="00802594" w:rsidP="00020966">
            <w:pPr>
              <w:pStyle w:val="RollCallTable"/>
              <w:rPr>
                <w:lang w:val="it-IT"/>
              </w:rPr>
            </w:pPr>
            <w:r w:rsidRPr="00802594">
              <w:rPr>
                <w:lang w:val="it-IT"/>
              </w:rPr>
              <w:t>Christine Anderson, Maria Veronica Rossi</w:t>
            </w:r>
          </w:p>
        </w:tc>
      </w:tr>
    </w:tbl>
    <w:p w:rsidR="003C6A83" w:rsidRPr="003C6A83" w:rsidRDefault="003C6A83" w:rsidP="003C6A83">
      <w:pPr>
        <w:rPr>
          <w:lang w:val="it-IT"/>
        </w:rPr>
      </w:pP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FE43E3" w:rsidTr="00020966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3C6A83" w:rsidRPr="00B64C35" w:rsidRDefault="00802594" w:rsidP="00020966">
            <w:pPr>
              <w:pStyle w:val="RollCallVotes"/>
            </w:pPr>
            <w:r>
              <w:t>2</w:t>
            </w:r>
          </w:p>
        </w:tc>
        <w:tc>
          <w:tcPr>
            <w:tcW w:w="7371" w:type="dxa"/>
            <w:shd w:val="pct10" w:color="000000" w:fill="FFFFFF"/>
          </w:tcPr>
          <w:p w:rsidR="003C6A83" w:rsidRPr="00B64C35" w:rsidRDefault="00802594" w:rsidP="00020966">
            <w:pPr>
              <w:pStyle w:val="RollCallSymbols14pt"/>
            </w:pPr>
            <w:r>
              <w:t>0</w:t>
            </w:r>
          </w:p>
        </w:tc>
      </w:tr>
      <w:tr w:rsidR="00FE43E3" w:rsidTr="00020966">
        <w:trPr>
          <w:cantSplit/>
        </w:trPr>
        <w:tc>
          <w:tcPr>
            <w:tcW w:w="1701" w:type="dxa"/>
            <w:shd w:val="clear" w:color="auto" w:fill="FFFFFF"/>
          </w:tcPr>
          <w:p w:rsidR="003C6A83" w:rsidRPr="00B64C35" w:rsidRDefault="00802594" w:rsidP="00020966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:rsidR="003C6A83" w:rsidRPr="00B64C35" w:rsidRDefault="00802594" w:rsidP="00020966">
            <w:pPr>
              <w:pStyle w:val="RollCallTable"/>
            </w:pPr>
            <w:r>
              <w:t>Andżelika Anna Możdżanowska</w:t>
            </w:r>
          </w:p>
        </w:tc>
      </w:tr>
      <w:tr w:rsidR="00FE43E3" w:rsidTr="00020966">
        <w:trPr>
          <w:cantSplit/>
        </w:trPr>
        <w:tc>
          <w:tcPr>
            <w:tcW w:w="1701" w:type="dxa"/>
            <w:shd w:val="clear" w:color="auto" w:fill="FFFFFF"/>
          </w:tcPr>
          <w:p w:rsidR="003C6A83" w:rsidRPr="00B64C35" w:rsidRDefault="00802594" w:rsidP="00020966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:rsidR="003C6A83" w:rsidRPr="00B64C35" w:rsidRDefault="00802594" w:rsidP="00020966">
            <w:pPr>
              <w:pStyle w:val="RollCallTable"/>
            </w:pPr>
            <w:r>
              <w:t>Lívia Járóka</w:t>
            </w:r>
          </w:p>
        </w:tc>
      </w:tr>
    </w:tbl>
    <w:p w:rsidR="003C6A83" w:rsidRDefault="003C6A83" w:rsidP="00147FBF">
      <w:pPr>
        <w:pStyle w:val="Normal12a"/>
      </w:pPr>
    </w:p>
    <w:p w:rsidR="003C6A83" w:rsidRDefault="00802594" w:rsidP="00B735E3">
      <w:r>
        <w:t>Objaśnienie używanych znaków:</w:t>
      </w:r>
    </w:p>
    <w:p w:rsidR="003C6A83" w:rsidRDefault="00802594" w:rsidP="003858C5">
      <w:pPr>
        <w:pStyle w:val="RollCallTabs"/>
      </w:pPr>
      <w:r>
        <w:t>+</w:t>
      </w:r>
      <w:r>
        <w:tab/>
        <w:t>:</w:t>
      </w:r>
      <w:r>
        <w:tab/>
        <w:t>za</w:t>
      </w:r>
    </w:p>
    <w:p w:rsidR="003C6A83" w:rsidRDefault="00802594" w:rsidP="003858C5">
      <w:pPr>
        <w:pStyle w:val="RollCallTabs"/>
      </w:pPr>
      <w:r>
        <w:t>-</w:t>
      </w:r>
      <w:r>
        <w:tab/>
        <w:t>:</w:t>
      </w:r>
      <w:r>
        <w:tab/>
        <w:t>przeciw</w:t>
      </w:r>
    </w:p>
    <w:p w:rsidR="003C6A83" w:rsidRDefault="00802594" w:rsidP="003858C5">
      <w:pPr>
        <w:pStyle w:val="RollCallTabs"/>
      </w:pPr>
      <w:r>
        <w:t>0</w:t>
      </w:r>
      <w:r>
        <w:tab/>
        <w:t>:</w:t>
      </w:r>
      <w:r>
        <w:tab/>
        <w:t>wstrzymało się</w:t>
      </w:r>
    </w:p>
    <w:p w:rsidR="003C6A83" w:rsidRDefault="003C6A83" w:rsidP="00207509"/>
    <w:bookmarkEnd w:id="2"/>
    <w:p w:rsidR="00690B38" w:rsidRPr="003C6A83" w:rsidRDefault="00690B38" w:rsidP="003C6A83"/>
    <w:sectPr w:rsidR="00690B38" w:rsidRPr="003C6A83" w:rsidSect="003C6A8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02594">
      <w:r>
        <w:separator/>
      </w:r>
    </w:p>
  </w:endnote>
  <w:endnote w:type="continuationSeparator" w:id="0">
    <w:p w:rsidR="00000000" w:rsidRDefault="00802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3F54" w:rsidRPr="00B64C35" w:rsidRDefault="00802594" w:rsidP="00AA3F54">
    <w:pPr>
      <w:pStyle w:val="EPFooter"/>
    </w:pPr>
    <w:r w:rsidRPr="00B64C35">
      <w:t>PE</w:t>
    </w:r>
    <w:r w:rsidRPr="00B64C35">
      <w:rPr>
        <w:rStyle w:val="HideTWBExt"/>
      </w:rPr>
      <w:t>&lt;NoPE&gt;</w:t>
    </w:r>
    <w:r w:rsidRPr="00B64C35">
      <w:t>754.839</w:t>
    </w:r>
    <w:r w:rsidRPr="00B64C35">
      <w:rPr>
        <w:rStyle w:val="HideTWBExt"/>
      </w:rPr>
      <w:t>&lt;/NoPE&gt;&lt;Version&gt;</w:t>
    </w:r>
    <w:r w:rsidRPr="00B64C35">
      <w:t>v02-00</w:t>
    </w:r>
    <w:r w:rsidRPr="00B64C35">
      <w:rPr>
        <w:rStyle w:val="HideTWBExt"/>
      </w:rPr>
      <w:t>&lt;/Version&gt;</w:t>
    </w:r>
    <w:r w:rsidRPr="00B64C35">
      <w:tab/>
    </w:r>
    <w:r w:rsidRPr="00B64C35">
      <w:fldChar w:fldCharType="begin"/>
    </w:r>
    <w:r w:rsidRPr="00B64C35">
      <w:instrText xml:space="preserve"> PAGE  \* MERGEFORMAT </w:instrText>
    </w:r>
    <w:r w:rsidRPr="00B64C35">
      <w:fldChar w:fldCharType="separate"/>
    </w:r>
    <w:r>
      <w:rPr>
        <w:noProof/>
      </w:rPr>
      <w:t>4</w:t>
    </w:r>
    <w:r w:rsidRPr="00B64C35">
      <w:fldChar w:fldCharType="end"/>
    </w:r>
    <w:r w:rsidRPr="00B64C35">
      <w:t>/</w:t>
    </w:r>
    <w:r w:rsidR="003C6A83">
      <w:fldChar w:fldCharType="begin"/>
    </w:r>
    <w:r>
      <w:instrText xml:space="preserve"> NUMPAGES  \* MERGEFORMAT </w:instrText>
    </w:r>
    <w:r w:rsidR="003C6A83">
      <w:fldChar w:fldCharType="separate"/>
    </w:r>
    <w:r>
      <w:rPr>
        <w:noProof/>
      </w:rPr>
      <w:t>9</w:t>
    </w:r>
    <w:r w:rsidR="003C6A83">
      <w:rPr>
        <w:noProof/>
      </w:rPr>
      <w:fldChar w:fldCharType="end"/>
    </w:r>
    <w:r w:rsidRPr="00B64C35">
      <w:tab/>
    </w:r>
    <w:r w:rsidRPr="00B64C35">
      <w:rPr>
        <w:rStyle w:val="HideTWBExt"/>
      </w:rPr>
      <w:t>&lt;PathFdR&gt;</w:t>
    </w:r>
    <w:r w:rsidRPr="00B64C35">
      <w:t>AD\1294966PL.docx</w:t>
    </w:r>
    <w:r w:rsidRPr="00B64C35">
      <w:rPr>
        <w:rStyle w:val="HideTWBExt"/>
      </w:rPr>
      <w:t>&lt;/PathFdR&gt;</w:t>
    </w:r>
  </w:p>
  <w:p w:rsidR="002E2F2E" w:rsidRPr="00B64C35" w:rsidRDefault="00802594" w:rsidP="00AA3F54">
    <w:pPr>
      <w:pStyle w:val="EPFooter2"/>
    </w:pPr>
    <w:r w:rsidRPr="00B64C35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3F54" w:rsidRPr="00B64C35" w:rsidRDefault="00802594" w:rsidP="00AA3F54">
    <w:pPr>
      <w:pStyle w:val="EPFooter"/>
    </w:pPr>
    <w:r w:rsidRPr="00B64C35">
      <w:rPr>
        <w:rStyle w:val="HideTWBExt"/>
      </w:rPr>
      <w:t>&lt;PathFdR&gt;</w:t>
    </w:r>
    <w:r w:rsidRPr="00B64C35">
      <w:t>AD\1294966PL.docx</w:t>
    </w:r>
    <w:r w:rsidRPr="00B64C35">
      <w:rPr>
        <w:rStyle w:val="HideTWBExt"/>
      </w:rPr>
      <w:t>&lt;/PathFdR&gt;</w:t>
    </w:r>
    <w:r w:rsidRPr="00B64C35">
      <w:tab/>
    </w:r>
    <w:r w:rsidRPr="00B64C35">
      <w:fldChar w:fldCharType="begin"/>
    </w:r>
    <w:r w:rsidRPr="00B64C35">
      <w:instrText xml:space="preserve"> PAGE  \* MERGEFORMAT </w:instrText>
    </w:r>
    <w:r w:rsidRPr="00B64C35">
      <w:fldChar w:fldCharType="separate"/>
    </w:r>
    <w:r>
      <w:rPr>
        <w:noProof/>
      </w:rPr>
      <w:t>5</w:t>
    </w:r>
    <w:r w:rsidRPr="00B64C35">
      <w:fldChar w:fldCharType="end"/>
    </w:r>
    <w:r w:rsidRPr="00B64C35">
      <w:t>/</w:t>
    </w:r>
    <w:r w:rsidR="003C6A83">
      <w:fldChar w:fldCharType="begin"/>
    </w:r>
    <w:r>
      <w:instrText xml:space="preserve"> NUMPAGES  \* MERGEFORMAT </w:instrText>
    </w:r>
    <w:r w:rsidR="003C6A83">
      <w:fldChar w:fldCharType="separate"/>
    </w:r>
    <w:r>
      <w:rPr>
        <w:noProof/>
      </w:rPr>
      <w:t>9</w:t>
    </w:r>
    <w:r w:rsidR="003C6A83">
      <w:rPr>
        <w:noProof/>
      </w:rPr>
      <w:fldChar w:fldCharType="end"/>
    </w:r>
    <w:r w:rsidRPr="00B64C35">
      <w:tab/>
      <w:t>PE</w:t>
    </w:r>
    <w:r w:rsidRPr="00B64C35">
      <w:rPr>
        <w:rStyle w:val="HideTWBExt"/>
      </w:rPr>
      <w:t>&lt;NoPE&gt;</w:t>
    </w:r>
    <w:r w:rsidRPr="00B64C35">
      <w:t>754.839</w:t>
    </w:r>
    <w:r w:rsidRPr="00B64C35">
      <w:rPr>
        <w:rStyle w:val="HideTWBExt"/>
      </w:rPr>
      <w:t>&lt;/NoPE&gt;&lt;Version&gt;</w:t>
    </w:r>
    <w:r w:rsidRPr="00B64C35">
      <w:t>v02-00</w:t>
    </w:r>
    <w:r w:rsidRPr="00B64C35">
      <w:rPr>
        <w:rStyle w:val="HideTWBExt"/>
      </w:rPr>
      <w:t>&lt;/Version&gt;</w:t>
    </w:r>
  </w:p>
  <w:p w:rsidR="002E2F2E" w:rsidRPr="00B64C35" w:rsidRDefault="00802594" w:rsidP="00AA3F54">
    <w:pPr>
      <w:pStyle w:val="EPFooter2"/>
    </w:pPr>
    <w:r w:rsidRPr="00B64C35">
      <w:tab/>
    </w:r>
    <w:r w:rsidRPr="00B64C35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3F54" w:rsidRPr="00B64C35" w:rsidRDefault="00802594" w:rsidP="00AA3F54">
    <w:pPr>
      <w:pStyle w:val="EPFooter"/>
    </w:pPr>
    <w:r w:rsidRPr="00B64C35">
      <w:rPr>
        <w:rStyle w:val="HideTWBExt"/>
      </w:rPr>
      <w:t>&lt;PathFdR&gt;</w:t>
    </w:r>
    <w:r w:rsidRPr="00B64C35">
      <w:t>AD\1294966PL.docx</w:t>
    </w:r>
    <w:r w:rsidRPr="00B64C35">
      <w:rPr>
        <w:rStyle w:val="HideTWBExt"/>
      </w:rPr>
      <w:t>&lt;/PathFdR&gt;</w:t>
    </w:r>
    <w:r w:rsidRPr="00B64C35">
      <w:tab/>
    </w:r>
    <w:r w:rsidRPr="00B64C35">
      <w:tab/>
      <w:t>PE</w:t>
    </w:r>
    <w:r w:rsidRPr="00B64C35">
      <w:rPr>
        <w:rStyle w:val="HideTWBExt"/>
      </w:rPr>
      <w:t>&lt;NoPE&gt;</w:t>
    </w:r>
    <w:r w:rsidRPr="00B64C35">
      <w:t>754.839</w:t>
    </w:r>
    <w:r w:rsidRPr="00B64C35">
      <w:rPr>
        <w:rStyle w:val="HideTWBExt"/>
      </w:rPr>
      <w:t>&lt;/NoPE&gt;&lt;Version&gt;</w:t>
    </w:r>
    <w:r w:rsidRPr="00B64C35">
      <w:t>v02-00</w:t>
    </w:r>
    <w:r w:rsidRPr="00B64C35">
      <w:rPr>
        <w:rStyle w:val="HideTWBExt"/>
      </w:rPr>
      <w:t>&lt;/Version&gt;</w:t>
    </w:r>
  </w:p>
  <w:p w:rsidR="002E2F2E" w:rsidRPr="00B64C35" w:rsidRDefault="00802594" w:rsidP="00AA3F54">
    <w:pPr>
      <w:pStyle w:val="EPFooter2"/>
    </w:pPr>
    <w:r w:rsidRPr="00B64C35">
      <w:t>PL</w:t>
    </w:r>
    <w:r w:rsidRPr="00B64C35">
      <w:tab/>
    </w:r>
    <w:r w:rsidRPr="00B64C35">
      <w:rPr>
        <w:b w:val="0"/>
        <w:i/>
        <w:color w:val="C0C0C0"/>
        <w:sz w:val="22"/>
      </w:rPr>
      <w:t>Zjednoczona w różnorodności</w:t>
    </w:r>
    <w:r w:rsidRPr="00B64C35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277" w:rsidRPr="00B64C35" w:rsidRDefault="00802594">
      <w:r w:rsidRPr="00B64C35">
        <w:separator/>
      </w:r>
    </w:p>
  </w:footnote>
  <w:footnote w:type="continuationSeparator" w:id="0">
    <w:p w:rsidR="00875277" w:rsidRPr="00B64C35" w:rsidRDefault="00802594">
      <w:r w:rsidRPr="00B64C35">
        <w:continuationSeparator/>
      </w:r>
    </w:p>
  </w:footnote>
  <w:footnote w:id="1">
    <w:p w:rsidR="003D337D" w:rsidRPr="00B64C35" w:rsidRDefault="00802594" w:rsidP="003D337D">
      <w:pPr>
        <w:pStyle w:val="FootnoteText"/>
      </w:pPr>
      <w:r>
        <w:rPr>
          <w:rStyle w:val="FootnoteReference"/>
        </w:rPr>
        <w:footnoteRef/>
      </w:r>
      <w:r>
        <w:t xml:space="preserve"> https://eige.europa.eu/gender-equality-index/2023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A83" w:rsidRDefault="003C6A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A83" w:rsidRDefault="003C6A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A83" w:rsidRDefault="003C6A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DOCDECMNU" w:val=" 1"/>
    <w:docVar w:name="AUTHORMFMNU" w:val=" 1"/>
    <w:docVar w:name="CJMNU" w:val="1"/>
    <w:docVar w:name="CODEMNU" w:val=" 7"/>
    <w:docVar w:name="COM2KEY" w:val="CONT"/>
    <w:docVar w:name="COMKEY" w:val="FEMM"/>
    <w:docVar w:name="CONTRIBUTIONMNU" w:val=" 2"/>
    <w:docVar w:name="FONCTIONMNU" w:val=" 2"/>
    <w:docVar w:name="LastAMInserted" w:val="11"/>
    <w:docVar w:name="LastEditedSection" w:val=" 2"/>
    <w:docVar w:name="NumberAMInserted" w:val="1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341\fbidi \fswiss\fcharset238\fprq2 Arial CE;}{\f342\fbidi \fswiss\fcharset204\fprq2 Arial Cyr;}_x000d__x000a_{\f344\fbidi \fswiss\fcharset161\fprq2 Arial Greek;}{\f345\fbidi \fswiss\fcharset162\fprq2 Arial Tur;}{\f346\fbidi \fswiss\fcharset177\fprq2 Arial (Hebrew);}{\f347\fbidi \fswiss\fcharset178\fprq2 Arial (Arabic);}_x000d__x000a_{\f348\fbidi \fswiss\fcharset186\fprq2 Arial Baltic;}{\f349\fbidi \fswiss\fcharset163\fprq2 Arial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4208264 HideTWBInt;}{_x000d__x000a_\s18\ql \fi-567\li567\ri0\sa240\nowidctlpar\wrapdefault\aspalpha\aspnum\faauto\adjustright\rin0\lin567\itap0 \rtlch\fcs1 \af0\afs20\alang1025 \ltrch\fcs0 \fs24\lang2057\langfe2057\cgrid\langnp2057\langfenp2057 _x000d__x000a_\sbasedon0 \snext18 \spriority0 \styrsid4208264 NormalHanging12a;}}{\*\rsidtbl \rsid24658\rsid223860\rsid735077\rsid1718133\rsid2892074\rsid3083205\rsid3565327\rsid4208264\rsid4666813\rsid6641733\rsid7823322\rsid9636012\rsid10377208\rsid11215221_x000d__x000a_\rsid11549030\rsid12154954\rsid14382809\rsid14424199\rsid15204470\rsid15285974\rsid15950462\rsid16324206\rsid16662270}{\mmathPr\mmathFont34\mbrkBin0\mbrkBinSub0\msmallFrac0\mdispDef1\mlMargin0\mrMargin0\mdefJc1\mwrapIndent1440\mintLim0\mnaryLim1}{\info_x000d__x000a_{\author DAMIANIDOU Dorothea}{\operator DAMIANIDOU Dorothea}{\creatim\yr2024\mo1\dy24\hr12\min14}{\revtim\yr2024\mo1\dy24\hr12\min14}{\version1}{\edmins0}{\nofpages1}{\nofwords2}{\nofchars11}{\nofcharsws12}{\vern109}}{\*\xmlnstbl {\xmlns1 http://schemas.m_x000d__x000a_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420826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DAMIA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308320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08320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08320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08320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8\ql \fi-567\li567\ri0\sa240\nowidctlpar\wrapdefault\aspalpha\aspnum\faauto\adjustright\rin0\lin567\itap0\pararsid4208264 \rtlch\fcs1 \af0\afs20\alang1025 \ltrch\fcs0 \fs24\lang2057\langfe2057\cgrid\langnp2057\langfenp2057 {\rtlch\fcs1 \af0 _x000d__x000a_\ltrch\fcs0 \insrsid4208264\charrsid2177812 {\*\bkmkstart restart}#}{\rtlch\fcs1 \af1 \ltrch\fcs0 \cs17\v\f1\fs20\cf15\insrsid4208264\charrsid2177812 NRMSG}{\rtlch\fcs1 \af0 \ltrch\fcs0 \insrsid4208264\charrsid2177812 #.\tab ##}{\rtlch\fcs1 \af0 _x000d__x000a_\ltrch\fcs0 \insrsid4208264\charrsid16324206 {\*\bkmkend restart}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2b_x000d__x000a_068cb6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s17\ql \fi-567\li567\ri0\sa240\nowidctlpar\wrapdefault\aspalpha\aspnum\faauto\adjustright\rin0\lin567\itap0 \rtlch\fcs1 \af0\afs20\alang1025 \ltrch\fcs0 _x000d__x000a_\fs24\lang2057\langfe2057\cgrid\langnp2057\langfenp2057 \sbasedon0 \snext17 \spriority0 \styrsid13723203 NormalHanging12a;}}{\*\rsidtbl \rsid24658\rsid223860\rsid735077\rsid1718133\rsid2892074\rsid3565327\rsid4666813\rsid6641733\rsid7823322\rsid9636012_x000d__x000a_\rsid10377208\rsid11215221\rsid11549030\rsid12154954\rsid13723203\rsid14382809\rsid14424199\rsid15204470\rsid15285974\rsid15950462\rsid16324206\rsid16384515\rsid16662270}{\mmathPr\mmathFont34\mbrkBin0\mbrkBinSub0\msmallFrac0\mdispDef1\mlMargin0\mrMargin0_x000d__x000a_\mdefJc1\mwrapIndent1440\mintLim0\mnaryLim1}{\info{\author DAMIANIDOU Dorothea}{\operator DAMIANIDOU Dorothea}{\creatim\yr2024\mo1\dy24\hr12\min14}{\revtim\yr2024\mo1\dy24\hr12\min14}{\version1}{\edmins0}{\nofpages1}{\nofwords5}{\nofchars30}_x000d__x000a_{\nofcharsws34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372320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DAMIA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638451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638451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638451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638451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7\ql \fi-567\li567\ri0\sa240\nowidctlpar\wrapdefault\aspalpha\aspnum\faauto\adjustright\rin0\lin567\itap0\pararsid13723203 \rtlch\fcs1 \af0\afs20\alang1025 \ltrch\fcs0 \fs24\lang2057\langfe2057\cgrid\langnp2057\langfenp2057 {\rtlch\fcs1 \af0 _x000d__x000a_\ltrch\fcs0 \insrsid13723203\charrsid1525456 {\*\bkmkstart restart}[ZSUGGESTIONNR]\tab [ZSUGGESTIONTEXT]}{\rtlch\fcs1 \af0 \ltrch\fcs0 \insrsid13723203\charrsid16324206 {\*\bkmkend restart}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4b_x000d__x000a_848eb6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NonLeg"/>
    <w:docVar w:name="strSubDir" w:val="1294"/>
    <w:docVar w:name="TXTLANGUE" w:val="PL"/>
    <w:docVar w:name="TXTLANGUEMIN" w:val="pl"/>
    <w:docVar w:name="TXTNRPE" w:val="754.839"/>
    <w:docVar w:name="TXTNRPROC" w:val="2023/2152"/>
    <w:docVar w:name="TXTPEorAP" w:val="PE"/>
    <w:docVar w:name="TXTROUTE" w:val="AD\1294966PL.docx"/>
    <w:docVar w:name="TXTTITLE" w:val="2022 discharge: European Institute for Gender Equality"/>
    <w:docVar w:name="TXTVERSION" w:val="02-00"/>
  </w:docVars>
  <w:rsids>
    <w:rsidRoot w:val="00875277"/>
    <w:rsid w:val="00020966"/>
    <w:rsid w:val="000D28B3"/>
    <w:rsid w:val="000E30B9"/>
    <w:rsid w:val="000E7EBF"/>
    <w:rsid w:val="00106C1C"/>
    <w:rsid w:val="00124F60"/>
    <w:rsid w:val="00135121"/>
    <w:rsid w:val="00140BE6"/>
    <w:rsid w:val="00147F4E"/>
    <w:rsid w:val="00147FBF"/>
    <w:rsid w:val="0016635E"/>
    <w:rsid w:val="001746D0"/>
    <w:rsid w:val="00180131"/>
    <w:rsid w:val="001952E1"/>
    <w:rsid w:val="001B265E"/>
    <w:rsid w:val="001B4BE8"/>
    <w:rsid w:val="001B7393"/>
    <w:rsid w:val="001D2ED9"/>
    <w:rsid w:val="001F21C1"/>
    <w:rsid w:val="00207509"/>
    <w:rsid w:val="0024239A"/>
    <w:rsid w:val="002452E8"/>
    <w:rsid w:val="002D28A7"/>
    <w:rsid w:val="002E2F2E"/>
    <w:rsid w:val="002E6F98"/>
    <w:rsid w:val="00325BCB"/>
    <w:rsid w:val="00331944"/>
    <w:rsid w:val="00332AD9"/>
    <w:rsid w:val="00347D2C"/>
    <w:rsid w:val="00355C3D"/>
    <w:rsid w:val="0037356F"/>
    <w:rsid w:val="003858C5"/>
    <w:rsid w:val="00390EB2"/>
    <w:rsid w:val="00396A0E"/>
    <w:rsid w:val="003C6A83"/>
    <w:rsid w:val="003D337D"/>
    <w:rsid w:val="003E2402"/>
    <w:rsid w:val="00436162"/>
    <w:rsid w:val="004542C8"/>
    <w:rsid w:val="00456548"/>
    <w:rsid w:val="004C28FB"/>
    <w:rsid w:val="004C44C0"/>
    <w:rsid w:val="004C4A86"/>
    <w:rsid w:val="004D6D75"/>
    <w:rsid w:val="004E57F9"/>
    <w:rsid w:val="00521DD9"/>
    <w:rsid w:val="0052544E"/>
    <w:rsid w:val="005318CB"/>
    <w:rsid w:val="00565269"/>
    <w:rsid w:val="00571A30"/>
    <w:rsid w:val="00575693"/>
    <w:rsid w:val="005940C3"/>
    <w:rsid w:val="00594C48"/>
    <w:rsid w:val="005A36B5"/>
    <w:rsid w:val="005B2F11"/>
    <w:rsid w:val="005C0BDF"/>
    <w:rsid w:val="005C57D7"/>
    <w:rsid w:val="005D4E41"/>
    <w:rsid w:val="005D60C6"/>
    <w:rsid w:val="005D67F0"/>
    <w:rsid w:val="006102E7"/>
    <w:rsid w:val="00623311"/>
    <w:rsid w:val="00640C1B"/>
    <w:rsid w:val="00652CF2"/>
    <w:rsid w:val="00657AFB"/>
    <w:rsid w:val="006719B9"/>
    <w:rsid w:val="00690B38"/>
    <w:rsid w:val="006D4C8A"/>
    <w:rsid w:val="006D5BF7"/>
    <w:rsid w:val="006E7B18"/>
    <w:rsid w:val="00721B95"/>
    <w:rsid w:val="00797EF5"/>
    <w:rsid w:val="007D3444"/>
    <w:rsid w:val="007E0BB6"/>
    <w:rsid w:val="007E7446"/>
    <w:rsid w:val="00802594"/>
    <w:rsid w:val="00806D08"/>
    <w:rsid w:val="008313E7"/>
    <w:rsid w:val="0083794C"/>
    <w:rsid w:val="00854CAC"/>
    <w:rsid w:val="00875277"/>
    <w:rsid w:val="00880BCC"/>
    <w:rsid w:val="008A32C5"/>
    <w:rsid w:val="008B10CD"/>
    <w:rsid w:val="008C6203"/>
    <w:rsid w:val="008D61E7"/>
    <w:rsid w:val="008F7002"/>
    <w:rsid w:val="00950C18"/>
    <w:rsid w:val="0096225D"/>
    <w:rsid w:val="0099178F"/>
    <w:rsid w:val="0099493F"/>
    <w:rsid w:val="009A26B2"/>
    <w:rsid w:val="009C6CDD"/>
    <w:rsid w:val="00A16BEA"/>
    <w:rsid w:val="00A312B3"/>
    <w:rsid w:val="00A36ED0"/>
    <w:rsid w:val="00A4482E"/>
    <w:rsid w:val="00A72C35"/>
    <w:rsid w:val="00A83B53"/>
    <w:rsid w:val="00AA3F54"/>
    <w:rsid w:val="00AB41A7"/>
    <w:rsid w:val="00AC2DA6"/>
    <w:rsid w:val="00AC646C"/>
    <w:rsid w:val="00AE180F"/>
    <w:rsid w:val="00B362F7"/>
    <w:rsid w:val="00B5456B"/>
    <w:rsid w:val="00B64C35"/>
    <w:rsid w:val="00B7178A"/>
    <w:rsid w:val="00B735E3"/>
    <w:rsid w:val="00B74B53"/>
    <w:rsid w:val="00BC26E4"/>
    <w:rsid w:val="00BD1EAA"/>
    <w:rsid w:val="00C14D63"/>
    <w:rsid w:val="00C36610"/>
    <w:rsid w:val="00C52739"/>
    <w:rsid w:val="00C827FF"/>
    <w:rsid w:val="00C85D0F"/>
    <w:rsid w:val="00C86A7C"/>
    <w:rsid w:val="00C87806"/>
    <w:rsid w:val="00CD34AC"/>
    <w:rsid w:val="00D06C13"/>
    <w:rsid w:val="00D127A4"/>
    <w:rsid w:val="00D54440"/>
    <w:rsid w:val="00D77C50"/>
    <w:rsid w:val="00D97022"/>
    <w:rsid w:val="00DE19FF"/>
    <w:rsid w:val="00E81BA6"/>
    <w:rsid w:val="00E856D2"/>
    <w:rsid w:val="00E929A7"/>
    <w:rsid w:val="00EA6D13"/>
    <w:rsid w:val="00EC32D4"/>
    <w:rsid w:val="00FC6460"/>
    <w:rsid w:val="00FD0D14"/>
    <w:rsid w:val="00FD2A43"/>
    <w:rsid w:val="00FD4BC4"/>
    <w:rsid w:val="00FE43E3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D26F0F"/>
  <w15:chartTrackingRefBased/>
  <w15:docId w15:val="{926394A3-936B-4CBD-BC26-143BD8FB5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94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E856D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347D2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styleId="Header">
    <w:name w:val="header"/>
    <w:basedOn w:val="Normal"/>
    <w:link w:val="HeaderChar"/>
    <w:semiHidden/>
    <w:rsid w:val="005C0BDF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E81BA6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347D2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table" w:styleId="TableGrid">
    <w:name w:val="Table Grid"/>
    <w:basedOn w:val="TableNormal"/>
    <w:rsid w:val="00174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746D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746D0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746D0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E856D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E856D2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313E7"/>
    <w:pPr>
      <w:spacing w:after="240"/>
      <w:ind w:left="567" w:hanging="567"/>
    </w:pPr>
  </w:style>
  <w:style w:type="paragraph" w:customStyle="1" w:styleId="EPFooter">
    <w:name w:val="EPFooter"/>
    <w:basedOn w:val="Normal"/>
    <w:rsid w:val="00347D2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5C0BDF"/>
    <w:rPr>
      <w:sz w:val="24"/>
    </w:rPr>
  </w:style>
  <w:style w:type="paragraph" w:styleId="Footer">
    <w:name w:val="footer"/>
    <w:basedOn w:val="Normal"/>
    <w:link w:val="FooterChar"/>
    <w:semiHidden/>
    <w:rsid w:val="007E0B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7E0BB6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3D33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D337D"/>
    <w:rPr>
      <w:rFonts w:ascii="Segoe UI" w:hAnsi="Segoe UI" w:cs="Segoe UI"/>
      <w:sz w:val="18"/>
      <w:szCs w:val="18"/>
    </w:rPr>
  </w:style>
  <w:style w:type="character" w:customStyle="1" w:styleId="NormalHanging12aChar">
    <w:name w:val="NormalHanging12a Char"/>
    <w:basedOn w:val="DefaultParagraphFont"/>
    <w:link w:val="NormalHanging12a"/>
    <w:rsid w:val="003D337D"/>
    <w:rPr>
      <w:sz w:val="24"/>
    </w:rPr>
  </w:style>
  <w:style w:type="paragraph" w:styleId="FootnoteText">
    <w:name w:val="footnote text"/>
    <w:basedOn w:val="Normal"/>
    <w:link w:val="FootnoteTextChar"/>
    <w:rsid w:val="003D337D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3D337D"/>
  </w:style>
  <w:style w:type="character" w:styleId="FootnoteReference">
    <w:name w:val="footnote reference"/>
    <w:basedOn w:val="DefaultParagraphFont"/>
    <w:rsid w:val="003D337D"/>
    <w:rPr>
      <w:vertAlign w:val="superscript"/>
    </w:rPr>
  </w:style>
  <w:style w:type="paragraph" w:customStyle="1" w:styleId="RollCallSymbols14pt">
    <w:name w:val="RollCallSymbols14pt"/>
    <w:basedOn w:val="Normal"/>
    <w:rsid w:val="00690B3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690B3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690B3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690B38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6E7B18"/>
    <w:pPr>
      <w:spacing w:after="480"/>
    </w:pPr>
  </w:style>
  <w:style w:type="paragraph" w:customStyle="1" w:styleId="NormalBoldCenter">
    <w:name w:val="NormalBoldCenter"/>
    <w:basedOn w:val="Normal"/>
    <w:rsid w:val="006E7B18"/>
    <w:pPr>
      <w:jc w:val="center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39879-9B0F-4169-8E5A-467168F59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1492</Words>
  <Characters>9266</Characters>
  <Application>Microsoft Office Word</Application>
  <DocSecurity>0</DocSecurity>
  <Lines>247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</vt:lpstr>
    </vt:vector>
  </TitlesOfParts>
  <Company/>
  <LinksUpToDate>false</LinksUpToDate>
  <CharactersWithSpaces>10685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</dc:title>
  <dc:creator>European Parliament</dc:creator>
  <cp:lastModifiedBy>European Parliament</cp:lastModifiedBy>
  <cp:revision>2</cp:revision>
  <cp:lastPrinted>2004-10-28T10:33:00Z</cp:lastPrinted>
  <dcterms:created xsi:type="dcterms:W3CDTF">2024-02-07T09:22:00Z</dcterms:created>
  <dcterms:modified xsi:type="dcterms:W3CDTF">2024-02-07T09:22:00Z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1294966</vt:lpwstr>
  </property>
  <property fmtid="{D5CDD505-2E9C-101B-9397-08002B2CF9AE}" pid="4" name="&lt;Model&gt;">
    <vt:lpwstr>PA_NonLeg</vt:lpwstr>
  </property>
  <property fmtid="{D5CDD505-2E9C-101B-9397-08002B2CF9AE}" pid="5" name="&lt;ModelCod&gt;">
    <vt:lpwstr>\\eiciBRUpr1\pdocep$\DocEP\DOCS\General\PA\PA_NonLeg\PA_NonLeg.dotx(18/09/2023 11:25:02)</vt:lpwstr>
  </property>
  <property fmtid="{D5CDD505-2E9C-101B-9397-08002B2CF9AE}" pid="6" name="&lt;ModelTra&gt;">
    <vt:lpwstr>\\eiciBRUpr1\pdocep$\DocEP\TRANSFIL\EN\PA_NonLeg.EN(18/09/2023 11:08:01)</vt:lpwstr>
  </property>
  <property fmtid="{D5CDD505-2E9C-101B-9397-08002B2CF9AE}" pid="7" name="&lt;Type&gt;">
    <vt:lpwstr>AD</vt:lpwstr>
  </property>
  <property fmtid="{D5CDD505-2E9C-101B-9397-08002B2CF9AE}" pid="8" name="Created with">
    <vt:lpwstr>9.16.1 Build [20230915]</vt:lpwstr>
  </property>
  <property fmtid="{D5CDD505-2E9C-101B-9397-08002B2CF9AE}" pid="9" name="FooterPath">
    <vt:lpwstr>AD\1294966PL.docx</vt:lpwstr>
  </property>
  <property fmtid="{D5CDD505-2E9C-101B-9397-08002B2CF9AE}" pid="10" name="LastEdited with">
    <vt:lpwstr>9.17.1 Build [20240111]</vt:lpwstr>
  </property>
  <property fmtid="{D5CDD505-2E9C-101B-9397-08002B2CF9AE}" pid="11" name="PE number">
    <vt:lpwstr>754.839</vt:lpwstr>
  </property>
  <property fmtid="{D5CDD505-2E9C-101B-9397-08002B2CF9AE}" pid="12" name="SDLStudio">
    <vt:lpwstr/>
  </property>
  <property fmtid="{D5CDD505-2E9C-101B-9397-08002B2CF9AE}" pid="13" name="SendToEpades">
    <vt:lpwstr>OK - 2024/01/25 11:13</vt:lpwstr>
  </property>
  <property fmtid="{D5CDD505-2E9C-101B-9397-08002B2CF9AE}" pid="14" name="Bookout">
    <vt:lpwstr>OK - 2024/02/07 10:22</vt:lpwstr>
  </property>
</Properties>
</file>