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5677B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AF7039" w:rsidRDefault="00BE1CAD" w:rsidP="00C85D0F">
            <w:pPr>
              <w:pStyle w:val="EPName"/>
            </w:pPr>
            <w:bookmarkStart w:id="0" w:name="_GoBack"/>
            <w:bookmarkEnd w:id="0"/>
            <w:r>
              <w:t>Parlamento Europeu</w:t>
            </w:r>
          </w:p>
          <w:p w:rsidR="00854CAC" w:rsidRPr="00AF7039" w:rsidRDefault="00BE1CAD" w:rsidP="0024239A">
            <w:pPr>
              <w:pStyle w:val="EPTerm"/>
            </w:pPr>
            <w:r>
              <w:t>2019</w:t>
            </w:r>
            <w:r>
              <w:noBreakHyphen/>
            </w:r>
            <w:r>
              <w:t>2024</w:t>
            </w:r>
          </w:p>
        </w:tc>
        <w:tc>
          <w:tcPr>
            <w:tcW w:w="2268" w:type="dxa"/>
            <w:shd w:val="clear" w:color="auto" w:fill="auto"/>
          </w:tcPr>
          <w:p w:rsidR="00854CAC" w:rsidRPr="00AF7039" w:rsidRDefault="00BE1CAD" w:rsidP="00C85D0F">
            <w:pPr>
              <w:pStyle w:val="EPLogo"/>
            </w:pPr>
            <w:r w:rsidRPr="00AF703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AF7039" w:rsidRDefault="001746D0" w:rsidP="001746D0">
      <w:pPr>
        <w:pStyle w:val="LineTop"/>
      </w:pPr>
    </w:p>
    <w:p w:rsidR="001746D0" w:rsidRPr="00AF7039" w:rsidRDefault="00BE1CAD" w:rsidP="001746D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{FEMM}</w:t>
      </w:r>
      <w:r>
        <w:t>Comissão dos Direitos das Mulheres e da Igualdade dos Géneros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1746D0" w:rsidRPr="00AF7039" w:rsidRDefault="001746D0" w:rsidP="001746D0">
      <w:pPr>
        <w:pStyle w:val="LineBottom"/>
      </w:pPr>
    </w:p>
    <w:p w:rsidR="002E2F2E" w:rsidRPr="00AF7039" w:rsidRDefault="00BE1CAD">
      <w:pPr>
        <w:pStyle w:val="CoverReference"/>
      </w:pPr>
      <w:r>
        <w:rPr>
          <w:rStyle w:val="HideTWBExt"/>
          <w:b w:val="0"/>
        </w:rPr>
        <w:t>&lt;RefProc&gt;</w:t>
      </w:r>
      <w:r>
        <w:t>2023/2152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:rsidR="002E2F2E" w:rsidRPr="00AF7039" w:rsidRDefault="00BE1CAD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{25/01/2024}</w:t>
      </w:r>
      <w:r>
        <w:t>25.1.2024</w:t>
      </w:r>
      <w:r>
        <w:rPr>
          <w:rStyle w:val="HideTWBExt"/>
        </w:rPr>
        <w:t>&lt;/Date&gt;</w:t>
      </w:r>
    </w:p>
    <w:p w:rsidR="002E2F2E" w:rsidRPr="00AF7039" w:rsidRDefault="00BE1CAD">
      <w:pPr>
        <w:pStyle w:val="CoverDocType24a"/>
      </w:pPr>
      <w:r>
        <w:rPr>
          <w:rStyle w:val="HideTWBExt"/>
          <w:b w:val="0"/>
        </w:rPr>
        <w:t>&lt;TitreType&gt;</w:t>
      </w:r>
      <w:r>
        <w:t>PARECER</w:t>
      </w:r>
      <w:r>
        <w:rPr>
          <w:rStyle w:val="HideTWBExt"/>
          <w:b w:val="0"/>
        </w:rPr>
        <w:t>&lt;/TitreType&gt;</w:t>
      </w:r>
    </w:p>
    <w:p w:rsidR="002E2F2E" w:rsidRPr="00AF7039" w:rsidRDefault="00BE1CAD">
      <w:pPr>
        <w:pStyle w:val="CoverNormal24a"/>
      </w:pPr>
      <w:r>
        <w:rPr>
          <w:rStyle w:val="HideTWBExt"/>
        </w:rPr>
        <w:t>&lt;CommissionResp&gt;</w:t>
      </w:r>
      <w:r>
        <w:t>da Comissão dos Direitos das Mulheres e da Igualdade dos Géneros</w:t>
      </w:r>
      <w:r>
        <w:rPr>
          <w:rStyle w:val="HideTWBExt"/>
        </w:rPr>
        <w:t>&lt;/CommissionResp&gt;</w:t>
      </w:r>
    </w:p>
    <w:p w:rsidR="002E2F2E" w:rsidRPr="00AF7039" w:rsidRDefault="00BE1CAD">
      <w:pPr>
        <w:pStyle w:val="CoverNormal24a"/>
      </w:pPr>
      <w:r>
        <w:rPr>
          <w:rStyle w:val="HideTWBExt"/>
        </w:rPr>
        <w:t>&lt;CommissionInt&gt;</w:t>
      </w:r>
      <w:r>
        <w:t>dirigido à Comissão do Controlo Orçamental</w:t>
      </w:r>
      <w:r>
        <w:rPr>
          <w:rStyle w:val="HideTWBExt"/>
        </w:rPr>
        <w:t>&lt;/CommissionInt&gt;</w:t>
      </w:r>
    </w:p>
    <w:p w:rsidR="002E2F2E" w:rsidRPr="00AF7039" w:rsidRDefault="00BE1CAD">
      <w:pPr>
        <w:pStyle w:val="CoverNormal"/>
      </w:pPr>
      <w:r>
        <w:rPr>
          <w:rStyle w:val="HideTWBExt"/>
        </w:rPr>
        <w:t>&lt;Titre&gt;</w:t>
      </w:r>
      <w:r>
        <w:t>sobre a quitação 2022: Instituto Europeu para a Igualdade de Género</w:t>
      </w:r>
      <w:r>
        <w:rPr>
          <w:rStyle w:val="HideTWBExt"/>
        </w:rPr>
        <w:t>&lt;/Titre&gt;</w:t>
      </w:r>
    </w:p>
    <w:p w:rsidR="002E2F2E" w:rsidRPr="00AF7039" w:rsidRDefault="00BE1CAD"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DocRef&gt;</w:t>
      </w:r>
      <w:r>
        <w:t>(2023/2152(DEC))</w:t>
      </w:r>
      <w:r>
        <w:rPr>
          <w:rStyle w:val="HideTWBExt"/>
        </w:rPr>
        <w:t>&lt;/DocRef&gt;</w:t>
      </w:r>
    </w:p>
    <w:p w:rsidR="002E2F2E" w:rsidRPr="00AF7039" w:rsidRDefault="00BE1CAD">
      <w:pPr>
        <w:pStyle w:val="CoverNormal24a"/>
      </w:pPr>
      <w:r>
        <w:t xml:space="preserve">Relator de parecer: </w:t>
      </w:r>
      <w:r>
        <w:rPr>
          <w:rStyle w:val="HideTWBExt"/>
        </w:rPr>
        <w:t>&lt;Depute&gt;</w:t>
      </w:r>
      <w:r>
        <w:t>Robert Biedroń</w:t>
      </w:r>
      <w:r>
        <w:rPr>
          <w:rStyle w:val="HideTWBExt"/>
        </w:rPr>
        <w:t>&lt;/Depute&gt;</w:t>
      </w:r>
    </w:p>
    <w:p w:rsidR="00A72C35" w:rsidRPr="00AF7039" w:rsidRDefault="00A72C35" w:rsidP="00A72C35">
      <w:pPr>
        <w:pStyle w:val="CoverNormal"/>
      </w:pPr>
    </w:p>
    <w:p w:rsidR="002E2F2E" w:rsidRPr="00AF7039" w:rsidRDefault="00BE1CAD" w:rsidP="00E856D2">
      <w:pPr>
        <w:widowControl/>
        <w:tabs>
          <w:tab w:val="center" w:pos="4677"/>
        </w:tabs>
      </w:pPr>
      <w:r>
        <w:br w:type="page"/>
      </w:r>
      <w:r>
        <w:lastRenderedPageBreak/>
        <w:t>PA_NonLeg</w:t>
      </w:r>
    </w:p>
    <w:p w:rsidR="002E2F2E" w:rsidRPr="00AF7039" w:rsidRDefault="00BE1CAD">
      <w:pPr>
        <w:pStyle w:val="PageHeadingNotTOC"/>
      </w:pPr>
      <w:r>
        <w:br w:type="page"/>
      </w:r>
      <w:r>
        <w:lastRenderedPageBreak/>
        <w:t>SUGESTÕES</w:t>
      </w:r>
    </w:p>
    <w:p w:rsidR="006B7E3D" w:rsidRPr="00C87806" w:rsidRDefault="00BE1CAD" w:rsidP="006B7E3D">
      <w:pPr>
        <w:pStyle w:val="Normal12a"/>
      </w:pPr>
      <w:r>
        <w:t xml:space="preserve">A Comissão dos Direitos das Mulheres e da Igualdade dos Géneros insta a Comissão do Controlo Orçamental, competente quanto à matéria de fundo, a </w:t>
      </w:r>
      <w:r>
        <w:t>incorporar as seguintes sugestões na proposta de resolução que aprovar:</w:t>
      </w:r>
    </w:p>
    <w:p w:rsidR="006B7E3D" w:rsidRPr="00C87806" w:rsidRDefault="00BE1CAD" w:rsidP="006B7E3D">
      <w:pPr>
        <w:pStyle w:val="NormalHanging12a"/>
        <w:rPr>
          <w:szCs w:val="24"/>
        </w:rPr>
      </w:pPr>
      <w:r>
        <w:t>A.</w:t>
      </w:r>
      <w:r>
        <w:tab/>
        <w:t>Considerando que o artigo 8.º do TFUE estipula que, na realização de todas as suas ações, a União terá por objetivo eliminar as desigualdades, estabelecendo o princípio da integraçã</w:t>
      </w:r>
      <w:r>
        <w:t>o da perspetiva de género e promovendo a igualdade entre homens e mulheres; que a igualdade de género deve ser incorporada em todas as políticas da UE, nomeadamente através de uma orçamentação sensível ao género em todos os níveis do processo orçamental;</w:t>
      </w:r>
    </w:p>
    <w:p w:rsidR="006B7E3D" w:rsidRPr="00C87806" w:rsidRDefault="00BE1CAD" w:rsidP="006B7E3D">
      <w:pPr>
        <w:pStyle w:val="NormalHanging12a"/>
        <w:rPr>
          <w:szCs w:val="24"/>
        </w:rPr>
      </w:pPr>
      <w:r>
        <w:t>B</w:t>
      </w:r>
      <w:r>
        <w:t>.</w:t>
      </w:r>
      <w:r>
        <w:tab/>
        <w:t>Considerando que o pessoal do Instituto Europeu para a Igualdade de Género (EIGE) está ativamente empenhado no intercâmbio de boas práticas e nas atividades da Rede de Agências da UE (EUAN) e respetivas subredes, com vista a desenvolver as suas sinergias</w:t>
      </w:r>
      <w:r>
        <w:t>, por exemplo no domínio dos recursos humanos, da gestão de edifícios, dos serviços e da segurança informática, da cooperação e do intercâmbio de boas práticas com outras agências da União a fim de melhorar a eficiência; que o EIGE tem dado proativamente p</w:t>
      </w:r>
      <w:r>
        <w:t>assos para pôr em prática as medidas em vigor destinadas a melhorar o equilíbrio de género entre o seu pessoal;</w:t>
      </w:r>
    </w:p>
    <w:p w:rsidR="006B7E3D" w:rsidRPr="00C87806" w:rsidRDefault="00BE1CAD" w:rsidP="006B7E3D">
      <w:pPr>
        <w:pStyle w:val="NormalHanging12a"/>
        <w:rPr>
          <w:szCs w:val="24"/>
        </w:rPr>
      </w:pPr>
      <w:r>
        <w:t>C.</w:t>
      </w:r>
      <w:r>
        <w:tab/>
        <w:t>Considerando que o Índice de Igualdade de Género de 2023 vem demonstrar que se registou um aumento modesto de apenas 1,6 pontos nos Estados</w:t>
      </w:r>
      <w:r>
        <w:noBreakHyphen/>
      </w:r>
      <w:r>
        <w:t>M</w:t>
      </w:r>
      <w:r>
        <w:t>embros, tendo o índice atingido os 70,2 pontos, e que alguns domínios dão sinais de retrocesso, em particular os indicadores económicos e de rendimento</w:t>
      </w:r>
      <w:r>
        <w:rPr>
          <w:vertAlign w:val="superscript"/>
        </w:rPr>
        <w:footnoteReference w:id="1"/>
      </w:r>
      <w:r>
        <w:t xml:space="preserve">; que o Instituto Europeu para a Igualdade de Género foi criado para contribuir para a promoção e </w:t>
      </w:r>
      <w:r>
        <w:t>reforço da igualdade de género na União, e nomeadamente para integrar a dimensão de género em todas as políticas da União e nas políticas nacionais daí resultantes, para lutar contra a discriminação em razão do género e para sensibilizar os cidadãos da Uni</w:t>
      </w:r>
      <w:r>
        <w:t xml:space="preserve">ão para a igualdade de género; </w:t>
      </w:r>
    </w:p>
    <w:p w:rsidR="006B7E3D" w:rsidRPr="00C87806" w:rsidRDefault="00BE1CAD" w:rsidP="006B7E3D">
      <w:pPr>
        <w:pStyle w:val="NormalHanging12a"/>
        <w:rPr>
          <w:szCs w:val="24"/>
        </w:rPr>
      </w:pPr>
      <w:r>
        <w:t>D.</w:t>
      </w:r>
      <w:r>
        <w:tab/>
        <w:t>Considerando que é cada vez mais urgente que a União dê seguimento à sua Estratégia para a Igualdade de Género, à luz das crises atuais como as guerras, a crise climática, a inflação e o retrocesso nos direitos das mulher</w:t>
      </w:r>
      <w:r>
        <w:t>es, em especial em matéria de saúde e direitos sexuais e reprodutivos (SDSR) na União e em todo o mundo; que as crises atuais e subsequentes poderão trazer consigo o risco de que abrandem os esforços para se alcançar a igualdade de género e que as mulheres</w:t>
      </w:r>
      <w:r>
        <w:t xml:space="preserve"> se vejam impedidas de usufruírem plenamente dos seus direitos; que as mulheres da UE são mais gravemente afetadas pela pobreza ou pela exclusão social do que os homens; que o papel de prestadoras de cuidados primários no seio da família impõe às mulheres,</w:t>
      </w:r>
      <w:r>
        <w:t xml:space="preserve"> que desempenham um papel vital neste domínio, uma carga desproporcionada de cuidados prestados e trabalho doméstico sem remuneração; que a diferença salarial entre homens e mulheres na UE é de 13 %, registando</w:t>
      </w:r>
      <w:r>
        <w:noBreakHyphen/>
      </w:r>
      <w:r>
        <w:t>se variações entre os Estados</w:t>
      </w:r>
      <w:r>
        <w:noBreakHyphen/>
      </w:r>
      <w:r>
        <w:t>Membros; que es</w:t>
      </w:r>
      <w:r>
        <w:t xml:space="preserve">ta disparidade salarial entre homens e mulheres tem uma série de implicações, nomeadamente uma diferença de 29 % nos direitos de pensão correspondentes, </w:t>
      </w:r>
      <w:r>
        <w:lastRenderedPageBreak/>
        <w:t>colocando as mulheres idosas em maior risco de pobreza e exclusão social; que o direito a salário igual</w:t>
      </w:r>
      <w:r>
        <w:t xml:space="preserve"> para trabalho igual nem sempre está garantido e continua a ser um dos maiores desafios a enfrentar nos esforços para eliminar a discriminação salarial; que é de primordial importância combater a discriminação entre homens e mulheres no acesso ao emprego e</w:t>
      </w:r>
      <w:r>
        <w:t xml:space="preserve"> no trabalho, bem como promover a igualdade na carreira e nas categorias profissionais no âmbito da formação profissional; que os Estados</w:t>
      </w:r>
      <w:r>
        <w:noBreakHyphen/>
      </w:r>
      <w:r>
        <w:t>Membros devem aumentar o investimento público em políticas que, direta ou indiretamente, visem combater os efeitos neg</w:t>
      </w:r>
      <w:r>
        <w:t>ativos da crise no custo de vida para as mulheres em toda a sua diversidade, garantir o acesso a serviços públicos de elevada qualidade e a preço acessível na prestação de cuidados, educação, habitação, saúde – incluindo a saúde e direitos sexuais e reprod</w:t>
      </w:r>
      <w:r>
        <w:t>utivos – e proteger as vítimas de violência de género;</w:t>
      </w:r>
    </w:p>
    <w:p w:rsidR="006B7E3D" w:rsidRPr="00C87806" w:rsidRDefault="00BE1CAD" w:rsidP="006B7E3D">
      <w:pPr>
        <w:pStyle w:val="NormalHanging12a"/>
        <w:rPr>
          <w:szCs w:val="24"/>
        </w:rPr>
      </w:pPr>
      <w:r>
        <w:t>E.</w:t>
      </w:r>
      <w:r>
        <w:tab/>
        <w:t>Considerando que o orçamento definitivo do Instituto Europeu para a Igualdade de Género para o exercício de 2022 foi de 8 432 920 euros, o que representa uma quebra de 3 % em relação a 2021 (8 693 3</w:t>
      </w:r>
      <w:r>
        <w:t>58 euros); que o orçamento do Instituto provém integralmente do orçamento da União;</w:t>
      </w:r>
    </w:p>
    <w:p w:rsidR="006B7E3D" w:rsidRPr="00C87806" w:rsidRDefault="00BE1CAD" w:rsidP="006B7E3D">
      <w:pPr>
        <w:pStyle w:val="NormalHanging12a"/>
        <w:rPr>
          <w:szCs w:val="24"/>
        </w:rPr>
      </w:pPr>
      <w:r>
        <w:t>1.</w:t>
      </w:r>
      <w:r>
        <w:tab/>
        <w:t xml:space="preserve">Recorda que o EIGE foi criado com o objetivo de contribuir para e reforçar a promoção da igualdade de género na União, através da disponibilização de dados de qualidade </w:t>
      </w:r>
      <w:r>
        <w:t>resultantes da investigação e comparáveis, a fim de ajudar as instituições europeias e os Estados</w:t>
      </w:r>
      <w:r>
        <w:noBreakHyphen/>
      </w:r>
      <w:r>
        <w:t>Membros a integrarem a igualdade de género em todas as suas políticas e a combaterem a discriminação em razão do género; destaca, portanto, o papel crucial do</w:t>
      </w:r>
      <w:r>
        <w:t xml:space="preserve"> EIGE na recolha, análise, tratamento e divulgação dos dados e das informações necessárias para os decisores políticos, as políticas da União Europeia e as dos seus respetivos Estados</w:t>
      </w:r>
      <w:r>
        <w:noBreakHyphen/>
      </w:r>
      <w:r>
        <w:t>Membros; louva, em particular, o trabalho contínuo do Instituto no que d</w:t>
      </w:r>
      <w:r>
        <w:t>iz respeito ao Índice de Igualdade de Género e à facilidade de acesso dos cidadãos à informação; destaca a necessidade de uma integração mais forte e mais eficaz das políticas em matéria de igualdade de género e dos instrumentos de integração da dimensão d</w:t>
      </w:r>
      <w:r>
        <w:t>e género; reitera mais uma vez os seus apelos para que os recursos humanos do EIGE sejam reforçados, incluindo o pessoal estatutário, dado o aumento dos pedidos urgentes, das intervenções de assistência técnica e dos pedidos de prestação dos seus serviços;</w:t>
      </w:r>
      <w:r>
        <w:t xml:space="preserve"> solicita, por conseguinte, de novo à Comissão que preveja um aumento do orçamento para o EIGE poder reforçar as suas capacidades de recrutamento e investigação e, assim, continuar a desenvolver o seu trabalho e a obter melhores resultados, tendo em conta </w:t>
      </w:r>
      <w:r>
        <w:t>as crises subsequentes e o retrocesso em matéria de igualdade de género e de direitos das pessoas LGBTIQ+, que afetam as mulheres de forma desproporcionada;</w:t>
      </w:r>
    </w:p>
    <w:p w:rsidR="006B7E3D" w:rsidRPr="00C87806" w:rsidRDefault="00BE1CAD" w:rsidP="006B7E3D">
      <w:pPr>
        <w:pStyle w:val="NormalHanging12a"/>
        <w:rPr>
          <w:szCs w:val="24"/>
        </w:rPr>
      </w:pPr>
      <w:r>
        <w:t>2.</w:t>
      </w:r>
      <w:r>
        <w:tab/>
        <w:t>Salienta a importância de combater as desigualdades e injustiças contra as mulheres; exorta a Co</w:t>
      </w:r>
      <w:r>
        <w:t>missão e os Estados</w:t>
      </w:r>
      <w:r>
        <w:noBreakHyphen/>
      </w:r>
      <w:r>
        <w:t>Membros a tomarem urgentemente medidas para enfrentar a pobreza e as crescentes desigualdades entre as mulheres, especialmente de grupos em situações vulneráveis, incluindo mães solteiras, mulheres com deficiência, mulheres racializadas</w:t>
      </w:r>
      <w:r>
        <w:t>, mulheres LGBTIQ+, mulheres migrantes e refugiadas, mulheres idosas e mulheres de áreas rurais ou escassamente povoadas; regista que tal só poderá ser alcançado dando resposta à necessidade de aumentar o financiamento de ações no domínio da igualdade de g</w:t>
      </w:r>
      <w:r>
        <w:t xml:space="preserve">énero, em termos de emprego e de crescimento, bem como combatendo a violência com base no género e o diferencial nos salários e nas reformas entre homens e mulheres, o impacto das crises nas mulheres, tratando de incluir a </w:t>
      </w:r>
      <w:r>
        <w:lastRenderedPageBreak/>
        <w:t>perspetiva de género e a orçament</w:t>
      </w:r>
      <w:r>
        <w:t>ação sensível ao género, e abordando a crescente taxa de pobreza entre as mulheres e a situação no que respeita aos direitos, à democracia e ao Estado de direito; congratula</w:t>
      </w:r>
      <w:r>
        <w:noBreakHyphen/>
      </w:r>
      <w:r>
        <w:t>se, neste contexto, com a cooperação contínua entre o EIGE e a Comissão dos Direit</w:t>
      </w:r>
      <w:r>
        <w:t>os das Mulheres e da Igualdade dos Géneros (FEMM); salienta os enérgicos esforços e o valioso contributo do EIGE para garantir o cumprimento dos objetivos, valores e prioridades do Parlamento Europeu; apoia firmemente o trabalho desenvolvido pelo Instituto</w:t>
      </w:r>
      <w:r>
        <w:t>, que, mediante a elaboração de estudos, a realização de atividades de investigação e a apresentação de dados de elevada qualidade, permite à Comissão realizar devidamente o seu trabalho; assinala a importância da disponibilização de dados fiáveis repartid</w:t>
      </w:r>
      <w:r>
        <w:t>os por género, que permitam elaborar políticas baseadas em dados concretos; regista o precioso contributo que o EIGE pode dar a todas as comissões do Parlamento Europeu e outras agências da UE com vista a uma melhor integração da perspetiva de género em to</w:t>
      </w:r>
      <w:r>
        <w:t>das as políticas da UE;</w:t>
      </w:r>
    </w:p>
    <w:p w:rsidR="006B7E3D" w:rsidRPr="00C87806" w:rsidRDefault="00BE1CAD" w:rsidP="006B7E3D">
      <w:pPr>
        <w:pStyle w:val="NormalHanging12a"/>
        <w:rPr>
          <w:szCs w:val="24"/>
        </w:rPr>
      </w:pPr>
      <w:r>
        <w:t>3.</w:t>
      </w:r>
      <w:r>
        <w:tab/>
        <w:t>Observa o nível constantemente elevado de execução orçamental do EIGE, apesar da persistente falta de pessoal do Instituto, com uma execução das dotações de autorização de 97,91 % em 2022 (em comparação com 98,92 % em 2021) e uma</w:t>
      </w:r>
      <w:r>
        <w:t xml:space="preserve"> taxa de execução das dotações de pagamento de 81,10 % (72,16 % em 2021);</w:t>
      </w:r>
    </w:p>
    <w:p w:rsidR="006B7E3D" w:rsidRPr="00C87806" w:rsidRDefault="00BE1CAD" w:rsidP="006B7E3D">
      <w:pPr>
        <w:pStyle w:val="NormalHanging12a"/>
        <w:rPr>
          <w:szCs w:val="24"/>
        </w:rPr>
      </w:pPr>
      <w:r>
        <w:t>4.</w:t>
      </w:r>
      <w:r>
        <w:tab/>
        <w:t>Toma nota da diminuição das despesas operacionais transitadas do EIGE para 42,28 % em 2023 (54,79 % em 2022);</w:t>
      </w:r>
    </w:p>
    <w:p w:rsidR="006B7E3D" w:rsidRPr="00C87806" w:rsidRDefault="00BE1CAD" w:rsidP="006B7E3D">
      <w:pPr>
        <w:pStyle w:val="NormalHanging12a"/>
      </w:pPr>
      <w:r>
        <w:t>5.</w:t>
      </w:r>
      <w:r>
        <w:tab/>
        <w:t>Observa que o Tribunal de Contas Europeu confirmou que as contas a</w:t>
      </w:r>
      <w:r>
        <w:t>nuais do EIGE refletem fielmente, em todos os aspetos materialmente relevantes, a sua situação financeira em 31 de dezembro de 2022, bem como os resultados das suas operações, fluxos de caixa e variação da situação líquida do exercício subsequentemente enc</w:t>
      </w:r>
      <w:r>
        <w:t>errado;</w:t>
      </w:r>
    </w:p>
    <w:p w:rsidR="006B7E3D" w:rsidRPr="00C87806" w:rsidRDefault="00BE1CAD" w:rsidP="006B7E3D">
      <w:pPr>
        <w:pStyle w:val="NormalHanging12a"/>
        <w:rPr>
          <w:szCs w:val="24"/>
        </w:rPr>
      </w:pPr>
      <w:r>
        <w:t>6.</w:t>
      </w:r>
      <w:r>
        <w:tab/>
        <w:t>Considera, com base nos dados atualmente disponíveis, que pode ser dada quitação à diretora do EIGE pela execução do orçamento do Instituto para o exercício de 2022.</w:t>
      </w:r>
    </w:p>
    <w:p w:rsidR="006B7E3D" w:rsidRPr="00C87806" w:rsidRDefault="00BE1CAD" w:rsidP="006B7E3D">
      <w:r>
        <w:br w:type="page"/>
      </w:r>
    </w:p>
    <w:p w:rsidR="006B7E3D" w:rsidRPr="00C87806" w:rsidRDefault="00BE1CAD" w:rsidP="006B7E3D">
      <w:pPr>
        <w:pStyle w:val="PageHeadingNotTOC"/>
        <w:rPr>
          <w:noProof/>
        </w:rPr>
      </w:pPr>
      <w:r>
        <w:t>ANEXO: ENTIDADES OU PESSOAS SINGULARES</w:t>
      </w:r>
      <w:r>
        <w:br/>
        <w:t>DE QUEM O RELATOR DE PARECER RECEBEU C</w:t>
      </w:r>
      <w:r>
        <w:t>ONTRIBUTOS</w:t>
      </w:r>
    </w:p>
    <w:p w:rsidR="006B7E3D" w:rsidRPr="00C87806" w:rsidRDefault="00BE1CAD" w:rsidP="006B7E3D">
      <w:pPr>
        <w:pStyle w:val="Normal24a"/>
      </w:pPr>
      <w:r>
        <w:rPr>
          <w:rStyle w:val="HideTWBExt"/>
        </w:rPr>
        <w:t>&lt;FootprintIntro&gt;</w:t>
      </w:r>
      <w:r>
        <w:t>O presidente, na qualidade de relator de parecer, declara sob a sua responsabilidade exclusiva não ter recebido quaisquer contributos de entidades ou pessoas singulares que, em virtude do artigo 8.º do anexo I do Regimento, deves</w:t>
      </w:r>
      <w:r>
        <w:t>sem ser indicadas no presente anexo.</w:t>
      </w:r>
      <w:r>
        <w:rPr>
          <w:rStyle w:val="HideTWBExt"/>
        </w:rPr>
        <w:t>&lt;/FootprintIntro&gt;</w:t>
      </w:r>
    </w:p>
    <w:p w:rsidR="009221E1" w:rsidRPr="009221E1" w:rsidRDefault="00BE1CAD" w:rsidP="009221E1">
      <w:r>
        <w:br w:type="page"/>
      </w:r>
    </w:p>
    <w:p w:rsidR="009221E1" w:rsidRDefault="00BE1CAD" w:rsidP="009221E1">
      <w:pPr>
        <w:pStyle w:val="PageHeadingNotTOC"/>
      </w:pPr>
      <w:bookmarkStart w:id="1" w:name="ProcPageAD"/>
      <w:r>
        <w:t>INFORMAÇÕES SOBRE A APROVAÇÃO</w:t>
      </w:r>
      <w:r>
        <w:br/>
        <w:t>NA COMISSÃO ENCARREGADA DE EMITIR PARECER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D5677B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BE1C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de aprovação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BE1CA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9221E1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9221E1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9221E1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D5677B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BE1C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Resultado da votação final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BE1CA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9221E1" w:rsidRDefault="00BE1CA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9221E1" w:rsidRDefault="00BE1CA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BE1CA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</w:t>
            </w:r>
          </w:p>
          <w:p w:rsidR="009221E1" w:rsidRDefault="00BE1CA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  <w:p w:rsidR="009221E1" w:rsidRDefault="00BE1CA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5677B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BE1C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Deputados presentes no momento da votação final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BE1CA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Christine Anderson, Robert Biedroń, Vilija Blinkevičiūtė, Annika Bruna, Maria da Graça Carvalho, Margarita de la Pisa Carrión, Gwendoline Delbos</w:t>
            </w:r>
            <w:r>
              <w:rPr>
                <w:color w:val="000000"/>
                <w:sz w:val="20"/>
              </w:rPr>
              <w:noBreakHyphen/>
            </w:r>
            <w:r>
              <w:rPr>
                <w:color w:val="000000"/>
                <w:sz w:val="20"/>
              </w:rPr>
              <w:t>Corfield, Frances Fitzgerald, Lívia Járóka, Arba Kokalari, Alice Kuhnke, Elżbieta Katarzyna Łukacijewska, Andże</w:t>
            </w:r>
            <w:r>
              <w:rPr>
                <w:color w:val="000000"/>
                <w:sz w:val="20"/>
              </w:rPr>
              <w:t>lika Anna Możdżanowska, Johan Nissinen, Carina Ohlsson, Samira Rafaela, Evelyn Regner, Diana Riba i Giner, Eugenia Rodríguez Palop, María Soraya Rodríguez Ramos, Maria Veronica Rossi, Sylwia Spurek, Marco Zullo</w:t>
            </w:r>
          </w:p>
        </w:tc>
      </w:tr>
      <w:tr w:rsidR="00D5677B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BE1C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Suplentes presentes no momento da votação fi</w:t>
            </w:r>
            <w:r>
              <w:rPr>
                <w:b/>
                <w:color w:val="000000"/>
                <w:sz w:val="20"/>
              </w:rPr>
              <w:t>nal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BE1CA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Laura Ballarín Cereza, Sylvie Brunet, Marina Kaljurand, Eleni Stavrou</w:t>
            </w:r>
          </w:p>
        </w:tc>
      </w:tr>
      <w:tr w:rsidR="00D5677B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BE1C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Suplentes (art. 209.º, n.º 7) presentes no momento da votação final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221E1" w:rsidRDefault="00BE1CA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Milan Brglez, Rainer Wieland</w:t>
            </w:r>
          </w:p>
        </w:tc>
      </w:tr>
    </w:tbl>
    <w:p w:rsidR="009221E1" w:rsidRPr="006B7E3D" w:rsidRDefault="009221E1" w:rsidP="006B7E3D"/>
    <w:bookmarkEnd w:id="1"/>
    <w:p w:rsidR="006B7E3D" w:rsidRDefault="006B7E3D" w:rsidP="006B7E3D">
      <w:pPr>
        <w:sectPr w:rsidR="006B7E3D" w:rsidSect="006B7E3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6B7E3D" w:rsidRPr="0099178F" w:rsidRDefault="00BE1CAD" w:rsidP="00C36610">
      <w:pPr>
        <w:pStyle w:val="PageHeadingNotTOC"/>
      </w:pPr>
      <w:bookmarkStart w:id="2" w:name="RollCallPageAD"/>
      <w:r>
        <w:t>VOTAÇÃO NOMINAL FINAL</w:t>
      </w:r>
      <w:r>
        <w:br/>
        <w:t>NA COMISSÃO ENCARREGADA DE EMITIR PARECER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5677B" w:rsidTr="000C36D6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B7E3D" w:rsidRPr="00C87806" w:rsidRDefault="00BE1CAD" w:rsidP="000C36D6">
            <w:pPr>
              <w:pStyle w:val="RollCallVotes"/>
            </w:pPr>
            <w:r>
              <w:t>23</w:t>
            </w:r>
          </w:p>
        </w:tc>
        <w:tc>
          <w:tcPr>
            <w:tcW w:w="7371" w:type="dxa"/>
            <w:shd w:val="pct10" w:color="000000" w:fill="FFFFFF"/>
          </w:tcPr>
          <w:p w:rsidR="006B7E3D" w:rsidRPr="00C87806" w:rsidRDefault="00BE1CAD" w:rsidP="000C36D6">
            <w:pPr>
              <w:pStyle w:val="RollCallSymbols14pt"/>
            </w:pPr>
            <w:r>
              <w:t>+</w:t>
            </w:r>
          </w:p>
        </w:tc>
      </w:tr>
      <w:tr w:rsidR="00D5677B" w:rsidTr="000C36D6">
        <w:trPr>
          <w:cantSplit/>
        </w:trPr>
        <w:tc>
          <w:tcPr>
            <w:tcW w:w="170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Maria da Graça Carvalho, Frances Fitzgerald, Arba Kokalari, Elżbieta Katarzyna Łukacijewska, Eleni Stavrou, Rainer Wieland</w:t>
            </w:r>
          </w:p>
        </w:tc>
      </w:tr>
      <w:tr w:rsidR="00D5677B" w:rsidTr="000C36D6">
        <w:trPr>
          <w:cantSplit/>
        </w:trPr>
        <w:tc>
          <w:tcPr>
            <w:tcW w:w="170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Sylvie Brunet, Samira Rafaela, María Soraya Rodríguez Ramos, Marco Zullo</w:t>
            </w:r>
          </w:p>
        </w:tc>
      </w:tr>
      <w:tr w:rsidR="00D5677B" w:rsidTr="000C36D6">
        <w:trPr>
          <w:cantSplit/>
        </w:trPr>
        <w:tc>
          <w:tcPr>
            <w:tcW w:w="170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 xml:space="preserve">Laura Ballarín Cereza, Robert Biedroń, Vilija </w:t>
            </w:r>
            <w:r>
              <w:t>Blinkevičiūtė, Milan Brglez, Marina Kaljurand, Carina Ohlsson, Evelyn Regner</w:t>
            </w:r>
          </w:p>
        </w:tc>
      </w:tr>
      <w:tr w:rsidR="00D5677B" w:rsidTr="000C36D6">
        <w:trPr>
          <w:cantSplit/>
        </w:trPr>
        <w:tc>
          <w:tcPr>
            <w:tcW w:w="170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Sandra Pereira, Eugenia Rodríguez Palop</w:t>
            </w:r>
          </w:p>
        </w:tc>
      </w:tr>
      <w:tr w:rsidR="00D5677B" w:rsidTr="000C36D6">
        <w:trPr>
          <w:cantSplit/>
        </w:trPr>
        <w:tc>
          <w:tcPr>
            <w:tcW w:w="170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Gwendoline Delbos</w:t>
            </w:r>
            <w:r>
              <w:noBreakHyphen/>
            </w:r>
            <w:r>
              <w:t>Corfield, Alice Kuhnke, Diana Riba i Giner, Sylwia Spurek</w:t>
            </w:r>
          </w:p>
        </w:tc>
      </w:tr>
    </w:tbl>
    <w:p w:rsidR="006B7E3D" w:rsidRPr="00C87806" w:rsidRDefault="006B7E3D" w:rsidP="006B7E3D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5677B" w:rsidTr="000C36D6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B7E3D" w:rsidRPr="00C87806" w:rsidRDefault="00BE1CAD" w:rsidP="000C36D6">
            <w:pPr>
              <w:pStyle w:val="RollCallVotes"/>
            </w:pPr>
            <w:r>
              <w:t>4</w:t>
            </w:r>
          </w:p>
        </w:tc>
        <w:tc>
          <w:tcPr>
            <w:tcW w:w="7371" w:type="dxa"/>
            <w:shd w:val="pct10" w:color="000000" w:fill="FFFFFF"/>
          </w:tcPr>
          <w:p w:rsidR="006B7E3D" w:rsidRPr="00C87806" w:rsidRDefault="00BE1CAD" w:rsidP="000C36D6">
            <w:pPr>
              <w:pStyle w:val="RollCallSymbols14pt"/>
            </w:pPr>
            <w:r>
              <w:noBreakHyphen/>
            </w:r>
          </w:p>
        </w:tc>
      </w:tr>
      <w:tr w:rsidR="00D5677B" w:rsidTr="000C36D6">
        <w:trPr>
          <w:cantSplit/>
        </w:trPr>
        <w:tc>
          <w:tcPr>
            <w:tcW w:w="170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Johan Nissinen, Margarita de la</w:t>
            </w:r>
            <w:r>
              <w:t xml:space="preserve"> Pisa Carrión</w:t>
            </w:r>
          </w:p>
        </w:tc>
      </w:tr>
      <w:tr w:rsidR="00D5677B" w:rsidTr="000C36D6">
        <w:trPr>
          <w:cantSplit/>
        </w:trPr>
        <w:tc>
          <w:tcPr>
            <w:tcW w:w="170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ID</w:t>
            </w:r>
          </w:p>
        </w:tc>
        <w:tc>
          <w:tcPr>
            <w:tcW w:w="737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Christine Anderson, Maria Veronica Rossi</w:t>
            </w:r>
          </w:p>
        </w:tc>
      </w:tr>
    </w:tbl>
    <w:p w:rsidR="006B7E3D" w:rsidRPr="00C87806" w:rsidRDefault="006B7E3D" w:rsidP="006B7E3D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5677B" w:rsidTr="000C36D6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B7E3D" w:rsidRPr="00C87806" w:rsidRDefault="00BE1CAD" w:rsidP="000C36D6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:rsidR="006B7E3D" w:rsidRPr="00C87806" w:rsidRDefault="00BE1CAD" w:rsidP="000C36D6">
            <w:pPr>
              <w:pStyle w:val="RollCallSymbols14pt"/>
            </w:pPr>
            <w:r>
              <w:t>0</w:t>
            </w:r>
          </w:p>
        </w:tc>
      </w:tr>
      <w:tr w:rsidR="00D5677B" w:rsidTr="000C36D6">
        <w:trPr>
          <w:cantSplit/>
        </w:trPr>
        <w:tc>
          <w:tcPr>
            <w:tcW w:w="170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Andżelika Anna Możdżanowska</w:t>
            </w:r>
          </w:p>
        </w:tc>
      </w:tr>
      <w:tr w:rsidR="00D5677B" w:rsidTr="000C36D6">
        <w:trPr>
          <w:cantSplit/>
        </w:trPr>
        <w:tc>
          <w:tcPr>
            <w:tcW w:w="170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6B7E3D" w:rsidRPr="00C87806" w:rsidRDefault="00BE1CAD" w:rsidP="000C36D6">
            <w:pPr>
              <w:pStyle w:val="RollCallTable"/>
            </w:pPr>
            <w:r>
              <w:t>Lívia Járóka</w:t>
            </w:r>
          </w:p>
        </w:tc>
      </w:tr>
    </w:tbl>
    <w:p w:rsidR="006B7E3D" w:rsidRDefault="006B7E3D" w:rsidP="00147FBF">
      <w:pPr>
        <w:pStyle w:val="Normal12a"/>
      </w:pPr>
    </w:p>
    <w:p w:rsidR="006B7E3D" w:rsidRDefault="00BE1CAD" w:rsidP="00B735E3">
      <w:r>
        <w:t>Legenda dos símbolos utilizados:</w:t>
      </w:r>
    </w:p>
    <w:p w:rsidR="006B7E3D" w:rsidRDefault="00BE1CAD" w:rsidP="003858C5">
      <w:pPr>
        <w:pStyle w:val="RollCallTabs"/>
      </w:pPr>
      <w:r>
        <w:t>+</w:t>
      </w:r>
      <w:r>
        <w:tab/>
        <w:t>:</w:t>
      </w:r>
      <w:r>
        <w:tab/>
        <w:t>votos a favor</w:t>
      </w:r>
    </w:p>
    <w:p w:rsidR="006B7E3D" w:rsidRDefault="00BE1CAD" w:rsidP="003858C5">
      <w:pPr>
        <w:pStyle w:val="RollCallTabs"/>
      </w:pPr>
      <w:r>
        <w:noBreakHyphen/>
      </w:r>
      <w:r>
        <w:tab/>
        <w:t>:</w:t>
      </w:r>
      <w:r>
        <w:tab/>
        <w:t>votos contra</w:t>
      </w:r>
    </w:p>
    <w:p w:rsidR="006B7E3D" w:rsidRDefault="00BE1CAD" w:rsidP="003858C5">
      <w:pPr>
        <w:pStyle w:val="RollCallTabs"/>
      </w:pPr>
      <w:r>
        <w:t>0</w:t>
      </w:r>
      <w:r>
        <w:tab/>
        <w:t>:</w:t>
      </w:r>
      <w:r>
        <w:tab/>
        <w:t>abstenções</w:t>
      </w:r>
    </w:p>
    <w:p w:rsidR="006B7E3D" w:rsidRDefault="006B7E3D" w:rsidP="00207509"/>
    <w:bookmarkEnd w:id="2"/>
    <w:p w:rsidR="002E6F98" w:rsidRPr="006B7E3D" w:rsidRDefault="002E6F98" w:rsidP="006B7E3D"/>
    <w:sectPr w:rsidR="002E6F98" w:rsidRPr="006B7E3D" w:rsidSect="006B7E3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E1CAD">
      <w:r>
        <w:separator/>
      </w:r>
    </w:p>
  </w:endnote>
  <w:endnote w:type="continuationSeparator" w:id="0">
    <w:p w:rsidR="00000000" w:rsidRDefault="00BE1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1E1" w:rsidRDefault="00BE1CAD" w:rsidP="009221E1">
    <w:pPr>
      <w:pStyle w:val="EPFooter"/>
    </w:pPr>
    <w:r>
      <w:t>PE</w:t>
    </w:r>
    <w:r w:rsidRPr="009221E1">
      <w:rPr>
        <w:rStyle w:val="HideTWBExt"/>
      </w:rPr>
      <w:t>&lt;NoPE&gt;</w:t>
    </w:r>
    <w:r>
      <w:t>754.839</w:t>
    </w:r>
    <w:r w:rsidRPr="009221E1">
      <w:rPr>
        <w:rStyle w:val="HideTWBExt"/>
      </w:rPr>
      <w:t>&lt;/NoPE&gt;&lt;Version&gt;</w:t>
    </w:r>
    <w:r>
      <w:t>v02</w:t>
    </w:r>
    <w:r>
      <w:noBreakHyphen/>
    </w:r>
    <w:r>
      <w:t>00</w:t>
    </w:r>
    <w:r w:rsidRPr="009221E1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 w:rsidR="006B7E3D">
      <w:fldChar w:fldCharType="begin"/>
    </w:r>
    <w:r>
      <w:instrText xml:space="preserve"> NUMPAGES  \* MERGEFORMAT </w:instrText>
    </w:r>
    <w:r w:rsidR="006B7E3D">
      <w:fldChar w:fldCharType="separate"/>
    </w:r>
    <w:r>
      <w:rPr>
        <w:noProof/>
      </w:rPr>
      <w:t>8</w:t>
    </w:r>
    <w:r w:rsidR="006B7E3D">
      <w:rPr>
        <w:noProof/>
      </w:rPr>
      <w:fldChar w:fldCharType="end"/>
    </w:r>
    <w:r>
      <w:tab/>
    </w:r>
    <w:r w:rsidRPr="009221E1">
      <w:rPr>
        <w:rStyle w:val="HideTWBExt"/>
      </w:rPr>
      <w:t>&lt;PathFdR&gt;</w:t>
    </w:r>
    <w:r>
      <w:t>AD\1294966PT.docx</w:t>
    </w:r>
    <w:r w:rsidRPr="009221E1">
      <w:rPr>
        <w:rStyle w:val="HideTWBExt"/>
      </w:rPr>
      <w:t>&lt;/PathFdR&gt;</w:t>
    </w:r>
  </w:p>
  <w:p w:rsidR="002E2F2E" w:rsidRPr="00AF7039" w:rsidRDefault="00BE1CAD" w:rsidP="009221E1">
    <w:pPr>
      <w:pStyle w:val="EPFooter2"/>
    </w:pPr>
    <w:r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1E1" w:rsidRDefault="00BE1CAD" w:rsidP="009221E1">
    <w:pPr>
      <w:pStyle w:val="EPFooter"/>
    </w:pPr>
    <w:r w:rsidRPr="009221E1">
      <w:rPr>
        <w:rStyle w:val="HideTWBExt"/>
      </w:rPr>
      <w:t>&lt;PathFdR&gt;</w:t>
    </w:r>
    <w:r>
      <w:t>AD\1294966PT.docx</w:t>
    </w:r>
    <w:r w:rsidRPr="009221E1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7</w:t>
    </w:r>
    <w:r>
      <w:fldChar w:fldCharType="end"/>
    </w:r>
    <w:r>
      <w:t>/</w:t>
    </w:r>
    <w:r w:rsidR="006B7E3D">
      <w:fldChar w:fldCharType="begin"/>
    </w:r>
    <w:r>
      <w:instrText xml:space="preserve"> NUMPAGES  \* MERGEFORMAT </w:instrText>
    </w:r>
    <w:r w:rsidR="006B7E3D">
      <w:fldChar w:fldCharType="separate"/>
    </w:r>
    <w:r>
      <w:rPr>
        <w:noProof/>
      </w:rPr>
      <w:t>7</w:t>
    </w:r>
    <w:r w:rsidR="006B7E3D">
      <w:rPr>
        <w:noProof/>
      </w:rPr>
      <w:fldChar w:fldCharType="end"/>
    </w:r>
    <w:r>
      <w:tab/>
      <w:t>PE</w:t>
    </w:r>
    <w:r w:rsidRPr="009221E1">
      <w:rPr>
        <w:rStyle w:val="HideTWBExt"/>
      </w:rPr>
      <w:t>&lt;NoPE&gt;</w:t>
    </w:r>
    <w:r>
      <w:t>754.839</w:t>
    </w:r>
    <w:r w:rsidRPr="009221E1">
      <w:rPr>
        <w:rStyle w:val="HideTWBExt"/>
      </w:rPr>
      <w:t>&lt;/NoPE&gt;&lt;Version&gt;</w:t>
    </w:r>
    <w:r>
      <w:t>v02</w:t>
    </w:r>
    <w:r>
      <w:noBreakHyphen/>
    </w:r>
    <w:r>
      <w:t>00</w:t>
    </w:r>
    <w:r w:rsidRPr="009221E1">
      <w:rPr>
        <w:rStyle w:val="HideTWBExt"/>
      </w:rPr>
      <w:t>&lt;/Version&gt;</w:t>
    </w:r>
  </w:p>
  <w:p w:rsidR="002E2F2E" w:rsidRPr="00AF7039" w:rsidRDefault="00BE1CAD" w:rsidP="009221E1">
    <w:pPr>
      <w:pStyle w:val="EPFooter2"/>
    </w:pPr>
    <w:r>
      <w:tab/>
    </w:r>
    <w:r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1E1" w:rsidRDefault="00BE1CAD" w:rsidP="009221E1">
    <w:pPr>
      <w:pStyle w:val="EPFooter"/>
    </w:pPr>
    <w:r w:rsidRPr="009221E1">
      <w:rPr>
        <w:rStyle w:val="HideTWBExt"/>
      </w:rPr>
      <w:t>&lt;PathFdR&gt;</w:t>
    </w:r>
    <w:r>
      <w:t>AD\1294966PT.docx</w:t>
    </w:r>
    <w:r w:rsidRPr="009221E1">
      <w:rPr>
        <w:rStyle w:val="HideTWBExt"/>
      </w:rPr>
      <w:t>&lt;/PathFdR&gt;</w:t>
    </w:r>
    <w:r>
      <w:tab/>
    </w:r>
    <w:r>
      <w:tab/>
      <w:t>PE</w:t>
    </w:r>
    <w:r w:rsidRPr="009221E1">
      <w:rPr>
        <w:rStyle w:val="HideTWBExt"/>
      </w:rPr>
      <w:t>&lt;NoPE&gt;</w:t>
    </w:r>
    <w:r>
      <w:t>754.839</w:t>
    </w:r>
    <w:r w:rsidRPr="009221E1">
      <w:rPr>
        <w:rStyle w:val="HideTWBExt"/>
      </w:rPr>
      <w:t>&lt;/NoPE&gt;&lt;Version&gt;</w:t>
    </w:r>
    <w:r>
      <w:t>v02</w:t>
    </w:r>
    <w:r>
      <w:noBreakHyphen/>
    </w:r>
    <w:r>
      <w:t>00</w:t>
    </w:r>
    <w:r w:rsidRPr="009221E1">
      <w:rPr>
        <w:rStyle w:val="HideTWBExt"/>
      </w:rPr>
      <w:t>&lt;/Version&gt;</w:t>
    </w:r>
  </w:p>
  <w:p w:rsidR="002E2F2E" w:rsidRPr="00AF7039" w:rsidRDefault="00BE1CAD" w:rsidP="009221E1">
    <w:pPr>
      <w:pStyle w:val="EPFooter2"/>
    </w:pPr>
    <w:r>
      <w:t>PT</w:t>
    </w:r>
    <w:r>
      <w:tab/>
    </w:r>
    <w:r w:rsidRPr="009221E1">
      <w:rPr>
        <w:b w:val="0"/>
        <w:i/>
        <w:color w:val="C0C0C0"/>
        <w:sz w:val="22"/>
      </w:rPr>
      <w:t>Unida na diversidade</w:t>
    </w:r>
    <w:r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277" w:rsidRPr="00AF7039" w:rsidRDefault="00BE1CAD">
      <w:r w:rsidRPr="00AF7039">
        <w:separator/>
      </w:r>
    </w:p>
  </w:footnote>
  <w:footnote w:type="continuationSeparator" w:id="0">
    <w:p w:rsidR="00875277" w:rsidRPr="00AF7039" w:rsidRDefault="00BE1CAD">
      <w:r w:rsidRPr="00AF7039">
        <w:continuationSeparator/>
      </w:r>
    </w:p>
  </w:footnote>
  <w:footnote w:id="1">
    <w:p w:rsidR="006B7E3D" w:rsidRPr="001B265E" w:rsidRDefault="00BE1CAD" w:rsidP="006B7E3D">
      <w:pPr>
        <w:pStyle w:val="FootnoteText"/>
      </w:pPr>
      <w:r>
        <w:rPr>
          <w:rStyle w:val="FootnoteReference"/>
        </w:rPr>
        <w:footnoteRef/>
      </w:r>
      <w:r>
        <w:t xml:space="preserve"> https://eige.europa.eu/gender</w:t>
      </w:r>
      <w:r>
        <w:noBreakHyphen/>
      </w:r>
      <w:r>
        <w:t>equality</w:t>
      </w:r>
      <w:r>
        <w:noBreakHyphen/>
      </w:r>
      <w:r>
        <w:t>index/2023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E3D" w:rsidRDefault="006B7E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E3D" w:rsidRDefault="006B7E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E3D" w:rsidRDefault="006B7E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DECMNU" w:val=" 1"/>
    <w:docVar w:name="CJMNU" w:val="1"/>
    <w:docVar w:name="CODEMNU" w:val=" 7"/>
    <w:docVar w:name="COM2KEY" w:val="CONT"/>
    <w:docVar w:name="COMKEY" w:val="FEMM"/>
    <w:docVar w:name="LastEditedSection" w:val=" 2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9\fbidi \froman\fcharset238\fprq2 Times New Roman CE;}{\f330\fbidi \froman\fcharset204\fprq2 Times New Roman Cyr;}_x000d__x000a_{\f332\fbidi \froman\fcharset161\fprq2 Times New Roman Greek;}{\f333\fbidi \froman\fcharset162\fprq2 Times New Roman Tur;}{\f334\fbidi \froman\fcharset177\fprq2 Times New Roman (Hebrew);}{\f335\fbidi \froman\fcharset178\fprq2 Times New Roman (Arabic);}_x000d__x000a_{\f336\fbidi \froman\fcharset186\fprq2 Times New Roman Baltic;}{\f337\fbidi \froman\fcharset163\fprq2 Times New Roman (Vietnamese);}{\f339\fbidi \fswiss\fcharset238\fprq2 Arial CE;}{\f340\fbidi \fswiss\fcharset204\fprq2 Arial Cyr;}_x000d__x000a_{\f342\fbidi \fswiss\fcharset161\fprq2 Arial Greek;}{\f343\fbidi \fswiss\fcharset162\fprq2 Arial Tur;}{\f344\fbidi \fswiss\fcharset177\fprq2 Arial (Hebrew);}{\f345\fbidi \fswiss\fcharset178\fprq2 Arial (Arabic);}_x000d__x000a_{\f346\fbidi \fswiss\fcharset186\fprq2 Arial Baltic;}{\f347\fbidi \fswiss\fcharset163\fprq2 Arial (Vietnamese);}{\f669\fbidi \froman\fcharset238\fprq2 Cambria Math CE;}{\f670\fbidi \froman\fcharset204\fprq2 Cambria Math Cyr;}_x000d__x000a_{\f672\fbidi \froman\fcharset161\fprq2 Cambria Math Greek;}{\f673\fbidi \froman\fcharset162\fprq2 Cambria Math Tur;}{\f676\fbidi \froman\fcharset186\fprq2 Cambria Math Baltic;}{\f67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520512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2520512 NormalHanging12a;}}{\*\rsidtbl \rsid24658\rsid223860\rsid735077\rsid1718133\rsid2520512\rsid2892074\rsid3565327\rsid4666813\rsid6641733\rsid7823322\rsid9636012\rsid10377208\rsid11215221\rsid11549030_x000d__x000a_\rsid11556552\rsid12154954\rsid14382809\rsid14424199\rsid15204470\rsid15285974\rsid15950462\rsid16324206\rsid16662270}{\mmathPr\mmathFont34\mbrkBin0\mbrkBinSub0\msmallFrac0\mdispDef1\mlMargin0\mrMargin0\mdefJc1\mwrapIndent1440\mintLim0\mnaryLim1}{\info_x000d__x000a_{\author CORISCO Vasco}{\operator CORISCO Vasco}{\creatim\yr2024\mo1\dy25\hr17\min1}{\revtim\yr2024\mo1\dy25\hr17\min1}{\version1}{\edmins0}{\nofpages1}{\nofwords1}{\nofchars12}{\nofcharsws12}{\vern109}}{\*\xmlnstbl {\xmlns1 http://schemas.microsoft.com/o_x000d__x000a_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252051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vcorisc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55655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5565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5565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55655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2520512 \rtlch\fcs1 \af0\afs20\alang1025 \ltrch\fcs0 \fs24\lang2057\langfe2057\cgrid\langnp2057\langfenp2057 {\rtlch\fcs1 \af0 _x000d__x000a_\ltrch\fcs0 \insrsid2520512\charrsid2177812 {\*\bkmkstart restart}#}{\rtlch\fcs1 \af1 \ltrch\fcs0 \cs17\v\f1\fs20\cf15\insrsid2520512\charrsid2177812 NRMSG}{\rtlch\fcs1 \af0 \ltrch\fcs0 \insrsid2520512\charrsid2177812 #.\tab ##}{\rtlch\fcs1 \af0 _x000d__x000a_\ltrch\fcs0 \insrsid2520512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e6_x000d__x000a_9dbfa7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9\fbidi \froman\fcharset238\fprq2 Times New Roman CE;}{\f330\fbidi \froman\fcharset204\fprq2 Times New Roman Cyr;}_x000d__x000a_{\f332\fbidi \froman\fcharset161\fprq2 Times New Roman Greek;}{\f333\fbidi \froman\fcharset162\fprq2 Times New Roman Tur;}{\f334\fbidi \froman\fcharset177\fprq2 Times New Roman (Hebrew);}{\f335\fbidi \froman\fcharset178\fprq2 Times New Roman (Arabic);}_x000d__x000a_{\f336\fbidi \froman\fcharset186\fprq2 Times New Roman Baltic;}{\f337\fbidi \froman\fcharset163\fprq2 Times New Roman (Vietnamese);}{\f669\fbidi \froman\fcharset238\fprq2 Cambria Math CE;}{\f670\fbidi \froman\fcharset204\fprq2 Cambria Math Cyr;}_x000d__x000a_{\f672\fbidi \froman\fcharset161\fprq2 Cambria Math Greek;}{\f673\fbidi \froman\fcharset162\fprq2 Cambria Math Tur;}{\f676\fbidi \froman\fcharset186\fprq2 Cambria Math Baltic;}{\f67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161043 NormalHanging12a;}}{\*\rsidtbl \rsid24658\rsid161043\rsid223860\rsid735077\rsid1718133\rsid2892074\rsid3565327\rsid4666813\rsid6641733\rsid7823322_x000d__x000a_\rsid9636012\rsid10377208\rsid11215221\rsid11346552\rsid11549030\rsid12154954\rsid14382809\rsid14424199\rsid15204470\rsid15285974\rsid15950462\rsid16324206\rsid16662270}{\mmathPr\mmathFont34\mbrkBin0\mbrkBinSub0\msmallFrac0\mdispDef1\mlMargin0\mrMargin0_x000d__x000a_\mdefJc1\mwrapIndent1440\mintLim0\mnaryLim1}{\info{\author CORISCO Vasco}{\operator CORISCO Vasco}{\creatim\yr2024\mo1\dy25\hr17\min1}{\revtim\yr2024\mo1\dy25\hr17\min1}{\version1}{\edmins0}{\nofpages1}{\nofwords5}{\nofchars30}{\nofcharsws34}{\vern109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161043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vcorisco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134655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3465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3465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34655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161043 \rtlch\fcs1 \af0\afs20\alang1025 \ltrch\fcs0 \fs24\lang2057\langfe2057\cgrid\langnp2057\langfenp2057 {\rtlch\fcs1 \af0 \ltrch\fcs0 _x000d__x000a_\insrsid161043\charrsid1525456 {\*\bkmkstart restart}[ZSUGGESTIONNR]\tab [ZSUGGESTIONTEXT]}{\rtlch\fcs1 \af0 \ltrch\fcs0 \insrsid161043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59c2a7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4"/>
    <w:docVar w:name="TXTLANGUE" w:val="PT"/>
    <w:docVar w:name="TXTLANGUEMIN" w:val="pt"/>
    <w:docVar w:name="TXTNRPE" w:val="754.839"/>
    <w:docVar w:name="TXTNRPROC" w:val="2023/2152"/>
    <w:docVar w:name="TXTPEorAP" w:val="PE"/>
    <w:docVar w:name="TXTROUTE" w:val="AD\1294966PT.docx"/>
    <w:docVar w:name="TXTTITLE" w:val="2022 discharge: European Institute for Gender Equality"/>
    <w:docVar w:name="TXTVERSION" w:val="02-00"/>
  </w:docVars>
  <w:rsids>
    <w:rsidRoot w:val="00875277"/>
    <w:rsid w:val="000C36D6"/>
    <w:rsid w:val="000D28B3"/>
    <w:rsid w:val="000E30B9"/>
    <w:rsid w:val="000E7EBF"/>
    <w:rsid w:val="00124F60"/>
    <w:rsid w:val="00135121"/>
    <w:rsid w:val="00140BE6"/>
    <w:rsid w:val="00147F4E"/>
    <w:rsid w:val="00147FBF"/>
    <w:rsid w:val="0016635E"/>
    <w:rsid w:val="001746D0"/>
    <w:rsid w:val="00180131"/>
    <w:rsid w:val="001B265E"/>
    <w:rsid w:val="001B7393"/>
    <w:rsid w:val="001D2ED9"/>
    <w:rsid w:val="001F21C1"/>
    <w:rsid w:val="001F58F2"/>
    <w:rsid w:val="00207509"/>
    <w:rsid w:val="0024239A"/>
    <w:rsid w:val="002A4C66"/>
    <w:rsid w:val="002D28A7"/>
    <w:rsid w:val="002E2F2E"/>
    <w:rsid w:val="002E6F98"/>
    <w:rsid w:val="00325BCB"/>
    <w:rsid w:val="00331944"/>
    <w:rsid w:val="00332AD9"/>
    <w:rsid w:val="00347D2C"/>
    <w:rsid w:val="0037356F"/>
    <w:rsid w:val="003858C5"/>
    <w:rsid w:val="00390EB2"/>
    <w:rsid w:val="00396A0E"/>
    <w:rsid w:val="003E2402"/>
    <w:rsid w:val="004C28FB"/>
    <w:rsid w:val="004C44C0"/>
    <w:rsid w:val="004C4A86"/>
    <w:rsid w:val="004E57F9"/>
    <w:rsid w:val="0052544E"/>
    <w:rsid w:val="00575693"/>
    <w:rsid w:val="005940C3"/>
    <w:rsid w:val="00594C48"/>
    <w:rsid w:val="005B2F11"/>
    <w:rsid w:val="005C0BDF"/>
    <w:rsid w:val="005D60C6"/>
    <w:rsid w:val="005D67F0"/>
    <w:rsid w:val="006102E7"/>
    <w:rsid w:val="00640C1B"/>
    <w:rsid w:val="00652CF2"/>
    <w:rsid w:val="00657AFB"/>
    <w:rsid w:val="006719B9"/>
    <w:rsid w:val="006B7E3D"/>
    <w:rsid w:val="006D5BF7"/>
    <w:rsid w:val="007E0BB6"/>
    <w:rsid w:val="008313E7"/>
    <w:rsid w:val="00854CAC"/>
    <w:rsid w:val="00875277"/>
    <w:rsid w:val="008A32C5"/>
    <w:rsid w:val="008C6203"/>
    <w:rsid w:val="008D61E7"/>
    <w:rsid w:val="008F7002"/>
    <w:rsid w:val="009221E1"/>
    <w:rsid w:val="00950C18"/>
    <w:rsid w:val="0099178F"/>
    <w:rsid w:val="0099493F"/>
    <w:rsid w:val="00A16BEA"/>
    <w:rsid w:val="00A312B3"/>
    <w:rsid w:val="00A72C35"/>
    <w:rsid w:val="00AC646C"/>
    <w:rsid w:val="00AE180F"/>
    <w:rsid w:val="00AF7039"/>
    <w:rsid w:val="00B362F7"/>
    <w:rsid w:val="00B5456B"/>
    <w:rsid w:val="00B735E3"/>
    <w:rsid w:val="00B74B53"/>
    <w:rsid w:val="00BC26E4"/>
    <w:rsid w:val="00BD1EAA"/>
    <w:rsid w:val="00BE1CAD"/>
    <w:rsid w:val="00C36610"/>
    <w:rsid w:val="00C52739"/>
    <w:rsid w:val="00C827FF"/>
    <w:rsid w:val="00C85D0F"/>
    <w:rsid w:val="00C87806"/>
    <w:rsid w:val="00CD34AC"/>
    <w:rsid w:val="00D5677B"/>
    <w:rsid w:val="00D97022"/>
    <w:rsid w:val="00DE19FF"/>
    <w:rsid w:val="00E81BA6"/>
    <w:rsid w:val="00E856D2"/>
    <w:rsid w:val="00E929A7"/>
    <w:rsid w:val="00EA6D13"/>
    <w:rsid w:val="00EC32D4"/>
    <w:rsid w:val="00FC6460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394A3-936B-4CBD-BC26-143BD8FB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7E0B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E0BB6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6B7E3D"/>
    <w:rPr>
      <w:sz w:val="24"/>
    </w:rPr>
  </w:style>
  <w:style w:type="paragraph" w:styleId="FootnoteText">
    <w:name w:val="footnote text"/>
    <w:basedOn w:val="Normal"/>
    <w:link w:val="FootnoteTextChar"/>
    <w:rsid w:val="006B7E3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B7E3D"/>
    <w:rPr>
      <w:lang w:val="pt-PT"/>
    </w:rPr>
  </w:style>
  <w:style w:type="character" w:styleId="FootnoteReference">
    <w:name w:val="footnote reference"/>
    <w:basedOn w:val="DefaultParagraphFont"/>
    <w:rsid w:val="006B7E3D"/>
    <w:rPr>
      <w:vertAlign w:val="superscript"/>
    </w:rPr>
  </w:style>
  <w:style w:type="paragraph" w:customStyle="1" w:styleId="Normal24a">
    <w:name w:val="Normal24a"/>
    <w:basedOn w:val="Normal"/>
    <w:rsid w:val="006B7E3D"/>
    <w:pPr>
      <w:spacing w:after="480"/>
    </w:pPr>
  </w:style>
  <w:style w:type="paragraph" w:customStyle="1" w:styleId="RollCallSymbols14pt">
    <w:name w:val="RollCallSymbols14pt"/>
    <w:basedOn w:val="Normal"/>
    <w:rsid w:val="006B7E3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B7E3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B7E3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B7E3D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8B6AB-2138-4937-873B-941C7CC70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1760</Words>
  <Characters>9370</Characters>
  <Application>Microsoft Office Word</Application>
  <DocSecurity>0</DocSecurity>
  <Lines>204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2004-10-28T10:33:00Z</cp:lastPrinted>
  <dcterms:created xsi:type="dcterms:W3CDTF">2024-02-05T16:40:00Z</dcterms:created>
  <dcterms:modified xsi:type="dcterms:W3CDTF">2024-02-05T16:40:00Z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1294966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\\eiciBRUpr1\pdocep$\DocEP\DOCS\General\PA\PA_NonLeg\PA_NonLeg.dotx(18/09/2023 11:25:02)</vt:lpwstr>
  </property>
  <property fmtid="{D5CDD505-2E9C-101B-9397-08002B2CF9AE}" pid="6" name="&lt;ModelTra&gt;">
    <vt:lpwstr>\\eiciBRUpr1\pdocep$\DocEP\TRANSFIL\EN\PA_NonLeg.EN(18/09/2023 11:08:01)</vt:lpwstr>
  </property>
  <property fmtid="{D5CDD505-2E9C-101B-9397-08002B2CF9AE}" pid="7" name="&lt;Type&gt;">
    <vt:lpwstr>AD</vt:lpwstr>
  </property>
  <property fmtid="{D5CDD505-2E9C-101B-9397-08002B2CF9AE}" pid="8" name="Bookout">
    <vt:lpwstr>OK - 2024/02/05 17:40</vt:lpwstr>
  </property>
  <property fmtid="{D5CDD505-2E9C-101B-9397-08002B2CF9AE}" pid="9" name="Created with">
    <vt:lpwstr>9.16.1 Build [20230915]</vt:lpwstr>
  </property>
  <property fmtid="{D5CDD505-2E9C-101B-9397-08002B2CF9AE}" pid="10" name="FooterPath">
    <vt:lpwstr>AD\1294966PT.docx</vt:lpwstr>
  </property>
  <property fmtid="{D5CDD505-2E9C-101B-9397-08002B2CF9AE}" pid="11" name="LastEdited with">
    <vt:lpwstr>9.17.1 Build [20240101]</vt:lpwstr>
  </property>
  <property fmtid="{D5CDD505-2E9C-101B-9397-08002B2CF9AE}" pid="12" name="PE number">
    <vt:lpwstr>754.839</vt:lpwstr>
  </property>
  <property fmtid="{D5CDD505-2E9C-101B-9397-08002B2CF9AE}" pid="13" name="SDLStudio">
    <vt:lpwstr/>
  </property>
  <property fmtid="{D5CDD505-2E9C-101B-9397-08002B2CF9AE}" pid="14" name="SendToEpades">
    <vt:lpwstr>OK - 2023/10/18 10:49</vt:lpwstr>
  </property>
</Properties>
</file>