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12809" w:rsidTr="00C85D0F">
        <w:trPr>
          <w:trHeight w:hRule="exact" w:val="1418"/>
        </w:trPr>
        <w:tc>
          <w:tcPr>
            <w:tcW w:w="6804" w:type="dxa"/>
            <w:shd w:val="clear" w:color="auto" w:fill="auto"/>
            <w:vAlign w:val="center"/>
          </w:tcPr>
          <w:p w:rsidR="00854CAC" w:rsidRPr="008D2047" w:rsidRDefault="00FC6CE1" w:rsidP="00C85D0F">
            <w:pPr>
              <w:pStyle w:val="EPName"/>
            </w:pPr>
            <w:r>
              <w:t>Parlamentul European</w:t>
            </w:r>
          </w:p>
          <w:p w:rsidR="00854CAC" w:rsidRPr="008D2047" w:rsidRDefault="00FC6CE1" w:rsidP="0024239A">
            <w:pPr>
              <w:pStyle w:val="EPTerm"/>
            </w:pPr>
            <w:r>
              <w:t>2019-2024</w:t>
            </w:r>
          </w:p>
        </w:tc>
        <w:tc>
          <w:tcPr>
            <w:tcW w:w="2268" w:type="dxa"/>
            <w:shd w:val="clear" w:color="auto" w:fill="auto"/>
          </w:tcPr>
          <w:p w:rsidR="00854CAC" w:rsidRPr="008D2047" w:rsidRDefault="00FC6CE1" w:rsidP="00C85D0F">
            <w:pPr>
              <w:pStyle w:val="EPLogo"/>
            </w:pPr>
            <w:r w:rsidRPr="008D20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8D2047" w:rsidRDefault="001746D0" w:rsidP="001746D0">
      <w:pPr>
        <w:pStyle w:val="LineTop"/>
      </w:pPr>
    </w:p>
    <w:p w:rsidR="001746D0" w:rsidRPr="008D2047" w:rsidRDefault="00FC6CE1" w:rsidP="001746D0">
      <w:pPr>
        <w:pStyle w:val="EPBody"/>
      </w:pPr>
      <w:r>
        <w:rPr>
          <w:rStyle w:val="HideTWBExt"/>
        </w:rPr>
        <w:t>&lt;</w:t>
      </w:r>
      <w:r>
        <w:rPr>
          <w:rStyle w:val="HideTWBExt"/>
          <w:i w:val="0"/>
        </w:rPr>
        <w:t>Commission</w:t>
      </w:r>
      <w:r>
        <w:rPr>
          <w:rStyle w:val="HideTWBExt"/>
        </w:rPr>
        <w:t>&gt;</w:t>
      </w:r>
      <w:r>
        <w:rPr>
          <w:rStyle w:val="HideTWBInt"/>
          <w:color w:val="auto"/>
        </w:rPr>
        <w:t>{FEMM}</w:t>
      </w:r>
      <w:r>
        <w:t>Comisia pentru drepturile femeilor și egalitatea de gen</w:t>
      </w:r>
      <w:r>
        <w:rPr>
          <w:rStyle w:val="HideTWBExt"/>
        </w:rPr>
        <w:t>&lt;/</w:t>
      </w:r>
      <w:r>
        <w:rPr>
          <w:rStyle w:val="HideTWBExt"/>
          <w:i w:val="0"/>
        </w:rPr>
        <w:t>Commission</w:t>
      </w:r>
      <w:r>
        <w:rPr>
          <w:rStyle w:val="HideTWBExt"/>
        </w:rPr>
        <w:t>&gt;</w:t>
      </w:r>
    </w:p>
    <w:p w:rsidR="001746D0" w:rsidRPr="008D2047" w:rsidRDefault="001746D0" w:rsidP="001746D0">
      <w:pPr>
        <w:pStyle w:val="LineBottom"/>
      </w:pPr>
    </w:p>
    <w:p w:rsidR="002E2F2E" w:rsidRPr="008D2047" w:rsidRDefault="00FC6CE1">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8D2047" w:rsidRDefault="00FC6CE1">
      <w:pPr>
        <w:pStyle w:val="CoverDate"/>
      </w:pPr>
      <w:r>
        <w:rPr>
          <w:rStyle w:val="HideTWBExt"/>
        </w:rPr>
        <w:t>&lt;Date&gt;</w:t>
      </w:r>
      <w:r>
        <w:rPr>
          <w:rStyle w:val="HideTWBInt"/>
          <w:color w:val="auto"/>
        </w:rPr>
        <w:t>{25/01/2024}</w:t>
      </w:r>
      <w:r>
        <w:t>25.1.2024</w:t>
      </w:r>
      <w:r>
        <w:rPr>
          <w:rStyle w:val="HideTWBExt"/>
        </w:rPr>
        <w:t>&lt;/Date&gt;</w:t>
      </w:r>
    </w:p>
    <w:p w:rsidR="002E2F2E" w:rsidRPr="008D2047" w:rsidRDefault="00FC6CE1">
      <w:pPr>
        <w:pStyle w:val="CoverDocType24a"/>
      </w:pPr>
      <w:r>
        <w:rPr>
          <w:rStyle w:val="HideTWBExt"/>
          <w:b w:val="0"/>
        </w:rPr>
        <w:t>&lt;TitreType&gt;</w:t>
      </w:r>
      <w:r>
        <w:t>AVIZ</w:t>
      </w:r>
      <w:r>
        <w:rPr>
          <w:rStyle w:val="HideTWBExt"/>
          <w:b w:val="0"/>
        </w:rPr>
        <w:t>&lt;/TitreType&gt;</w:t>
      </w:r>
    </w:p>
    <w:p w:rsidR="002E2F2E" w:rsidRPr="008D2047" w:rsidRDefault="00FC6CE1">
      <w:pPr>
        <w:pStyle w:val="CoverNormal24a"/>
      </w:pPr>
      <w:r>
        <w:rPr>
          <w:rStyle w:val="HideTWBExt"/>
        </w:rPr>
        <w:t>&lt;CommissionResp&gt;</w:t>
      </w:r>
      <w:r>
        <w:t>al Comisiei pentru drepturile femeilor și egalitatea de gen</w:t>
      </w:r>
      <w:r>
        <w:rPr>
          <w:rStyle w:val="HideTWBExt"/>
        </w:rPr>
        <w:t>&lt;/CommissionResp&gt;</w:t>
      </w:r>
    </w:p>
    <w:p w:rsidR="002E2F2E" w:rsidRPr="008D2047" w:rsidRDefault="00FC6CE1">
      <w:pPr>
        <w:pStyle w:val="CoverNormal24a"/>
      </w:pPr>
      <w:r>
        <w:rPr>
          <w:rStyle w:val="HideTWBExt"/>
        </w:rPr>
        <w:t>&lt;CommissionInt&gt;</w:t>
      </w:r>
      <w:r>
        <w:t>destinat Comisiei pentru control bugetar</w:t>
      </w:r>
      <w:r>
        <w:rPr>
          <w:rStyle w:val="HideTWBExt"/>
        </w:rPr>
        <w:t>&lt;/CommissionInt&gt;</w:t>
      </w:r>
    </w:p>
    <w:p w:rsidR="002E2F2E" w:rsidRPr="008D2047" w:rsidRDefault="00FC6CE1">
      <w:pPr>
        <w:pStyle w:val="CoverNormal"/>
      </w:pPr>
      <w:r>
        <w:rPr>
          <w:rStyle w:val="HideTWBExt"/>
        </w:rPr>
        <w:t>&lt;Titre&gt;</w:t>
      </w:r>
      <w:r>
        <w:t xml:space="preserve">referitor la descărcarea de gestiune 2022: Institutul European pentru Egalitatea de </w:t>
      </w:r>
      <w:r>
        <w:t>Șanse între Femei și Bărbați</w:t>
      </w:r>
      <w:r>
        <w:rPr>
          <w:rStyle w:val="HideTWBExt"/>
        </w:rPr>
        <w:t>&lt;/Titre&gt;</w:t>
      </w:r>
    </w:p>
    <w:p w:rsidR="002E2F2E" w:rsidRPr="008D2047" w:rsidRDefault="00FC6CE1">
      <w:pPr>
        <w:pStyle w:val="CoverNormal24a"/>
      </w:pPr>
      <w:r>
        <w:rPr>
          <w:rStyle w:val="HideTWBExt"/>
        </w:rPr>
        <w:t>&lt;DocRef&gt;</w:t>
      </w:r>
      <w:r>
        <w:t>(2023/2152(DEC))</w:t>
      </w:r>
      <w:r>
        <w:rPr>
          <w:rStyle w:val="HideTWBExt"/>
        </w:rPr>
        <w:t>&lt;/DocRef&gt;</w:t>
      </w:r>
    </w:p>
    <w:p w:rsidR="002E2F2E" w:rsidRPr="008D2047" w:rsidRDefault="00FC6CE1">
      <w:pPr>
        <w:pStyle w:val="CoverNormal24a"/>
      </w:pPr>
      <w:r>
        <w:t xml:space="preserve">Raportor pentru aviz: </w:t>
      </w:r>
      <w:r>
        <w:rPr>
          <w:rStyle w:val="HideTWBExt"/>
        </w:rPr>
        <w:t>&lt;Depute&gt;</w:t>
      </w:r>
      <w:r>
        <w:t>Robert Biedroń</w:t>
      </w:r>
      <w:r>
        <w:rPr>
          <w:rStyle w:val="HideTWBExt"/>
        </w:rPr>
        <w:t>&lt;/Depute&gt;</w:t>
      </w:r>
    </w:p>
    <w:p w:rsidR="00A72C35" w:rsidRPr="008D2047" w:rsidRDefault="00A72C35" w:rsidP="00A72C35">
      <w:pPr>
        <w:pStyle w:val="CoverNormal"/>
      </w:pPr>
    </w:p>
    <w:p w:rsidR="002E2F2E" w:rsidRPr="008D2047" w:rsidRDefault="00FC6CE1" w:rsidP="00E856D2">
      <w:pPr>
        <w:widowControl/>
        <w:tabs>
          <w:tab w:val="center" w:pos="4677"/>
        </w:tabs>
      </w:pPr>
      <w:r>
        <w:br w:type="page"/>
      </w:r>
      <w:r>
        <w:lastRenderedPageBreak/>
        <w:t>PA_NonLeg</w:t>
      </w:r>
    </w:p>
    <w:p w:rsidR="002E2F2E" w:rsidRPr="008D2047" w:rsidRDefault="00FC6CE1">
      <w:pPr>
        <w:pStyle w:val="PageHeadingNotTOC"/>
      </w:pPr>
      <w:r>
        <w:br w:type="page"/>
      </w:r>
      <w:r>
        <w:lastRenderedPageBreak/>
        <w:t>SUGESTII</w:t>
      </w:r>
    </w:p>
    <w:p w:rsidR="002E2F2E" w:rsidRPr="008D2047" w:rsidRDefault="00FC6CE1" w:rsidP="008313E7">
      <w:pPr>
        <w:pStyle w:val="Normal12a"/>
      </w:pPr>
      <w:r>
        <w:t xml:space="preserve">Comisia pentru drepturile femeilor și egalitatea de gen recomandă Comisiei pentru control bugetar, care este </w:t>
      </w:r>
      <w:r>
        <w:t>comisie competentă, includerea următoarelor sugestii în propunerea de rezoluție ce urmează a fi adoptată:</w:t>
      </w:r>
    </w:p>
    <w:p w:rsidR="003D337D" w:rsidRPr="008D2047" w:rsidRDefault="00FC6CE1" w:rsidP="003D337D">
      <w:pPr>
        <w:pStyle w:val="NormalHanging12a"/>
        <w:rPr>
          <w:szCs w:val="24"/>
        </w:rPr>
      </w:pPr>
      <w:r>
        <w:t>A.</w:t>
      </w:r>
      <w:r>
        <w:tab/>
        <w:t>întrucât articolul 8 din TFUE prevede că, în toate acțiunile sale, Uniunea urmărește să elimine inegalitățile, instituind principiul integrării per</w:t>
      </w:r>
      <w:r>
        <w:t>spectivei de gen și promovând egalitatea de gen între bărbați și femei; întrucât egalitatea de gen trebuie integrată în toate politicile UE, inclusiv prin integrarea dimensiunii de gen în buget la toate nivelurile procesului bugetar;</w:t>
      </w:r>
    </w:p>
    <w:p w:rsidR="003D337D" w:rsidRPr="008D2047" w:rsidRDefault="00FC6CE1" w:rsidP="003D337D">
      <w:pPr>
        <w:pStyle w:val="NormalHanging12a"/>
        <w:rPr>
          <w:szCs w:val="24"/>
        </w:rPr>
      </w:pPr>
      <w:r>
        <w:t>B.</w:t>
      </w:r>
      <w:r>
        <w:tab/>
        <w:t>întrucât personalul</w:t>
      </w:r>
      <w:r>
        <w:t xml:space="preserve"> Institutul European pentru Egalitatea de Șanse între Femei și Bărbați (EIGE) se implică activ în schimbul de bune practici și în activitățile Rețelei agențiilor UE (EUAN) și ale subrețelelor sale, pentru a-și dezvolta sinergiile, cum ar fi resursele umane</w:t>
      </w:r>
      <w:r>
        <w:t>, gestionarea clădirilor, serviciile informatice și securitatea, cooperarea și schimbul de bune practici cu alte agenții ale Uniunii în vederea îmbunătățirii eficienței; întrucât EIGE a luat măsuri proactive pentru a aplica măsurile actuale de îmbunătățire</w:t>
      </w:r>
      <w:r>
        <w:t xml:space="preserve"> a echilibrului de gen în rândul personalului său;</w:t>
      </w:r>
    </w:p>
    <w:p w:rsidR="003D337D" w:rsidRPr="008D2047" w:rsidRDefault="00FC6CE1" w:rsidP="003D337D">
      <w:pPr>
        <w:pStyle w:val="NormalHanging12a"/>
        <w:rPr>
          <w:szCs w:val="24"/>
        </w:rPr>
      </w:pPr>
      <w:r>
        <w:t>C.</w:t>
      </w:r>
      <w:r>
        <w:tab/>
        <w:t>întrucât indicele egalității de gen din 2023 demonstrează că statele membre au înregistrat o creștere modestă de doar 1,6 puncte, ajungând la 70,2, unele domenii prezentând semne de regresie, în special</w:t>
      </w:r>
      <w:r>
        <w:t xml:space="preserve"> în ceea ce privește indicatorii economici și ai veniturilor</w:t>
      </w:r>
      <w:r>
        <w:rPr>
          <w:vertAlign w:val="superscript"/>
        </w:rPr>
        <w:footnoteReference w:id="1"/>
      </w:r>
      <w:r>
        <w:t>; întrucât Institutul European pentru Egalitatea de Șanse între Femei și Bărbați (EIGE) a fost înființat pentru a contribui la promovarea egalității de gen în Uniune și a o consolida, ceea ce pre</w:t>
      </w:r>
      <w:r>
        <w:t xml:space="preserve">supune integrarea dimensiunii de gen în toate politicile Uniunii și în politicile naționale care decurg din acestea, combaterea discriminării de gen și sensibilizarea cetățenilor Uniunii la egalitatea de gen; </w:t>
      </w:r>
    </w:p>
    <w:p w:rsidR="003D337D" w:rsidRPr="008D2047" w:rsidRDefault="00FC6CE1" w:rsidP="003D337D">
      <w:pPr>
        <w:pStyle w:val="NormalHanging12a"/>
        <w:rPr>
          <w:szCs w:val="24"/>
        </w:rPr>
      </w:pPr>
      <w:r>
        <w:t>D.</w:t>
      </w:r>
      <w:r>
        <w:tab/>
        <w:t xml:space="preserve">întrucât este din ce în ce mai urgent ca </w:t>
      </w:r>
      <w:r>
        <w:t>Uniunea să avanseze în ceea ce privește strategia sa privind egalitatea de gen, având în vedere crizele actuale, cum ar fi războaiele, criza climatică, inflația și regresul drepturilor femeilor, în special sănătatea sexuală și reproductivă și drepturile af</w:t>
      </w:r>
      <w:r>
        <w:t>erente (SRHR) în Uniune și la nivel mondial; întrucât crizele actuale și ulterioare riscă să încetinească eforturile de realizare a egalității de gen și să împiedice femeile să se bucure pe deplin de drepturile lor; întrucât femeile din UE sunt afectate ma</w:t>
      </w:r>
      <w:r>
        <w:t>i grav de sărăcie sau de excluziunea socială decât bărbații; întrucât rolul lor de îngrijitoare principale în familie impune femeilor, care joacă un rol esențial în această privință, o sarcină disproporționată de îngrijiri neremunerate și de activități cas</w:t>
      </w:r>
      <w:r>
        <w:t>nice; întrucât diferența de remunerare între femei și bărbați în UE este de 13 %, deși variază de la un stat membru la altul; întrucât diferența de remunerare între femei și bărbați are o serie de implicații, inclusiv o disparitate de 29 % în ceea ce prive</w:t>
      </w:r>
      <w:r>
        <w:t>ște drepturile de pensie, ceea ce expune femeile în vârstă unui risc mai mare de sărăcie și excluziune socială; întrucât dreptul la remunerație egală pentru muncă egală nu este întotdeauna respectat și rămâne una dintre cele mai mari probleme în combaterea</w:t>
      </w:r>
      <w:r>
        <w:t xml:space="preserve"> discriminării salariale; întrucât este esențial să se combată discriminarea între bărbați și femei în ceea ce privește accesul la locuri de muncă și la muncă și să se promoveze egalitatea în carieră și în categoriile profesionale în domeniul formării prof</w:t>
      </w:r>
      <w:r>
        <w:t xml:space="preserve">esionale; </w:t>
      </w:r>
      <w:r>
        <w:lastRenderedPageBreak/>
        <w:t>întrucât statele membre ar trebui să majoreze investițiile publice în politici care urmăresc, direct sau indirect, să contracareze efectele negative ale crizei costului vieții asupra femeilor în toată diversitatea lor, să garanteze accesul la ser</w:t>
      </w:r>
      <w:r>
        <w:t>vicii publice de înaltă calitate și la prețuri abordabile pentru îngrijire, educație, sănătate, inclusiv sănătatea sexuală și reproductivă și drepturile aferente, precum și locuințe și să protejeze victimele violenței de gen;</w:t>
      </w:r>
    </w:p>
    <w:p w:rsidR="003D337D" w:rsidRPr="008D2047" w:rsidRDefault="00FC6CE1" w:rsidP="003D337D">
      <w:pPr>
        <w:pStyle w:val="NormalHanging12a"/>
        <w:rPr>
          <w:szCs w:val="24"/>
        </w:rPr>
      </w:pPr>
      <w:r>
        <w:t>E.</w:t>
      </w:r>
      <w:r>
        <w:tab/>
        <w:t xml:space="preserve">întrucât bugetul definitiv </w:t>
      </w:r>
      <w:r>
        <w:t>al Institutului European pentru Egalitatea de Șanse între Femei și Bărbați („EIGE”) aferent exercițiului financiar 2022 a fost de 8 432 920 EUR, ceea ce reprezintă o creștere de 3 % față de bugetul pentru 2021 (8 693 358 EUR); întrucât bugetul Institutului</w:t>
      </w:r>
      <w:r>
        <w:t xml:space="preserve"> provine în întregime de la bugetul Uniunii,</w:t>
      </w:r>
    </w:p>
    <w:p w:rsidR="003D337D" w:rsidRPr="008D2047" w:rsidRDefault="00FC6CE1" w:rsidP="003D337D">
      <w:pPr>
        <w:pStyle w:val="NormalHanging12a"/>
        <w:rPr>
          <w:szCs w:val="24"/>
        </w:rPr>
      </w:pPr>
      <w:r>
        <w:t>1.</w:t>
      </w:r>
      <w:r>
        <w:tab/>
        <w:t>reamintește că EIGE a fost înființat pentru a contribui la promovarea egalității de gen în Uniune și pentru a o consolida furnizând cercetări de calitate și date comparabile, pentru a ajuta instituțiile europ</w:t>
      </w:r>
      <w:r>
        <w:t>ene și statele membre să integreze egalitatea de gen în toate politicile lor și să combată discriminarea de gen; subliniază, prin urmare, rolul esențial al EIGE în colectarea, analizarea, prelucrarea și diseminarea datelor și a informațiilor necesare pentr</w:t>
      </w:r>
      <w:r>
        <w:t>u factorii de decizie, politicile Uniunii Europene și ale statelor sale membre; salută, în special, activitatea continuă a Institutului cu privire la indicele egalității de gen și faptul că informațiile pe care le oferă cetățenilor sunt ușor accesibile; su</w:t>
      </w:r>
      <w:r>
        <w:t xml:space="preserve">bliniază necesitatea unei integrări mai puternice și mai eficiente a politicilor privind egalitatea de gen și a instrumentelor de integrare a perspectivei de gen; își reiterează apelurile repetate de a aloca EIGE resurse de personal suplimentare, inclusiv </w:t>
      </w:r>
      <w:r>
        <w:t>personal statutar, având în vedere creșterea cererilor urgente, a celor legate de asistența tehnică și a cererilor pentru serviciile sale; solicită, prin urmare, să se aloce sume mai mari în bugetul instituției pentru a consolida capacitățile sale de recru</w:t>
      </w:r>
      <w:r>
        <w:t>tare și cercetare cu scopul de a-și îmbunătăți și mai mult activitatea și rezultatele, având în vedere crizele și regresele ulterioare împotriva egalității de gen și a persoanelor LGBTIQ+ care afectează în mod disproporționat femeile;</w:t>
      </w:r>
    </w:p>
    <w:p w:rsidR="003D337D" w:rsidRPr="008D2047" w:rsidRDefault="00FC6CE1" w:rsidP="003D337D">
      <w:pPr>
        <w:pStyle w:val="NormalHanging12a"/>
        <w:rPr>
          <w:szCs w:val="24"/>
        </w:rPr>
      </w:pPr>
      <w:r>
        <w:t>2.</w:t>
      </w:r>
      <w:r>
        <w:tab/>
        <w:t>subliniază că este</w:t>
      </w:r>
      <w:r>
        <w:t xml:space="preserve"> important să se combată inegalitățile și nedreptățile la adresa femeilor; invită Comisia și statele membre să ia măsuri urgente pentru a aborda sărăcia și creșterea inegalităților în rândul femeilor, în special în rândul grupurilor aflate în situații vuln</w:t>
      </w:r>
      <w:r>
        <w:t xml:space="preserve">erabile, incluzând mamele singure, femeile cu dizabilități, femeile rasializate, femeile LGBTIQ+, femeile migrante și refugiate, femeile în vârstă și femeile din mediul rural sau din zone slab populate; ia act de faptul că acest lucru ar putea fi realizat </w:t>
      </w:r>
      <w:r>
        <w:t>răspunzând necesității de a majora finanțarea acțiunilor privind egalitatea de gen în ceea ce privește ocuparea forței de muncă și creșterea economică, precum și combătând violența de gen și diferența de remunerare între bărbați și femei, diferența de remu</w:t>
      </w:r>
      <w:r>
        <w:t xml:space="preserve">nerare între bărbați și femei în ceea ce privește pensiile, impactul crizelor asupra femeilor, integrând perspectiva de gen și dimensiunea de gen în buget, abordând rata tot mai mare a sărăciei în rândul femeilor, precum și în ceea ce privește drepturile, </w:t>
      </w:r>
      <w:r>
        <w:t>democrația și statul de drept; salută în acest sens actuala cooperare dintre EIGE și Comisia pentru drepturile femeilor și egalitatea de gen (FEMM); subliniază eforturile extraordinare și contribuția valoroasă a EIGE la asigurarea obiectivelor, valorilor ș</w:t>
      </w:r>
      <w:r>
        <w:t>i priorităților Parlamentului European; sprijină ferm activitatea Institutului, care, prin studii, cercetare și date de înaltă calitate, permite comisiei să își desfășoare activitatea în mod corespunzător; ia act de importanța disponibilității unor date fi</w:t>
      </w:r>
      <w:r>
        <w:t xml:space="preserve">abile defalcate în funcție de gen pentru a permite elaborarea de politici bazate pe date concrete; ia act de </w:t>
      </w:r>
      <w:r>
        <w:lastRenderedPageBreak/>
        <w:t>contribuția valoroasă pe care EIGE o poate aduce tuturor comisiilor Parlamentului European și altor agenții ale UE pentru o mai bună integrare a pe</w:t>
      </w:r>
      <w:r>
        <w:t>rspectivei de gen în toate politicile UE;</w:t>
      </w:r>
    </w:p>
    <w:p w:rsidR="003D337D" w:rsidRPr="008D2047" w:rsidRDefault="00FC6CE1" w:rsidP="003D337D">
      <w:pPr>
        <w:pStyle w:val="NormalHanging12a"/>
        <w:rPr>
          <w:szCs w:val="24"/>
        </w:rPr>
      </w:pPr>
      <w:r>
        <w:t>3.</w:t>
      </w:r>
      <w:r>
        <w:tab/>
        <w:t>ia act de nivelul constant ridicat de execuție bugetară al EIGE, în pofida insuficienței persistente a personalului agenției, cu credite de angajament de până la 97,91 % în 2022 (față de 98,92 % în 2021), precum</w:t>
      </w:r>
      <w:r>
        <w:t xml:space="preserve"> și de rata creditelor de plată, de 81,10 % (72,16 % în 2021);</w:t>
      </w:r>
    </w:p>
    <w:p w:rsidR="003D337D" w:rsidRPr="008D2047" w:rsidRDefault="00FC6CE1" w:rsidP="003D337D">
      <w:pPr>
        <w:pStyle w:val="NormalHanging12a"/>
        <w:rPr>
          <w:szCs w:val="24"/>
        </w:rPr>
      </w:pPr>
      <w:r>
        <w:t>4.</w:t>
      </w:r>
      <w:r>
        <w:tab/>
        <w:t>recunoaște o scădere a reportării cheltuielilor operaționale ale EIGE la 42,28 % în 2023 (54,79 % în 2022);</w:t>
      </w:r>
    </w:p>
    <w:p w:rsidR="003D337D" w:rsidRPr="008D2047" w:rsidRDefault="00FC6CE1" w:rsidP="003D337D">
      <w:pPr>
        <w:pStyle w:val="NormalHanging12a"/>
      </w:pPr>
      <w:r>
        <w:t>5.</w:t>
      </w:r>
      <w:r>
        <w:tab/>
        <w:t>ia act de faptul că Curtea de Conturi Europeană a confirmat că conturile anuale</w:t>
      </w:r>
      <w:r>
        <w:t xml:space="preserve"> ale EIGE prezintă în mod fidel, sub toate aspectele semnificative, situația financiară a acestuia la 31 decembrie 2022, precum și rezultatele operațiunilor sale, fluxurile sale de numerar și modificările în structura activelor nete pentru exercițiul ulter</w:t>
      </w:r>
      <w:r>
        <w:t>ior încheiat;</w:t>
      </w:r>
    </w:p>
    <w:p w:rsidR="003D337D" w:rsidRPr="008D2047" w:rsidRDefault="00FC6CE1" w:rsidP="003D337D">
      <w:pPr>
        <w:pStyle w:val="NormalHanging12a"/>
        <w:rPr>
          <w:szCs w:val="24"/>
        </w:rPr>
      </w:pPr>
      <w:r>
        <w:t>6.</w:t>
      </w:r>
      <w:r>
        <w:tab/>
        <w:t>consideră, pe baza datelor disponibile în prezent, să i se acorde directoarei EIGE descărcarea de gestiune pentru execuția bugetului instituției aferent exercițiului financiar 2022.</w:t>
      </w:r>
    </w:p>
    <w:p w:rsidR="004542C8" w:rsidRPr="008D2047" w:rsidRDefault="00FC6CE1" w:rsidP="004542C8">
      <w:r>
        <w:br w:type="page"/>
      </w:r>
    </w:p>
    <w:p w:rsidR="0096225D" w:rsidRPr="008D2047" w:rsidRDefault="00FC6CE1" w:rsidP="0096225D">
      <w:pPr>
        <w:pStyle w:val="PageHeadingNotTOC"/>
        <w:rPr>
          <w:noProof/>
        </w:rPr>
      </w:pPr>
      <w:r>
        <w:lastRenderedPageBreak/>
        <w:t>ANEXĂ: ENTITĂȚILE SAU PERSOANELE</w:t>
      </w:r>
      <w:r>
        <w:br/>
        <w:t xml:space="preserve">DE LA CARE RAPORTORUL </w:t>
      </w:r>
      <w:r>
        <w:t>A PRIMIT CONTRIBUȚII</w:t>
      </w:r>
    </w:p>
    <w:p w:rsidR="0096225D" w:rsidRPr="0018341C" w:rsidRDefault="00FC6CE1" w:rsidP="0096225D">
      <w:pPr>
        <w:pStyle w:val="Normal24a"/>
        <w:rPr>
          <w:szCs w:val="24"/>
        </w:rPr>
      </w:pPr>
      <w:r>
        <w:rPr>
          <w:rStyle w:val="HideTWBExt"/>
          <w:rFonts w:ascii="Times New Roman" w:hAnsi="Times New Roman"/>
          <w:sz w:val="24"/>
        </w:rPr>
        <w:t>&lt;FootprintIntro&gt;</w:t>
      </w:r>
      <w:r>
        <w:t xml:space="preserve">Președintele în calitate de raportor declară pe propria răspundere că nu a primit nicio contribuție de la nicio entitate sau persoană care trebuie menționată în prezenta anexă în conformitate cu </w:t>
      </w:r>
      <w:r>
        <w:rPr>
          <w:snapToGrid w:val="0"/>
        </w:rPr>
        <w:t xml:space="preserve">articolul 8 din anexa I </w:t>
      </w:r>
      <w:r>
        <w:rPr>
          <w:snapToGrid w:val="0"/>
        </w:rPr>
        <w:t>la Regulamentul de procedură.</w:t>
      </w:r>
      <w:r>
        <w:rPr>
          <w:rStyle w:val="HideTWBExt"/>
          <w:rFonts w:ascii="Times New Roman" w:hAnsi="Times New Roman"/>
          <w:sz w:val="24"/>
        </w:rPr>
        <w:t>&lt;/FootprintIntro&gt;</w:t>
      </w:r>
    </w:p>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96225D" w:rsidRPr="008D2047" w:rsidRDefault="0096225D" w:rsidP="005318CB"/>
    <w:p w:rsidR="00B2435B" w:rsidRPr="00B2435B" w:rsidRDefault="00B2435B" w:rsidP="00B2435B"/>
    <w:p w:rsidR="00B2435B" w:rsidRDefault="00FC6CE1" w:rsidP="00B2435B">
      <w:pPr>
        <w:pStyle w:val="PageHeadingNotTOC"/>
      </w:pPr>
      <w:bookmarkStart w:id="0" w:name="ProcPageAD"/>
      <w:r>
        <w:t>INFORMAȚII PRIVIND ADOPTAREA</w:t>
      </w:r>
      <w:r>
        <w:br/>
        <w:t>ÎN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128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b/>
                <w:bCs/>
                <w:color w:val="000000"/>
                <w:sz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2435B" w:rsidRDefault="00B2435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2435B" w:rsidRDefault="00B2435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2435B" w:rsidRDefault="00B2435B">
            <w:pPr>
              <w:autoSpaceDE w:val="0"/>
              <w:autoSpaceDN w:val="0"/>
              <w:adjustRightInd w:val="0"/>
              <w:rPr>
                <w:rFonts w:ascii="sans-serif" w:hAnsi="sans-serif" w:cs="sans-serif"/>
                <w:color w:val="000000"/>
                <w:szCs w:val="24"/>
              </w:rPr>
            </w:pPr>
          </w:p>
        </w:tc>
      </w:tr>
      <w:tr w:rsidR="00E128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b/>
                <w:bCs/>
                <w:color w:val="000000"/>
                <w:sz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w:t>
            </w:r>
          </w:p>
          <w:p w:rsidR="00B2435B" w:rsidRDefault="00FC6CE1">
            <w:pPr>
              <w:autoSpaceDE w:val="0"/>
              <w:autoSpaceDN w:val="0"/>
              <w:adjustRightInd w:val="0"/>
              <w:rPr>
                <w:color w:val="000000"/>
                <w:sz w:val="20"/>
              </w:rPr>
            </w:pPr>
            <w:r>
              <w:rPr>
                <w:color w:val="000000"/>
                <w:sz w:val="20"/>
              </w:rPr>
              <w:t>–:</w:t>
            </w:r>
          </w:p>
          <w:p w:rsidR="00B2435B" w:rsidRDefault="00FC6CE1">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23</w:t>
            </w:r>
          </w:p>
          <w:p w:rsidR="00B2435B" w:rsidRDefault="00FC6CE1">
            <w:pPr>
              <w:autoSpaceDE w:val="0"/>
              <w:autoSpaceDN w:val="0"/>
              <w:adjustRightInd w:val="0"/>
              <w:rPr>
                <w:color w:val="000000"/>
                <w:sz w:val="20"/>
              </w:rPr>
            </w:pPr>
            <w:r>
              <w:rPr>
                <w:color w:val="000000"/>
                <w:sz w:val="20"/>
              </w:rPr>
              <w:t>4</w:t>
            </w:r>
          </w:p>
          <w:p w:rsidR="00B2435B" w:rsidRDefault="00FC6CE1">
            <w:pPr>
              <w:autoSpaceDE w:val="0"/>
              <w:autoSpaceDN w:val="0"/>
              <w:adjustRightInd w:val="0"/>
              <w:rPr>
                <w:color w:val="000000"/>
                <w:sz w:val="20"/>
              </w:rPr>
            </w:pPr>
            <w:r>
              <w:rPr>
                <w:color w:val="000000"/>
                <w:sz w:val="20"/>
              </w:rPr>
              <w:t>2</w:t>
            </w:r>
          </w:p>
        </w:tc>
      </w:tr>
      <w:tr w:rsidR="00E1280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b/>
                <w:bCs/>
                <w:color w:val="000000"/>
                <w:sz w:val="20"/>
              </w:rPr>
            </w:pPr>
            <w:r>
              <w:rPr>
                <w:b/>
                <w:color w:val="000000"/>
                <w:sz w:val="20"/>
              </w:rPr>
              <w:t xml:space="preserve">Membri titulari prezenți la votul </w:t>
            </w:r>
            <w:r>
              <w:rPr>
                <w:b/>
                <w:color w:val="000000"/>
                <w:sz w:val="20"/>
              </w:rPr>
              <w:t>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Christine Anderson, Robert Biedroń, Vilija</w:t>
            </w:r>
            <w:bookmarkStart w:id="1" w:name="_GoBack"/>
            <w:bookmarkEnd w:id="1"/>
            <w:r>
              <w:rPr>
                <w:color w:val="000000"/>
                <w:sz w:val="20"/>
              </w:rPr>
              <w:t xml:space="preserve"> Blinkevičiūtė, Annika Bruna, Maria da Graça Carvalho, Margarita de la Pisa Carrión, Gwendoline Delbos-Corfield, Frances Fitzgerald, Lívia Járóka, Arba Kokalari, Alice Kuhnke, Elżbieta Katarzyna Łukacijewska,</w:t>
            </w:r>
            <w:r>
              <w:rPr>
                <w:color w:val="000000"/>
                <w:sz w:val="20"/>
              </w:rPr>
              <w:t xml:space="preserve"> Andżelika Anna Możdżanowska, Johan Nissinen, Carina Ohlsson, Samira Rafaela, Evelyn Regner, Diana Riba i Giner, Eugenia Rodríguez Palop, María Soraya Rodríguez Ramos, Maria Veronica Rossi, Sylwia Spurek, Marco Zullo</w:t>
            </w:r>
          </w:p>
        </w:tc>
      </w:tr>
      <w:tr w:rsidR="00E128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b/>
                <w:bCs/>
                <w:color w:val="000000"/>
                <w:sz w:val="20"/>
              </w:rPr>
            </w:pPr>
            <w:r>
              <w:rPr>
                <w:b/>
                <w:color w:val="000000"/>
                <w:sz w:val="20"/>
              </w:rPr>
              <w:t xml:space="preserve">Membri supleanți prezenți la votul </w:t>
            </w:r>
            <w:r>
              <w:rPr>
                <w:b/>
                <w:color w:val="000000"/>
                <w:sz w:val="20"/>
              </w:rPr>
              <w:t>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Laura Ballarín Cereza, Sylvie Brunet, Marina Kaljurand, Eleni Stavrou</w:t>
            </w:r>
          </w:p>
        </w:tc>
      </w:tr>
      <w:tr w:rsidR="00E1280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b/>
                <w:bCs/>
                <w:color w:val="000000"/>
                <w:sz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2435B" w:rsidRDefault="00FC6CE1">
            <w:pPr>
              <w:autoSpaceDE w:val="0"/>
              <w:autoSpaceDN w:val="0"/>
              <w:adjustRightInd w:val="0"/>
              <w:rPr>
                <w:color w:val="000000"/>
                <w:sz w:val="20"/>
              </w:rPr>
            </w:pPr>
            <w:r>
              <w:rPr>
                <w:color w:val="000000"/>
                <w:sz w:val="20"/>
              </w:rPr>
              <w:t>Milan Brglez, Rainer Wieland</w:t>
            </w:r>
          </w:p>
        </w:tc>
      </w:tr>
    </w:tbl>
    <w:p w:rsidR="00B2435B" w:rsidRDefault="00B2435B"/>
    <w:bookmarkEnd w:id="0"/>
    <w:p w:rsidR="006E7B18" w:rsidRPr="00B2435B" w:rsidRDefault="006E7B18" w:rsidP="00B2435B">
      <w:pPr>
        <w:sectPr w:rsidR="006E7B18" w:rsidRPr="00B2435B" w:rsidSect="005100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0B38" w:rsidRPr="008D2047" w:rsidRDefault="00FC6CE1" w:rsidP="00B2435B">
      <w:pPr>
        <w:pStyle w:val="PageHeadingNotTOC"/>
      </w:pPr>
      <w:bookmarkStart w:id="2" w:name="RollCallPageAD"/>
      <w:r>
        <w:lastRenderedPageBreak/>
        <w:t>VOT FINAL PRIN APEL NOMINAL</w:t>
      </w:r>
      <w:r>
        <w:rPr>
          <w:b w:val="0"/>
        </w:rPr>
        <w:t xml:space="preserve"> </w:t>
      </w:r>
      <w:r>
        <w:t xml:space="preserve">ÎN COMISIA SESIZATĂ PENTRU AVIZ </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2809" w:rsidTr="008920AC">
        <w:trPr>
          <w:cantSplit/>
        </w:trPr>
        <w:tc>
          <w:tcPr>
            <w:tcW w:w="1701" w:type="dxa"/>
            <w:shd w:val="pct10" w:color="000000" w:fill="FFFFFF"/>
            <w:vAlign w:val="center"/>
          </w:tcPr>
          <w:p w:rsidR="00690B38" w:rsidRPr="008D2047" w:rsidRDefault="00FC6CE1" w:rsidP="003858C5">
            <w:pPr>
              <w:pStyle w:val="RollCallVotes"/>
            </w:pPr>
            <w:r>
              <w:t>23</w:t>
            </w:r>
          </w:p>
        </w:tc>
        <w:tc>
          <w:tcPr>
            <w:tcW w:w="7371" w:type="dxa"/>
            <w:shd w:val="pct10" w:color="000000" w:fill="FFFFFF"/>
          </w:tcPr>
          <w:p w:rsidR="00690B38" w:rsidRPr="008D2047" w:rsidRDefault="00FC6CE1" w:rsidP="003858C5">
            <w:pPr>
              <w:pStyle w:val="RollCallSymbols14pt"/>
            </w:pPr>
            <w:r>
              <w:t>+</w:t>
            </w:r>
          </w:p>
        </w:tc>
      </w:tr>
      <w:tr w:rsidR="00E12809" w:rsidTr="008920AC">
        <w:trPr>
          <w:cantSplit/>
        </w:trPr>
        <w:tc>
          <w:tcPr>
            <w:tcW w:w="1701" w:type="dxa"/>
            <w:shd w:val="clear" w:color="auto" w:fill="FFFFFF"/>
          </w:tcPr>
          <w:p w:rsidR="00690B38" w:rsidRPr="008D2047" w:rsidRDefault="00FC6CE1" w:rsidP="003858C5">
            <w:pPr>
              <w:pStyle w:val="RollCallTable"/>
            </w:pPr>
            <w:r>
              <w:t>PPE</w:t>
            </w:r>
          </w:p>
        </w:tc>
        <w:tc>
          <w:tcPr>
            <w:tcW w:w="7371" w:type="dxa"/>
            <w:shd w:val="clear" w:color="auto" w:fill="FFFFFF"/>
          </w:tcPr>
          <w:p w:rsidR="00690B38" w:rsidRPr="008D2047" w:rsidRDefault="00FC6CE1" w:rsidP="003858C5">
            <w:pPr>
              <w:pStyle w:val="RollCallTable"/>
            </w:pPr>
            <w:r>
              <w:t>Maria da Graça Carvalho, Frances Fitzgerald, Arba Kokalari, Elżbieta Katarzyna Łukacijewska, Eleni Stavrou, Rainer Wieland</w:t>
            </w:r>
          </w:p>
        </w:tc>
      </w:tr>
      <w:tr w:rsidR="00E12809" w:rsidTr="008920AC">
        <w:trPr>
          <w:cantSplit/>
        </w:trPr>
        <w:tc>
          <w:tcPr>
            <w:tcW w:w="1701" w:type="dxa"/>
            <w:shd w:val="clear" w:color="auto" w:fill="FFFFFF"/>
          </w:tcPr>
          <w:p w:rsidR="00690B38" w:rsidRPr="008D2047" w:rsidRDefault="00FC6CE1" w:rsidP="003858C5">
            <w:pPr>
              <w:pStyle w:val="RollCallTable"/>
            </w:pPr>
            <w:r>
              <w:t>Renew</w:t>
            </w:r>
          </w:p>
        </w:tc>
        <w:tc>
          <w:tcPr>
            <w:tcW w:w="7371" w:type="dxa"/>
            <w:shd w:val="clear" w:color="auto" w:fill="FFFFFF"/>
          </w:tcPr>
          <w:p w:rsidR="00690B38" w:rsidRPr="008D2047" w:rsidRDefault="00FC6CE1" w:rsidP="003858C5">
            <w:pPr>
              <w:pStyle w:val="RollCallTable"/>
            </w:pPr>
            <w:r>
              <w:t>Sylvie Brunet, Samira Rafaela, María Soraya Rodríguez Ramos, Marco Zullo</w:t>
            </w:r>
          </w:p>
        </w:tc>
      </w:tr>
      <w:tr w:rsidR="00E12809" w:rsidTr="008920AC">
        <w:trPr>
          <w:cantSplit/>
        </w:trPr>
        <w:tc>
          <w:tcPr>
            <w:tcW w:w="1701" w:type="dxa"/>
            <w:shd w:val="clear" w:color="auto" w:fill="FFFFFF"/>
          </w:tcPr>
          <w:p w:rsidR="00690B38" w:rsidRPr="008D2047" w:rsidRDefault="00FC6CE1" w:rsidP="003858C5">
            <w:pPr>
              <w:pStyle w:val="RollCallTable"/>
            </w:pPr>
            <w:r>
              <w:t>S&amp;D</w:t>
            </w:r>
          </w:p>
        </w:tc>
        <w:tc>
          <w:tcPr>
            <w:tcW w:w="7371" w:type="dxa"/>
            <w:shd w:val="clear" w:color="auto" w:fill="FFFFFF"/>
          </w:tcPr>
          <w:p w:rsidR="00690B38" w:rsidRPr="008D2047" w:rsidRDefault="00FC6CE1" w:rsidP="003858C5">
            <w:pPr>
              <w:pStyle w:val="RollCallTable"/>
            </w:pPr>
            <w:r>
              <w:t>Laura Ballarín Cereza, Robert Biedroń, Vilija Bl</w:t>
            </w:r>
            <w:r>
              <w:t>inkevičiūtė, Milan Brglez, Marina Kaljurand, Carina Ohlsson, Evelyn Regner</w:t>
            </w:r>
          </w:p>
        </w:tc>
      </w:tr>
      <w:tr w:rsidR="00E12809" w:rsidTr="008920AC">
        <w:trPr>
          <w:cantSplit/>
        </w:trPr>
        <w:tc>
          <w:tcPr>
            <w:tcW w:w="1701" w:type="dxa"/>
            <w:shd w:val="clear" w:color="auto" w:fill="FFFFFF"/>
          </w:tcPr>
          <w:p w:rsidR="00690B38" w:rsidRPr="008D2047" w:rsidRDefault="00FC6CE1" w:rsidP="003858C5">
            <w:pPr>
              <w:pStyle w:val="RollCallTable"/>
            </w:pPr>
            <w:r>
              <w:t>The Left</w:t>
            </w:r>
          </w:p>
        </w:tc>
        <w:tc>
          <w:tcPr>
            <w:tcW w:w="7371" w:type="dxa"/>
            <w:shd w:val="clear" w:color="auto" w:fill="FFFFFF"/>
          </w:tcPr>
          <w:p w:rsidR="00690B38" w:rsidRPr="008D2047" w:rsidRDefault="00FC6CE1" w:rsidP="003858C5">
            <w:pPr>
              <w:pStyle w:val="RollCallTable"/>
            </w:pPr>
            <w:r>
              <w:t>Sandra Pereira, Eugenia Rodríguez Palop</w:t>
            </w:r>
          </w:p>
        </w:tc>
      </w:tr>
      <w:tr w:rsidR="00E12809" w:rsidTr="008920AC">
        <w:trPr>
          <w:cantSplit/>
        </w:trPr>
        <w:tc>
          <w:tcPr>
            <w:tcW w:w="1701" w:type="dxa"/>
            <w:shd w:val="clear" w:color="auto" w:fill="FFFFFF"/>
          </w:tcPr>
          <w:p w:rsidR="00690B38" w:rsidRPr="008D2047" w:rsidRDefault="00FC6CE1" w:rsidP="003858C5">
            <w:pPr>
              <w:pStyle w:val="RollCallTable"/>
            </w:pPr>
            <w:r>
              <w:t>Verts/ALE</w:t>
            </w:r>
          </w:p>
        </w:tc>
        <w:tc>
          <w:tcPr>
            <w:tcW w:w="7371" w:type="dxa"/>
            <w:shd w:val="clear" w:color="auto" w:fill="FFFFFF"/>
          </w:tcPr>
          <w:p w:rsidR="00690B38" w:rsidRPr="008D2047" w:rsidRDefault="00FC6CE1" w:rsidP="003858C5">
            <w:pPr>
              <w:pStyle w:val="RollCallTable"/>
            </w:pPr>
            <w:r>
              <w:t>Gwendoline Delbos-Corfield, Alice Kuhnke, Diana Riba i Giner, Sylwia Spurek</w:t>
            </w:r>
          </w:p>
        </w:tc>
      </w:tr>
    </w:tbl>
    <w:p w:rsidR="00690B38" w:rsidRPr="008D2047"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2809" w:rsidTr="008920AC">
        <w:trPr>
          <w:cantSplit/>
        </w:trPr>
        <w:tc>
          <w:tcPr>
            <w:tcW w:w="1701" w:type="dxa"/>
            <w:shd w:val="pct10" w:color="000000" w:fill="FFFFFF"/>
            <w:vAlign w:val="center"/>
          </w:tcPr>
          <w:p w:rsidR="00690B38" w:rsidRPr="008D2047" w:rsidRDefault="00FC6CE1" w:rsidP="003858C5">
            <w:pPr>
              <w:pStyle w:val="RollCallVotes"/>
            </w:pPr>
            <w:r>
              <w:t>4</w:t>
            </w:r>
          </w:p>
        </w:tc>
        <w:tc>
          <w:tcPr>
            <w:tcW w:w="7371" w:type="dxa"/>
            <w:shd w:val="pct10" w:color="000000" w:fill="FFFFFF"/>
          </w:tcPr>
          <w:p w:rsidR="00690B38" w:rsidRPr="008D2047" w:rsidRDefault="00FC6CE1" w:rsidP="003858C5">
            <w:pPr>
              <w:pStyle w:val="RollCallSymbols14pt"/>
            </w:pPr>
            <w:r>
              <w:t>-</w:t>
            </w:r>
          </w:p>
        </w:tc>
      </w:tr>
      <w:tr w:rsidR="00E12809" w:rsidTr="008920AC">
        <w:trPr>
          <w:cantSplit/>
        </w:trPr>
        <w:tc>
          <w:tcPr>
            <w:tcW w:w="1701" w:type="dxa"/>
            <w:shd w:val="clear" w:color="auto" w:fill="FFFFFF"/>
          </w:tcPr>
          <w:p w:rsidR="00690B38" w:rsidRPr="008D2047" w:rsidRDefault="00FC6CE1" w:rsidP="003858C5">
            <w:pPr>
              <w:pStyle w:val="RollCallTable"/>
            </w:pPr>
            <w:r>
              <w:t>ECR</w:t>
            </w:r>
          </w:p>
        </w:tc>
        <w:tc>
          <w:tcPr>
            <w:tcW w:w="7371" w:type="dxa"/>
            <w:shd w:val="clear" w:color="auto" w:fill="FFFFFF"/>
          </w:tcPr>
          <w:p w:rsidR="00690B38" w:rsidRPr="008D2047" w:rsidRDefault="00FC6CE1" w:rsidP="003858C5">
            <w:pPr>
              <w:pStyle w:val="RollCallTable"/>
            </w:pPr>
            <w:r>
              <w:t xml:space="preserve">Johan Nissinen, Margarita de la </w:t>
            </w:r>
            <w:r>
              <w:t>Pisa Carrión</w:t>
            </w:r>
          </w:p>
        </w:tc>
      </w:tr>
      <w:tr w:rsidR="00E12809" w:rsidTr="008920AC">
        <w:trPr>
          <w:cantSplit/>
        </w:trPr>
        <w:tc>
          <w:tcPr>
            <w:tcW w:w="1701" w:type="dxa"/>
            <w:shd w:val="clear" w:color="auto" w:fill="FFFFFF"/>
          </w:tcPr>
          <w:p w:rsidR="00690B38" w:rsidRPr="008D2047" w:rsidRDefault="00FC6CE1" w:rsidP="003858C5">
            <w:pPr>
              <w:pStyle w:val="RollCallTable"/>
            </w:pPr>
            <w:r>
              <w:t>ID</w:t>
            </w:r>
          </w:p>
        </w:tc>
        <w:tc>
          <w:tcPr>
            <w:tcW w:w="7371" w:type="dxa"/>
            <w:shd w:val="clear" w:color="auto" w:fill="FFFFFF"/>
          </w:tcPr>
          <w:p w:rsidR="00690B38" w:rsidRPr="008D2047" w:rsidRDefault="00FC6CE1" w:rsidP="003858C5">
            <w:pPr>
              <w:pStyle w:val="RollCallTable"/>
            </w:pPr>
            <w:r>
              <w:t>Christine Anderson, Maria Veronica Rossi</w:t>
            </w:r>
          </w:p>
        </w:tc>
      </w:tr>
    </w:tbl>
    <w:p w:rsidR="00690B38" w:rsidRPr="008D2047"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2809" w:rsidTr="008920AC">
        <w:trPr>
          <w:cantSplit/>
        </w:trPr>
        <w:tc>
          <w:tcPr>
            <w:tcW w:w="1701" w:type="dxa"/>
            <w:shd w:val="pct10" w:color="000000" w:fill="FFFFFF"/>
            <w:vAlign w:val="center"/>
          </w:tcPr>
          <w:p w:rsidR="00690B38" w:rsidRPr="008D2047" w:rsidRDefault="00FC6CE1" w:rsidP="003858C5">
            <w:pPr>
              <w:pStyle w:val="RollCallVotes"/>
            </w:pPr>
            <w:r>
              <w:t>2</w:t>
            </w:r>
          </w:p>
        </w:tc>
        <w:tc>
          <w:tcPr>
            <w:tcW w:w="7371" w:type="dxa"/>
            <w:shd w:val="pct10" w:color="000000" w:fill="FFFFFF"/>
          </w:tcPr>
          <w:p w:rsidR="00690B38" w:rsidRPr="008D2047" w:rsidRDefault="00FC6CE1" w:rsidP="003858C5">
            <w:pPr>
              <w:pStyle w:val="RollCallSymbols14pt"/>
            </w:pPr>
            <w:r>
              <w:t>0</w:t>
            </w:r>
          </w:p>
        </w:tc>
      </w:tr>
      <w:tr w:rsidR="00E12809" w:rsidTr="008920AC">
        <w:trPr>
          <w:cantSplit/>
        </w:trPr>
        <w:tc>
          <w:tcPr>
            <w:tcW w:w="1701" w:type="dxa"/>
            <w:shd w:val="clear" w:color="auto" w:fill="FFFFFF"/>
          </w:tcPr>
          <w:p w:rsidR="00690B38" w:rsidRPr="008D2047" w:rsidRDefault="00FC6CE1" w:rsidP="003858C5">
            <w:pPr>
              <w:pStyle w:val="RollCallTable"/>
            </w:pPr>
            <w:r>
              <w:t>ECR</w:t>
            </w:r>
          </w:p>
        </w:tc>
        <w:tc>
          <w:tcPr>
            <w:tcW w:w="7371" w:type="dxa"/>
            <w:shd w:val="clear" w:color="auto" w:fill="FFFFFF"/>
          </w:tcPr>
          <w:p w:rsidR="00690B38" w:rsidRPr="008D2047" w:rsidRDefault="00FC6CE1" w:rsidP="003858C5">
            <w:pPr>
              <w:pStyle w:val="RollCallTable"/>
            </w:pPr>
            <w:r>
              <w:t>Andżelika Anna Możdżanowska</w:t>
            </w:r>
          </w:p>
        </w:tc>
      </w:tr>
      <w:tr w:rsidR="00E12809" w:rsidTr="008920AC">
        <w:trPr>
          <w:cantSplit/>
        </w:trPr>
        <w:tc>
          <w:tcPr>
            <w:tcW w:w="1701" w:type="dxa"/>
            <w:shd w:val="clear" w:color="auto" w:fill="FFFFFF"/>
          </w:tcPr>
          <w:p w:rsidR="00690B38" w:rsidRPr="008D2047" w:rsidRDefault="00FC6CE1" w:rsidP="003858C5">
            <w:pPr>
              <w:pStyle w:val="RollCallTable"/>
            </w:pPr>
            <w:r>
              <w:t>NI</w:t>
            </w:r>
          </w:p>
        </w:tc>
        <w:tc>
          <w:tcPr>
            <w:tcW w:w="7371" w:type="dxa"/>
            <w:shd w:val="clear" w:color="auto" w:fill="FFFFFF"/>
          </w:tcPr>
          <w:p w:rsidR="00690B38" w:rsidRPr="008D2047" w:rsidRDefault="00FC6CE1" w:rsidP="003858C5">
            <w:pPr>
              <w:pStyle w:val="RollCallTable"/>
            </w:pPr>
            <w:r>
              <w:t>Lívia Járóka</w:t>
            </w:r>
          </w:p>
        </w:tc>
      </w:tr>
    </w:tbl>
    <w:p w:rsidR="00690B38" w:rsidRPr="008D2047" w:rsidRDefault="00690B38" w:rsidP="00147FBF">
      <w:pPr>
        <w:pStyle w:val="Normal12a"/>
      </w:pPr>
    </w:p>
    <w:bookmarkEnd w:id="2"/>
    <w:p w:rsidR="00B2435B" w:rsidRPr="00CB34A7" w:rsidRDefault="00FC6CE1" w:rsidP="00B2435B">
      <w:pPr>
        <w:rPr>
          <w:szCs w:val="24"/>
        </w:rPr>
      </w:pPr>
      <w:r>
        <w:t xml:space="preserve">Legenda simbolurilor utilizate: </w:t>
      </w:r>
    </w:p>
    <w:p w:rsidR="00B2435B" w:rsidRPr="00CB34A7" w:rsidRDefault="00FC6CE1" w:rsidP="00B2435B">
      <w:pPr>
        <w:rPr>
          <w:szCs w:val="24"/>
        </w:rPr>
      </w:pPr>
      <w:r>
        <w:t xml:space="preserve">+ </w:t>
      </w:r>
      <w:r>
        <w:t xml:space="preserve">: </w:t>
      </w:r>
      <w:r>
        <w:t>pentru</w:t>
      </w:r>
    </w:p>
    <w:p w:rsidR="00B2435B" w:rsidRPr="00CB34A7" w:rsidRDefault="00FC6CE1" w:rsidP="00B2435B">
      <w:pPr>
        <w:rPr>
          <w:szCs w:val="24"/>
        </w:rPr>
      </w:pPr>
      <w:r>
        <w:t xml:space="preserve">- </w:t>
      </w:r>
      <w:r>
        <w:t xml:space="preserve">: </w:t>
      </w:r>
      <w:r>
        <w:t>împotrivă</w:t>
      </w:r>
    </w:p>
    <w:p w:rsidR="00B2435B" w:rsidRPr="00CB34A7" w:rsidRDefault="00FC6CE1" w:rsidP="00B2435B">
      <w:pPr>
        <w:rPr>
          <w:szCs w:val="24"/>
        </w:rPr>
      </w:pPr>
      <w:r>
        <w:t xml:space="preserve">0 </w:t>
      </w:r>
      <w:r>
        <w:t xml:space="preserve">: </w:t>
      </w:r>
      <w:r>
        <w:t>abțineri</w:t>
      </w:r>
    </w:p>
    <w:p w:rsidR="00690B38" w:rsidRPr="008D2047" w:rsidRDefault="00690B38" w:rsidP="00B2435B"/>
    <w:sectPr w:rsidR="00690B38" w:rsidRPr="008D2047" w:rsidSect="006E7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C6CE1">
      <w:r>
        <w:separator/>
      </w:r>
    </w:p>
  </w:endnote>
  <w:endnote w:type="continuationSeparator" w:id="0">
    <w:p w:rsidR="00000000" w:rsidRDefault="00FC6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9E" w:rsidRPr="008D2047" w:rsidRDefault="00FC6CE1" w:rsidP="0051009E">
    <w:pPr>
      <w:pStyle w:val="EPFooter"/>
    </w:pPr>
    <w:r w:rsidRPr="008D2047">
      <w:t>PE</w:t>
    </w:r>
    <w:r w:rsidRPr="008D2047">
      <w:rPr>
        <w:rStyle w:val="HideTWBExt"/>
      </w:rPr>
      <w:t>&lt;No</w:t>
    </w:r>
    <w:r w:rsidRPr="008D2047">
      <w:rPr>
        <w:rStyle w:val="HideTWBExt"/>
      </w:rPr>
      <w:t>PE&gt;</w:t>
    </w:r>
    <w:r w:rsidRPr="008D2047">
      <w:t>754.839</w:t>
    </w:r>
    <w:r w:rsidRPr="008D2047">
      <w:rPr>
        <w:rStyle w:val="HideTWBExt"/>
      </w:rPr>
      <w:t>&lt;/NoPE&gt;&lt;Version&gt;</w:t>
    </w:r>
    <w:r w:rsidRPr="008D2047">
      <w:t>v02-00</w:t>
    </w:r>
    <w:r w:rsidRPr="008D2047">
      <w:rPr>
        <w:rStyle w:val="HideTWBExt"/>
      </w:rPr>
      <w:t>&lt;/Version&gt;</w:t>
    </w:r>
    <w:r w:rsidRPr="008D2047">
      <w:tab/>
    </w:r>
    <w:r w:rsidRPr="008D2047">
      <w:fldChar w:fldCharType="begin"/>
    </w:r>
    <w:r w:rsidRPr="008D2047">
      <w:instrText xml:space="preserve"> PAGE  \* MERGEFORMAT </w:instrText>
    </w:r>
    <w:r w:rsidRPr="008D2047">
      <w:fldChar w:fldCharType="separate"/>
    </w:r>
    <w:r>
      <w:rPr>
        <w:noProof/>
      </w:rPr>
      <w:t>2</w:t>
    </w:r>
    <w:r w:rsidRPr="008D2047">
      <w:fldChar w:fldCharType="end"/>
    </w:r>
    <w:r w:rsidRPr="008D2047">
      <w:t>/</w:t>
    </w:r>
    <w:r w:rsidR="0018341C">
      <w:fldChar w:fldCharType="begin"/>
    </w:r>
    <w:r>
      <w:instrText xml:space="preserve"> NUMPAGES  \* MERGEFORMAT </w:instrText>
    </w:r>
    <w:r w:rsidR="0018341C">
      <w:fldChar w:fldCharType="separate"/>
    </w:r>
    <w:r>
      <w:rPr>
        <w:noProof/>
      </w:rPr>
      <w:t>8</w:t>
    </w:r>
    <w:r w:rsidR="0018341C">
      <w:rPr>
        <w:noProof/>
      </w:rPr>
      <w:fldChar w:fldCharType="end"/>
    </w:r>
    <w:r w:rsidRPr="008D2047">
      <w:tab/>
    </w:r>
    <w:r w:rsidRPr="008D2047">
      <w:rPr>
        <w:rStyle w:val="HideTWBExt"/>
      </w:rPr>
      <w:t>&lt;PathFdR&gt;</w:t>
    </w:r>
    <w:r w:rsidRPr="008D2047">
      <w:t>AD\1294966RO.docx</w:t>
    </w:r>
    <w:r w:rsidRPr="008D2047">
      <w:rPr>
        <w:rStyle w:val="HideTWBExt"/>
      </w:rPr>
      <w:t>&lt;/PathFdR&gt;</w:t>
    </w:r>
  </w:p>
  <w:p w:rsidR="002E2F2E" w:rsidRPr="008D2047" w:rsidRDefault="00FC6CE1" w:rsidP="0051009E">
    <w:pPr>
      <w:pStyle w:val="EPFooter2"/>
    </w:pPr>
    <w:r w:rsidRPr="008D204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9E" w:rsidRPr="008D2047" w:rsidRDefault="00FC6CE1" w:rsidP="0051009E">
    <w:pPr>
      <w:pStyle w:val="EPFooter"/>
    </w:pPr>
    <w:r w:rsidRPr="008D2047">
      <w:rPr>
        <w:rStyle w:val="HideTWBExt"/>
      </w:rPr>
      <w:t>&lt;PathFdR&gt;</w:t>
    </w:r>
    <w:r w:rsidRPr="008D2047">
      <w:t>AD\1294966RO.docx</w:t>
    </w:r>
    <w:r w:rsidRPr="008D2047">
      <w:rPr>
        <w:rStyle w:val="HideTWBExt"/>
      </w:rPr>
      <w:t>&lt;/PathFdR&gt;</w:t>
    </w:r>
    <w:r w:rsidRPr="008D2047">
      <w:tab/>
    </w:r>
    <w:r w:rsidRPr="008D2047">
      <w:fldChar w:fldCharType="begin"/>
    </w:r>
    <w:r w:rsidRPr="008D2047">
      <w:instrText xml:space="preserve"> PAGE  \* MERGEFORMAT </w:instrText>
    </w:r>
    <w:r w:rsidRPr="008D2047">
      <w:fldChar w:fldCharType="separate"/>
    </w:r>
    <w:r>
      <w:rPr>
        <w:noProof/>
      </w:rPr>
      <w:t>3</w:t>
    </w:r>
    <w:r w:rsidRPr="008D2047">
      <w:fldChar w:fldCharType="end"/>
    </w:r>
    <w:r w:rsidRPr="008D2047">
      <w:t>/</w:t>
    </w:r>
    <w:r w:rsidR="0018341C">
      <w:fldChar w:fldCharType="begin"/>
    </w:r>
    <w:r>
      <w:instrText xml:space="preserve"> NUMPAGES  \* MERGEFORMAT </w:instrText>
    </w:r>
    <w:r w:rsidR="0018341C">
      <w:fldChar w:fldCharType="separate"/>
    </w:r>
    <w:r>
      <w:rPr>
        <w:noProof/>
      </w:rPr>
      <w:t>8</w:t>
    </w:r>
    <w:r w:rsidR="0018341C">
      <w:rPr>
        <w:noProof/>
      </w:rPr>
      <w:fldChar w:fldCharType="end"/>
    </w:r>
    <w:r w:rsidRPr="008D2047">
      <w:tab/>
      <w:t>PE</w:t>
    </w:r>
    <w:r w:rsidRPr="008D2047">
      <w:rPr>
        <w:rStyle w:val="HideTWBExt"/>
      </w:rPr>
      <w:t>&lt;NoPE&gt;</w:t>
    </w:r>
    <w:r w:rsidRPr="008D2047">
      <w:t>754.839</w:t>
    </w:r>
    <w:r w:rsidRPr="008D2047">
      <w:rPr>
        <w:rStyle w:val="HideTWBExt"/>
      </w:rPr>
      <w:t>&lt;/NoPE&gt;&lt;Version&gt;</w:t>
    </w:r>
    <w:r w:rsidRPr="008D2047">
      <w:t>v02-00</w:t>
    </w:r>
    <w:r w:rsidRPr="008D2047">
      <w:rPr>
        <w:rStyle w:val="HideTWBExt"/>
      </w:rPr>
      <w:t>&lt;/Version&gt;</w:t>
    </w:r>
  </w:p>
  <w:p w:rsidR="002E2F2E" w:rsidRPr="008D2047" w:rsidRDefault="00FC6CE1" w:rsidP="0051009E">
    <w:pPr>
      <w:pStyle w:val="EPFooter2"/>
    </w:pPr>
    <w:r w:rsidRPr="008D2047">
      <w:tab/>
    </w:r>
    <w:r w:rsidRPr="008D204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09E" w:rsidRPr="008D2047" w:rsidRDefault="00FC6CE1" w:rsidP="0051009E">
    <w:pPr>
      <w:pStyle w:val="EPFooter"/>
    </w:pPr>
    <w:r w:rsidRPr="008D2047">
      <w:rPr>
        <w:rStyle w:val="HideTWBExt"/>
      </w:rPr>
      <w:t>&lt;PathFdR&gt;</w:t>
    </w:r>
    <w:r w:rsidRPr="008D2047">
      <w:t>AD\1294966RO.docx</w:t>
    </w:r>
    <w:r w:rsidRPr="008D2047">
      <w:rPr>
        <w:rStyle w:val="HideTWBExt"/>
      </w:rPr>
      <w:t>&lt;/PathFdR&gt;</w:t>
    </w:r>
    <w:r w:rsidRPr="008D2047">
      <w:tab/>
    </w:r>
    <w:r w:rsidRPr="008D2047">
      <w:tab/>
      <w:t>PE</w:t>
    </w:r>
    <w:r w:rsidRPr="008D2047">
      <w:rPr>
        <w:rStyle w:val="HideTWBExt"/>
      </w:rPr>
      <w:t>&lt;NoPE&gt;</w:t>
    </w:r>
    <w:r w:rsidRPr="008D2047">
      <w:t>754.839</w:t>
    </w:r>
    <w:r w:rsidRPr="008D2047">
      <w:rPr>
        <w:rStyle w:val="HideTWBExt"/>
      </w:rPr>
      <w:t>&lt;/NoPE&gt;&lt;Version&gt;</w:t>
    </w:r>
    <w:r w:rsidRPr="008D2047">
      <w:t>v02-00</w:t>
    </w:r>
    <w:r w:rsidRPr="008D2047">
      <w:rPr>
        <w:rStyle w:val="HideTWBExt"/>
      </w:rPr>
      <w:t>&lt;/Version&gt;</w:t>
    </w:r>
  </w:p>
  <w:p w:rsidR="002E2F2E" w:rsidRPr="008D2047" w:rsidRDefault="00FC6CE1" w:rsidP="0051009E">
    <w:pPr>
      <w:pStyle w:val="EPFooter2"/>
    </w:pPr>
    <w:r w:rsidRPr="008D2047">
      <w:t>RO</w:t>
    </w:r>
    <w:r w:rsidRPr="008D2047">
      <w:tab/>
    </w:r>
    <w:r w:rsidRPr="008D2047">
      <w:rPr>
        <w:b w:val="0"/>
        <w:i/>
        <w:color w:val="C0C0C0"/>
        <w:sz w:val="22"/>
      </w:rPr>
      <w:t>Unită în diversitate</w:t>
    </w:r>
    <w:r w:rsidRPr="008D204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8D2047" w:rsidRDefault="00FC6CE1">
      <w:r w:rsidRPr="008D2047">
        <w:separator/>
      </w:r>
    </w:p>
  </w:footnote>
  <w:footnote w:type="continuationSeparator" w:id="0">
    <w:p w:rsidR="00875277" w:rsidRPr="008D2047" w:rsidRDefault="00FC6CE1">
      <w:r w:rsidRPr="008D2047">
        <w:continuationSeparator/>
      </w:r>
    </w:p>
  </w:footnote>
  <w:footnote w:id="1">
    <w:p w:rsidR="003D337D" w:rsidRPr="008D2047" w:rsidRDefault="00FC6CE1" w:rsidP="003D337D">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5B" w:rsidRDefault="00B24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5B" w:rsidRDefault="00B24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35B" w:rsidRDefault="00B24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XTLANGUE" w:val="RO"/>
    <w:docVar w:name="TXTLANGUEMIN" w:val="ro"/>
    <w:docVar w:name="TXTNRPE" w:val="754.839"/>
    <w:docVar w:name="TXTNRPROC" w:val="2023/2152"/>
    <w:docVar w:name="TXTPEorAP" w:val="PE"/>
    <w:docVar w:name="TXTROUTE" w:val="AD\1294966RO.docx"/>
    <w:docVar w:name="TXTTITLE" w:val="2022 discharge: European Institute for Gender Equality"/>
    <w:docVar w:name="TXTVERSION" w:val="02-00"/>
  </w:docVars>
  <w:rsids>
    <w:rsidRoot w:val="00875277"/>
    <w:rsid w:val="000D28B3"/>
    <w:rsid w:val="000E30B9"/>
    <w:rsid w:val="000E7EBF"/>
    <w:rsid w:val="00106C1C"/>
    <w:rsid w:val="00124F60"/>
    <w:rsid w:val="00135121"/>
    <w:rsid w:val="00140BE6"/>
    <w:rsid w:val="00147F4E"/>
    <w:rsid w:val="00147FBF"/>
    <w:rsid w:val="0016635E"/>
    <w:rsid w:val="001746D0"/>
    <w:rsid w:val="00180131"/>
    <w:rsid w:val="0018341C"/>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7356F"/>
    <w:rsid w:val="003858C5"/>
    <w:rsid w:val="00390EB2"/>
    <w:rsid w:val="00396A0E"/>
    <w:rsid w:val="003D337D"/>
    <w:rsid w:val="003E2402"/>
    <w:rsid w:val="00436162"/>
    <w:rsid w:val="004542C8"/>
    <w:rsid w:val="00456548"/>
    <w:rsid w:val="004C28FB"/>
    <w:rsid w:val="004C44C0"/>
    <w:rsid w:val="004C4A86"/>
    <w:rsid w:val="004D6D75"/>
    <w:rsid w:val="004E57F9"/>
    <w:rsid w:val="0051009E"/>
    <w:rsid w:val="00521DD9"/>
    <w:rsid w:val="0052544E"/>
    <w:rsid w:val="005318CB"/>
    <w:rsid w:val="00565269"/>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D3444"/>
    <w:rsid w:val="007E0BB6"/>
    <w:rsid w:val="007E7446"/>
    <w:rsid w:val="00806D08"/>
    <w:rsid w:val="008313E7"/>
    <w:rsid w:val="0083794C"/>
    <w:rsid w:val="00854CAC"/>
    <w:rsid w:val="00875277"/>
    <w:rsid w:val="00880BCC"/>
    <w:rsid w:val="008A32C5"/>
    <w:rsid w:val="008B10CD"/>
    <w:rsid w:val="008C6203"/>
    <w:rsid w:val="008D2047"/>
    <w:rsid w:val="008D61E7"/>
    <w:rsid w:val="008F7002"/>
    <w:rsid w:val="00950C18"/>
    <w:rsid w:val="0096225D"/>
    <w:rsid w:val="0099493F"/>
    <w:rsid w:val="009A26B2"/>
    <w:rsid w:val="009C6CDD"/>
    <w:rsid w:val="00A16BEA"/>
    <w:rsid w:val="00A312B3"/>
    <w:rsid w:val="00A36ED0"/>
    <w:rsid w:val="00A4482E"/>
    <w:rsid w:val="00A72C35"/>
    <w:rsid w:val="00A83B53"/>
    <w:rsid w:val="00AB41A7"/>
    <w:rsid w:val="00AC2DA6"/>
    <w:rsid w:val="00AC646C"/>
    <w:rsid w:val="00AE180F"/>
    <w:rsid w:val="00B2435B"/>
    <w:rsid w:val="00B362F7"/>
    <w:rsid w:val="00B5456B"/>
    <w:rsid w:val="00B7178A"/>
    <w:rsid w:val="00B74B53"/>
    <w:rsid w:val="00BC26E4"/>
    <w:rsid w:val="00BD1EAA"/>
    <w:rsid w:val="00C14D63"/>
    <w:rsid w:val="00C52739"/>
    <w:rsid w:val="00C827FF"/>
    <w:rsid w:val="00C85D0F"/>
    <w:rsid w:val="00C86A7C"/>
    <w:rsid w:val="00C87806"/>
    <w:rsid w:val="00CB34A7"/>
    <w:rsid w:val="00CD34AC"/>
    <w:rsid w:val="00D06C13"/>
    <w:rsid w:val="00D127A4"/>
    <w:rsid w:val="00D54440"/>
    <w:rsid w:val="00D77C50"/>
    <w:rsid w:val="00D97022"/>
    <w:rsid w:val="00DE19FF"/>
    <w:rsid w:val="00E12809"/>
    <w:rsid w:val="00E81BA6"/>
    <w:rsid w:val="00E856D2"/>
    <w:rsid w:val="00E929A7"/>
    <w:rsid w:val="00EA6D13"/>
    <w:rsid w:val="00EC32D4"/>
    <w:rsid w:val="00FC6460"/>
    <w:rsid w:val="00FC6CE1"/>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94236"/>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57187-E925-47A1-BEC1-5C205D586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1607</Words>
  <Characters>9217</Characters>
  <Application>Microsoft Office Word</Application>
  <DocSecurity>0</DocSecurity>
  <Lines>234</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2024-02-08T13:26:00Z</dcterms:created>
  <dcterms:modified xsi:type="dcterms:W3CDTF">2024-02-08T13:26:00Z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1294966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Created with">
    <vt:lpwstr>9.16.1 Build [20230915]</vt:lpwstr>
  </property>
  <property fmtid="{D5CDD505-2E9C-101B-9397-08002B2CF9AE}" pid="9" name="FooterPath">
    <vt:lpwstr>AD\1294966RO.docx</vt:lpwstr>
  </property>
  <property fmtid="{D5CDD505-2E9C-101B-9397-08002B2CF9AE}" pid="10" name="LastEdited with">
    <vt:lpwstr>9.17.1 Build [20240101]</vt:lpwstr>
  </property>
  <property fmtid="{D5CDD505-2E9C-101B-9397-08002B2CF9AE}" pid="11" name="PE number">
    <vt:lpwstr>754.839</vt:lpwstr>
  </property>
  <property fmtid="{D5CDD505-2E9C-101B-9397-08002B2CF9AE}" pid="12" name="SDLStudio">
    <vt:lpwstr/>
  </property>
  <property fmtid="{D5CDD505-2E9C-101B-9397-08002B2CF9AE}" pid="13" name="SendToEpades">
    <vt:lpwstr>OK - 2024/01/25 11:13</vt:lpwstr>
  </property>
  <property fmtid="{D5CDD505-2E9C-101B-9397-08002B2CF9AE}" pid="14" name="Bookout">
    <vt:lpwstr>OK - 2024/02/08 14:25</vt:lpwstr>
  </property>
</Properties>
</file>