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9527B" w:rsidTr="00C85D0F">
        <w:trPr>
          <w:trHeight w:hRule="exact" w:val="1418"/>
        </w:trPr>
        <w:tc>
          <w:tcPr>
            <w:tcW w:w="6804" w:type="dxa"/>
            <w:shd w:val="clear" w:color="auto" w:fill="auto"/>
            <w:vAlign w:val="center"/>
          </w:tcPr>
          <w:p w:rsidR="00854CAC" w:rsidRPr="007D3D8F" w:rsidRDefault="00993AB7" w:rsidP="00C85D0F">
            <w:pPr>
              <w:pStyle w:val="EPName"/>
            </w:pPr>
            <w:bookmarkStart w:id="0" w:name="_GoBack"/>
            <w:bookmarkEnd w:id="0"/>
            <w:r>
              <w:t>Evropski parlament</w:t>
            </w:r>
          </w:p>
          <w:p w:rsidR="00854CAC" w:rsidRPr="00D87568" w:rsidRDefault="00993AB7" w:rsidP="00D87568">
            <w:pPr>
              <w:pStyle w:val="EPTerm"/>
            </w:pPr>
            <w:r>
              <w:t>2019-2024</w:t>
            </w:r>
          </w:p>
        </w:tc>
        <w:tc>
          <w:tcPr>
            <w:tcW w:w="2268" w:type="dxa"/>
            <w:shd w:val="clear" w:color="auto" w:fill="auto"/>
          </w:tcPr>
          <w:p w:rsidR="00854CAC" w:rsidRPr="007D3D8F" w:rsidRDefault="00993AB7" w:rsidP="00C85D0F">
            <w:pPr>
              <w:pStyle w:val="EPLogo"/>
            </w:pPr>
            <w:r w:rsidRPr="007D3D8F">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7D3D8F" w:rsidRDefault="001746D0" w:rsidP="001746D0">
      <w:pPr>
        <w:pStyle w:val="LineTop"/>
      </w:pPr>
    </w:p>
    <w:p w:rsidR="001746D0" w:rsidRPr="007D3D8F" w:rsidRDefault="00993AB7" w:rsidP="001746D0">
      <w:pPr>
        <w:pStyle w:val="EPBody"/>
      </w:pPr>
      <w:r w:rsidRPr="0034742A">
        <w:rPr>
          <w:rStyle w:val="HideTWBExt"/>
          <w:i w:val="0"/>
          <w:szCs w:val="20"/>
        </w:rPr>
        <w:t>&lt;Commission&gt;</w:t>
      </w:r>
      <w:r w:rsidRPr="0034742A">
        <w:rPr>
          <w:rStyle w:val="HideTWBInt"/>
          <w:i w:val="0"/>
          <w:szCs w:val="20"/>
        </w:rPr>
        <w:t>{FEMM}</w:t>
      </w:r>
      <w:r>
        <w:t>Odbor za pravice žensk in enakost spolov</w:t>
      </w:r>
      <w:r w:rsidRPr="0034742A">
        <w:rPr>
          <w:rStyle w:val="HideTWBExt"/>
          <w:i w:val="0"/>
          <w:szCs w:val="20"/>
        </w:rPr>
        <w:t>&lt;/Commission&gt;</w:t>
      </w:r>
    </w:p>
    <w:p w:rsidR="001746D0" w:rsidRPr="007D3D8F" w:rsidRDefault="001746D0" w:rsidP="001746D0">
      <w:pPr>
        <w:pStyle w:val="LineBottom"/>
      </w:pPr>
    </w:p>
    <w:p w:rsidR="002E2F2E" w:rsidRPr="007D3D8F" w:rsidRDefault="00993AB7">
      <w:pPr>
        <w:pStyle w:val="CoverReference"/>
      </w:pPr>
      <w:r w:rsidRPr="0034742A">
        <w:rPr>
          <w:rStyle w:val="HideTWBExt"/>
          <w:b w:val="0"/>
        </w:rPr>
        <w:t>&lt;RefProc&gt;</w:t>
      </w:r>
      <w:r>
        <w:t>2023/2152</w:t>
      </w:r>
      <w:r w:rsidRPr="0034742A">
        <w:rPr>
          <w:rStyle w:val="HideTWBExt"/>
          <w:b w:val="0"/>
        </w:rPr>
        <w:t>&lt;/RefProc&gt;&lt;RefTypeProc&gt;</w:t>
      </w:r>
      <w:r>
        <w:t>(DEC)</w:t>
      </w:r>
      <w:r w:rsidRPr="0034742A">
        <w:rPr>
          <w:rStyle w:val="HideTWBExt"/>
          <w:b w:val="0"/>
        </w:rPr>
        <w:t>&lt;/RefTypeProc&gt;</w:t>
      </w:r>
    </w:p>
    <w:p w:rsidR="002E2F2E" w:rsidRPr="007D3D8F" w:rsidRDefault="00993AB7">
      <w:pPr>
        <w:pStyle w:val="CoverDate"/>
      </w:pPr>
      <w:r w:rsidRPr="0034742A">
        <w:rPr>
          <w:rStyle w:val="HideTWBExt"/>
        </w:rPr>
        <w:t>&lt;Date&gt;</w:t>
      </w:r>
      <w:r w:rsidRPr="0034742A">
        <w:rPr>
          <w:rStyle w:val="HideTWBInt"/>
        </w:rPr>
        <w:t>{25/01/2024}</w:t>
      </w:r>
      <w:r>
        <w:t>25.1.2024</w:t>
      </w:r>
      <w:r w:rsidRPr="0034742A">
        <w:rPr>
          <w:rStyle w:val="HideTWBExt"/>
        </w:rPr>
        <w:t>&lt;/Date&gt;</w:t>
      </w:r>
    </w:p>
    <w:p w:rsidR="002E2F2E" w:rsidRPr="007D3D8F" w:rsidRDefault="00993AB7">
      <w:pPr>
        <w:pStyle w:val="CoverDocType24a"/>
      </w:pPr>
      <w:r w:rsidRPr="0034742A">
        <w:rPr>
          <w:rStyle w:val="HideTWBExt"/>
          <w:b w:val="0"/>
        </w:rPr>
        <w:t>&lt;TitreType&gt;</w:t>
      </w:r>
      <w:r>
        <w:t>MNENJE</w:t>
      </w:r>
      <w:r w:rsidRPr="0034742A">
        <w:rPr>
          <w:rStyle w:val="HideTWBExt"/>
          <w:b w:val="0"/>
        </w:rPr>
        <w:t>&lt;/TitreType&gt;</w:t>
      </w:r>
    </w:p>
    <w:p w:rsidR="002E2F2E" w:rsidRPr="007D3D8F" w:rsidRDefault="00993AB7">
      <w:pPr>
        <w:pStyle w:val="CoverNormal24a"/>
      </w:pPr>
      <w:r w:rsidRPr="0034742A">
        <w:rPr>
          <w:rStyle w:val="HideTWBExt"/>
        </w:rPr>
        <w:t>&lt;CommissionResp&gt;</w:t>
      </w:r>
      <w:r>
        <w:t>Odbora za pravice žensk in enakost spolov</w:t>
      </w:r>
      <w:r w:rsidRPr="0034742A">
        <w:rPr>
          <w:rStyle w:val="HideTWBExt"/>
        </w:rPr>
        <w:t>&lt;/CommissionResp&gt;</w:t>
      </w:r>
    </w:p>
    <w:p w:rsidR="002E2F2E" w:rsidRPr="007D3D8F" w:rsidRDefault="00993AB7">
      <w:pPr>
        <w:pStyle w:val="CoverNormal24a"/>
      </w:pPr>
      <w:r w:rsidRPr="0034742A">
        <w:rPr>
          <w:rStyle w:val="HideTWBExt"/>
        </w:rPr>
        <w:t>&lt;CommissionInt&gt;</w:t>
      </w:r>
      <w:r>
        <w:t>za Odbor za proračunski nadzor</w:t>
      </w:r>
      <w:r w:rsidRPr="0034742A">
        <w:rPr>
          <w:rStyle w:val="HideTWBExt"/>
        </w:rPr>
        <w:t>&lt;/CommissionInt&gt;</w:t>
      </w:r>
    </w:p>
    <w:p w:rsidR="002E2F2E" w:rsidRPr="007D3D8F" w:rsidRDefault="00993AB7">
      <w:pPr>
        <w:pStyle w:val="CoverNormal"/>
      </w:pPr>
      <w:r w:rsidRPr="0034742A">
        <w:rPr>
          <w:rStyle w:val="HideTWBExt"/>
        </w:rPr>
        <w:t>&lt;Titre&gt;</w:t>
      </w:r>
      <w:r>
        <w:t>o razrešnici za leto 2022: Evropski inštitut za enakost spolov</w:t>
      </w:r>
      <w:r w:rsidRPr="0034742A">
        <w:rPr>
          <w:rStyle w:val="HideTWBExt"/>
        </w:rPr>
        <w:t>&lt;/Titre&gt;</w:t>
      </w:r>
    </w:p>
    <w:p w:rsidR="002E2F2E" w:rsidRPr="007D3D8F" w:rsidRDefault="00993AB7">
      <w:pPr>
        <w:pStyle w:val="CoverNormal24a"/>
      </w:pPr>
      <w:r w:rsidRPr="0034742A">
        <w:rPr>
          <w:rStyle w:val="HideTWBExt"/>
        </w:rPr>
        <w:t>&lt;DocRef&gt;</w:t>
      </w:r>
      <w:r>
        <w:t>(2023/2152(DEC))</w:t>
      </w:r>
      <w:r w:rsidRPr="0034742A">
        <w:rPr>
          <w:rStyle w:val="HideTWBExt"/>
        </w:rPr>
        <w:t>&lt;/DocRef&gt;</w:t>
      </w:r>
    </w:p>
    <w:p w:rsidR="002E2F2E" w:rsidRPr="007D3D8F" w:rsidRDefault="00993AB7">
      <w:pPr>
        <w:pStyle w:val="CoverNormal24a"/>
      </w:pPr>
      <w:r>
        <w:t xml:space="preserve">Pripravljavec mnenja: </w:t>
      </w:r>
      <w:r w:rsidRPr="0034742A">
        <w:rPr>
          <w:rStyle w:val="HideTWBExt"/>
        </w:rPr>
        <w:t>&lt;Depute&gt;</w:t>
      </w:r>
      <w:r>
        <w:t>Robert Biedroń</w:t>
      </w:r>
      <w:r w:rsidRPr="0034742A">
        <w:rPr>
          <w:rStyle w:val="HideTWBExt"/>
        </w:rPr>
        <w:t>&lt;/Depute&gt;</w:t>
      </w:r>
    </w:p>
    <w:p w:rsidR="00A72C35" w:rsidRPr="007D3D8F" w:rsidRDefault="00A72C35" w:rsidP="00A72C35">
      <w:pPr>
        <w:pStyle w:val="CoverNormal"/>
      </w:pPr>
    </w:p>
    <w:p w:rsidR="002E2F2E" w:rsidRPr="007D3D8F" w:rsidRDefault="00993AB7" w:rsidP="00E856D2">
      <w:pPr>
        <w:widowControl/>
        <w:tabs>
          <w:tab w:val="center" w:pos="4677"/>
        </w:tabs>
      </w:pPr>
      <w:r>
        <w:br w:type="page"/>
      </w:r>
      <w:r>
        <w:lastRenderedPageBreak/>
        <w:t>PA_NonLeg</w:t>
      </w:r>
    </w:p>
    <w:p w:rsidR="002E2F2E" w:rsidRPr="007D3D8F" w:rsidRDefault="00993AB7">
      <w:pPr>
        <w:pStyle w:val="PageHeadingNotTOC"/>
      </w:pPr>
      <w:r>
        <w:br w:type="page"/>
        <w:t>POBUDE</w:t>
      </w:r>
    </w:p>
    <w:p w:rsidR="002E2F2E" w:rsidRPr="007D3D8F" w:rsidRDefault="00993AB7" w:rsidP="008313E7">
      <w:pPr>
        <w:pStyle w:val="Normal12a"/>
      </w:pPr>
      <w:r>
        <w:t>Odbor za pravice žensk in enakost spolov poziva Odbor za proračunski nadzor kot pristojni odbor, da v svoj predlog resolucije vključi naslednje pobude:</w:t>
      </w:r>
    </w:p>
    <w:p w:rsidR="005558B6" w:rsidRPr="00C87806" w:rsidRDefault="005558B6" w:rsidP="005558B6">
      <w:pPr>
        <w:pStyle w:val="NormalHanging12a"/>
        <w:rPr>
          <w:szCs w:val="24"/>
        </w:rPr>
      </w:pPr>
      <w:r>
        <w:t>A.</w:t>
      </w:r>
      <w:r>
        <w:tab/>
        <w:t>ker člen 8 PDEU določa, da si Unija v vseh svojih dejavnostih prizadeva odpraviti neenakosti, vzpostaviti načelo vključevanja enakosti spolov in spodbujati enakost spolov med moškimi in ženskami; ker je treba enakost spolov vključiti v vse politike EU, tudi z upoštevanjem vidika spola pri pripravi proračuna na vseh ravneh proračunskega postopka;</w:t>
      </w:r>
    </w:p>
    <w:p w:rsidR="005558B6" w:rsidRPr="00C87806" w:rsidRDefault="005558B6" w:rsidP="005558B6">
      <w:pPr>
        <w:pStyle w:val="NormalHanging12a"/>
        <w:rPr>
          <w:szCs w:val="24"/>
        </w:rPr>
      </w:pPr>
      <w:r>
        <w:t>B.</w:t>
      </w:r>
      <w:r>
        <w:tab/>
        <w:t>ker osebje Evropskega inštituta za enakost spolov dejavno sodeluje pri izmenjavi dobre prakse ter dejavnostih mreže agencij EU (EUAN) in njenih podmrež, da bi razvili sinergije na področjih, kot so človeški viri, upravljanje stavb, storitve IT in varnost, sodelovanje in izmenjava dobre prakse z drugimi agencijami Unije, ter tako povečali učinkovitost; ker je inštitut sprejel proaktivne ukrepe za izvajanje tekočih ukrepov, s katerimi poskuša izboljšati uravnoteženo zastopanost spolov med zaposlenimi;</w:t>
      </w:r>
    </w:p>
    <w:p w:rsidR="005558B6" w:rsidRPr="00C87806" w:rsidRDefault="005558B6" w:rsidP="005558B6">
      <w:pPr>
        <w:pStyle w:val="NormalHanging12a"/>
        <w:rPr>
          <w:szCs w:val="24"/>
        </w:rPr>
      </w:pPr>
      <w:r>
        <w:t>C.</w:t>
      </w:r>
      <w:r>
        <w:tab/>
        <w:t>ker indeks enakosti spolov za leto 2023 kaže, da so se države članice izboljšale le za 1,6 odstotne točke in dosegle 70,2 točke, medtem ko so na nekaterih področjih, predvsem pri ekonomski in dohodkovni metriki, celo nazadovale</w:t>
      </w:r>
      <w:r w:rsidRPr="00C87806">
        <w:rPr>
          <w:vertAlign w:val="superscript"/>
        </w:rPr>
        <w:footnoteReference w:id="1"/>
      </w:r>
      <w:r>
        <w:t xml:space="preserve">; ker je bil Evropski inštitut za enakost spolov (EIGE) ustanovljen, da bi spodbujal enakost spolov v Uniji in jo krepil, tudi z vključevanjem vidika spola v vse politike Unije in nacionalne politike, ki iz njih izhajajo, se boril proti diskriminaciji na podlagi spola ter ozaveščal državljane Unije o enakosti spolov; </w:t>
      </w:r>
    </w:p>
    <w:p w:rsidR="005558B6" w:rsidRPr="00C87806" w:rsidRDefault="005558B6" w:rsidP="005558B6">
      <w:pPr>
        <w:pStyle w:val="NormalHanging12a"/>
        <w:rPr>
          <w:szCs w:val="24"/>
        </w:rPr>
      </w:pPr>
      <w:r>
        <w:t>D.</w:t>
      </w:r>
      <w:r>
        <w:tab/>
        <w:t>ker je vse bolj nujno, da Unija glede na sedanje krize, kot so vojne, podnebna kriza, inflacija in nazadovanje na področju pravic žensk, zlasti spolnega in reproduktivnega zdravja in pravic, v Uniji in po svetu doseže napredek pri izvajanju strategije za enakost spolov; ker krize, ki se zdaj vrstijo, pomenijo tveganje, da se bodo prizadevanja za enakost spolov upočasnila in da se bo oviralo polno uživanje pravic žensk; ker revščina ali socialna izključenost v EU bolj prizadeneta ženske kot moške; ker nosijo ženske zaradi svoje vloge primarnih skrbnic v družini nesorazmerno breme neplačane oskrbe in gospodinjskega dela, hkrati pa imajo pri tem ključno vlogo; ker razlika v plačah med spoloma v EU znaša 13 %, med državami članicami pa so variacije; ker ima razlika v plačah med spoloma številne posledice, vključno z 29-odstotno razliko v pokojninskih pravicah, zaradi česar so starejše ženske bolj izpostavljene tveganju revščine in socialne izključenosti; ker se pravice do enakega plačila za enako delo ne spoštuje vedno in še vedno predstavlja enega največjih izzivov v boju proti diskriminaciji pri plačilu; ker sta boj proti diskriminaciji med moškimi in ženskami pri dostopu do zaposlitve in dela ter spodbujanje enakosti na poklicni poti in v poklicnih kategorijah v poklicnem usposabljanju bistvenega pomena; ker bi morale države članice povečati javne naložbe v politike, ki so neposredno ali posredno namenjene boju proti negativnim učinkom krize življenjskih stroškov na ženske v vsej njihovi raznolikosti, da bi zagotovile dostop do visokokakovostnih in cenovno sprejemljivih javnih storitev za oskrbo, izobraževanje, zdravje, vključno s spolnim in reproduktivnim zdravjem ter pravicami, in nastanitev, ter zaščitile žrtve nasilja na podlagi spola;</w:t>
      </w:r>
    </w:p>
    <w:p w:rsidR="005558B6" w:rsidRPr="00C87806" w:rsidRDefault="005558B6" w:rsidP="005558B6">
      <w:pPr>
        <w:pStyle w:val="NormalHanging12a"/>
        <w:rPr>
          <w:szCs w:val="24"/>
        </w:rPr>
      </w:pPr>
      <w:r>
        <w:t>E.</w:t>
      </w:r>
      <w:r>
        <w:tab/>
        <w:t>ker je končni proračun Evropskega inštituta za enakost spolov (EIGE) v proračunskem letu 2022 znašal 8.432.920 EUR, kar je 3 % več kot leta 2021 (8.693.358 EUR); ker celotni proračun inštituta izvira iz proračuna Unije;</w:t>
      </w:r>
    </w:p>
    <w:p w:rsidR="005558B6" w:rsidRPr="00C87806" w:rsidRDefault="005558B6" w:rsidP="005558B6">
      <w:pPr>
        <w:pStyle w:val="NormalHanging12a"/>
        <w:rPr>
          <w:szCs w:val="24"/>
        </w:rPr>
      </w:pPr>
      <w:r>
        <w:t>1.</w:t>
      </w:r>
      <w:r>
        <w:tab/>
        <w:t>opozarja, da je bil Evropski inštitut za enakost spolov ustanovljen, da bi prispeval k spodbujanju enakosti spolov v Uniji z zagotavljanjem kakovostnih raziskav in primerljivih podatkov ter pomagal evropskim institucijam in državam članicam pri vključevanju enakosti spolov v vse svoje politike in pri boju proti diskriminaciji na podlagi spola; zato poudarja, da ima inštitut ključno vlogo pri zbiranju, analiziranju, obdelavi in razširjanju podatkov in potrebnih informacij za oblikovalce politik ter politike Evropske unije in njenih držav članic; zlasti pozdravlja stalno delo inštituta v zvezi z indeksom enakosti spolov in enostaven dostop do informacij za državljane; poudarja potrebo po močnejšem in učinkovitejšem vključevanju politik enakosti spolov in orodij za vključevanje načela enakosti spolov; znova poziva, naj se Evropskemu inštitutu za enakost spolov glede na vse večje nujne potrebe, tehnično podporo in povpraševanje po njegovih storitvah dodelijo dodatni kadrovski viri, vključno s statutarnimi uslužbenci; zato poziva, naj se povečajo sredstva za proračun inštituta, da bo lahko povečal zaposlitveno in raziskovalno zmogljivost ter dodatno izboljšal delo in rezultate glede na nadaljnje krize in nasprotovanje enakosti spolov in oseb LGBTIQ+, ki nesorazmerno prizadene ženske;</w:t>
      </w:r>
    </w:p>
    <w:p w:rsidR="005558B6" w:rsidRPr="00C87806" w:rsidRDefault="005558B6" w:rsidP="005558B6">
      <w:pPr>
        <w:pStyle w:val="NormalHanging12a"/>
        <w:rPr>
          <w:szCs w:val="24"/>
        </w:rPr>
      </w:pPr>
      <w:r>
        <w:t>2.</w:t>
      </w:r>
      <w:r>
        <w:tab/>
        <w:t>poudarja, da se je pomembno boriti proti neenakostim in krivicam do žensk; poziva Komisijo in države članice, naj sprejmejo nujne ukrepe za odpravo revščine in vse večjih neenakosti med ženskami, zlasti med ranljivimi skupinami, vključno z materami samohranilkami, invalidkami, ženskami iz rasnih manjšin, ženskami LGBTIQ+, migrantkami in begunkami, starejšimi ženskami in ženskami na podeželskih ali redko poseljenih območjih; ugotavlja, da bi bilo to mogoče doseči z izpolnitvijo potrebe po povečanju sredstev za ukrepe za enakost spolov v smislu zaposlovanja in rasti, bojem proti nasilju na podlagi spola, razlikam v plačilu med moškimi in ženskami, razlikam v pokojninah med moškimi in ženskami ter vplivu kriz na ženske, pa tudi z vključevanjem načela enakosti spolov in upoštevanjem vse večje stopnje revščine med ženskami pri pripravi proračuna, tudi v smislu pravic, demokracije in pravne države; v zvezi s tem pozdravlja sodelovanje, ki poteka med inštitutom in Odborom za pravice žensk in enakost spolov (FEMM); poudarja izjemna prizadevanja in dragocen prispevek Evropskega inštituta za enakost spolov k uresničevanju ciljev, vrednot in prednostnih nalog Evropskega parlamenta; odločno podpira delo inštituta, ki s študijami, raziskavami in visokokakovostnimi podatki omogoča odboru, da ustrezno opravlja svoje delo; ugotavlja, kako pomembno je, da so na voljo zanesljivi podatki, razčlenjeni po spolu, da se omogoči oblikovanje politik na podlagi dokazov; ugotavlja, da lahko inštitut vsem odborom Evropskega parlamenta in drugim agencijam EU zagotovi pomemben prispevek za boljše vključevanje načela enakosti spolov v vse politike EU;</w:t>
      </w:r>
    </w:p>
    <w:p w:rsidR="005558B6" w:rsidRPr="00C87806" w:rsidRDefault="005558B6" w:rsidP="005558B6">
      <w:pPr>
        <w:pStyle w:val="NormalHanging12a"/>
        <w:rPr>
          <w:szCs w:val="24"/>
        </w:rPr>
      </w:pPr>
      <w:r>
        <w:t>3.</w:t>
      </w:r>
      <w:r>
        <w:tab/>
        <w:t>ugotavlja, da je stopnja izvrševanja proračuna inštituta kljub stalnemu primanjkljaju osebja še naprej visoka, saj so odobritve za prevzem obveznosti v letu 2022 dosegale 97,91 % (v primerjavi s 98,92 % v letu 2021), stopnja odobritev plačil pa je znašala 81,10 % (72,16 % v letu 2021);</w:t>
      </w:r>
    </w:p>
    <w:p w:rsidR="005558B6" w:rsidRPr="00C87806" w:rsidRDefault="005558B6" w:rsidP="005558B6">
      <w:pPr>
        <w:pStyle w:val="NormalHanging12a"/>
        <w:rPr>
          <w:szCs w:val="24"/>
        </w:rPr>
      </w:pPr>
      <w:r>
        <w:t>4.</w:t>
      </w:r>
      <w:r>
        <w:tab/>
        <w:t>se zaveda, da se je znesek v naslednje leto prenesenih operativnih odhodkov inštituta v letu 2023 zmanjšal na 42,28 % (54,79 % v letu 2022);</w:t>
      </w:r>
    </w:p>
    <w:p w:rsidR="005558B6" w:rsidRPr="00C87806" w:rsidRDefault="005558B6" w:rsidP="005558B6">
      <w:pPr>
        <w:pStyle w:val="NormalHanging12a"/>
      </w:pPr>
      <w:r>
        <w:t>5.</w:t>
      </w:r>
      <w:r>
        <w:tab/>
        <w:t>ugotavlja, da je Evropsko računsko sodišče potrdilo, da letni računovodski izkazi inštituta v vseh pomembnih pogledih pošteno predstavljajo njegov finančni položaj na dan 31. decembra 2022 ter njegov poslovni izid, denarne tokove in spremembe čistih sredstev za tedaj končano leto;</w:t>
      </w:r>
    </w:p>
    <w:p w:rsidR="005558B6" w:rsidRPr="00C87806" w:rsidRDefault="005558B6" w:rsidP="005558B6">
      <w:pPr>
        <w:pStyle w:val="NormalHanging12a"/>
        <w:rPr>
          <w:szCs w:val="24"/>
        </w:rPr>
      </w:pPr>
      <w:r>
        <w:t>6.</w:t>
      </w:r>
      <w:r>
        <w:tab/>
        <w:t>na osnovi razpoložljivih podatkov meni, da se direktorici Evropskega inštituta za enakost spolov podeli razrešnica glede izvrševanja proračuna inštituta za proračunsko leto 2022.</w:t>
      </w:r>
    </w:p>
    <w:p w:rsidR="005558B6" w:rsidRDefault="005558B6" w:rsidP="005E319A"/>
    <w:p w:rsidR="005558B6" w:rsidRDefault="005558B6" w:rsidP="005E319A">
      <w:pPr>
        <w:sectPr w:rsidR="005558B6" w:rsidSect="005558B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5558B6" w:rsidRDefault="005558B6" w:rsidP="002B2C72">
      <w:pPr>
        <w:pStyle w:val="PageHeadingNotTOC"/>
        <w:rPr>
          <w:noProof/>
        </w:rPr>
      </w:pPr>
      <w:bookmarkStart w:id="1" w:name="FootprintPageAD"/>
      <w:r>
        <w:t>PRILOGA: SUBJEKTI ALI OSEBE,</w:t>
      </w:r>
      <w:r>
        <w:br/>
        <w:t>OD KATERIH JE PRIPRAVLJAVEC MNENJA PREJEL PRISPEVKE</w:t>
      </w:r>
    </w:p>
    <w:p w:rsidR="005558B6" w:rsidRPr="0099178F" w:rsidRDefault="005558B6" w:rsidP="00037518">
      <w:pPr>
        <w:pStyle w:val="Normal24a"/>
      </w:pPr>
      <w:r w:rsidRPr="0034742A">
        <w:rPr>
          <w:rStyle w:val="HideTWBExt"/>
        </w:rPr>
        <w:t>&lt;FootprintIntro&gt;</w:t>
      </w:r>
      <w:r>
        <w:t>Pripravljavec mnenja kot izključno pristojen izjavlja, da ni prejel nobenih prispevkov od subjektov ali oseb, ki bi jih bilo treba navesti v tej prilogi v smislu člena 8 Priloge I Poslovnika.</w:t>
      </w:r>
      <w:r w:rsidRPr="0034742A">
        <w:rPr>
          <w:rStyle w:val="HideTWBExt"/>
        </w:rPr>
        <w:t>&lt;/FootprintIntro&gt;</w:t>
      </w:r>
    </w:p>
    <w:p w:rsidR="005558B6" w:rsidRDefault="005558B6" w:rsidP="00AD5932"/>
    <w:p w:rsidR="005558B6" w:rsidRPr="005558B6" w:rsidRDefault="005558B6" w:rsidP="005558B6"/>
    <w:bookmarkEnd w:id="1"/>
    <w:p w:rsidR="005558B6" w:rsidRDefault="005558B6" w:rsidP="005E319A">
      <w:pPr>
        <w:sectPr w:rsidR="005558B6" w:rsidSect="005558B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319A" w:rsidRPr="005E319A" w:rsidRDefault="005E319A" w:rsidP="005E319A"/>
    <w:p w:rsidR="005E319A" w:rsidRDefault="005E319A" w:rsidP="005E319A">
      <w:pPr>
        <w:pStyle w:val="PageHeadingNotTOC"/>
      </w:pPr>
      <w:bookmarkStart w:id="2" w:name="ProcPageAD"/>
      <w:r>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E31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b/>
                <w:bCs/>
                <w:color w:val="000000"/>
                <w:sz w:val="20"/>
              </w:rPr>
            </w:pPr>
            <w:r>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319A" w:rsidRDefault="005E319A">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319A" w:rsidRDefault="005E319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319A" w:rsidRDefault="005E319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rFonts w:ascii="sans-serif" w:hAnsi="sans-serif" w:cs="sans-serif"/>
                <w:color w:val="000000"/>
                <w:szCs w:val="24"/>
              </w:rPr>
            </w:pPr>
          </w:p>
        </w:tc>
      </w:tr>
      <w:tr w:rsidR="005E31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b/>
                <w:bCs/>
                <w:color w:val="000000"/>
                <w:sz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319A" w:rsidRDefault="005E319A">
            <w:pPr>
              <w:autoSpaceDE w:val="0"/>
              <w:autoSpaceDN w:val="0"/>
              <w:adjustRightInd w:val="0"/>
              <w:rPr>
                <w:color w:val="000000"/>
                <w:sz w:val="20"/>
              </w:rPr>
            </w:pPr>
            <w:r>
              <w:rPr>
                <w:color w:val="000000"/>
                <w:sz w:val="20"/>
              </w:rPr>
              <w:t>+:</w:t>
            </w:r>
          </w:p>
          <w:p w:rsidR="005E319A" w:rsidRDefault="005E319A">
            <w:pPr>
              <w:autoSpaceDE w:val="0"/>
              <w:autoSpaceDN w:val="0"/>
              <w:adjustRightInd w:val="0"/>
              <w:rPr>
                <w:color w:val="000000"/>
                <w:sz w:val="20"/>
              </w:rPr>
            </w:pPr>
            <w:r>
              <w:rPr>
                <w:color w:val="000000"/>
                <w:sz w:val="20"/>
              </w:rPr>
              <w:t>–:</w:t>
            </w:r>
          </w:p>
          <w:p w:rsidR="005E319A" w:rsidRDefault="005E319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color w:val="000000"/>
                <w:sz w:val="20"/>
              </w:rPr>
            </w:pPr>
            <w:r>
              <w:rPr>
                <w:color w:val="000000"/>
                <w:sz w:val="20"/>
              </w:rPr>
              <w:t>23</w:t>
            </w:r>
          </w:p>
          <w:p w:rsidR="005E319A" w:rsidRDefault="005E319A">
            <w:pPr>
              <w:autoSpaceDE w:val="0"/>
              <w:autoSpaceDN w:val="0"/>
              <w:adjustRightInd w:val="0"/>
              <w:rPr>
                <w:color w:val="000000"/>
                <w:sz w:val="20"/>
              </w:rPr>
            </w:pPr>
            <w:r>
              <w:rPr>
                <w:color w:val="000000"/>
                <w:sz w:val="20"/>
              </w:rPr>
              <w:t>4</w:t>
            </w:r>
          </w:p>
          <w:p w:rsidR="005E319A" w:rsidRDefault="005E319A">
            <w:pPr>
              <w:autoSpaceDE w:val="0"/>
              <w:autoSpaceDN w:val="0"/>
              <w:adjustRightInd w:val="0"/>
              <w:rPr>
                <w:color w:val="000000"/>
                <w:sz w:val="20"/>
              </w:rPr>
            </w:pPr>
            <w:r>
              <w:rPr>
                <w:color w:val="000000"/>
                <w:sz w:val="20"/>
              </w:rPr>
              <w:t>2</w:t>
            </w:r>
          </w:p>
        </w:tc>
      </w:tr>
      <w:tr w:rsidR="005E31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b/>
                <w:bCs/>
                <w:color w:val="000000"/>
                <w:sz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color w:val="000000"/>
                <w:sz w:val="20"/>
              </w:rPr>
            </w:pPr>
            <w:r>
              <w:rPr>
                <w:color w:val="000000"/>
                <w:sz w:val="20"/>
              </w:rPr>
              <w:t>Christine Anderson, Robert Biedroń, Vilija Blinkevičiūtė, Annika Bruna, Maria da Graça Carvalho, Margarita de la Pisa Carrión, Gwendoline Delbos-Corfield, Frances Fitzgerald, Lívia Járóka, Arba Kokalari, Alice 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5E31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b/>
                <w:bCs/>
                <w:color w:val="000000"/>
                <w:sz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color w:val="000000"/>
                <w:sz w:val="20"/>
              </w:rPr>
            </w:pPr>
            <w:r>
              <w:rPr>
                <w:color w:val="000000"/>
                <w:sz w:val="20"/>
              </w:rPr>
              <w:t>Laura Ballarín Cereza, Sylvie Brunet, Marina Kaljurand, Eleni Stavru (Eleni Stavrou)</w:t>
            </w:r>
          </w:p>
        </w:tc>
      </w:tr>
      <w:tr w:rsidR="005E31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b/>
                <w:bCs/>
                <w:color w:val="000000"/>
                <w:sz w:val="20"/>
              </w:rPr>
            </w:pPr>
            <w:r>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319A" w:rsidRDefault="005E319A">
            <w:pPr>
              <w:autoSpaceDE w:val="0"/>
              <w:autoSpaceDN w:val="0"/>
              <w:adjustRightInd w:val="0"/>
              <w:rPr>
                <w:color w:val="000000"/>
                <w:sz w:val="20"/>
              </w:rPr>
            </w:pPr>
            <w:r>
              <w:rPr>
                <w:color w:val="000000"/>
                <w:sz w:val="20"/>
              </w:rPr>
              <w:t>Milan Brglez, Rainer Wieland</w:t>
            </w:r>
          </w:p>
        </w:tc>
      </w:tr>
    </w:tbl>
    <w:p w:rsidR="005E319A" w:rsidRPr="005558B6" w:rsidRDefault="005E319A" w:rsidP="005558B6"/>
    <w:bookmarkEnd w:id="2"/>
    <w:p w:rsidR="005558B6" w:rsidRDefault="005558B6" w:rsidP="005558B6">
      <w:pPr>
        <w:sectPr w:rsidR="005558B6" w:rsidSect="005558B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558B6" w:rsidRPr="0099178F" w:rsidRDefault="005558B6" w:rsidP="00C36610">
      <w:pPr>
        <w:pStyle w:val="PageHeadingNotTOC"/>
      </w:pPr>
      <w:bookmarkStart w:id="3"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58B6" w:rsidRPr="00C87806" w:rsidTr="00BF3113">
        <w:trPr>
          <w:cantSplit/>
        </w:trPr>
        <w:tc>
          <w:tcPr>
            <w:tcW w:w="1701" w:type="dxa"/>
            <w:shd w:val="pct10" w:color="000000" w:fill="FFFFFF"/>
            <w:vAlign w:val="center"/>
          </w:tcPr>
          <w:p w:rsidR="005558B6" w:rsidRPr="00C87806" w:rsidRDefault="005558B6" w:rsidP="00BF3113">
            <w:pPr>
              <w:pStyle w:val="RollCallVotes"/>
            </w:pPr>
            <w:r>
              <w:t>23</w:t>
            </w:r>
          </w:p>
        </w:tc>
        <w:tc>
          <w:tcPr>
            <w:tcW w:w="7371" w:type="dxa"/>
            <w:shd w:val="pct10" w:color="000000" w:fill="FFFFFF"/>
          </w:tcPr>
          <w:p w:rsidR="005558B6" w:rsidRPr="00C87806" w:rsidRDefault="005558B6" w:rsidP="00BF3113">
            <w:pPr>
              <w:pStyle w:val="RollCallSymbols14pt"/>
            </w:pPr>
            <w:r>
              <w:t>+</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PPE</w:t>
            </w:r>
          </w:p>
        </w:tc>
        <w:tc>
          <w:tcPr>
            <w:tcW w:w="7371" w:type="dxa"/>
            <w:shd w:val="clear" w:color="auto" w:fill="FFFFFF"/>
          </w:tcPr>
          <w:p w:rsidR="005558B6" w:rsidRPr="00C87806" w:rsidRDefault="005558B6" w:rsidP="00BF3113">
            <w:pPr>
              <w:pStyle w:val="RollCallTable"/>
            </w:pPr>
            <w:r>
              <w:t>Maria da Graça Carvalho, Frances Fitzgerald, Arba Kokalari, Elżbieta Katarzyna Łukacijewska, Eleni Stavru (Eleni Stavrou), Rainer Wieland</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Renew</w:t>
            </w:r>
          </w:p>
        </w:tc>
        <w:tc>
          <w:tcPr>
            <w:tcW w:w="7371" w:type="dxa"/>
            <w:shd w:val="clear" w:color="auto" w:fill="FFFFFF"/>
          </w:tcPr>
          <w:p w:rsidR="005558B6" w:rsidRPr="00C87806" w:rsidRDefault="005558B6" w:rsidP="00BF3113">
            <w:pPr>
              <w:pStyle w:val="RollCallTable"/>
            </w:pPr>
            <w:r>
              <w:t>Sylvie Brunet, Samira Rafaela, María Soraya Rodríguez Ramos, Marco Zullo</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S&amp;D</w:t>
            </w:r>
          </w:p>
        </w:tc>
        <w:tc>
          <w:tcPr>
            <w:tcW w:w="7371" w:type="dxa"/>
            <w:shd w:val="clear" w:color="auto" w:fill="FFFFFF"/>
          </w:tcPr>
          <w:p w:rsidR="005558B6" w:rsidRPr="00C87806" w:rsidRDefault="005558B6" w:rsidP="00BF3113">
            <w:pPr>
              <w:pStyle w:val="RollCallTable"/>
            </w:pPr>
            <w:r>
              <w:t>Laura Ballarín Cereza, Robert Biedroń, Vilija Blinkevičiūtė, Milan Brglez, Marina Kaljurand, Carina Ohlsson, Evelyn Regner</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The Left</w:t>
            </w:r>
          </w:p>
        </w:tc>
        <w:tc>
          <w:tcPr>
            <w:tcW w:w="7371" w:type="dxa"/>
            <w:shd w:val="clear" w:color="auto" w:fill="FFFFFF"/>
          </w:tcPr>
          <w:p w:rsidR="005558B6" w:rsidRPr="00C87806" w:rsidRDefault="005558B6" w:rsidP="00BF3113">
            <w:pPr>
              <w:pStyle w:val="RollCallTable"/>
            </w:pPr>
            <w:r>
              <w:t>Sandra Pereira, Eugenia Rodríguez Palop</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Verts/ALE</w:t>
            </w:r>
          </w:p>
        </w:tc>
        <w:tc>
          <w:tcPr>
            <w:tcW w:w="7371" w:type="dxa"/>
            <w:shd w:val="clear" w:color="auto" w:fill="FFFFFF"/>
          </w:tcPr>
          <w:p w:rsidR="005558B6" w:rsidRPr="00C87806" w:rsidRDefault="005558B6" w:rsidP="00BF3113">
            <w:pPr>
              <w:pStyle w:val="RollCallTable"/>
            </w:pPr>
            <w:r>
              <w:t>Gwendoline Delbos-Corfield, Alice Kuhnke, Diana Riba i Giner, Sylwia Spurek</w:t>
            </w:r>
          </w:p>
        </w:tc>
      </w:tr>
    </w:tbl>
    <w:p w:rsidR="005558B6" w:rsidRPr="00C87806" w:rsidRDefault="005558B6" w:rsidP="005558B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58B6" w:rsidRPr="00C87806" w:rsidTr="00BF3113">
        <w:trPr>
          <w:cantSplit/>
        </w:trPr>
        <w:tc>
          <w:tcPr>
            <w:tcW w:w="1701" w:type="dxa"/>
            <w:shd w:val="pct10" w:color="000000" w:fill="FFFFFF"/>
            <w:vAlign w:val="center"/>
          </w:tcPr>
          <w:p w:rsidR="005558B6" w:rsidRPr="00C87806" w:rsidRDefault="005558B6" w:rsidP="00BF3113">
            <w:pPr>
              <w:pStyle w:val="RollCallVotes"/>
            </w:pPr>
            <w:r>
              <w:t>4</w:t>
            </w:r>
          </w:p>
        </w:tc>
        <w:tc>
          <w:tcPr>
            <w:tcW w:w="7371" w:type="dxa"/>
            <w:shd w:val="pct10" w:color="000000" w:fill="FFFFFF"/>
          </w:tcPr>
          <w:p w:rsidR="005558B6" w:rsidRPr="00C87806" w:rsidRDefault="005558B6" w:rsidP="00BF3113">
            <w:pPr>
              <w:pStyle w:val="RollCallSymbols14pt"/>
            </w:pPr>
            <w:r>
              <w:t>-</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ECR</w:t>
            </w:r>
          </w:p>
        </w:tc>
        <w:tc>
          <w:tcPr>
            <w:tcW w:w="7371" w:type="dxa"/>
            <w:shd w:val="clear" w:color="auto" w:fill="FFFFFF"/>
          </w:tcPr>
          <w:p w:rsidR="005558B6" w:rsidRPr="00C87806" w:rsidRDefault="005558B6" w:rsidP="00BF3113">
            <w:pPr>
              <w:pStyle w:val="RollCallTable"/>
            </w:pPr>
            <w:r>
              <w:t>Johan Nissinen, Margarita de la Pisa Carrión</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ID</w:t>
            </w:r>
          </w:p>
        </w:tc>
        <w:tc>
          <w:tcPr>
            <w:tcW w:w="7371" w:type="dxa"/>
            <w:shd w:val="clear" w:color="auto" w:fill="FFFFFF"/>
          </w:tcPr>
          <w:p w:rsidR="005558B6" w:rsidRPr="00C87806" w:rsidRDefault="005558B6" w:rsidP="00BF3113">
            <w:pPr>
              <w:pStyle w:val="RollCallTable"/>
            </w:pPr>
            <w:r>
              <w:t>Christine Anderson, Maria Veronica Rossi</w:t>
            </w:r>
          </w:p>
        </w:tc>
      </w:tr>
    </w:tbl>
    <w:p w:rsidR="005558B6" w:rsidRPr="00C87806" w:rsidRDefault="005558B6" w:rsidP="005558B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58B6" w:rsidRPr="00C87806" w:rsidTr="00BF3113">
        <w:trPr>
          <w:cantSplit/>
        </w:trPr>
        <w:tc>
          <w:tcPr>
            <w:tcW w:w="1701" w:type="dxa"/>
            <w:shd w:val="pct10" w:color="000000" w:fill="FFFFFF"/>
            <w:vAlign w:val="center"/>
          </w:tcPr>
          <w:p w:rsidR="005558B6" w:rsidRPr="00C87806" w:rsidRDefault="005558B6" w:rsidP="00BF3113">
            <w:pPr>
              <w:pStyle w:val="RollCallVotes"/>
            </w:pPr>
            <w:r>
              <w:t>2</w:t>
            </w:r>
          </w:p>
        </w:tc>
        <w:tc>
          <w:tcPr>
            <w:tcW w:w="7371" w:type="dxa"/>
            <w:shd w:val="pct10" w:color="000000" w:fill="FFFFFF"/>
          </w:tcPr>
          <w:p w:rsidR="005558B6" w:rsidRPr="00C87806" w:rsidRDefault="005558B6" w:rsidP="00BF3113">
            <w:pPr>
              <w:pStyle w:val="RollCallSymbols14pt"/>
            </w:pPr>
            <w:r>
              <w:t>0</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ECR</w:t>
            </w:r>
          </w:p>
        </w:tc>
        <w:tc>
          <w:tcPr>
            <w:tcW w:w="7371" w:type="dxa"/>
            <w:shd w:val="clear" w:color="auto" w:fill="FFFFFF"/>
          </w:tcPr>
          <w:p w:rsidR="005558B6" w:rsidRPr="00C87806" w:rsidRDefault="005558B6" w:rsidP="00BF3113">
            <w:pPr>
              <w:pStyle w:val="RollCallTable"/>
            </w:pPr>
            <w:r>
              <w:t>Andżelika Anna Możdżanowska</w:t>
            </w:r>
          </w:p>
        </w:tc>
      </w:tr>
      <w:tr w:rsidR="005558B6" w:rsidRPr="00C87806" w:rsidTr="00BF3113">
        <w:trPr>
          <w:cantSplit/>
        </w:trPr>
        <w:tc>
          <w:tcPr>
            <w:tcW w:w="1701" w:type="dxa"/>
            <w:shd w:val="clear" w:color="auto" w:fill="FFFFFF"/>
          </w:tcPr>
          <w:p w:rsidR="005558B6" w:rsidRPr="00C87806" w:rsidRDefault="005558B6" w:rsidP="00BF3113">
            <w:pPr>
              <w:pStyle w:val="RollCallTable"/>
            </w:pPr>
            <w:r>
              <w:t>NI</w:t>
            </w:r>
          </w:p>
        </w:tc>
        <w:tc>
          <w:tcPr>
            <w:tcW w:w="7371" w:type="dxa"/>
            <w:shd w:val="clear" w:color="auto" w:fill="FFFFFF"/>
          </w:tcPr>
          <w:p w:rsidR="005558B6" w:rsidRPr="00C87806" w:rsidRDefault="005558B6" w:rsidP="00BF3113">
            <w:pPr>
              <w:pStyle w:val="RollCallTable"/>
            </w:pPr>
            <w:r>
              <w:t>Lívia Járóka</w:t>
            </w:r>
          </w:p>
        </w:tc>
      </w:tr>
    </w:tbl>
    <w:p w:rsidR="005558B6" w:rsidRDefault="005558B6" w:rsidP="00147FBF">
      <w:pPr>
        <w:pStyle w:val="Normal12a"/>
      </w:pPr>
    </w:p>
    <w:p w:rsidR="005558B6" w:rsidRDefault="005558B6" w:rsidP="00B735E3">
      <w:r>
        <w:t>Uporabljeni znaki:</w:t>
      </w:r>
    </w:p>
    <w:p w:rsidR="005558B6" w:rsidRDefault="005558B6" w:rsidP="003858C5">
      <w:pPr>
        <w:pStyle w:val="RollCallTabs"/>
      </w:pPr>
      <w:r>
        <w:t>+</w:t>
      </w:r>
      <w:r>
        <w:tab/>
        <w:t>:</w:t>
      </w:r>
      <w:r>
        <w:tab/>
        <w:t>za</w:t>
      </w:r>
    </w:p>
    <w:p w:rsidR="005558B6" w:rsidRDefault="005558B6" w:rsidP="003858C5">
      <w:pPr>
        <w:pStyle w:val="RollCallTabs"/>
      </w:pPr>
      <w:r>
        <w:t>-</w:t>
      </w:r>
      <w:r>
        <w:tab/>
        <w:t>:</w:t>
      </w:r>
      <w:r>
        <w:tab/>
        <w:t>proti</w:t>
      </w:r>
    </w:p>
    <w:p w:rsidR="005558B6" w:rsidRDefault="005558B6" w:rsidP="003858C5">
      <w:pPr>
        <w:pStyle w:val="RollCallTabs"/>
      </w:pPr>
      <w:r>
        <w:t>0</w:t>
      </w:r>
      <w:r>
        <w:tab/>
        <w:t>:</w:t>
      </w:r>
      <w:r>
        <w:tab/>
        <w:t>vzdržani</w:t>
      </w:r>
    </w:p>
    <w:p w:rsidR="005558B6" w:rsidRDefault="005558B6" w:rsidP="00207509"/>
    <w:bookmarkEnd w:id="3"/>
    <w:p w:rsidR="00D87568" w:rsidRPr="005558B6" w:rsidRDefault="00D87568" w:rsidP="005558B6"/>
    <w:sectPr w:rsidR="00D87568" w:rsidRPr="005558B6" w:rsidSect="005558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515" w:rsidRDefault="00993AB7">
      <w:r>
        <w:separator/>
      </w:r>
    </w:p>
  </w:endnote>
  <w:endnote w:type="continuationSeparator" w:id="0">
    <w:p w:rsidR="00713515" w:rsidRDefault="0099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19A" w:rsidRDefault="005E319A" w:rsidP="005E319A">
    <w:pPr>
      <w:pStyle w:val="EPFooter"/>
    </w:pPr>
    <w:r>
      <w:t>PE</w:t>
    </w:r>
    <w:r w:rsidRPr="0034742A">
      <w:rPr>
        <w:rStyle w:val="HideTWBExt"/>
      </w:rPr>
      <w:t>&lt;NoPE&gt;</w:t>
    </w:r>
    <w:r>
      <w:t>754.839</w:t>
    </w:r>
    <w:r w:rsidRPr="0034742A">
      <w:rPr>
        <w:rStyle w:val="HideTWBExt"/>
      </w:rPr>
      <w:t>&lt;/NoPE&gt;&lt;Version&gt;</w:t>
    </w:r>
    <w:r>
      <w:t>v02-00</w:t>
    </w:r>
    <w:r w:rsidRPr="0034742A">
      <w:rPr>
        <w:rStyle w:val="HideTWBExt"/>
      </w:rPr>
      <w:t>&lt;/Version&gt;</w:t>
    </w:r>
    <w:r>
      <w:tab/>
    </w:r>
    <w:r>
      <w:fldChar w:fldCharType="begin"/>
    </w:r>
    <w:r>
      <w:instrText xml:space="preserve"> PAGE  \* MERGEFORMAT </w:instrText>
    </w:r>
    <w:r>
      <w:fldChar w:fldCharType="separate"/>
    </w:r>
    <w:r w:rsidR="0034742A">
      <w:rPr>
        <w:noProof/>
      </w:rPr>
      <w:t>8</w:t>
    </w:r>
    <w:r>
      <w:fldChar w:fldCharType="end"/>
    </w:r>
    <w:r>
      <w:t>/</w:t>
    </w:r>
    <w:fldSimple w:instr=" NUMPAGES  \* MERGEFORMAT ">
      <w:r w:rsidR="0034742A">
        <w:rPr>
          <w:noProof/>
        </w:rPr>
        <w:t>8</w:t>
      </w:r>
    </w:fldSimple>
    <w:r>
      <w:tab/>
    </w:r>
    <w:r w:rsidRPr="0034742A">
      <w:rPr>
        <w:rStyle w:val="HideTWBExt"/>
      </w:rPr>
      <w:t>&lt;PathFdR&gt;</w:t>
    </w:r>
    <w:r>
      <w:t>AD\1294966SL.docx</w:t>
    </w:r>
    <w:r w:rsidRPr="0034742A">
      <w:rPr>
        <w:rStyle w:val="HideTWBExt"/>
      </w:rPr>
      <w:t>&lt;/PathFdR&gt;</w:t>
    </w:r>
  </w:p>
  <w:p w:rsidR="002E2F2E" w:rsidRPr="007D3D8F" w:rsidRDefault="005E319A" w:rsidP="005E319A">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19A" w:rsidRDefault="005E319A" w:rsidP="005E319A">
    <w:pPr>
      <w:pStyle w:val="EPFooter"/>
    </w:pPr>
    <w:r w:rsidRPr="0034742A">
      <w:rPr>
        <w:rStyle w:val="HideTWBExt"/>
      </w:rPr>
      <w:t>&lt;PathFdR&gt;</w:t>
    </w:r>
    <w:r>
      <w:t>AD\1294966SL.docx</w:t>
    </w:r>
    <w:r w:rsidRPr="0034742A">
      <w:rPr>
        <w:rStyle w:val="HideTWBExt"/>
      </w:rPr>
      <w:t>&lt;/PathFdR&gt;</w:t>
    </w:r>
    <w:r>
      <w:tab/>
    </w:r>
    <w:r>
      <w:fldChar w:fldCharType="begin"/>
    </w:r>
    <w:r>
      <w:instrText xml:space="preserve"> PAGE  \* MERGEFORMAT </w:instrText>
    </w:r>
    <w:r>
      <w:fldChar w:fldCharType="separate"/>
    </w:r>
    <w:r w:rsidR="0034742A">
      <w:rPr>
        <w:noProof/>
      </w:rPr>
      <w:t>7</w:t>
    </w:r>
    <w:r>
      <w:fldChar w:fldCharType="end"/>
    </w:r>
    <w:r>
      <w:t>/</w:t>
    </w:r>
    <w:fldSimple w:instr=" NUMPAGES  \* MERGEFORMAT ">
      <w:r w:rsidR="0034742A">
        <w:rPr>
          <w:noProof/>
        </w:rPr>
        <w:t>7</w:t>
      </w:r>
    </w:fldSimple>
    <w:r>
      <w:tab/>
      <w:t>PE</w:t>
    </w:r>
    <w:r w:rsidRPr="0034742A">
      <w:rPr>
        <w:rStyle w:val="HideTWBExt"/>
      </w:rPr>
      <w:t>&lt;NoPE&gt;</w:t>
    </w:r>
    <w:r>
      <w:t>754.839</w:t>
    </w:r>
    <w:r w:rsidRPr="0034742A">
      <w:rPr>
        <w:rStyle w:val="HideTWBExt"/>
      </w:rPr>
      <w:t>&lt;/NoPE&gt;&lt;Version&gt;</w:t>
    </w:r>
    <w:r>
      <w:t>v02-00</w:t>
    </w:r>
    <w:r w:rsidRPr="0034742A">
      <w:rPr>
        <w:rStyle w:val="HideTWBExt"/>
      </w:rPr>
      <w:t>&lt;/Version&gt;</w:t>
    </w:r>
  </w:p>
  <w:p w:rsidR="002E2F2E" w:rsidRPr="007D3D8F" w:rsidRDefault="005E319A" w:rsidP="005E319A">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19A" w:rsidRDefault="005E319A" w:rsidP="005E319A">
    <w:pPr>
      <w:pStyle w:val="EPFooter"/>
    </w:pPr>
    <w:r w:rsidRPr="0034742A">
      <w:rPr>
        <w:rStyle w:val="HideTWBExt"/>
      </w:rPr>
      <w:t>&lt;PathFdR&gt;</w:t>
    </w:r>
    <w:r>
      <w:t>AD\1294966SL.docx</w:t>
    </w:r>
    <w:r w:rsidRPr="0034742A">
      <w:rPr>
        <w:rStyle w:val="HideTWBExt"/>
      </w:rPr>
      <w:t>&lt;/PathFdR&gt;</w:t>
    </w:r>
    <w:r>
      <w:tab/>
    </w:r>
    <w:r>
      <w:tab/>
      <w:t>PE</w:t>
    </w:r>
    <w:r w:rsidRPr="0034742A">
      <w:rPr>
        <w:rStyle w:val="HideTWBExt"/>
      </w:rPr>
      <w:t>&lt;NoPE&gt;</w:t>
    </w:r>
    <w:r>
      <w:t>754.839</w:t>
    </w:r>
    <w:r w:rsidRPr="0034742A">
      <w:rPr>
        <w:rStyle w:val="HideTWBExt"/>
      </w:rPr>
      <w:t>&lt;/NoPE&gt;&lt;Version&gt;</w:t>
    </w:r>
    <w:r>
      <w:t>v02-00</w:t>
    </w:r>
    <w:r w:rsidRPr="0034742A">
      <w:rPr>
        <w:rStyle w:val="HideTWBExt"/>
      </w:rPr>
      <w:t>&lt;/Version&gt;</w:t>
    </w:r>
  </w:p>
  <w:p w:rsidR="002E2F2E" w:rsidRPr="007D3D8F" w:rsidRDefault="005E319A" w:rsidP="005E319A">
    <w:pPr>
      <w:pStyle w:val="EPFooter2"/>
    </w:pPr>
    <w:r>
      <w:t>SL</w:t>
    </w:r>
    <w:r>
      <w:tab/>
    </w:r>
    <w:r w:rsidRPr="005E319A">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515" w:rsidRDefault="00993AB7">
      <w:r>
        <w:separator/>
      </w:r>
    </w:p>
  </w:footnote>
  <w:footnote w:type="continuationSeparator" w:id="0">
    <w:p w:rsidR="00713515" w:rsidRDefault="00993AB7">
      <w:r>
        <w:continuationSeparator/>
      </w:r>
    </w:p>
  </w:footnote>
  <w:footnote w:id="1">
    <w:p w:rsidR="005558B6" w:rsidRPr="001B265E" w:rsidRDefault="005558B6" w:rsidP="005558B6">
      <w:pPr>
        <w:pStyle w:val="FootnoteText"/>
      </w:pPr>
      <w:r>
        <w:rPr>
          <w:rStyle w:val="FootnoteReference"/>
        </w:rPr>
        <w:footnoteRef/>
      </w:r>
      <w:r>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8B6" w:rsidRDefault="00555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8B6" w:rsidRDefault="005558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8B6" w:rsidRDefault="00555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2"/>
    <w:docVar w:name="AUTHORMNU" w:val=" 2"/>
    <w:docVar w:name="CJMNU" w:val="1"/>
    <w:docVar w:name="CODEMNU" w:val=" 7"/>
    <w:docVar w:name="COM2KEY" w:val="CONT"/>
    <w:docVar w:name="COMKEY" w:val="FEMM"/>
    <w:docVar w:name="CONTRIBUTIONMNU" w:val=" 2"/>
    <w:docVar w:name="FONCTIONMNU" w:val=" 2"/>
    <w:docVar w:name="LastEditedSection" w:val=" 1"/>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0\fbidi \froman\fcharset238\fprq2 Times New Roman CE;}{\f341\fbidi \froman\fcharset204\fprq2 Times New Roman Cyr;}_x000d__x000a_{\f343\fbidi \froman\fcharset161\fprq2 Times New Roman Greek;}{\f344\fbidi \froman\fcharset162\fprq2 Times New Roman Tur;}{\f345\fbidi \froman\fcharset177\fprq2 Times New Roman (Hebrew);}{\f346\fbidi \froman\fcharset178\fprq2 Times New Roman (Arabic);}_x000d__x000a_{\f347\fbidi \froman\fcharset186\fprq2 Times New Roman Baltic;}{\f348\fbidi \froman\fcharset163\fprq2 Times New Roman (Vietnamese);}{\f350\fbidi \fswiss\fcharset238\fprq2 Arial CE;}{\f351\fbidi \fswiss\fcharset204\fprq2 Arial Cyr;}_x000d__x000a_{\f353\fbidi \fswiss\fcharset161\fprq2 Arial Greek;}{\f354\fbidi \fswiss\fcharset162\fprq2 Arial Tur;}{\f355\fbidi \fswiss\fcharset177\fprq2 Arial (Hebrew);}{\f356\fbidi \fswiss\fcharset178\fprq2 Arial (Arabic);}_x000d__x000a_{\f357\fbidi \fswiss\fcharset186\fprq2 Arial Baltic;}{\f358\fbidi \fswiss\fcharset163\fprq2 Arial (Vietnamese);}{\f680\fbidi \froman\fcharset238\fprq2 Cambria Math CE;}{\f681\fbidi \froman\fcharset204\fprq2 Cambria Math Cyr;}_x000d__x000a_{\f683\fbidi \froman\fcharset161\fprq2 Cambria Math Greek;}{\f684\fbidi \froman\fcharset162\fprq2 Cambria Math Tur;}{\f687\fbidi \froman\fcharset186\fprq2 Cambria Math Baltic;}{\f68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266083 HideTWBInt;}{_x000d__x000a_\s18\ql \fi-567\li567\ri0\sa240\nowidctlpar\wrapdefault\aspalpha\aspnum\faauto\adjustright\rin0\lin567\itap0 \rtlch\fcs1 \af0\afs20\alang1025 \ltrch\fcs0 \fs24\lang1060\langfe2057\cgrid\langnp1060\langfenp2057 _x000d__x000a_\sbasedon0 \snext18 \spriority0 \styrsid8266083 NormalHanging12a;}}{\*\rsidtbl \rsid24658\rsid223860\rsid735077\rsid1718133\rsid2892074\rsid3565327\rsid4666813\rsid6641733\rsid7823322\rsid8266083\rsid9636012\rsid10377208\rsid11215221\rsid11549030_x000d__x000a_\rsid12154954\rsid13528404\rsid14382809\rsid14424199\rsid15204470\rsid15285974\rsid15950462\rsid16324206\rsid16662270}{\mmathPr\mmathFont34\mbrkBin0\mbrkBinSub0\msmallFrac0\mdispDef1\mlMargin0\mrMargin0\mdefJc1\mwrapIndent1440\mintLim0\mnaryLim1}{\info_x000d__x000a_{\author KERIN Suzana}{\operator KERIN Suzana}{\creatim\yr2024\mo1\dy29\hr16\min59}{\revtim\yr2024\mo1\dy29\hr16\min59}{\version1}{\edmins0}{\nofpages1}{\nofwords3}{\nofchars18}{\nofcharsws20}{\vern109}}{\*\xmlnstbl {\xmlns1 http://schemas.microsoft.com/o_x000d__x000a_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66083\newtblstyruls\nogrowautofit\usenormstyforlist\noindnmbrts\felnbrelev\nocxsptable\indrlsweleven\noafcnsttbl\afelev\utinl\hwelev\spltpgpar\notcvasp\notbrkcnstfrctbl\notvatxbx\krnprsnet\cachedcolbal _x000d__x000a_\nouicompat \fet0{\*\wgrffmtfilter 013f}\nofeaturethrottle1\ilfomacatclnup0{\*\template C:\\Users\\skerin\\AppData\\Local\\Temp\\Blank1.dotx}{\*\ftnsep \ltrpar \pard\plain \ltrpar_x000d__x000a_\ql \li0\ri0\widctlpar\wrapdefault\aspalpha\aspnum\faauto\adjustright\rin0\lin0\itap0 \rtlch\fcs1 \af0\afs20\alang1025 \ltrch\fcs0 \fs24\lang2057\langfe2057\cgrid\langnp2057\langfenp2057 {\rtlch\fcs1 \af0 \ltrch\fcs0 \insrsid13528404 \chftnsep _x000d__x000a_\par }}{\*\ftnsepc \ltrpar \pard\plain \ltrpar\ql \li0\ri0\widctlpar\wrapdefault\aspalpha\aspnum\faauto\adjustright\rin0\lin0\itap0 \rtlch\fcs1 \af0\afs20\alang1025 \ltrch\fcs0 \fs24\lang2057\langfe2057\cgrid\langnp2057\langfenp2057 {\rtlch\fcs1 \af0 _x000d__x000a_\ltrch\fcs0 \insrsid13528404 \chftnsepc _x000d__x000a_\par }}{\*\aftnsep \ltrpar \pard\plain \ltrpar\ql \li0\ri0\widctlpar\wrapdefault\aspalpha\aspnum\faauto\adjustright\rin0\lin0\itap0 \rtlch\fcs1 \af0\afs20\alang1025 \ltrch\fcs0 \fs24\lang2057\langfe2057\cgrid\langnp2057\langfenp2057 {\rtlch\fcs1 \af0 _x000d__x000a_\ltrch\fcs0 \insrsid13528404 \chftnsep _x000d__x000a_\par }}{\*\aftnsepc \ltrpar \pard\plain \ltrpar\ql \li0\ri0\widctlpar\wrapdefault\aspalpha\aspnum\faauto\adjustright\rin0\lin0\itap0 \rtlch\fcs1 \af0\afs20\alang1025 \ltrch\fcs0 \fs24\lang2057\langfe2057\cgrid\langnp2057\langfenp2057 {\rtlch\fcs1 \af0 _x000d__x000a_\ltrch\fcs0 \insrsid135284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8266083 \rtlch\fcs1 \af0\afs20\alang1025 \ltrch\fcs0 \fs24\lang1060\langfe2057\cgrid\langnp1060\langfenp2057 {\rtlch\fcs1 \af0 _x000d__x000a_\ltrch\fcs0 \insrsid8266083\charrsid8207759 {\*\bkmkstart restart}#}{\rtlch\fcs1 \af1 \ltrch\fcs0 \cs17\v\f1\fs20\cf15\insrsid8266083\charrsid8207759 NRMSG}{\rtlch\fcs1 \af0 \ltrch\fcs0 \insrsid8266083\charrsid8207759 #.\tab #}{\rtlch\fcs1 \af1 _x000d__x000a_\ltrch\fcs0 \cs17\v\f1\fs20\cf15\insrsid8266083\charrsid8207759 TEXTMSG2}{\rtlch\fcs1 \af0 \ltrch\fcs0 \insrsid8266083\charrsid8207759 #}{\rtlch\fcs1 \af0 \ltrch\fcs0 \insrsid826608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cd_x000d__x000a_102ecc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0\fbidi \froman\fcharset238\fprq2 Times New Roman CE;}{\f341\fbidi \froman\fcharset204\fprq2 Times New Roman Cyr;}_x000d__x000a_{\f343\fbidi \froman\fcharset161\fprq2 Times New Roman Greek;}{\f344\fbidi \froman\fcharset162\fprq2 Times New Roman Tur;}{\f345\fbidi \froman\fcharset177\fprq2 Times New Roman (Hebrew);}{\f346\fbidi \froman\fcharset178\fprq2 Times New Roman (Arabic);}_x000d__x000a_{\f347\fbidi \froman\fcharset186\fprq2 Times New Roman Baltic;}{\f348\fbidi \froman\fcharset163\fprq2 Times New Roman (Vietnamese);}{\f680\fbidi \froman\fcharset238\fprq2 Cambria Math CE;}{\f681\fbidi \froman\fcharset204\fprq2 Cambria Math Cyr;}_x000d__x000a_{\f683\fbidi \froman\fcharset161\fprq2 Cambria Math Greek;}{\f684\fbidi \froman\fcharset162\fprq2 Cambria Math Tur;}{\f687\fbidi \froman\fcharset186\fprq2 Cambria Math Baltic;}{\f68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274575 NormalHanging12a;}}{\*\rsidtbl \rsid24658\rsid223860\rsid735077\rsid1274575\rsid1718133\rsid2892074\rsid3565327\rsid4666813\rsid6641733\rsid7823322_x000d__x000a_\rsid9636012\rsid10377208\rsid11215221\rsid11549030\rsid12154954\rsid14382809\rsid14424199\rsid15204470\rsid15285974\rsid15950462\rsid16013335\rsid16324206\rsid16662270}{\mmathPr\mmathFont34\mbrkBin0\mbrkBinSub0\msmallFrac0\mdispDef1\mlMargin0\mrMargin0_x000d__x000a_\mdefJc1\mwrapIndent1440\mintLim0\mnaryLim1}{\info{\author KERIN Suzana}{\operator KERIN Suzana}{\creatim\yr2024\mo1\dy29\hr16\min59}{\revtim\yr2024\mo1\dy29\hr16\min59}{\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4575\newtblstyruls\nogrowautofit\usenormstyforlist\noindnmbrts\felnbrelev\nocxsptable\indrlsweleven\noafcnsttbl\afelev\utinl\hwelev\spltpgpar\notcvasp\notbrkcnstfrctbl\notvatxbx\krnprsnet\cachedcolbal _x000d__x000a_\nouicompat \fet0{\*\wgrffmtfilter 013f}\nofeaturethrottle1\ilfomacatclnup0{\*\template C:\\Users\\skerin\\AppData\\Local\\Temp\\Blank1.dotx}{\*\ftnsep \ltrpar \pard\plain \ltrpar_x000d__x000a_\ql \li0\ri0\widctlpar\wrapdefault\aspalpha\aspnum\faauto\adjustright\rin0\lin0\itap0 \rtlch\fcs1 \af0\afs20\alang1025 \ltrch\fcs0 \fs24\lang2057\langfe2057\cgrid\langnp2057\langfenp2057 {\rtlch\fcs1 \af0 \ltrch\fcs0 \insrsid16013335 \chftnsep _x000d__x000a_\par }}{\*\ftnsepc \ltrpar \pard\plain \ltrpar\ql \li0\ri0\widctlpar\wrapdefault\aspalpha\aspnum\faauto\adjustright\rin0\lin0\itap0 \rtlch\fcs1 \af0\afs20\alang1025 \ltrch\fcs0 \fs24\lang2057\langfe2057\cgrid\langnp2057\langfenp2057 {\rtlch\fcs1 \af0 _x000d__x000a_\ltrch\fcs0 \insrsid16013335 \chftnsepc _x000d__x000a_\par }}{\*\aftnsep \ltrpar \pard\plain \ltrpar\ql \li0\ri0\widctlpar\wrapdefault\aspalpha\aspnum\faauto\adjustright\rin0\lin0\itap0 \rtlch\fcs1 \af0\afs20\alang1025 \ltrch\fcs0 \fs24\lang2057\langfe2057\cgrid\langnp2057\langfenp2057 {\rtlch\fcs1 \af0 _x000d__x000a_\ltrch\fcs0 \insrsid16013335 \chftnsep _x000d__x000a_\par }}{\*\aftnsepc \ltrpar \pard\plain \ltrpar\ql \li0\ri0\widctlpar\wrapdefault\aspalpha\aspnum\faauto\adjustright\rin0\lin0\itap0 \rtlch\fcs1 \af0\afs20\alang1025 \ltrch\fcs0 \fs24\lang2057\langfe2057\cgrid\langnp2057\langfenp2057 {\rtlch\fcs1 \af0 _x000d__x000a_\ltrch\fcs0 \insrsid16013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274575 \rtlch\fcs1 \af0\afs20\alang1025 \ltrch\fcs0 \fs24\lang2057\langfe2057\cgrid\langnp2057\langfenp2057 {\rtlch\fcs1 \af0 _x000d__x000a_\ltrch\fcs0 \insrsid1274575\charrsid1525456 {\*\bkmkstart restart}[ZSUGGESTIONNR]\tab [ZSUGGESTIONTEXT]}{\rtlch\fcs1 \af0 \ltrch\fcs0 \insrsid127457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1a_x000d__x000a_902fcc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SL"/>
    <w:docVar w:name="TXTLANGUEMIN" w:val="sl"/>
    <w:docVar w:name="TXTNRPE" w:val="754.839"/>
    <w:docVar w:name="TXTNRPROC" w:val="2023/2152"/>
    <w:docVar w:name="TXTPEorAP" w:val="PE"/>
    <w:docVar w:name="TXTROUTE" w:val="AD\1294966SL.docx"/>
    <w:docVar w:name="TXTTITLE" w:val="g"/>
    <w:docVar w:name="TXTVERSION" w:val="02-00"/>
  </w:docVars>
  <w:rsids>
    <w:rsidRoot w:val="007D3D8F"/>
    <w:rsid w:val="000E7EBF"/>
    <w:rsid w:val="00124F60"/>
    <w:rsid w:val="00135121"/>
    <w:rsid w:val="00140BE6"/>
    <w:rsid w:val="00147F4E"/>
    <w:rsid w:val="0016635E"/>
    <w:rsid w:val="001746D0"/>
    <w:rsid w:val="001B7393"/>
    <w:rsid w:val="001D2ED9"/>
    <w:rsid w:val="001F21C1"/>
    <w:rsid w:val="002A1CC0"/>
    <w:rsid w:val="002D28A7"/>
    <w:rsid w:val="002E2F2E"/>
    <w:rsid w:val="002E6F98"/>
    <w:rsid w:val="00325BCB"/>
    <w:rsid w:val="00331944"/>
    <w:rsid w:val="00332AD9"/>
    <w:rsid w:val="0034742A"/>
    <w:rsid w:val="00347D2C"/>
    <w:rsid w:val="0037356F"/>
    <w:rsid w:val="00390EB2"/>
    <w:rsid w:val="00396A0E"/>
    <w:rsid w:val="003E2402"/>
    <w:rsid w:val="004C28FB"/>
    <w:rsid w:val="004C44C0"/>
    <w:rsid w:val="0052544E"/>
    <w:rsid w:val="005558B6"/>
    <w:rsid w:val="005940C3"/>
    <w:rsid w:val="00594C48"/>
    <w:rsid w:val="005B2F11"/>
    <w:rsid w:val="005C0BDF"/>
    <w:rsid w:val="005D60C6"/>
    <w:rsid w:val="005E319A"/>
    <w:rsid w:val="006102E7"/>
    <w:rsid w:val="00640C1B"/>
    <w:rsid w:val="00657AFB"/>
    <w:rsid w:val="006D5BF7"/>
    <w:rsid w:val="00713515"/>
    <w:rsid w:val="007D3D8F"/>
    <w:rsid w:val="008313E7"/>
    <w:rsid w:val="00854CAC"/>
    <w:rsid w:val="008A32C5"/>
    <w:rsid w:val="008C6203"/>
    <w:rsid w:val="008D61E7"/>
    <w:rsid w:val="008F7002"/>
    <w:rsid w:val="00962D2F"/>
    <w:rsid w:val="00993AB7"/>
    <w:rsid w:val="0099493F"/>
    <w:rsid w:val="00A16BEA"/>
    <w:rsid w:val="00A312B3"/>
    <w:rsid w:val="00A72C35"/>
    <w:rsid w:val="00AE180F"/>
    <w:rsid w:val="00B362F7"/>
    <w:rsid w:val="00B5456B"/>
    <w:rsid w:val="00B74B53"/>
    <w:rsid w:val="00B9527B"/>
    <w:rsid w:val="00BC26E4"/>
    <w:rsid w:val="00BD1EAA"/>
    <w:rsid w:val="00C52739"/>
    <w:rsid w:val="00C827FF"/>
    <w:rsid w:val="00C85D0F"/>
    <w:rsid w:val="00CD34AC"/>
    <w:rsid w:val="00D87568"/>
    <w:rsid w:val="00DE19FF"/>
    <w:rsid w:val="00E81BA6"/>
    <w:rsid w:val="00E856D2"/>
    <w:rsid w:val="00E929A7"/>
    <w:rsid w:val="00EC32D4"/>
    <w:rsid w:val="00F22CA6"/>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3B5F31-ECBF-4145-B6DD-9683E15B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D87568"/>
    <w:pPr>
      <w:tabs>
        <w:tab w:val="center" w:pos="4513"/>
        <w:tab w:val="right" w:pos="9026"/>
      </w:tabs>
    </w:pPr>
  </w:style>
  <w:style w:type="character" w:customStyle="1" w:styleId="FooterChar">
    <w:name w:val="Footer Char"/>
    <w:basedOn w:val="DefaultParagraphFont"/>
    <w:link w:val="Footer"/>
    <w:semiHidden/>
    <w:rsid w:val="00D87568"/>
    <w:rPr>
      <w:sz w:val="24"/>
      <w:lang w:val="sl-SI"/>
    </w:rPr>
  </w:style>
  <w:style w:type="character" w:customStyle="1" w:styleId="NormalHanging12aChar">
    <w:name w:val="NormalHanging12a Char"/>
    <w:basedOn w:val="DefaultParagraphFont"/>
    <w:link w:val="NormalHanging12a"/>
    <w:rsid w:val="005558B6"/>
    <w:rPr>
      <w:sz w:val="24"/>
    </w:rPr>
  </w:style>
  <w:style w:type="paragraph" w:styleId="FootnoteText">
    <w:name w:val="footnote text"/>
    <w:basedOn w:val="Normal"/>
    <w:link w:val="FootnoteTextChar"/>
    <w:rsid w:val="005558B6"/>
    <w:rPr>
      <w:sz w:val="20"/>
    </w:rPr>
  </w:style>
  <w:style w:type="character" w:customStyle="1" w:styleId="FootnoteTextChar">
    <w:name w:val="Footnote Text Char"/>
    <w:basedOn w:val="DefaultParagraphFont"/>
    <w:link w:val="FootnoteText"/>
    <w:rsid w:val="005558B6"/>
    <w:rPr>
      <w:lang w:val="sl-SI"/>
    </w:rPr>
  </w:style>
  <w:style w:type="character" w:styleId="FootnoteReference">
    <w:name w:val="footnote reference"/>
    <w:basedOn w:val="DefaultParagraphFont"/>
    <w:rsid w:val="005558B6"/>
    <w:rPr>
      <w:vertAlign w:val="superscript"/>
    </w:rPr>
  </w:style>
  <w:style w:type="paragraph" w:customStyle="1" w:styleId="Normal24a">
    <w:name w:val="Normal24a"/>
    <w:basedOn w:val="Normal"/>
    <w:rsid w:val="005558B6"/>
    <w:pPr>
      <w:spacing w:after="480"/>
    </w:pPr>
  </w:style>
  <w:style w:type="paragraph" w:customStyle="1" w:styleId="NormalBoldCenter">
    <w:name w:val="NormalBoldCenter"/>
    <w:basedOn w:val="Normal"/>
    <w:rsid w:val="005558B6"/>
    <w:pPr>
      <w:jc w:val="center"/>
    </w:pPr>
    <w:rPr>
      <w:b/>
    </w:rPr>
  </w:style>
  <w:style w:type="paragraph" w:customStyle="1" w:styleId="RollCallSymbols14pt">
    <w:name w:val="RollCallSymbols14pt"/>
    <w:basedOn w:val="Normal"/>
    <w:rsid w:val="005558B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558B6"/>
    <w:pPr>
      <w:tabs>
        <w:tab w:val="center" w:pos="284"/>
        <w:tab w:val="left" w:pos="426"/>
      </w:tabs>
    </w:pPr>
    <w:rPr>
      <w:snapToGrid w:val="0"/>
      <w:lang w:eastAsia="en-US"/>
    </w:rPr>
  </w:style>
  <w:style w:type="paragraph" w:customStyle="1" w:styleId="RollCallVotes">
    <w:name w:val="RollCallVotes"/>
    <w:basedOn w:val="Normal"/>
    <w:rsid w:val="005558B6"/>
    <w:pPr>
      <w:spacing w:before="120" w:after="120"/>
      <w:jc w:val="center"/>
    </w:pPr>
    <w:rPr>
      <w:b/>
      <w:bCs/>
      <w:snapToGrid w:val="0"/>
      <w:sz w:val="16"/>
      <w:lang w:eastAsia="en-US"/>
    </w:rPr>
  </w:style>
  <w:style w:type="paragraph" w:customStyle="1" w:styleId="RollCallTable">
    <w:name w:val="RollCallTable"/>
    <w:basedOn w:val="Normal"/>
    <w:rsid w:val="005558B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1399</Words>
  <Characters>8201</Characters>
  <Application>Microsoft Office Word</Application>
  <DocSecurity>0</DocSecurity>
  <Lines>191</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2024-02-07T11:09:00Z</dcterms:created>
  <dcterms:modified xsi:type="dcterms:W3CDTF">2024-02-07T11:09:00Z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1294966</vt:lpwstr>
  </property>
  <property fmtid="{D5CDD505-2E9C-101B-9397-08002B2CF9AE}" pid="4" name="&lt;Model&gt;">
    <vt:lpwstr>PA_NonLeg</vt:lpwstr>
  </property>
  <property fmtid="{D5CDD505-2E9C-101B-9397-08002B2CF9AE}" pid="5" name="&lt;ModelCod&gt;">
    <vt:lpwstr>\\eiciLUXpr1\pdocep$\DocEP\DOCS\General\PA\PA_NonLeg\PA_NonLeg.dotx(18/09/2023 11:25:02)</vt:lpwstr>
  </property>
  <property fmtid="{D5CDD505-2E9C-101B-9397-08002B2CF9AE}" pid="6" name="&lt;ModelTra&gt;">
    <vt:lpwstr>\\eiciLUXpr1\pdocep$\DocEP\TRANSFIL\SL\PA_NonLeg.SL(18/09/2023 11:08:03)</vt:lpwstr>
  </property>
  <property fmtid="{D5CDD505-2E9C-101B-9397-08002B2CF9AE}" pid="7" name="&lt;Type&gt;">
    <vt:lpwstr>AD</vt:lpwstr>
  </property>
  <property fmtid="{D5CDD505-2E9C-101B-9397-08002B2CF9AE}" pid="8" name="Bookout">
    <vt:lpwstr>OK - 2024/02/07 12:08</vt:lpwstr>
  </property>
  <property fmtid="{D5CDD505-2E9C-101B-9397-08002B2CF9AE}" pid="9" name="Created with">
    <vt:lpwstr>9.16.1 Build [20230915]</vt:lpwstr>
  </property>
  <property fmtid="{D5CDD505-2E9C-101B-9397-08002B2CF9AE}" pid="10" name="FooterPath">
    <vt:lpwstr>AD\1294966SL.docx</vt:lpwstr>
  </property>
  <property fmtid="{D5CDD505-2E9C-101B-9397-08002B2CF9AE}" pid="11" name="LastEdited with">
    <vt:lpwstr>9.17.1 Build [20240111]</vt:lpwstr>
  </property>
  <property fmtid="{D5CDD505-2E9C-101B-9397-08002B2CF9AE}" pid="12" name="PE number">
    <vt:lpwstr>754.839</vt:lpwstr>
  </property>
  <property fmtid="{D5CDD505-2E9C-101B-9397-08002B2CF9AE}" pid="13" name="SDLStudio">
    <vt:lpwstr/>
  </property>
</Properties>
</file>