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F2B13" w:rsidTr="009725C8">
        <w:trPr>
          <w:trHeight w:hRule="exact" w:val="1418"/>
        </w:trPr>
        <w:tc>
          <w:tcPr>
            <w:tcW w:w="6804" w:type="dxa"/>
            <w:shd w:val="clear" w:color="auto" w:fill="auto"/>
            <w:vAlign w:val="center"/>
          </w:tcPr>
          <w:p w:rsidR="00BA3E40" w:rsidRPr="007A6592" w:rsidRDefault="00A51443" w:rsidP="009725C8">
            <w:pPr>
              <w:pStyle w:val="EPName"/>
            </w:pPr>
            <w:bookmarkStart w:id="0" w:name="_GoBack"/>
            <w:bookmarkEnd w:id="0"/>
            <w:r>
              <w:t>Evropský parlament</w:t>
            </w:r>
          </w:p>
          <w:p w:rsidR="00BA3E40" w:rsidRPr="007A6592" w:rsidRDefault="00A51443" w:rsidP="00F26A7A">
            <w:pPr>
              <w:pStyle w:val="EPTerm"/>
            </w:pPr>
            <w:r>
              <w:t>2019-2024</w:t>
            </w:r>
          </w:p>
        </w:tc>
        <w:tc>
          <w:tcPr>
            <w:tcW w:w="2268" w:type="dxa"/>
            <w:shd w:val="clear" w:color="auto" w:fill="auto"/>
          </w:tcPr>
          <w:p w:rsidR="00BA3E40" w:rsidRPr="007A6592" w:rsidRDefault="00A51443" w:rsidP="009725C8">
            <w:pPr>
              <w:pStyle w:val="EPLogo"/>
            </w:pPr>
            <w:r w:rsidRPr="007A65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A6592" w:rsidRDefault="00F24D40" w:rsidP="00F24D40">
      <w:pPr>
        <w:pStyle w:val="LineTop"/>
      </w:pPr>
    </w:p>
    <w:p w:rsidR="00F24D40" w:rsidRPr="007A6592" w:rsidRDefault="00A51443" w:rsidP="00F24D40">
      <w:pPr>
        <w:pStyle w:val="EPBody"/>
      </w:pPr>
      <w:r>
        <w:rPr>
          <w:rStyle w:val="HideTWBExt"/>
        </w:rPr>
        <w:t>&lt;</w:t>
      </w:r>
      <w:r>
        <w:rPr>
          <w:rStyle w:val="HideTWBExt"/>
          <w:i w:val="0"/>
        </w:rPr>
        <w:t>Commission</w:t>
      </w:r>
      <w:r>
        <w:rPr>
          <w:rStyle w:val="HideTWBExt"/>
        </w:rPr>
        <w:t>&gt;</w:t>
      </w:r>
      <w:r>
        <w:rPr>
          <w:rStyle w:val="HideTWBInt"/>
          <w:color w:val="auto"/>
        </w:rPr>
        <w:t>{FEMM}</w:t>
      </w:r>
      <w:r>
        <w:t>Výbor pro práva žen a rovnost pohlaví</w:t>
      </w:r>
      <w:r>
        <w:rPr>
          <w:rStyle w:val="HideTWBExt"/>
        </w:rPr>
        <w:t>&lt;/</w:t>
      </w:r>
      <w:r>
        <w:rPr>
          <w:rStyle w:val="HideTWBExt"/>
          <w:i w:val="0"/>
        </w:rPr>
        <w:t>Commission</w:t>
      </w:r>
      <w:r>
        <w:rPr>
          <w:rStyle w:val="HideTWBExt"/>
        </w:rPr>
        <w:t>&gt;</w:t>
      </w:r>
    </w:p>
    <w:p w:rsidR="00F24D40" w:rsidRPr="007A6592" w:rsidRDefault="00F24D40" w:rsidP="00F24D40">
      <w:pPr>
        <w:pStyle w:val="LineBottom"/>
      </w:pPr>
    </w:p>
    <w:p w:rsidR="00DB56E4" w:rsidRPr="007A6592" w:rsidRDefault="00A51443" w:rsidP="00DB56E4">
      <w:pPr>
        <w:pStyle w:val="CoverReference"/>
      </w:pPr>
      <w:r>
        <w:rPr>
          <w:rStyle w:val="HideTWBExt"/>
          <w:b w:val="0"/>
        </w:rPr>
        <w:t>&lt;RefProc&gt;</w:t>
      </w:r>
      <w:r>
        <w:t>2023/0311</w:t>
      </w:r>
      <w:r>
        <w:rPr>
          <w:rStyle w:val="HideTWBExt"/>
          <w:b w:val="0"/>
        </w:rPr>
        <w:t>&lt;/RefProc&gt;&lt;RefTypeProc&gt;</w:t>
      </w:r>
      <w:r>
        <w:t>(COD)</w:t>
      </w:r>
      <w:r>
        <w:rPr>
          <w:rStyle w:val="HideTWBExt"/>
          <w:b w:val="0"/>
        </w:rPr>
        <w:t>&lt;/RefTypeProc&gt;</w:t>
      </w:r>
    </w:p>
    <w:p w:rsidR="00DB56E4" w:rsidRPr="007A6592" w:rsidRDefault="00A51443" w:rsidP="00550B8D">
      <w:pPr>
        <w:pStyle w:val="CoverDate"/>
      </w:pPr>
      <w:r>
        <w:rPr>
          <w:rStyle w:val="HideTWBExt"/>
        </w:rPr>
        <w:t>&lt;Date&gt;</w:t>
      </w:r>
      <w:r>
        <w:rPr>
          <w:rStyle w:val="HideTWBInt"/>
          <w:color w:val="auto"/>
        </w:rPr>
        <w:t>{04/12/2023}</w:t>
      </w:r>
      <w:r>
        <w:t>4.12.2023</w:t>
      </w:r>
      <w:r>
        <w:rPr>
          <w:rStyle w:val="HideTWBExt"/>
        </w:rPr>
        <w:t>&lt;/Date&gt;</w:t>
      </w:r>
    </w:p>
    <w:p w:rsidR="00DB56E4" w:rsidRPr="007A6592" w:rsidRDefault="00A51443" w:rsidP="00DB56E4">
      <w:pPr>
        <w:pStyle w:val="CoverDocType24a"/>
      </w:pPr>
      <w:r>
        <w:rPr>
          <w:rStyle w:val="HideTWBExt"/>
          <w:b w:val="0"/>
        </w:rPr>
        <w:t>&lt;TitreType&gt;</w:t>
      </w:r>
      <w:r>
        <w:t>STANOVISKO</w:t>
      </w:r>
      <w:r>
        <w:rPr>
          <w:rStyle w:val="HideTWBExt"/>
          <w:b w:val="0"/>
        </w:rPr>
        <w:t>&lt;/TitreType&gt;</w:t>
      </w:r>
    </w:p>
    <w:p w:rsidR="00DB56E4" w:rsidRPr="007A6592" w:rsidRDefault="00A51443" w:rsidP="00DB56E4">
      <w:pPr>
        <w:pStyle w:val="CoverNormal24a"/>
      </w:pPr>
      <w:r>
        <w:rPr>
          <w:rStyle w:val="HideTWBExt"/>
        </w:rPr>
        <w:t>&lt;CommissionResp&gt;</w:t>
      </w:r>
      <w:r>
        <w:t>Výboru</w:t>
      </w:r>
      <w:r>
        <w:t xml:space="preserve"> pro práva žen a rovnost pohlaví</w:t>
      </w:r>
      <w:r>
        <w:rPr>
          <w:rStyle w:val="HideTWBExt"/>
        </w:rPr>
        <w:t>&lt;/CommissionResp&gt;</w:t>
      </w:r>
    </w:p>
    <w:p w:rsidR="00DB56E4" w:rsidRPr="007A6592" w:rsidRDefault="00A51443" w:rsidP="00DB56E4">
      <w:pPr>
        <w:pStyle w:val="CoverNormal24a"/>
      </w:pPr>
      <w:r>
        <w:rPr>
          <w:rStyle w:val="HideTWBExt"/>
        </w:rPr>
        <w:t>&lt;CommissionInt&gt;</w:t>
      </w:r>
      <w:r>
        <w:t>pro Výbor pro zaměstnanost a sociální věci</w:t>
      </w:r>
      <w:r>
        <w:rPr>
          <w:rStyle w:val="HideTWBExt"/>
        </w:rPr>
        <w:t>&lt;/CommissionInt&gt;</w:t>
      </w:r>
    </w:p>
    <w:p w:rsidR="00DB56E4" w:rsidRPr="007A6592" w:rsidRDefault="00A51443" w:rsidP="00DB56E4">
      <w:pPr>
        <w:pStyle w:val="CoverNormal"/>
      </w:pPr>
      <w:r>
        <w:rPr>
          <w:rStyle w:val="HideTWBExt"/>
        </w:rPr>
        <w:t>&lt;Titre&gt;</w:t>
      </w:r>
      <w:r>
        <w:t>o návrhu směrnice Evropského parlamentu a Rady, kterou se zavádí evropský průkaz osob se zdravotním postižením a evropská par</w:t>
      </w:r>
      <w:r>
        <w:t>kovací karta pro osoby se zdravotním postižením</w:t>
      </w:r>
      <w:r>
        <w:rPr>
          <w:rStyle w:val="HideTWBExt"/>
        </w:rPr>
        <w:t>&lt;/Titre&gt;</w:t>
      </w:r>
    </w:p>
    <w:p w:rsidR="00DB56E4" w:rsidRPr="007A6592" w:rsidRDefault="00A51443" w:rsidP="00DB56E4">
      <w:pPr>
        <w:pStyle w:val="CoverNormal24a"/>
      </w:pPr>
      <w:r>
        <w:rPr>
          <w:rStyle w:val="HideTWBExt"/>
        </w:rPr>
        <w:t>&lt;DocRef&gt;</w:t>
      </w:r>
      <w:r>
        <w:t>COM(2023)0512 - C9-0328/2023</w:t>
      </w:r>
      <w:r>
        <w:rPr>
          <w:rStyle w:val="HideTWBExt"/>
        </w:rPr>
        <w:t>&lt;/DocRef&gt;</w:t>
      </w:r>
    </w:p>
    <w:p w:rsidR="00DB56E4" w:rsidRPr="007A6592" w:rsidRDefault="00A51443" w:rsidP="00DB56E4">
      <w:pPr>
        <w:pStyle w:val="CoverNormal24a"/>
      </w:pPr>
      <w:r>
        <w:t xml:space="preserve">Zpravodajka: </w:t>
      </w:r>
      <w:r>
        <w:rPr>
          <w:rStyle w:val="HideTWBExt"/>
        </w:rPr>
        <w:t>&lt;Depute&gt;</w:t>
      </w:r>
      <w:r>
        <w:t>Rosa Estaràs Ferragut</w:t>
      </w:r>
      <w:r>
        <w:rPr>
          <w:rStyle w:val="HideTWBExt"/>
        </w:rPr>
        <w:t>&lt;/Depute&gt;</w:t>
      </w:r>
    </w:p>
    <w:p w:rsidR="00CF14C0" w:rsidRPr="007A6592" w:rsidRDefault="00CF14C0" w:rsidP="0004474F">
      <w:pPr>
        <w:tabs>
          <w:tab w:val="center" w:pos="4677"/>
        </w:tabs>
      </w:pPr>
    </w:p>
    <w:p w:rsidR="00DB56E4" w:rsidRPr="007A6592" w:rsidRDefault="00A51443" w:rsidP="0004474F">
      <w:pPr>
        <w:tabs>
          <w:tab w:val="center" w:pos="4677"/>
        </w:tabs>
      </w:pPr>
      <w:r>
        <w:br w:type="page"/>
      </w:r>
      <w:r>
        <w:lastRenderedPageBreak/>
        <w:t>PA_Legam</w:t>
      </w:r>
    </w:p>
    <w:p w:rsidR="00DB56E4" w:rsidRPr="007A6592" w:rsidRDefault="00A51443" w:rsidP="005A6143">
      <w:pPr>
        <w:pStyle w:val="AmHeadingPA"/>
      </w:pPr>
      <w:r>
        <w:br w:type="page"/>
      </w:r>
      <w:r>
        <w:lastRenderedPageBreak/>
        <w:t>POZMĚŇOVACÍ NÁVRHY</w:t>
      </w:r>
    </w:p>
    <w:p w:rsidR="00DB56E4" w:rsidRPr="007A6592" w:rsidRDefault="00A51443" w:rsidP="008C1FED">
      <w:pPr>
        <w:pStyle w:val="Normal12a"/>
      </w:pPr>
      <w:bookmarkStart w:id="1" w:name="IntroA"/>
      <w:r>
        <w:t xml:space="preserve">Výbor pro práva žen a rovnost pohlaví vyzývá Výbor pro zaměstnanost a </w:t>
      </w:r>
      <w:r>
        <w:t>sociální věci jako příslušný výbor, aby vzal na vědomí:</w:t>
      </w:r>
    </w:p>
    <w:bookmarkEnd w:id="1"/>
    <w:p w:rsidR="00EB2CDF" w:rsidRPr="007A6592" w:rsidRDefault="00EB2CDF" w:rsidP="00EB2CDF"/>
    <w:p w:rsidR="00E6403A" w:rsidRPr="00A754B5" w:rsidRDefault="00A51443" w:rsidP="00E6403A">
      <w:r>
        <w:rPr>
          <w:rStyle w:val="HideTWBExt"/>
        </w:rPr>
        <w:t>&lt;RepeatBlock-Amend&gt;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1</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Bod odůvodnění 2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E6403A">
            <w:pPr>
              <w:pStyle w:val="Normal6"/>
              <w:rPr>
                <w:szCs w:val="24"/>
              </w:rPr>
            </w:pPr>
            <w:r>
              <w:rPr>
                <w:b/>
                <w:i/>
              </w:rPr>
              <w:t>(2a)</w:t>
            </w:r>
            <w:r>
              <w:rPr>
                <w:b/>
                <w:i/>
              </w:rPr>
              <w:tab/>
            </w:r>
            <w:r>
              <w:rPr>
                <w:b/>
                <w:i/>
              </w:rPr>
              <w:t>Listina základních práv Evropské unie (dále jen „Listina“), zejména její články 3, 6, 7, 8, 14, 15, 16, 20, 21, 23, 24, 25, 26, 31, 34, 35, 36, 41, 42, 45 a 47, sdružuje nejdůležitější osobní svobody a práva, a to i pro osoby se zdravotním postižením.</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rPr>
              <w:t>(2</w:t>
            </w:r>
            <w:r>
              <w:rPr>
                <w:b/>
                <w:i/>
              </w:rPr>
              <w:t>b)</w:t>
            </w:r>
            <w:r>
              <w:rPr>
                <w:b/>
                <w:i/>
              </w:rPr>
              <w:tab/>
              <w:t xml:space="preserve"> </w:t>
            </w:r>
            <w:r>
              <w:rPr>
                <w:b/>
                <w:bCs/>
                <w:i/>
                <w:iCs/>
              </w:rPr>
              <w:t>V usnesení ze dne 13. prosince 2022 nazvaném „Za stejná práva osob se zdravotním postižením</w:t>
            </w:r>
            <w:r>
              <w:rPr>
                <w:b/>
                <w:bCs/>
                <w:i/>
                <w:iCs/>
                <w:vertAlign w:val="superscript"/>
              </w:rPr>
              <w:t>1a</w:t>
            </w:r>
            <w:r>
              <w:rPr>
                <w:b/>
                <w:bCs/>
                <w:i/>
                <w:iCs/>
              </w:rPr>
              <w:t>“ se potvrzuje důležitost a potřeba mít evropský průkaz osob se zdravotním postižením.</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rPr>
              <w:t>(2c)</w:t>
            </w:r>
            <w:r>
              <w:rPr>
                <w:b/>
                <w:i/>
              </w:rPr>
              <w:tab/>
              <w:t>V usnesení ze dne 4. října 2023 nazvaném „Harmonizace práv osob s</w:t>
            </w:r>
            <w:r>
              <w:rPr>
                <w:b/>
                <w:i/>
              </w:rPr>
              <w:t xml:space="preserve"> autismem</w:t>
            </w:r>
            <w:r>
              <w:rPr>
                <w:b/>
                <w:i/>
                <w:vertAlign w:val="superscript"/>
              </w:rPr>
              <w:t>2a</w:t>
            </w:r>
            <w:r>
              <w:rPr>
                <w:b/>
                <w:i/>
              </w:rPr>
              <w:t>“ se zdůrazňuje význam návrhu evropského průkazu osob se zdravotním postižením.</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rPr>
              <w:t>__________________</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vertAlign w:val="superscript"/>
              </w:rPr>
              <w:t>1a</w:t>
            </w:r>
            <w:r>
              <w:t xml:space="preserve"> </w:t>
            </w:r>
            <w:r>
              <w:rPr>
                <w:b/>
                <w:i/>
              </w:rPr>
              <w:t xml:space="preserve"> https://www.europarl.europa.eu/doceo/document/TA-9-2022-0435_CS.html</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vertAlign w:val="superscript"/>
              </w:rPr>
              <w:t>2a</w:t>
            </w:r>
            <w:r>
              <w:t xml:space="preserve"> </w:t>
            </w:r>
            <w:r>
              <w:rPr>
                <w:b/>
                <w:i/>
              </w:rPr>
              <w:t>https://www.europarl.europa.eu/doceo/document/TA-9-2023-0343_CS.html</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2</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Bod odůvodnění 3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E6403A">
            <w:pPr>
              <w:pStyle w:val="Normal6"/>
              <w:rPr>
                <w:szCs w:val="24"/>
              </w:rPr>
            </w:pPr>
            <w:r>
              <w:rPr>
                <w:b/>
                <w:i/>
              </w:rPr>
              <w:t>(3a)</w:t>
            </w:r>
            <w:r>
              <w:rPr>
                <w:b/>
                <w:i/>
              </w:rPr>
              <w:tab/>
            </w:r>
            <w:r>
              <w:rPr>
                <w:b/>
                <w:i/>
              </w:rPr>
              <w:t>Rovnost žen a mužů je jednou z hodnot Unie zakotvených v článku 2 SEU a v článku 8 SFEU se uvádí, že při všech svých činnostech usiluje Unie o odstranění nerovností zaváděním zásady uplatňování genderového hlediska a genderové rovnosti. Evropská unie ratif</w:t>
            </w:r>
            <w:r>
              <w:rPr>
                <w:b/>
                <w:i/>
              </w:rPr>
              <w:t>ikovala Istanbulskou úmluvu o prevenci a potírání násilí na ženách a domácího násilí, a proto musí být ochrana a podpora poskytovaná v rámci Istanbulské úmluvy dostupná všem ženám bez diskriminace bez ohledu na jakékoli zdravotní postižení.</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w:t>
      </w:r>
      <w:r>
        <w:rPr>
          <w:rStyle w:val="HideTWBExt"/>
          <w:b w:val="0"/>
        </w:rPr>
        <w:t>d&gt;</w:t>
      </w:r>
      <w:r>
        <w:t>Pozměňovací návrh</w:t>
      </w:r>
      <w:r>
        <w:tab/>
      </w:r>
      <w:r>
        <w:tab/>
      </w:r>
      <w:r>
        <w:rPr>
          <w:rStyle w:val="HideTWBExt"/>
          <w:b w:val="0"/>
        </w:rPr>
        <w:t>&lt;NumAm&gt;</w:t>
      </w:r>
      <w:r>
        <w:t>3</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Bod odůvodnění 3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E6403A">
            <w:pPr>
              <w:pStyle w:val="Normal6"/>
              <w:rPr>
                <w:szCs w:val="24"/>
              </w:rPr>
            </w:pPr>
            <w:r>
              <w:rPr>
                <w:b/>
                <w:i/>
              </w:rPr>
              <w:t>(3b)</w:t>
            </w:r>
            <w:r>
              <w:rPr>
                <w:b/>
                <w:i/>
              </w:rPr>
              <w:tab/>
              <w:t xml:space="preserve">Mandát týkající se rovnosti a nediskriminace obsažený v článku 5 Úmluvy o právech osob </w:t>
            </w:r>
            <w:r>
              <w:rPr>
                <w:b/>
                <w:i/>
              </w:rPr>
              <w:t xml:space="preserve">se zdravotním postižením je relevantní, protože účelem evropského průkazu osob se zdravotním postižením je urychlit dosažení rovnosti osob se zdravotním postižením vzájemným uznáváním jejich postavení v EU. K mobilitě a volnému pohybu je třeba přistupovat </w:t>
            </w:r>
            <w:r>
              <w:rPr>
                <w:b/>
                <w:i/>
              </w:rPr>
              <w:t>genderově citlivým způsobem, aby tyto právní předpisy přispěly k uznání práv žen a dívek se zdravotním postižením, matek a pečovatelů o osoby se zdravotním postižením a k přijetí průřezového přístupu k jejich ochraně před diskriminací. Je nezbytně nutné uz</w:t>
            </w:r>
            <w:r>
              <w:rPr>
                <w:b/>
                <w:i/>
              </w:rPr>
              <w:t>nat, že ženy a dívky se zdravotním postižením čelí diskriminaci v mnoha oblastech života, jako je sociální izolace, nedostatečný přístup ke komunitním službám, nekvalitní bydlení, institucionalizace a nedostatečná zdravotní péče, což jim brání aktivně se z</w:t>
            </w:r>
            <w:r>
              <w:rPr>
                <w:b/>
                <w:i/>
              </w:rPr>
              <w:t>apájet a přispívat do života společnosti. Ženy se zdravotním postižením jsou desetkrát častěji vystaveny fyzickému nebo sexuálnímu napadení než ženy bez zdravotního postižení, a proto by měly být ženám se zdravotním postižením, které se staly obětí jakékol</w:t>
            </w:r>
            <w:r>
              <w:rPr>
                <w:b/>
                <w:i/>
              </w:rPr>
              <w:t>i formy genderově podmíněného násilí, zpřístupněny informace o přístupu ke specializovaným podpůrným službám. Celkově je situace žen a dívek se zdravotním postižením horší než situace mužů a chlapců se zdravotním postižením, což je ještě výraznější ve venk</w:t>
            </w:r>
            <w:r>
              <w:rPr>
                <w:b/>
                <w:i/>
              </w:rPr>
              <w:t>ovských oblastech, kde je přístup ke službám a příležitostem obecně mnohem omezenější. Každé osobě s faktickým zdravotním postižením ve smyslu článku 1 Úmluvy o právech osob se zdravotním postižením by měl být uznán její status osoby zdravotního postižení,</w:t>
            </w:r>
            <w:r>
              <w:rPr>
                <w:b/>
                <w:i/>
              </w:rPr>
              <w:t xml:space="preserve"> pokud pobývá v jiném státě EU, než je její vlastní stát, nebo se do jiného členského státu EU přestěhuje.</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4</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hideMark/>
          </w:tcPr>
          <w:p w:rsidR="00E6403A" w:rsidRPr="00A754B5" w:rsidRDefault="00A51443" w:rsidP="004A56F3">
            <w:pPr>
              <w:pStyle w:val="Normal6"/>
            </w:pPr>
            <w:r>
              <w:t>(6)</w:t>
            </w:r>
            <w:r>
              <w:tab/>
              <w:t>Účelem Úmluvy o právech osob se zdravotním postižením je podporovat, chránit a zajistit plné a rovné užívání všech lidských práv a základních svobod všemi osobami se zdravotním postižením a podporovat úctu k jejich přirozené důstojn</w:t>
            </w:r>
            <w:r>
              <w:t>osti, a zajistit tak jejich plné a účinné zapojení do společnosti na rovnoprávném základě s ostatními. Úmluva OSN o právech osob se zdravotním postižením rovněž uznává význam potřeby přijmout vhodná opatření k zajištění přístupnosti pro osoby se zdravotním</w:t>
            </w:r>
            <w:r>
              <w:t xml:space="preserve"> postižením.</w:t>
            </w:r>
          </w:p>
        </w:tc>
        <w:tc>
          <w:tcPr>
            <w:tcW w:w="4876" w:type="dxa"/>
            <w:hideMark/>
          </w:tcPr>
          <w:p w:rsidR="00E6403A" w:rsidRPr="00A754B5" w:rsidRDefault="00A51443" w:rsidP="004A56F3">
            <w:pPr>
              <w:pStyle w:val="Normal6"/>
              <w:rPr>
                <w:szCs w:val="24"/>
              </w:rPr>
            </w:pPr>
            <w:r>
              <w:t>(6)</w:t>
            </w:r>
            <w:r>
              <w:tab/>
              <w:t>Účelem Úmluvy o právech osob se zdravotním postižením je podporovat, chránit a zajistit plné a rovné užívání všech lidských práv a základních svobod všemi osobami se zdravotním postižením a podporovat úctu k jejich přirozené důstojnosti, a</w:t>
            </w:r>
            <w:r>
              <w:t xml:space="preserve"> zajistit tak jejich plné a účinné zapojení do společnosti na rovnoprávném základě s ostatními. </w:t>
            </w:r>
            <w:r>
              <w:rPr>
                <w:b/>
                <w:i/>
              </w:rPr>
              <w:t>Úmluva OSN o právech osob se zdravotním postižením ve svém článku 6 výslovně uznává, že ženy a dívky se zdravotním postižením jsou vystaveny vícenásobné diskrim</w:t>
            </w:r>
            <w:r>
              <w:rPr>
                <w:b/>
                <w:i/>
              </w:rPr>
              <w:t>inaci, která je v mnoha případech způsobena prolínáním pohlaví a zdravotního postižení, což má dopad na všechny oblasti jejich života, včetně zkušeností s mobilitou, a požaduje, aby státy, které jsou smluvními stranami úmluvy, „přijaly opatření k zajištění</w:t>
            </w:r>
            <w:r>
              <w:rPr>
                <w:b/>
                <w:i/>
              </w:rPr>
              <w:t xml:space="preserve"> plného a rovného užívání všech lidských práv a základních svobod“ a zajistily plný rozvoj, pokrok a posílení postavení žen. Ženy se zdravotním postižením často čelí diskriminaci z důvodu příslušnosti ke dvěma či více skupinám, a proto je třeba do právních</w:t>
            </w:r>
            <w:r>
              <w:rPr>
                <w:b/>
                <w:i/>
              </w:rPr>
              <w:t xml:space="preserve"> předpisů EU začlenit průřezový přístup, aby bylo možné řádně řešit vyloučení a diskriminaci z komplexního, systémového a strukturálního hlediska. Členské státy EU jsou vázány Úmluvou o právech osob se zdravotním postižením, mezi jednotlivými zeměmi však e</w:t>
            </w:r>
            <w:r>
              <w:rPr>
                <w:b/>
                <w:i/>
              </w:rPr>
              <w:t>xistují značné rozdíly v jejím provádění</w:t>
            </w:r>
            <w:r>
              <w:rPr>
                <w:b/>
                <w:i/>
                <w:vertAlign w:val="superscript"/>
              </w:rPr>
              <w:t>1a</w:t>
            </w:r>
            <w:r>
              <w:rPr>
                <w:b/>
                <w:i/>
              </w:rPr>
              <w:t>. Ve všech zemích je třeba dosáhnout pokroku v oblasti rovnosti osob se zdravotním postižením, například prostřednictvím investic do infrastruktury, budování kapacit a osvětových kampaní.</w:t>
            </w:r>
            <w:r>
              <w:t xml:space="preserve"> Úmluva OSN o právech osob </w:t>
            </w:r>
            <w:r>
              <w:t xml:space="preserve">se zdravotním postižením rovněž uznává význam potřeby přijmout vhodná opatření k zajištění </w:t>
            </w:r>
            <w:r>
              <w:rPr>
                <w:b/>
                <w:bCs/>
                <w:i/>
                <w:iCs/>
              </w:rPr>
              <w:t>všeobecné</w:t>
            </w:r>
            <w:r>
              <w:t xml:space="preserve"> přístupnosti pro osoby se zdravotním postižením</w:t>
            </w:r>
            <w:r>
              <w:rPr>
                <w:b/>
                <w:bCs/>
                <w:i/>
                <w:iCs/>
              </w:rPr>
              <w:t>, jako například pro osoby s funkční negramotností, která se většinou týká žen, zejména s ohledem na současn</w:t>
            </w:r>
            <w:r>
              <w:rPr>
                <w:b/>
                <w:bCs/>
                <w:i/>
                <w:iCs/>
              </w:rPr>
              <w:t>ou směrnici, a k zajištění co největší nezávislosti osob se zdravotním postižením v oblasti osobní mobility</w:t>
            </w:r>
            <w:r>
              <w:t>.</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rPr>
              <w:t xml:space="preserve">(6a) Je třeba si uvědomit, že ženy a dívky se zdravotním postižením čelí zvýšenému riziku násilí a zneužívání, včetně sexuálního zneužívání, a </w:t>
            </w:r>
            <w:r>
              <w:rPr>
                <w:b/>
                <w:i/>
              </w:rPr>
              <w:t xml:space="preserve">jsou více zranitelné z důvodu svého pohlaví, věku a zdravotního postižení. </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rPr>
              <w:t>(6b) Čísla jasně ukazují, že pečovatelé o osoby se zdravotním postižením jsou v naprosté většině ženy, a proto je třeba uplatňovat genderově citlivý přístup i při posuzování otáz</w:t>
            </w:r>
            <w:r>
              <w:rPr>
                <w:b/>
                <w:i/>
              </w:rPr>
              <w:t>ky pečovatelů.</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t>__________________</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vertAlign w:val="superscript"/>
              </w:rPr>
              <w:t>1a</w:t>
            </w:r>
            <w:r>
              <w:t xml:space="preserve"> </w:t>
            </w:r>
            <w:r>
              <w:rPr>
                <w:b/>
                <w:bCs/>
                <w:i/>
                <w:iCs/>
              </w:rPr>
              <w:t>Provádění Úmluvy OSN o právech osob se zdravotním postižením, https://fra.europa.eu/sites/default/files/fra_uploads/fra-2023-uncrpd-human-rights-indicators_en.pdf</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5</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Bod odůvodnění 6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E6403A">
            <w:pPr>
              <w:pStyle w:val="Normal6"/>
              <w:rPr>
                <w:szCs w:val="24"/>
              </w:rPr>
            </w:pPr>
            <w:r>
              <w:rPr>
                <w:b/>
                <w:i/>
              </w:rPr>
              <w:t>(6a)</w:t>
            </w:r>
            <w:r>
              <w:rPr>
                <w:b/>
                <w:i/>
              </w:rPr>
              <w:tab/>
            </w:r>
            <w:r>
              <w:rPr>
                <w:b/>
                <w:bCs/>
                <w:i/>
                <w:iCs/>
              </w:rPr>
              <w:t xml:space="preserve">Z údajů Evropského institutu pro rovnost žen a mužů vyplývá, že v EU je na plný úvazek zaměstnáno 20 % žen se zdravotním </w:t>
            </w:r>
            <w:r>
              <w:rPr>
                <w:b/>
                <w:bCs/>
                <w:i/>
                <w:iCs/>
              </w:rPr>
              <w:t>postižením ve srovnání s 29 % mužů se zdravotním postižením a 48 % žen bez zdravotního postižení.</w:t>
            </w:r>
            <w:r>
              <w:rPr>
                <w:b/>
                <w:i/>
              </w:rPr>
              <w:t xml:space="preserve"> Ohroženo chudobou je 22 % žen se zdravotním postižením ve srovnání s 20 % mužů se zdravotním postižením a 16 % žen bez zdravotního postižení. Terciární vzdělá</w:t>
            </w:r>
            <w:r>
              <w:rPr>
                <w:b/>
                <w:i/>
              </w:rPr>
              <w:t>ní absolvuje 17 % žen se zdravotním postižením ve srovnání s 18 % mužů se zdravotním postižením a 32 % žen bez zdravotního postižení. Neuspokojenou potřebu v oblasti lékařského vyšetření má 11 % žen se zdravotním postižením ve srovnání s 10 % mužů se zdrav</w:t>
            </w:r>
            <w:r>
              <w:rPr>
                <w:b/>
                <w:i/>
              </w:rPr>
              <w:t>otním postižením a 3 % žen bez zdravotního postižení. V EU je přibližně 46 milionů žen a dívek se zdravotním postižením, což představuje asi 16 % celkové ženské populace a 60 % celkové populace osob se zdravotním postižením</w:t>
            </w:r>
            <w:r>
              <w:rPr>
                <w:b/>
                <w:i/>
                <w:vertAlign w:val="superscript"/>
              </w:rPr>
              <w:t>1b</w:t>
            </w:r>
            <w:r>
              <w:rPr>
                <w:b/>
                <w:i/>
              </w:rPr>
              <w:t>; při zavádění evropského průka</w:t>
            </w:r>
            <w:r>
              <w:rPr>
                <w:b/>
                <w:i/>
              </w:rPr>
              <w:t>zu osob se zdravotním postižením je proto třeba uplatňovat genderově citlivý přístup a v návaznosti na konkrétní doporučení přijatá výborem pro práva osob se zdravotním postižením k úvodní zprávě EU z roku 2015 musí být ústředním bodem strategie EU pro rov</w:t>
            </w:r>
            <w:r>
              <w:rPr>
                <w:b/>
                <w:i/>
              </w:rPr>
              <w:t>nost žen a mužů zejména hledisko žen a dívek se zdravotním postižením, spolu s politikami a programy a genderovým hlediskem v její strategii pro otázky zdravotního postižení. Výbor rovněž doporučil, aby Evropská unie vypracovala opatření na podporu práv že</w:t>
            </w:r>
            <w:r>
              <w:rPr>
                <w:b/>
                <w:i/>
              </w:rPr>
              <w:t>n a dívek se zdravotním postižením, a to vytvořením mechanismu pro sledování pokroku a financováním sběru údajů a provádění výzkumu o ženách a dívkách se zdravotním postižením</w:t>
            </w:r>
            <w:r>
              <w:rPr>
                <w:b/>
                <w:i/>
                <w:vertAlign w:val="superscript"/>
              </w:rPr>
              <w:t>1c</w:t>
            </w:r>
            <w:r>
              <w:rPr>
                <w:b/>
                <w:i/>
              </w:rPr>
              <w:t>. Evropská komise a členské státy EU zajistí shromažďování údajů rozčleněných p</w:t>
            </w:r>
            <w:r>
              <w:rPr>
                <w:b/>
                <w:i/>
              </w:rPr>
              <w:t>odle pohlaví, aby bylo možné vypracovat posouzení dopadu směrnice na rovnost žen a mužů a zaručit její budoucí revizi z hlediska rovnosti žen a mužů.</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rPr>
              <w:t>__________________</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vertAlign w:val="superscript"/>
              </w:rPr>
              <w:t>1a</w:t>
            </w:r>
            <w:r>
              <w:t xml:space="preserve"> </w:t>
            </w:r>
            <w:r>
              <w:rPr>
                <w:b/>
                <w:bCs/>
                <w:i/>
                <w:iCs/>
              </w:rPr>
              <w:t xml:space="preserve">Prolínající se nerovnosti v Evropské unii v indexu rovnosti žen a mužů pro rok </w:t>
            </w:r>
            <w:r>
              <w:rPr>
                <w:b/>
                <w:bCs/>
                <w:i/>
                <w:iCs/>
              </w:rPr>
              <w:t>2023 https://eige.europa.eu/gender-equality-index/2022/domain/intersecting-inequalities/disability/work</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vertAlign w:val="superscript"/>
              </w:rPr>
              <w:t>1b</w:t>
            </w:r>
            <w:r>
              <w:t xml:space="preserve"> </w:t>
            </w:r>
            <w:r>
              <w:rPr>
                <w:b/>
                <w:i/>
              </w:rPr>
              <w:t>https://www.edf-feph.org/women-and-gender-equality/</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vertAlign w:val="superscript"/>
              </w:rPr>
              <w:t>1c</w:t>
            </w:r>
            <w:r>
              <w:t xml:space="preserve"> </w:t>
            </w:r>
            <w:r>
              <w:rPr>
                <w:b/>
                <w:bCs/>
                <w:i/>
                <w:iCs/>
              </w:rPr>
              <w:t>Závěrečné připomínky k úvodní zprávě Evropské unie CRPD/C/EU/CO/1, Výbor pro práva osob se</w:t>
            </w:r>
            <w:r>
              <w:rPr>
                <w:b/>
                <w:bCs/>
                <w:i/>
                <w:iCs/>
              </w:rPr>
              <w:t xml:space="preserve"> zdravotním postižením, 2. října 2015.</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rPr>
        <w:t>&lt;Amend&gt;</w:t>
      </w:r>
      <w:r>
        <w:t>Pozměňovací návrh</w:t>
      </w:r>
      <w:r>
        <w:tab/>
      </w:r>
      <w:r>
        <w:rPr>
          <w:rStyle w:val="HideTWBExt"/>
        </w:rPr>
        <w:t>&lt;NumAm&gt;</w:t>
      </w:r>
      <w:r>
        <w:t>6</w:t>
      </w:r>
      <w:r>
        <w:rPr>
          <w:rStyle w:val="HideTWBExt"/>
        </w:rPr>
        <w:t>&lt;/NumAm&gt;</w:t>
      </w:r>
    </w:p>
    <w:p w:rsidR="00E6403A" w:rsidRPr="00A754B5" w:rsidRDefault="00A51443" w:rsidP="00E6403A">
      <w:pPr>
        <w:pStyle w:val="NormalBold12b"/>
      </w:pPr>
      <w:r>
        <w:rPr>
          <w:rStyle w:val="HideTWBExt"/>
        </w:rPr>
        <w:t>&lt;DocAmend&gt;</w:t>
      </w:r>
      <w:r>
        <w:t>Návrh směrnice</w:t>
      </w:r>
      <w:r>
        <w:rPr>
          <w:rStyle w:val="HideTWBExt"/>
        </w:rPr>
        <w:t>&lt;/DocAmend&gt;</w:t>
      </w:r>
    </w:p>
    <w:p w:rsidR="00E6403A" w:rsidRPr="00A754B5" w:rsidRDefault="00A51443" w:rsidP="00E6403A">
      <w:pPr>
        <w:pStyle w:val="NormalBold"/>
      </w:pPr>
      <w:r>
        <w:rPr>
          <w:rStyle w:val="HideTWBExt"/>
        </w:rPr>
        <w:t>&lt;Article&gt;</w:t>
      </w:r>
      <w:r>
        <w:t>Bod odůvodnění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trHeight w:hRule="exact" w:val="240"/>
          <w:jc w:val="center"/>
        </w:trPr>
        <w:tc>
          <w:tcPr>
            <w:tcW w:w="9752" w:type="dxa"/>
            <w:gridSpan w:val="2"/>
          </w:tcPr>
          <w:p w:rsidR="00E6403A" w:rsidRPr="00A754B5" w:rsidRDefault="00E6403A" w:rsidP="004A56F3"/>
        </w:tc>
      </w:tr>
      <w:tr w:rsidR="003F2B13" w:rsidTr="004A56F3">
        <w:trPr>
          <w:trHeight w:val="240"/>
          <w:jc w:val="center"/>
        </w:trPr>
        <w:tc>
          <w:tcPr>
            <w:tcW w:w="4876" w:type="dxa"/>
          </w:tcPr>
          <w:p w:rsidR="00E6403A" w:rsidRPr="00A754B5" w:rsidRDefault="00A51443" w:rsidP="004A56F3">
            <w:pPr>
              <w:pStyle w:val="AmColumnHeading"/>
            </w:pPr>
            <w:r>
              <w:t>Znění navržené Komisí</w:t>
            </w:r>
          </w:p>
        </w:tc>
        <w:tc>
          <w:tcPr>
            <w:tcW w:w="4876" w:type="dxa"/>
          </w:tcPr>
          <w:p w:rsidR="00E6403A" w:rsidRPr="00A754B5" w:rsidRDefault="00A51443" w:rsidP="004A56F3">
            <w:pPr>
              <w:pStyle w:val="AmColumnHeading"/>
            </w:pPr>
            <w:r>
              <w:t>Pozměňovací návrh</w:t>
            </w:r>
          </w:p>
        </w:tc>
      </w:tr>
      <w:tr w:rsidR="003F2B13" w:rsidTr="004A56F3">
        <w:trPr>
          <w:jc w:val="center"/>
        </w:trPr>
        <w:tc>
          <w:tcPr>
            <w:tcW w:w="4876" w:type="dxa"/>
          </w:tcPr>
          <w:p w:rsidR="00E6403A" w:rsidRPr="00A754B5" w:rsidRDefault="00A51443" w:rsidP="004A56F3">
            <w:pPr>
              <w:pStyle w:val="Normal6a"/>
            </w:pPr>
            <w:r>
              <w:t>(7)</w:t>
            </w:r>
            <w:r>
              <w:tab/>
              <w:t xml:space="preserve">Evropský pilíř sociálních práv, vyhlášený </w:t>
            </w:r>
            <w:r>
              <w:t>Evropským parlamentem, Radou a Evropskou komisí v Göteborgu dne 17. listopadu 2017</w:t>
            </w:r>
            <w:r>
              <w:rPr>
                <w:vertAlign w:val="superscript"/>
              </w:rPr>
              <w:t>40</w:t>
            </w:r>
            <w:r>
              <w:t xml:space="preserve">, stanoví, že každý člověk, mimo jiné bez ohledu na své postižení, má právo na rovné zacházení a příležitosti, pokud jde </w:t>
            </w:r>
            <w:r>
              <w:rPr>
                <w:b/>
                <w:bCs/>
                <w:i/>
                <w:iCs/>
              </w:rPr>
              <w:t>mimo jiné</w:t>
            </w:r>
            <w:r>
              <w:t xml:space="preserve"> o přístup ke zboží a službám dostupným ve</w:t>
            </w:r>
            <w:r>
              <w:t>řejnosti (zásada 3)</w:t>
            </w:r>
            <w:r>
              <w:rPr>
                <w:b/>
                <w:bCs/>
                <w:i/>
                <w:iCs/>
              </w:rPr>
              <w:t>.</w:t>
            </w:r>
            <w:r>
              <w:t xml:space="preserve"> Kromě toho evropský pilíř sociálních práv uznává, že osoby se zdravotním postižením mají právo na služby, které jim umožní účast na životě společnosti (zásada 17).</w:t>
            </w:r>
          </w:p>
        </w:tc>
        <w:tc>
          <w:tcPr>
            <w:tcW w:w="4876" w:type="dxa"/>
          </w:tcPr>
          <w:p w:rsidR="00E6403A" w:rsidRPr="00A754B5" w:rsidRDefault="00A51443" w:rsidP="004A56F3">
            <w:pPr>
              <w:pStyle w:val="Normal6a"/>
            </w:pPr>
            <w:r>
              <w:t>(7)</w:t>
            </w:r>
            <w:r>
              <w:tab/>
              <w:t>Evropský pilíř sociálních práv, vyhlášený Evropským parlamentem, Ra</w:t>
            </w:r>
            <w:r>
              <w:t>dou a Evropskou komisí v Göteborgu dne 17. listopadu 2017</w:t>
            </w:r>
            <w:r>
              <w:rPr>
                <w:vertAlign w:val="superscript"/>
              </w:rPr>
              <w:t>40</w:t>
            </w:r>
            <w:r>
              <w:t xml:space="preserve">, stanoví, že každý člověk, mimo jiné bez ohledu na své postižení, má právo na rovné zacházení a příležitosti, pokud jde o </w:t>
            </w:r>
            <w:r>
              <w:rPr>
                <w:b/>
                <w:bCs/>
                <w:i/>
                <w:iCs/>
              </w:rPr>
              <w:t>zaměstnání, sociální ochranu, vzdělání,</w:t>
            </w:r>
            <w:r>
              <w:t xml:space="preserve"> přístup ke zboží a službám dostupn</w:t>
            </w:r>
            <w:r>
              <w:t>ým veřejnosti (zásada 3)</w:t>
            </w:r>
            <w:r>
              <w:rPr>
                <w:b/>
                <w:bCs/>
                <w:i/>
                <w:iCs/>
              </w:rPr>
              <w:t>;</w:t>
            </w:r>
            <w:r>
              <w:rPr>
                <w:b/>
                <w:i/>
              </w:rPr>
              <w:t xml:space="preserve"> </w:t>
            </w:r>
            <w:r>
              <w:rPr>
                <w:b/>
                <w:bCs/>
                <w:i/>
                <w:iCs/>
              </w:rPr>
              <w:t>a že musí být zajištěna a podporována rovnost zacházení a příležitostí pro ženy a muže ve všech oblastech (zásada 2).</w:t>
            </w:r>
            <w:r>
              <w:t xml:space="preserve"> Kromě toho evropský pilíř sociálních práv uznává, že osoby se zdravotním postižením mají právo na služby, které </w:t>
            </w:r>
            <w:r>
              <w:t xml:space="preserve">jim umožní účast na </w:t>
            </w:r>
            <w:r>
              <w:rPr>
                <w:b/>
                <w:bCs/>
                <w:i/>
                <w:iCs/>
              </w:rPr>
              <w:t>trhu práce a</w:t>
            </w:r>
            <w:r>
              <w:t xml:space="preserve"> životě společnosti</w:t>
            </w:r>
            <w:r>
              <w:rPr>
                <w:b/>
                <w:bCs/>
                <w:i/>
                <w:iCs/>
              </w:rPr>
              <w:t>, a na pracovní prostředí přizpůsobené jejich potřebám</w:t>
            </w:r>
            <w:r>
              <w:t xml:space="preserve"> (zásada 17). </w:t>
            </w:r>
            <w:r>
              <w:rPr>
                <w:b/>
                <w:i/>
              </w:rPr>
              <w:t>(1) Evropský pilíř sociálních rovněž uznává, že každý má právo na včasný přístup k cenově dostupné a kvalitní preventivní a léčebné zdrav</w:t>
            </w:r>
            <w:r>
              <w:rPr>
                <w:b/>
                <w:i/>
              </w:rPr>
              <w:t>otní péči (zásada 16).</w:t>
            </w:r>
          </w:p>
        </w:tc>
      </w:tr>
      <w:tr w:rsidR="003F2B13" w:rsidTr="004A56F3">
        <w:trPr>
          <w:jc w:val="center"/>
        </w:trPr>
        <w:tc>
          <w:tcPr>
            <w:tcW w:w="4876" w:type="dxa"/>
          </w:tcPr>
          <w:p w:rsidR="00E6403A" w:rsidRPr="00A754B5" w:rsidRDefault="00A51443" w:rsidP="004A56F3">
            <w:pPr>
              <w:pStyle w:val="Normal6a"/>
            </w:pPr>
            <w:r>
              <w:rPr>
                <w:b/>
                <w:i/>
              </w:rPr>
              <w:t>_________________</w:t>
            </w:r>
          </w:p>
        </w:tc>
        <w:tc>
          <w:tcPr>
            <w:tcW w:w="4876" w:type="dxa"/>
          </w:tcPr>
          <w:p w:rsidR="00E6403A" w:rsidRPr="00A754B5" w:rsidRDefault="00A51443" w:rsidP="004A56F3">
            <w:pPr>
              <w:pStyle w:val="Normal6a"/>
            </w:pPr>
            <w:r>
              <w:rPr>
                <w:b/>
                <w:i/>
              </w:rPr>
              <w:t>_________________</w:t>
            </w:r>
          </w:p>
        </w:tc>
      </w:tr>
      <w:tr w:rsidR="003F2B13" w:rsidTr="004A56F3">
        <w:trPr>
          <w:jc w:val="center"/>
        </w:trPr>
        <w:tc>
          <w:tcPr>
            <w:tcW w:w="4876" w:type="dxa"/>
          </w:tcPr>
          <w:p w:rsidR="00E6403A" w:rsidRPr="00A754B5" w:rsidRDefault="00A51443" w:rsidP="004A56F3">
            <w:pPr>
              <w:pStyle w:val="Normal6a"/>
            </w:pPr>
            <w:r>
              <w:rPr>
                <w:vertAlign w:val="superscript"/>
              </w:rPr>
              <w:t>40</w:t>
            </w:r>
            <w:r>
              <w:t xml:space="preserve"> Interinstitucionální vyhlášení evropského pilíře sociálních práv (Úř. věst. C 428, 13.12.2017, s. 10).</w:t>
            </w:r>
          </w:p>
        </w:tc>
        <w:tc>
          <w:tcPr>
            <w:tcW w:w="4876" w:type="dxa"/>
          </w:tcPr>
          <w:p w:rsidR="00E6403A" w:rsidRPr="00A754B5" w:rsidRDefault="00A51443" w:rsidP="004A56F3">
            <w:pPr>
              <w:pStyle w:val="Normal6a"/>
            </w:pPr>
            <w:r>
              <w:rPr>
                <w:vertAlign w:val="superscript"/>
              </w:rPr>
              <w:t>40</w:t>
            </w:r>
            <w:r>
              <w:t xml:space="preserve"> Interinstitucionální vyhlášení evropského pilíře sociálních práv (Úř. věst. C 428, 13.</w:t>
            </w:r>
            <w:r>
              <w:t>12.2017, s. 10).</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rPr>
          <w:rStyle w:val="NormalBoldChar"/>
          <w:b/>
        </w:rPr>
        <w:t>7</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Bod odůvodnění 15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E6403A">
            <w:pPr>
              <w:pStyle w:val="Normal6"/>
              <w:rPr>
                <w:szCs w:val="24"/>
              </w:rPr>
            </w:pPr>
            <w:r>
              <w:rPr>
                <w:b/>
                <w:i/>
              </w:rPr>
              <w:t>(15a)</w:t>
            </w:r>
            <w:r>
              <w:rPr>
                <w:b/>
                <w:i/>
              </w:rPr>
              <w:tab/>
              <w:t>Osobními asistenty mohou být i neformální pečovatelé,</w:t>
            </w:r>
            <w:r>
              <w:rPr>
                <w:b/>
                <w:i/>
              </w:rPr>
              <w:t xml:space="preserve"> jako jsou rodinní příslušníci, a je třeba vzít v úvahu, že ženy nesou nepřiměřeně velkou odpovědnost za neplacenou a placenou péči o osoby se zdravotním postižením, včetně ženských rodinných příslušníků.</w:t>
            </w:r>
          </w:p>
        </w:tc>
      </w:tr>
    </w:tbl>
    <w:p w:rsidR="00E6403A" w:rsidRPr="00A754B5" w:rsidRDefault="00A51443" w:rsidP="00E6403A">
      <w:r>
        <w:rPr>
          <w:rStyle w:val="HideTWBExt"/>
        </w:rPr>
        <w:t>&lt;/Amend&gt;</w:t>
      </w:r>
    </w:p>
    <w:p w:rsidR="00E6403A" w:rsidRPr="00A754B5" w:rsidRDefault="00A51443" w:rsidP="00E6403A">
      <w:pPr>
        <w:pStyle w:val="AMNumberTabs0"/>
        <w:keepNext/>
      </w:pPr>
      <w:r>
        <w:rPr>
          <w:rStyle w:val="HideTWBExt"/>
          <w:b w:val="0"/>
          <w:lang w:val="en-GB"/>
        </w:rPr>
        <w:t>&lt;Amend&gt;</w:t>
      </w:r>
      <w:r>
        <w:t>Pozměňovací návrh</w:t>
      </w:r>
      <w:r>
        <w:tab/>
      </w:r>
      <w:r>
        <w:tab/>
      </w:r>
      <w:r>
        <w:rPr>
          <w:rStyle w:val="HideTWBExt"/>
          <w:b w:val="0"/>
          <w:lang w:val="en-GB"/>
        </w:rPr>
        <w:t>&lt;NumAm&gt;</w:t>
      </w:r>
      <w:r>
        <w:t>8</w:t>
      </w:r>
      <w:r>
        <w:rPr>
          <w:rStyle w:val="HideTWBExt"/>
          <w:b w:val="0"/>
          <w:lang w:val="en-GB"/>
        </w:rPr>
        <w:t>&lt;/NumAm</w:t>
      </w:r>
      <w:r>
        <w:rPr>
          <w:rStyle w:val="HideTWBExt"/>
          <w:b w:val="0"/>
          <w:lang w:val="en-GB"/>
        </w:rPr>
        <w:t>&gt;</w:t>
      </w:r>
    </w:p>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Bod odůvodnění 16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E6403A">
            <w:pPr>
              <w:pStyle w:val="Normal6"/>
              <w:rPr>
                <w:szCs w:val="24"/>
              </w:rPr>
            </w:pPr>
            <w:r>
              <w:rPr>
                <w:b/>
                <w:i/>
              </w:rPr>
              <w:t>(16a)</w:t>
            </w:r>
            <w:r>
              <w:rPr>
                <w:b/>
                <w:i/>
              </w:rPr>
              <w:tab/>
              <w:t xml:space="preserve">Je třeba se vypořádat s obrovským nedostatkem znalostí o psychosociální přístupnosti, kvůli kterému nejsou přijímána </w:t>
            </w:r>
            <w:r>
              <w:rPr>
                <w:b/>
                <w:i/>
              </w:rPr>
              <w:t xml:space="preserve">individuální a strukturální opatření k odstranění překážek, jež ji ztěžují nebo znemožňují, včetně postojových, administrativních a systémových nebo symbolických překážek, aby se pomohlo bojovat proti stigmatizaci a předsudkům, které vedou k diskriminaci, </w:t>
            </w:r>
            <w:r>
              <w:rPr>
                <w:b/>
                <w:i/>
              </w:rPr>
              <w:t>násilí, zneužívání, sociálnímu vyloučení a segregaci, jež představují překážky účinného výkonu práv osob se zdravotním postižením a nepodporují respektování jejich autonomie, vůle a preferencí.</w:t>
            </w:r>
          </w:p>
        </w:tc>
      </w:tr>
    </w:tbl>
    <w:p w:rsidR="00E6403A" w:rsidRPr="00A754B5" w:rsidRDefault="00A51443" w:rsidP="00E6403A">
      <w:pPr>
        <w:pStyle w:val="JustificationTitle"/>
        <w:rPr>
          <w:noProof w:val="0"/>
        </w:rPr>
      </w:pPr>
      <w:r>
        <w:rPr>
          <w:rStyle w:val="HideTWBExt"/>
          <w:i w:val="0"/>
          <w:lang w:val="en-GB"/>
        </w:rPr>
        <w:t>&lt;TitreJust&gt;</w:t>
      </w:r>
      <w:r>
        <w:t>Odůvodnění</w:t>
      </w:r>
      <w:r>
        <w:rPr>
          <w:rStyle w:val="HideTWBExt"/>
          <w:i w:val="0"/>
          <w:lang w:val="en-GB"/>
        </w:rPr>
        <w:t>&lt;/TitreJust&gt;</w:t>
      </w:r>
    </w:p>
    <w:p w:rsidR="00E6403A" w:rsidRPr="00A754B5" w:rsidRDefault="00A51443" w:rsidP="00E6403A">
      <w:pPr>
        <w:pStyle w:val="Normal12Italic"/>
        <w:rPr>
          <w:noProof w:val="0"/>
        </w:rPr>
      </w:pPr>
      <w:r>
        <w:t xml:space="preserve">Potřeba silnější ochrany </w:t>
      </w:r>
      <w:r>
        <w:t xml:space="preserve">žen se zdravotním postižením. Evropský průkaz osob se zdravotním postižením by měl poskytnout preferenční status ženám a dívkám se zdravotním postižením, které jsou oběťmi násilí a zneužívání, a věnovat jim naléhavou pozornost jako nejohroženějším osobám, </w:t>
      </w:r>
      <w:r>
        <w:t>aby bylo možné přijmout preventivní opatření.</w:t>
      </w:r>
    </w:p>
    <w:p w:rsidR="00E6403A" w:rsidRPr="00A754B5" w:rsidRDefault="00A51443" w:rsidP="00E6403A">
      <w:r>
        <w:rPr>
          <w:rStyle w:val="HideTWBExt"/>
        </w:rPr>
        <w:t>&lt;/Amend&gt;</w:t>
      </w:r>
    </w:p>
    <w:p w:rsidR="00E6403A" w:rsidRPr="00A754B5" w:rsidRDefault="00A51443" w:rsidP="00E6403A">
      <w:pPr>
        <w:pStyle w:val="AMNumberTabs0"/>
        <w:keepNext/>
      </w:pPr>
      <w:r>
        <w:rPr>
          <w:rStyle w:val="HideTWBExt"/>
          <w:b w:val="0"/>
          <w:lang w:val="en-GB"/>
        </w:rPr>
        <w:t>&lt;Amend&gt;</w:t>
      </w:r>
      <w:r>
        <w:t>Pozměňovací návrh</w:t>
      </w:r>
      <w:r>
        <w:tab/>
      </w:r>
      <w:r>
        <w:tab/>
      </w:r>
      <w:r>
        <w:rPr>
          <w:rStyle w:val="HideTWBExt"/>
          <w:b w:val="0"/>
          <w:lang w:val="en-GB"/>
        </w:rPr>
        <w:t>&lt;NumAm&gt;</w:t>
      </w:r>
      <w:r>
        <w:t>9</w:t>
      </w:r>
      <w:r>
        <w:rPr>
          <w:rStyle w:val="HideTWBExt"/>
          <w:b w:val="0"/>
          <w:lang w:val="en-GB"/>
        </w:rPr>
        <w:t>&lt;/NumAm&gt;</w:t>
      </w:r>
    </w:p>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Bod odůvodnění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hideMark/>
          </w:tcPr>
          <w:p w:rsidR="00E6403A" w:rsidRPr="00A754B5" w:rsidRDefault="00A51443" w:rsidP="004A56F3">
            <w:pPr>
              <w:pStyle w:val="Normal6"/>
            </w:pPr>
            <w:r>
              <w:t>(24)</w:t>
            </w:r>
            <w:r>
              <w:tab/>
              <w:t>Mezi příklady zvláštních podmínek neb</w:t>
            </w:r>
            <w:r>
              <w:t xml:space="preserve">o přednostního zacházení patří volný přístup, snížené tarify, snížené poplatky nebo poplatky za užívání zpoplatněných pozemních komunikací / mostů / tunelů, přednostní přístup, vyhrazená místa v parcích a jiných veřejných prostranstvích, přístupná místa k </w:t>
            </w:r>
            <w:r>
              <w:t>sezení na kulturních nebo veřejných akcích, osobní asistence, asistenční zvířata, pomoc na pláži při vstupu do vody, podpora (např. přístup k Braillovu písmu, audioprůvodci, tlumočení do znakového jazyka), poskytnutí pomůcek nebo asistence, zapůjčení inval</w:t>
            </w:r>
            <w:r>
              <w:t>idního vozíku, zapůjčení plovoucího vozíku, získání turistických informací v přístupných formátech, používání elektricky poháněného skútru na pozemních komunikacích nebo invalidního vozíku na cyklostezkách bez pokuty atd. Parkovací podmínky a zařízení zahr</w:t>
            </w:r>
            <w:r>
              <w:t>nují rozšířené parkování nebo vyhrazená parkovací místa. Pokud jde o služby osobní dopravy, kromě zvláštních podmínek nebo přednostního zacházení poskytovaných osobám se zdravotním postižením v souladu s vnitrostátními právními předpisy nebo praxí mohou as</w:t>
            </w:r>
            <w:r>
              <w:t xml:space="preserve">istenční zvířata, osobní asistenti nebo jiné osoby, které doprovázejí osoby se zdravotním postižením (nebo osoby s omezenou schopností pohybu a orientace) nebo jim pomáhají, cestovat bezplatně nebo mohou sedět, pokud je to možné, vedle osoby se zdravotním </w:t>
            </w:r>
            <w:r>
              <w:t>postižením.</w:t>
            </w:r>
          </w:p>
        </w:tc>
        <w:tc>
          <w:tcPr>
            <w:tcW w:w="4876" w:type="dxa"/>
            <w:hideMark/>
          </w:tcPr>
          <w:p w:rsidR="00E6403A" w:rsidRPr="00A754B5" w:rsidRDefault="00A51443" w:rsidP="004A56F3">
            <w:pPr>
              <w:pStyle w:val="Normal6"/>
              <w:rPr>
                <w:szCs w:val="24"/>
              </w:rPr>
            </w:pPr>
            <w:r>
              <w:t>(24)</w:t>
            </w:r>
            <w:r>
              <w:tab/>
              <w:t>Mezi příklady zvláštních podmínek nebo přednostního zacházení patří volný přístup, snížené tarify, snížené poplatky nebo poplatky za užívání zpoplatněných pozemních komunikací / mostů / tunelů, přednostní přístup, vyhrazená místa v parcích</w:t>
            </w:r>
            <w:r>
              <w:t xml:space="preserve"> a jiných veřejných prostranstvích, přístupná místa k sezení na kulturních nebo veřejných akcích, osobní asistence, asistenční zvířata, pomoc na pláži při vstupu do vody, podpora (např. přístup k Braillovu písmu, audioprůvodci, tlumočení do znakového jazyk</w:t>
            </w:r>
            <w:r>
              <w:t>a), poskytnutí pomůcek nebo asistence, zapůjčení invalidního vozíku, zapůjčení plovoucího vozíku, získání turistických informací v přístupných formátech, používání elektricky poháněného skútru na pozemních komunikacích nebo invalidního vozíku na cyklostezk</w:t>
            </w:r>
            <w:r>
              <w:t xml:space="preserve">ách bez pokuty atd. Parkovací podmínky a zařízení zahrnují rozšířené parkování nebo vyhrazená parkovací místa. Pokud jde o služby osobní dopravy, kromě zvláštních podmínek nebo přednostního zacházení poskytovaných osobám se zdravotním postižením v souladu </w:t>
            </w:r>
            <w:r>
              <w:t>s vnitrostátními právními předpisy nebo praxí mohou asistenční zvířata, osobní asistenti nebo jiné osoby, které doprovázejí osoby se zdravotním postižením (nebo osoby s omezenou schopností pohybu a orientace) nebo jim pomáhají, cestovat bezplatně nebo moho</w:t>
            </w:r>
            <w:r>
              <w:t xml:space="preserve">u sedět, pokud je to možné, vedle osoby se zdravotním postižením. </w:t>
            </w:r>
            <w:r>
              <w:rPr>
                <w:b/>
                <w:i/>
              </w:rPr>
              <w:t>Pokud jde o přijetí účinných opatření k zajištění mobility, je třeba zvážit přístupnost pro osoby se zdravotním postižením, které musí používat vlastní invalidní vozík z důvodu specificity n</w:t>
            </w:r>
            <w:r>
              <w:rPr>
                <w:b/>
                <w:i/>
              </w:rPr>
              <w:t>utné k zajištění své bezpečnosti, v různých prostředcích veřejné dopravy (vlak, letadlo atd.).</w:t>
            </w:r>
          </w:p>
        </w:tc>
      </w:tr>
    </w:tbl>
    <w:p w:rsidR="00E6403A" w:rsidRPr="00A754B5" w:rsidRDefault="00A51443" w:rsidP="00E6403A">
      <w:pPr>
        <w:pStyle w:val="JustificationTitle"/>
        <w:rPr>
          <w:noProof w:val="0"/>
        </w:rPr>
      </w:pPr>
      <w:r>
        <w:rPr>
          <w:rStyle w:val="HideTWBExt"/>
          <w:i w:val="0"/>
          <w:lang w:val="en-GB"/>
        </w:rPr>
        <w:t>&lt;TitreJust&gt;</w:t>
      </w:r>
      <w:r>
        <w:t>Odůvodnění</w:t>
      </w:r>
      <w:r>
        <w:rPr>
          <w:rStyle w:val="HideTWBExt"/>
          <w:i w:val="0"/>
          <w:lang w:val="en-GB"/>
        </w:rPr>
        <w:t>&lt;/TitreJust&gt;</w:t>
      </w:r>
    </w:p>
    <w:p w:rsidR="00E6403A" w:rsidRPr="00A754B5" w:rsidRDefault="00A51443" w:rsidP="00E6403A">
      <w:pPr>
        <w:pStyle w:val="Normal12Italic"/>
        <w:rPr>
          <w:noProof w:val="0"/>
        </w:rPr>
      </w:pPr>
      <w:r>
        <w:t xml:space="preserve">Nediskriminace osob se zdravotním postižením. Osoby se zdravotním postižením by měly požívat všech práv na stejném základě </w:t>
      </w:r>
      <w:r>
        <w:t>jako ostatní. To zahrnuje možnost volného pohybu osob bez překážek a s individuální podporou, kterou každá osoba potřebuje. Zajištění všeobecné přístupnosti podle článku 9 Úmluvy o právech osob se zdravotním postižením v souladu s předchozími pozměňovacími</w:t>
      </w:r>
      <w:r>
        <w:t xml:space="preserve"> návrhy.</w:t>
      </w:r>
    </w:p>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10</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Čl. 2 – odst. 1 – body 3 a a 3 b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rPr>
              <w:t>3a) informačním a poradenským službám pro ženy a dívky</w:t>
            </w:r>
            <w:r>
              <w:rPr>
                <w:b/>
                <w:i/>
              </w:rPr>
              <w:t xml:space="preserve"> se zdravotním postižením;</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4A56F3">
            <w:pPr>
              <w:pStyle w:val="Normal6"/>
              <w:rPr>
                <w:szCs w:val="24"/>
              </w:rPr>
            </w:pPr>
            <w:r>
              <w:rPr>
                <w:b/>
                <w:i/>
              </w:rPr>
              <w:t>3b) specializovaným informačním službám, pomoci a podpoře ženám a dívkám se zdravotním postižením, které jsou oběťmi násilí.</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11</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Čl. 5 – odst. 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tcPr>
          <w:p w:rsidR="00E6403A" w:rsidRPr="00A754B5" w:rsidRDefault="00E6403A" w:rsidP="004A56F3">
            <w:pPr>
              <w:pStyle w:val="Normal6"/>
              <w:rPr>
                <w:lang w:val="en-GB"/>
              </w:rPr>
            </w:pPr>
          </w:p>
        </w:tc>
        <w:tc>
          <w:tcPr>
            <w:tcW w:w="4876" w:type="dxa"/>
            <w:hideMark/>
          </w:tcPr>
          <w:p w:rsidR="00E6403A" w:rsidRPr="00A754B5" w:rsidRDefault="00A51443" w:rsidP="00E6403A">
            <w:pPr>
              <w:pStyle w:val="Normal6"/>
              <w:rPr>
                <w:szCs w:val="24"/>
              </w:rPr>
            </w:pPr>
            <w:r>
              <w:rPr>
                <w:b/>
                <w:i/>
              </w:rPr>
              <w:t>1a.</w:t>
            </w:r>
            <w:r>
              <w:rPr>
                <w:b/>
                <w:i/>
              </w:rPr>
              <w:tab/>
              <w:t>Členské státy přijmou veškerá nezbytná opatření pro uznání všech osob se zdravotním postižením, které jsou držiteli evropského průkazu osob se zdravotním postižením, s cílem</w:t>
            </w:r>
            <w:r>
              <w:rPr>
                <w:b/>
                <w:i/>
              </w:rPr>
              <w:t xml:space="preserve"> zajistit vzájemné uznávání průkazu jako prostředku ochrany před diskriminací na základě zdravotního postižení, s následným právem na přístup k opravným prostředkům a mechanismům stanoveným proti porušování práv a nedostatku účinného rovného zacházení v ce</w:t>
            </w:r>
            <w:r>
              <w:rPr>
                <w:b/>
                <w:i/>
              </w:rPr>
              <w:t>lé EU. Členské státy zejména zajistí, aby byl evropský průkaz osob se zdravotním postižením stejně dostupný pro osoby se zdravotním postižením bez ohledu na jejich pohlaví, rasu, barvu pleti, etnický nebo sociální původ, genetické rysy, jazyk, náboženské v</w:t>
            </w:r>
            <w:r>
              <w:rPr>
                <w:b/>
                <w:i/>
              </w:rPr>
              <w:t>yznání nebo přesvědčení, politické nebo jakékoli jiné názory, příslušnost k národnostní menšině, majetek, narození, zdravotní postižení, věk nebo sexuální orientaci.</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12</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Čl. 6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hideMark/>
          </w:tcPr>
          <w:p w:rsidR="00E6403A" w:rsidRPr="00A754B5" w:rsidRDefault="00A51443" w:rsidP="004A56F3">
            <w:pPr>
              <w:pStyle w:val="Normal6"/>
            </w:pPr>
            <w:r>
              <w:t>5.</w:t>
            </w:r>
            <w:r>
              <w:tab/>
              <w:t>Evropský průkaz osob se zdravotním postižením se vydává jako fyzický průkaz a po přijetí aktů v přenesené pravomoci uvedených v odstavci 7 se doplní o digitální formát. Osoby</w:t>
            </w:r>
            <w:r>
              <w:t xml:space="preserve"> se zdravotním postižením mají možnost využívat buď digitální, nebo fyzickou kartu, případně obě.</w:t>
            </w:r>
          </w:p>
        </w:tc>
        <w:tc>
          <w:tcPr>
            <w:tcW w:w="4876" w:type="dxa"/>
            <w:hideMark/>
          </w:tcPr>
          <w:p w:rsidR="00E6403A" w:rsidRPr="00A754B5" w:rsidRDefault="00A51443" w:rsidP="004A56F3">
            <w:pPr>
              <w:pStyle w:val="Normal6"/>
              <w:rPr>
                <w:szCs w:val="24"/>
              </w:rPr>
            </w:pPr>
            <w:r>
              <w:t>5.</w:t>
            </w:r>
            <w:r>
              <w:tab/>
              <w:t>Evropský průkaz osob se zdravotním postižením se vydává jako fyzický průkaz a po přijetí aktů v přenesené pravomoci uvedených v odstavci 7 se doplní o digi</w:t>
            </w:r>
            <w:r>
              <w:t xml:space="preserve">tální formát. Osoby se zdravotním postižením mají možnost využívat buď digitální, nebo fyzickou kartu, případně obě. </w:t>
            </w:r>
            <w:r>
              <w:rPr>
                <w:b/>
                <w:i/>
              </w:rPr>
              <w:t>Postup pro podávání žádostí o evropský průkaz osob se zdravotním postižením vydávaný členskými státy a jeho získání je navržen zjednodušený</w:t>
            </w:r>
            <w:r>
              <w:rPr>
                <w:b/>
                <w:i/>
              </w:rPr>
              <w:t>m způsobem. Pro osoby se zdravotním postižením, které o průkaz žádají, by mohlo být například možné uvést na zadní straně průkazu jejich specifické požadavky. Neměla by tak existovat žádná fyzická ani digitální překážka pro zajištění rovného přístupu k bez</w:t>
            </w:r>
            <w:r>
              <w:rPr>
                <w:b/>
                <w:i/>
              </w:rPr>
              <w:t>platnému vydání nebo obnovení průkazu. Je důležité zaručit jeho plnou dostupnost a použitelnost pro všechny osoby se zdravotním postižením, zejména pro ženy a dívky se zdravotním postižením, které jsou obzvláště ohroženy digitálním vyloučením.</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w:t>
      </w:r>
      <w:r>
        <w:rPr>
          <w:rStyle w:val="HideTWBExt"/>
          <w:b w:val="0"/>
        </w:rPr>
        <w:t>mend&gt;</w:t>
      </w:r>
      <w:r>
        <w:t>Pozměňovací návrh</w:t>
      </w:r>
      <w:r>
        <w:tab/>
      </w:r>
      <w:r>
        <w:tab/>
      </w:r>
      <w:r>
        <w:rPr>
          <w:rStyle w:val="HideTWBExt"/>
          <w:b w:val="0"/>
        </w:rPr>
        <w:t>&lt;NumAm&gt;</w:t>
      </w:r>
      <w:r>
        <w:t>13</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Čl. 9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hideMark/>
          </w:tcPr>
          <w:p w:rsidR="00E6403A" w:rsidRPr="00A754B5" w:rsidRDefault="00A51443" w:rsidP="004A56F3">
            <w:pPr>
              <w:pStyle w:val="Normal6"/>
            </w:pPr>
            <w:r>
              <w:t>2.</w:t>
            </w:r>
            <w:r>
              <w:tab/>
              <w:t xml:space="preserve">Členské státy přijmou vhodná opatření ke zvýšení povědomí veřejnosti </w:t>
            </w:r>
            <w:r>
              <w:rPr>
                <w:b/>
                <w:bCs/>
                <w:i/>
                <w:iCs/>
              </w:rPr>
              <w:t>a informování osob</w:t>
            </w:r>
            <w:r>
              <w:t xml:space="preserve"> se zdravotním postižením, mimo jiné přístupnými způsoby, o existenci a podmínkách získání, používání nebo obnovení evropského průkazu osob se zdravotním postižením a evropské parkovací karty pro osoby se zdravotním postižením.</w:t>
            </w:r>
          </w:p>
        </w:tc>
        <w:tc>
          <w:tcPr>
            <w:tcW w:w="4876" w:type="dxa"/>
            <w:hideMark/>
          </w:tcPr>
          <w:p w:rsidR="00E6403A" w:rsidRPr="00A754B5" w:rsidRDefault="00A51443" w:rsidP="004A56F3">
            <w:pPr>
              <w:pStyle w:val="Normal6"/>
              <w:rPr>
                <w:szCs w:val="24"/>
              </w:rPr>
            </w:pPr>
            <w:r>
              <w:t>2.</w:t>
            </w:r>
            <w:r>
              <w:tab/>
              <w:t>Členské státy přijmou vho</w:t>
            </w:r>
            <w:r>
              <w:t>dná opatření ke zvýšení povědomí veřejnosti</w:t>
            </w:r>
            <w:r>
              <w:rPr>
                <w:b/>
                <w:bCs/>
                <w:i/>
                <w:iCs/>
              </w:rPr>
              <w:t>, včetně veřejných orgánů a soukromých poskytovatelů služeb, kteří mají potenciál nabízet na míru přizpůsobenou podporu podle článku 5, o existenci a podmínkách týkajících se průkazu.</w:t>
            </w:r>
            <w:r>
              <w:rPr>
                <w:b/>
                <w:i/>
              </w:rPr>
              <w:t xml:space="preserve"> </w:t>
            </w:r>
            <w:r>
              <w:rPr>
                <w:b/>
                <w:bCs/>
                <w:i/>
                <w:iCs/>
              </w:rPr>
              <w:t>Členské státy rovněž informuj</w:t>
            </w:r>
            <w:r>
              <w:rPr>
                <w:b/>
                <w:bCs/>
                <w:i/>
                <w:iCs/>
              </w:rPr>
              <w:t>í osoby</w:t>
            </w:r>
            <w:r>
              <w:t xml:space="preserve"> se zdravotním postižením, mimo jiné přístupnými </w:t>
            </w:r>
            <w:r>
              <w:rPr>
                <w:b/>
                <w:bCs/>
                <w:i/>
                <w:iCs/>
              </w:rPr>
              <w:t>a genderově inkluzivními</w:t>
            </w:r>
            <w:r>
              <w:t xml:space="preserve"> způsoby, o existenci a podmínkách získání, používání nebo obnovení evropského průkazu osob se zdravotním postižením a evropské parkovací karty pro osoby se zdravotním postižen</w:t>
            </w:r>
            <w:r>
              <w:t xml:space="preserve">ím. </w:t>
            </w:r>
            <w:r>
              <w:rPr>
                <w:b/>
                <w:i/>
              </w:rPr>
              <w:t>Měly by rovněž koordinovat komplexní odbornou přípravu zaměřenou na rovnost žen a mužů pro všechny dotčené aktéry.</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rPr>
        <w:t>&lt;Amend&gt;</w:t>
      </w:r>
      <w:r>
        <w:t>Pozměňovací návrh</w:t>
      </w:r>
      <w:r>
        <w:tab/>
      </w:r>
      <w:r>
        <w:tab/>
      </w:r>
      <w:r>
        <w:rPr>
          <w:rStyle w:val="HideTWBExt"/>
        </w:rPr>
        <w:t>&lt;NumAm&gt;</w:t>
      </w:r>
      <w:r>
        <w:t>14</w:t>
      </w:r>
      <w:r>
        <w:rPr>
          <w:rStyle w:val="HideTWBExt"/>
        </w:rPr>
        <w:t>&lt;/NumAm&gt;</w:t>
      </w:r>
    </w:p>
    <w:p w:rsidR="00E6403A" w:rsidRPr="00A754B5" w:rsidRDefault="00A51443" w:rsidP="00E6403A">
      <w:pPr>
        <w:pStyle w:val="NormalBold12b"/>
      </w:pPr>
      <w:r>
        <w:rPr>
          <w:rStyle w:val="HideTWBExt"/>
        </w:rPr>
        <w:t>&lt;DocAmend&gt;</w:t>
      </w:r>
      <w:r>
        <w:t>Návrh směrnice</w:t>
      </w:r>
      <w:r>
        <w:rPr>
          <w:rStyle w:val="HideTWBExt"/>
        </w:rPr>
        <w:t>&lt;/DocAmend&gt;</w:t>
      </w:r>
    </w:p>
    <w:p w:rsidR="00E6403A" w:rsidRPr="00A754B5" w:rsidRDefault="00A51443" w:rsidP="00E6403A">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trHeight w:hRule="exact" w:val="240"/>
          <w:jc w:val="center"/>
        </w:trPr>
        <w:tc>
          <w:tcPr>
            <w:tcW w:w="9752" w:type="dxa"/>
            <w:gridSpan w:val="2"/>
          </w:tcPr>
          <w:p w:rsidR="00E6403A" w:rsidRPr="00A754B5" w:rsidRDefault="00E6403A" w:rsidP="004A56F3"/>
        </w:tc>
      </w:tr>
      <w:tr w:rsidR="003F2B13" w:rsidTr="004A56F3">
        <w:trPr>
          <w:trHeight w:val="240"/>
          <w:jc w:val="center"/>
        </w:trPr>
        <w:tc>
          <w:tcPr>
            <w:tcW w:w="4876" w:type="dxa"/>
          </w:tcPr>
          <w:p w:rsidR="00E6403A" w:rsidRPr="00A754B5" w:rsidRDefault="00A51443" w:rsidP="004A56F3">
            <w:pPr>
              <w:pStyle w:val="AmColumnHeading"/>
            </w:pPr>
            <w:r>
              <w:t xml:space="preserve">Znění </w:t>
            </w:r>
            <w:r>
              <w:t>navržené Komisí</w:t>
            </w:r>
          </w:p>
        </w:tc>
        <w:tc>
          <w:tcPr>
            <w:tcW w:w="4876" w:type="dxa"/>
          </w:tcPr>
          <w:p w:rsidR="00E6403A" w:rsidRPr="00A754B5" w:rsidRDefault="00A51443" w:rsidP="004A56F3">
            <w:pPr>
              <w:pStyle w:val="AmColumnHeading"/>
            </w:pPr>
            <w:r>
              <w:t>Pozměňovací návrh</w:t>
            </w:r>
          </w:p>
        </w:tc>
      </w:tr>
      <w:tr w:rsidR="003F2B13" w:rsidTr="004A56F3">
        <w:trPr>
          <w:jc w:val="center"/>
        </w:trPr>
        <w:tc>
          <w:tcPr>
            <w:tcW w:w="4876" w:type="dxa"/>
          </w:tcPr>
          <w:p w:rsidR="00E6403A" w:rsidRPr="00A754B5" w:rsidRDefault="00A51443" w:rsidP="004A56F3">
            <w:pPr>
              <w:pStyle w:val="Normal6a"/>
            </w:pPr>
            <w:r>
              <w:t>4.</w:t>
            </w:r>
            <w:r>
              <w:tab/>
              <w:t xml:space="preserve">Před přijetím aktu v přenesené pravomoci Komise vede konzultace s odborníky jmenovanými jednotlivými členskými státy v souladu se zásadami stanovenými v interinstitucionální dohodě o zdokonalení tvorby právních </w:t>
            </w:r>
            <w:r>
              <w:t>předpisů ze dne 13. dubna 2016.</w:t>
            </w:r>
          </w:p>
        </w:tc>
        <w:tc>
          <w:tcPr>
            <w:tcW w:w="4876" w:type="dxa"/>
          </w:tcPr>
          <w:p w:rsidR="00E6403A" w:rsidRPr="00A754B5" w:rsidRDefault="00A51443" w:rsidP="004A56F3">
            <w:pPr>
              <w:pStyle w:val="Normal6a"/>
            </w:pPr>
            <w:r>
              <w:t>4.</w:t>
            </w:r>
            <w:r>
              <w:tab/>
              <w:t>Před přijetím aktu v přenesené pravomoci Komise vede konzultace s odborníky jmenovanými jednotlivými členskými státy v souladu se zásadami stanovenými v interinstitucionální dohodě o zdokonalení tvorby právních předpisů z</w:t>
            </w:r>
            <w:r>
              <w:t xml:space="preserve">e dne 13. dubna 2016. </w:t>
            </w:r>
            <w:r>
              <w:rPr>
                <w:b/>
                <w:i/>
              </w:rPr>
              <w:t>Komise rovněž konzultuje odborníky na genderovou rovnost a vyžádá si od každého členského státu a příslušných orgánů EU údaje rozčleněné podle pohlaví s cílem v případě potřeby posílit začleňování genderového hlediska a genderové rozp</w:t>
            </w:r>
            <w:r>
              <w:rPr>
                <w:b/>
                <w:i/>
              </w:rPr>
              <w:t>očtování.</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rPr>
        <w:t>&lt;Amend&gt;</w:t>
      </w:r>
      <w:r>
        <w:t>Pozměňovací návrh</w:t>
      </w:r>
      <w:r>
        <w:tab/>
      </w:r>
      <w:r>
        <w:tab/>
      </w:r>
      <w:r>
        <w:rPr>
          <w:rStyle w:val="HideTWBExt"/>
        </w:rPr>
        <w:t>&lt;NumAm&gt;</w:t>
      </w:r>
      <w:r>
        <w:t>15</w:t>
      </w:r>
      <w:r>
        <w:rPr>
          <w:rStyle w:val="HideTWBExt"/>
        </w:rPr>
        <w:t>&lt;/NumAm&gt;</w:t>
      </w:r>
    </w:p>
    <w:p w:rsidR="00E6403A" w:rsidRPr="00A754B5" w:rsidRDefault="00A51443" w:rsidP="00E6403A">
      <w:pPr>
        <w:pStyle w:val="NormalBold12b"/>
      </w:pPr>
      <w:r>
        <w:rPr>
          <w:rStyle w:val="HideTWBExt"/>
        </w:rPr>
        <w:t>&lt;DocAmend&gt;</w:t>
      </w:r>
      <w:r>
        <w:t>Návrh směrnice</w:t>
      </w:r>
      <w:r>
        <w:rPr>
          <w:rStyle w:val="HideTWBExt"/>
        </w:rPr>
        <w:t>&lt;/DocAmend&gt;</w:t>
      </w:r>
    </w:p>
    <w:p w:rsidR="00E6403A" w:rsidRPr="00A754B5" w:rsidRDefault="00A51443" w:rsidP="00E6403A">
      <w:pPr>
        <w:pStyle w:val="NormalBold"/>
      </w:pPr>
      <w:r>
        <w:rPr>
          <w:rStyle w:val="HideTWBExt"/>
        </w:rPr>
        <w:t>&lt;Article&gt;</w:t>
      </w:r>
      <w:r>
        <w:t>Čl. 13 – odst. 2 – písm.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trHeight w:hRule="exact" w:val="240"/>
          <w:jc w:val="center"/>
        </w:trPr>
        <w:tc>
          <w:tcPr>
            <w:tcW w:w="9752" w:type="dxa"/>
            <w:gridSpan w:val="2"/>
          </w:tcPr>
          <w:p w:rsidR="00E6403A" w:rsidRPr="00A754B5" w:rsidRDefault="00E6403A" w:rsidP="004A56F3"/>
        </w:tc>
      </w:tr>
      <w:tr w:rsidR="003F2B13" w:rsidTr="004A56F3">
        <w:trPr>
          <w:trHeight w:val="240"/>
          <w:jc w:val="center"/>
        </w:trPr>
        <w:tc>
          <w:tcPr>
            <w:tcW w:w="4876" w:type="dxa"/>
          </w:tcPr>
          <w:p w:rsidR="00E6403A" w:rsidRPr="00A754B5" w:rsidRDefault="00A51443" w:rsidP="004A56F3">
            <w:pPr>
              <w:pStyle w:val="AmColumnHeading"/>
            </w:pPr>
            <w:r>
              <w:t>Znění navržené Komisí</w:t>
            </w:r>
          </w:p>
        </w:tc>
        <w:tc>
          <w:tcPr>
            <w:tcW w:w="4876" w:type="dxa"/>
          </w:tcPr>
          <w:p w:rsidR="00E6403A" w:rsidRPr="00A754B5" w:rsidRDefault="00A51443" w:rsidP="004A56F3">
            <w:pPr>
              <w:pStyle w:val="AmColumnHeading"/>
            </w:pPr>
            <w:r>
              <w:t>Pozměňovací návrh</w:t>
            </w:r>
          </w:p>
        </w:tc>
      </w:tr>
      <w:tr w:rsidR="003F2B13" w:rsidTr="004A56F3">
        <w:trPr>
          <w:jc w:val="center"/>
        </w:trPr>
        <w:tc>
          <w:tcPr>
            <w:tcW w:w="4876" w:type="dxa"/>
          </w:tcPr>
          <w:p w:rsidR="00E6403A" w:rsidRPr="00A754B5" w:rsidRDefault="00A51443" w:rsidP="004A56F3">
            <w:pPr>
              <w:pStyle w:val="Normal6a"/>
            </w:pPr>
            <w:r>
              <w:t>b)</w:t>
            </w:r>
            <w:r>
              <w:tab/>
              <w:t xml:space="preserve">ustanovení, podle nichž mohou veřejné subjekty nebo soukromá </w:t>
            </w:r>
            <w:r>
              <w:t>sdružení, organizace nebo jiné právní subjekty, které mají oprávněný zájem na zajištění dodržování ustanovení této směrnice, jednat v souladu s vnitrostátními právními předpisy a postupy před soudy nebo příslušnými správními orgány jménem osoby se zdravotn</w:t>
            </w:r>
            <w:r>
              <w:t>ím postižením nebo na její podporu, s jejím souhlasem, ve všech soudních nebo správních řízeních stanovených pro vymáhání plnění povinností vyplývajících z této směrnice.</w:t>
            </w:r>
          </w:p>
        </w:tc>
        <w:tc>
          <w:tcPr>
            <w:tcW w:w="4876" w:type="dxa"/>
          </w:tcPr>
          <w:p w:rsidR="00E6403A" w:rsidRPr="00A754B5" w:rsidRDefault="00A51443" w:rsidP="004A56F3">
            <w:pPr>
              <w:pStyle w:val="Normal6a"/>
            </w:pPr>
            <w:r>
              <w:t>b)</w:t>
            </w:r>
            <w:r>
              <w:tab/>
              <w:t>ustanovení, podle nichž mohou veřejné subjekty</w:t>
            </w:r>
            <w:r>
              <w:rPr>
                <w:b/>
                <w:bCs/>
                <w:i/>
                <w:iCs/>
              </w:rPr>
              <w:t>, jako jsou orgány pro rovné zacháze</w:t>
            </w:r>
            <w:r>
              <w:rPr>
                <w:b/>
                <w:bCs/>
                <w:i/>
                <w:iCs/>
              </w:rPr>
              <w:t>ní,</w:t>
            </w:r>
            <w:r>
              <w:t xml:space="preserve"> nebo soukromá sdružení, organizace nebo jiné právní subjekty, které mají oprávněný zájem na zajištění dodržování ustanovení této směrnice, jednat v souladu s vnitrostátními právními předpisy a postupy před soudy nebo příslušnými správními orgány jménem</w:t>
            </w:r>
            <w:r>
              <w:t xml:space="preserve"> osoby se zdravotním postižením nebo na její podporu, s jejím souhlasem, ve všech soudních nebo správních řízeních stanovených pro vymáhání plnění povinností vyplývajících z této směrnice.</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16</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Čl. 16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Pozměňovací návrh</w:t>
            </w:r>
          </w:p>
        </w:tc>
      </w:tr>
      <w:tr w:rsidR="003F2B13" w:rsidTr="004A56F3">
        <w:trPr>
          <w:jc w:val="center"/>
        </w:trPr>
        <w:tc>
          <w:tcPr>
            <w:tcW w:w="4876" w:type="dxa"/>
            <w:hideMark/>
          </w:tcPr>
          <w:p w:rsidR="00E6403A" w:rsidRPr="00A754B5" w:rsidRDefault="00A51443" w:rsidP="004A56F3">
            <w:pPr>
              <w:pStyle w:val="Normal6"/>
            </w:pPr>
            <w:r>
              <w:t>2.</w:t>
            </w:r>
            <w:r>
              <w:tab/>
              <w:t>Zpráva se s ohledem na sociální a hospodářský vývoj zabývá mimo jiné používáním evropského průkazu osob se zdravotním postižením a evropské parkovac</w:t>
            </w:r>
            <w:r>
              <w:t>í karty pro osoby se zdravotním postižením s cílem posoudit potřebu přezkumu této směrnice.</w:t>
            </w:r>
          </w:p>
        </w:tc>
        <w:tc>
          <w:tcPr>
            <w:tcW w:w="4876" w:type="dxa"/>
            <w:hideMark/>
          </w:tcPr>
          <w:p w:rsidR="00E6403A" w:rsidRPr="00A754B5" w:rsidRDefault="00A51443" w:rsidP="004A56F3">
            <w:pPr>
              <w:pStyle w:val="Normal6"/>
              <w:rPr>
                <w:szCs w:val="24"/>
              </w:rPr>
            </w:pPr>
            <w:r>
              <w:t>2.</w:t>
            </w:r>
            <w:r>
              <w:tab/>
              <w:t xml:space="preserve">Zpráva se s ohledem na sociální a hospodářský vývoj </w:t>
            </w:r>
            <w:r>
              <w:rPr>
                <w:b/>
                <w:bCs/>
                <w:i/>
                <w:iCs/>
              </w:rPr>
              <w:t>v členských státech a v Unii jako celku</w:t>
            </w:r>
            <w:r>
              <w:t xml:space="preserve"> zabývá mimo jiné používáním evropského průkazu osob se zdravotním pos</w:t>
            </w:r>
            <w:r>
              <w:t xml:space="preserve">tižením a evropské parkovací karty pro osoby se zdravotním postižením s cílem posoudit potřebu přezkumu této směrnice. </w:t>
            </w:r>
            <w:r>
              <w:rPr>
                <w:b/>
                <w:i/>
              </w:rPr>
              <w:t>Zpráva obsahuje genderovou analýzu zaměřenou na to, jak ustanovení této směrnice skutečně a potenciálně ovlivnila volný pohyb žen a dívek</w:t>
            </w:r>
            <w:r>
              <w:rPr>
                <w:b/>
                <w:i/>
              </w:rPr>
              <w:t xml:space="preserve"> se zdravotním postižením. Zpráva rovněž hodnotí účinnost pobídkových opatření poskytovaných členskými státy poskytovatelům služeb. Bude v ní zohledněna zpětná vazba od osob se zdravotním postižením a příslušných nevládních organizací, především organizací</w:t>
            </w:r>
            <w:r>
              <w:rPr>
                <w:b/>
                <w:i/>
              </w:rPr>
              <w:t xml:space="preserve"> zastupujících osoby se zdravotním postižením a organizací bojujících za genderovou rovnost, jakož i hospodářských zúčastněných stran. Komise vytvoří digitální portál obsahující veškeré informace o výhodách držení evropského průkazu osob se zdravotním post</w:t>
            </w:r>
            <w:r>
              <w:rPr>
                <w:b/>
                <w:i/>
              </w:rPr>
              <w:t>ižením a evropské parkovací karty ve všech členských státech způsobem zohledňujícím pohlaví.</w:t>
            </w:r>
          </w:p>
        </w:tc>
      </w:tr>
    </w:tbl>
    <w:p w:rsidR="00E6403A" w:rsidRPr="00A754B5" w:rsidRDefault="00A51443" w:rsidP="00E6403A">
      <w:r>
        <w:rPr>
          <w:rStyle w:val="HideTWBExt"/>
        </w:rPr>
        <w:t>&lt;/Amend&gt;</w:t>
      </w:r>
    </w:p>
    <w:p w:rsidR="00E6403A" w:rsidRPr="00A754B5" w:rsidRDefault="00A51443" w:rsidP="00E6403A">
      <w:pPr>
        <w:pStyle w:val="AmNumberTabs"/>
      </w:pPr>
      <w:r>
        <w:rPr>
          <w:rStyle w:val="HideTWBExt"/>
          <w:b w:val="0"/>
        </w:rPr>
        <w:t>&lt;Amend&gt;</w:t>
      </w:r>
      <w:r>
        <w:t>Pozměňovací návrh</w:t>
      </w:r>
      <w:r>
        <w:tab/>
      </w:r>
      <w:r>
        <w:tab/>
      </w:r>
      <w:r>
        <w:rPr>
          <w:rStyle w:val="HideTWBExt"/>
          <w:b w:val="0"/>
        </w:rPr>
        <w:t>&lt;NumAm&gt;</w:t>
      </w:r>
      <w:r>
        <w:t>17</w:t>
      </w:r>
      <w:r>
        <w:rPr>
          <w:rStyle w:val="HideTWBExt"/>
          <w:b w:val="0"/>
        </w:rPr>
        <w:t>&lt;/NumAm&gt;</w:t>
      </w:r>
    </w:p>
    <w:p w:rsidR="00E6403A" w:rsidRPr="00A754B5" w:rsidRDefault="00E6403A" w:rsidP="00E6403A"/>
    <w:p w:rsidR="00E6403A" w:rsidRPr="00A754B5" w:rsidRDefault="00A51443" w:rsidP="00E6403A">
      <w:pPr>
        <w:pStyle w:val="NormalBold"/>
        <w:keepNext/>
      </w:pPr>
      <w:r>
        <w:rPr>
          <w:rStyle w:val="HideTWBExt"/>
          <w:b w:val="0"/>
        </w:rPr>
        <w:t>&lt;DocAmend&gt;</w:t>
      </w:r>
      <w:r>
        <w:t>Návrh směrnice</w:t>
      </w:r>
      <w:r>
        <w:rPr>
          <w:rStyle w:val="HideTWBExt"/>
          <w:b w:val="0"/>
        </w:rPr>
        <w:t>&lt;/DocAmend&gt;</w:t>
      </w:r>
    </w:p>
    <w:p w:rsidR="00E6403A" w:rsidRPr="00A754B5" w:rsidRDefault="00A51443" w:rsidP="00E6403A">
      <w:pPr>
        <w:pStyle w:val="NormalBold"/>
      </w:pPr>
      <w:r>
        <w:rPr>
          <w:rStyle w:val="HideTWBExt"/>
          <w:b w:val="0"/>
        </w:rPr>
        <w:t>&lt;Article&gt;</w:t>
      </w:r>
      <w:r>
        <w:t>Čl. 16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2B13" w:rsidTr="004A56F3">
        <w:trPr>
          <w:jc w:val="center"/>
        </w:trPr>
        <w:tc>
          <w:tcPr>
            <w:tcW w:w="9752" w:type="dxa"/>
            <w:gridSpan w:val="2"/>
          </w:tcPr>
          <w:p w:rsidR="00E6403A" w:rsidRPr="00A754B5" w:rsidRDefault="00E6403A" w:rsidP="004A56F3">
            <w:pPr>
              <w:keepNext/>
            </w:pPr>
          </w:p>
        </w:tc>
      </w:tr>
      <w:tr w:rsidR="003F2B13" w:rsidTr="004A56F3">
        <w:trPr>
          <w:jc w:val="center"/>
        </w:trPr>
        <w:tc>
          <w:tcPr>
            <w:tcW w:w="4876" w:type="dxa"/>
            <w:hideMark/>
          </w:tcPr>
          <w:p w:rsidR="00E6403A" w:rsidRPr="00A754B5" w:rsidRDefault="00A51443" w:rsidP="004A56F3">
            <w:pPr>
              <w:pStyle w:val="ColumnHeading"/>
              <w:keepNext/>
            </w:pPr>
            <w:r>
              <w:t>Znění navržené Komisí</w:t>
            </w:r>
          </w:p>
        </w:tc>
        <w:tc>
          <w:tcPr>
            <w:tcW w:w="4876" w:type="dxa"/>
            <w:hideMark/>
          </w:tcPr>
          <w:p w:rsidR="00E6403A" w:rsidRPr="00A754B5" w:rsidRDefault="00A51443" w:rsidP="004A56F3">
            <w:pPr>
              <w:pStyle w:val="ColumnHeading"/>
              <w:keepNext/>
            </w:pPr>
            <w:r>
              <w:t xml:space="preserve">Pozměňovací </w:t>
            </w:r>
            <w:r>
              <w:t>návrh</w:t>
            </w:r>
          </w:p>
        </w:tc>
      </w:tr>
      <w:tr w:rsidR="003F2B13" w:rsidTr="004A56F3">
        <w:trPr>
          <w:jc w:val="center"/>
        </w:trPr>
        <w:tc>
          <w:tcPr>
            <w:tcW w:w="4876" w:type="dxa"/>
            <w:hideMark/>
          </w:tcPr>
          <w:p w:rsidR="00E6403A" w:rsidRPr="00A754B5" w:rsidRDefault="00A51443" w:rsidP="004A56F3">
            <w:pPr>
              <w:pStyle w:val="Normal6"/>
            </w:pPr>
            <w:r>
              <w:t>3.</w:t>
            </w:r>
            <w:r>
              <w:tab/>
              <w:t>Členské státy sdělí Komisi na její žádost a včas všechny informace, které Komise potřebuje pro vypracování takové zprávy.</w:t>
            </w:r>
          </w:p>
        </w:tc>
        <w:tc>
          <w:tcPr>
            <w:tcW w:w="4876" w:type="dxa"/>
            <w:hideMark/>
          </w:tcPr>
          <w:p w:rsidR="00E6403A" w:rsidRPr="00A754B5" w:rsidRDefault="00A51443" w:rsidP="004A56F3">
            <w:pPr>
              <w:pStyle w:val="Normal6"/>
              <w:rPr>
                <w:szCs w:val="24"/>
              </w:rPr>
            </w:pPr>
            <w:r>
              <w:t>3.</w:t>
            </w:r>
            <w:r>
              <w:tab/>
              <w:t>Členské státy sdělí Komisi na její žádost a včas všechny informace, které Komise potřebuje pro vypracování takové zprávy.</w:t>
            </w:r>
            <w:r>
              <w:t xml:space="preserve"> </w:t>
            </w:r>
            <w:r>
              <w:rPr>
                <w:b/>
                <w:i/>
              </w:rPr>
              <w:t>Tyto informace zahrnují mimo jiné jasné genderové hledisko týkající se uplatňování průkazu osob se zdravotním postižením. Členské státy shromažďují údaje rozčleněné podle pohlaví s cílem identifikovat formy vícenásobné diskriminace, kterým čelí ženy a dív</w:t>
            </w:r>
            <w:r>
              <w:rPr>
                <w:b/>
                <w:i/>
              </w:rPr>
              <w:t>ky se zdravotním postižením při přístupu ke zvláštním podmínkám nebo přednostnímu zacházení, pokud jde o služby, činnosti nebo zařízení nebo podmínky parkování a zařízení nabízená nebo vyhrazená osobám se zdravotním postižením nebo osobám, které je doprová</w:t>
            </w:r>
            <w:r>
              <w:rPr>
                <w:b/>
                <w:i/>
              </w:rPr>
              <w:t xml:space="preserve">zejí nebo jim pomáhají, včetně jejich osobního asistenta (asistentů), v souladu s povinnostmi vyplývajícími z evropského průkazu osob se zdravotním postižením nebo evropské parkovací karty pro osoby se zdravotním postižením. Tyto údaje by měly být použity </w:t>
            </w:r>
            <w:r>
              <w:rPr>
                <w:b/>
                <w:i/>
              </w:rPr>
              <w:t>pro posouzení dopadu směrnice na rovnost žen a mužů a zaručit její budoucí revizi z hlediska rovnosti žen a mužů.</w:t>
            </w:r>
          </w:p>
        </w:tc>
      </w:tr>
    </w:tbl>
    <w:p w:rsidR="00E6403A" w:rsidRPr="00A754B5" w:rsidRDefault="00A51443" w:rsidP="00E6403A">
      <w:r>
        <w:rPr>
          <w:rStyle w:val="HideTWBExt"/>
        </w:rPr>
        <w:t>&lt;/Amend&gt;</w:t>
      </w:r>
    </w:p>
    <w:p w:rsidR="00E6403A" w:rsidRPr="00A754B5" w:rsidRDefault="00E6403A" w:rsidP="00E6403A">
      <w:pPr>
        <w:rPr>
          <w:rStyle w:val="HideTWBExt"/>
          <w:szCs w:val="20"/>
        </w:rPr>
      </w:pPr>
    </w:p>
    <w:p w:rsidR="00E6403A" w:rsidRPr="00A754B5" w:rsidRDefault="00A51443" w:rsidP="00E6403A">
      <w:r>
        <w:rPr>
          <w:rStyle w:val="HideTWBExt"/>
        </w:rPr>
        <w:t>&lt;/RepeatBlock-Amend&gt;</w:t>
      </w:r>
    </w:p>
    <w:p w:rsidR="00EB2CDF" w:rsidRPr="007A6592" w:rsidRDefault="00EB2CDF" w:rsidP="00EB2CDF"/>
    <w:p w:rsidR="00EB2CDF" w:rsidRPr="007A6592" w:rsidRDefault="00EB2CDF" w:rsidP="00EB2CDF"/>
    <w:p w:rsidR="00DC76F6" w:rsidRPr="007A6592" w:rsidRDefault="00DC76F6" w:rsidP="009522D6">
      <w:pPr>
        <w:sectPr w:rsidR="00DC76F6" w:rsidRPr="007A6592" w:rsidSect="00CB0B0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C76F6" w:rsidRPr="007A6592" w:rsidRDefault="00A51443" w:rsidP="002B2C72">
      <w:pPr>
        <w:pStyle w:val="PageHeadingNotTOC"/>
        <w:rPr>
          <w:noProof/>
        </w:rPr>
      </w:pPr>
      <w:bookmarkStart w:id="2" w:name="FootprintPageAD"/>
      <w:r>
        <w:t>PŘÍLOHA: SUBJEKTY NEBO OSOBY,</w:t>
      </w:r>
      <w:r>
        <w:br/>
        <w:t>OD NICHŽ ZPRAVODAJKA OBDRŽELA PODNĚTY</w:t>
      </w:r>
    </w:p>
    <w:p w:rsidR="00DC76F6" w:rsidRPr="007A6592" w:rsidRDefault="00A51443" w:rsidP="00037518">
      <w:pPr>
        <w:pStyle w:val="Normal24a"/>
      </w:pPr>
      <w:r>
        <w:rPr>
          <w:rStyle w:val="HideTWBExt"/>
        </w:rPr>
        <w:t>&lt;FootprintIntro&gt;</w:t>
      </w:r>
      <w:r>
        <w:t>Zpravodaj</w:t>
      </w:r>
      <w:r>
        <w:t xml:space="preserve">ka v </w:t>
      </w:r>
      <w:r>
        <w:rPr>
          <w:sz w:val="22"/>
        </w:rPr>
        <w:t xml:space="preserve">souladu s přílohou I čl. 8 jednacího řádu prohlašuje, že při vypracovávání [návrhu stanoviska / stanoviska </w:t>
      </w:r>
      <w:r>
        <w:rPr>
          <w:b/>
          <w:sz w:val="22"/>
        </w:rPr>
        <w:t>(</w:t>
      </w:r>
      <w:r>
        <w:rPr>
          <w:sz w:val="22"/>
        </w:rPr>
        <w:t>až do okamžiku jeho přijetí ve výboru</w:t>
      </w:r>
      <w:r>
        <w:rPr>
          <w:b/>
          <w:sz w:val="22"/>
        </w:rPr>
        <w:t>)</w:t>
      </w:r>
      <w:r>
        <w:rPr>
          <w:sz w:val="22"/>
        </w:rPr>
        <w:t>] obdržela podněty od těchto subjektů nebo osob:</w:t>
      </w:r>
      <w:r>
        <w:rPr>
          <w:rStyle w:val="HideTWBExt"/>
        </w:rPr>
        <w:t>&lt;/FootprintIntro&gt;</w:t>
      </w:r>
    </w:p>
    <w:tbl>
      <w:tblPr>
        <w:tblW w:w="9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
        <w:gridCol w:w="8962"/>
        <w:gridCol w:w="105"/>
      </w:tblGrid>
      <w:tr w:rsidR="003F2B13" w:rsidTr="00DC76F6">
        <w:trPr>
          <w:gridAfter w:val="1"/>
          <w:wAfter w:w="105" w:type="dxa"/>
        </w:trPr>
        <w:tc>
          <w:tcPr>
            <w:tcW w:w="9060" w:type="dxa"/>
            <w:gridSpan w:val="2"/>
            <w:shd w:val="clear" w:color="auto" w:fill="auto"/>
          </w:tcPr>
          <w:p w:rsidR="00DC76F6" w:rsidRPr="007A6592" w:rsidRDefault="00A51443" w:rsidP="00DC76F6">
            <w:pPr>
              <w:pStyle w:val="NormalBoldCenter"/>
            </w:pPr>
            <w:r>
              <w:t>Subjekt nebo osoba</w:t>
            </w:r>
          </w:p>
        </w:tc>
      </w:tr>
      <w:tr w:rsidR="003F2B13" w:rsidTr="00DC7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Before w:val="1"/>
          <w:wBefore w:w="98" w:type="dxa"/>
          <w:trHeight w:val="278"/>
        </w:trPr>
        <w:tc>
          <w:tcPr>
            <w:tcW w:w="9067" w:type="dxa"/>
            <w:gridSpan w:val="2"/>
            <w:tcBorders>
              <w:top w:val="single" w:sz="4" w:space="0" w:color="000000"/>
              <w:left w:val="single" w:sz="4" w:space="0" w:color="000000"/>
              <w:bottom w:val="single" w:sz="4" w:space="0" w:color="000000"/>
              <w:right w:val="single" w:sz="4" w:space="0" w:color="000000"/>
            </w:tcBorders>
            <w:hideMark/>
          </w:tcPr>
          <w:p w:rsidR="00DC76F6" w:rsidRPr="007A6592" w:rsidRDefault="00A51443" w:rsidP="00BE03DA">
            <w:pPr>
              <w:rPr>
                <w:szCs w:val="20"/>
              </w:rPr>
            </w:pPr>
            <w:r>
              <w:t xml:space="preserve">CERMI- Comité </w:t>
            </w:r>
            <w:r>
              <w:t>Español de Representantes de Personas con Discapacidad</w:t>
            </w:r>
          </w:p>
        </w:tc>
      </w:tr>
      <w:tr w:rsidR="003F2B13" w:rsidTr="00DC7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Before w:val="1"/>
          <w:wBefore w:w="98" w:type="dxa"/>
          <w:trHeight w:val="278"/>
        </w:trPr>
        <w:tc>
          <w:tcPr>
            <w:tcW w:w="9067" w:type="dxa"/>
            <w:gridSpan w:val="2"/>
            <w:tcBorders>
              <w:top w:val="single" w:sz="4" w:space="0" w:color="000000"/>
              <w:left w:val="single" w:sz="4" w:space="0" w:color="000000"/>
              <w:bottom w:val="single" w:sz="4" w:space="0" w:color="000000"/>
              <w:right w:val="single" w:sz="4" w:space="0" w:color="000000"/>
            </w:tcBorders>
            <w:hideMark/>
          </w:tcPr>
          <w:p w:rsidR="00DC76F6" w:rsidRPr="007A6592" w:rsidRDefault="00A51443" w:rsidP="00BE03DA">
            <w:r>
              <w:t>ONCE-Organización Nacional de Ciegos Españoles</w:t>
            </w:r>
          </w:p>
        </w:tc>
      </w:tr>
      <w:tr w:rsidR="003F2B13" w:rsidTr="00DC7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Before w:val="1"/>
          <w:wBefore w:w="98" w:type="dxa"/>
          <w:trHeight w:val="278"/>
        </w:trPr>
        <w:tc>
          <w:tcPr>
            <w:tcW w:w="9067" w:type="dxa"/>
            <w:gridSpan w:val="2"/>
            <w:tcBorders>
              <w:top w:val="single" w:sz="4" w:space="0" w:color="000000"/>
              <w:left w:val="single" w:sz="4" w:space="0" w:color="000000"/>
              <w:bottom w:val="single" w:sz="4" w:space="0" w:color="000000"/>
              <w:right w:val="single" w:sz="4" w:space="0" w:color="000000"/>
            </w:tcBorders>
            <w:hideMark/>
          </w:tcPr>
          <w:p w:rsidR="00DC76F6" w:rsidRPr="007A6592" w:rsidRDefault="00A51443" w:rsidP="00BE03DA">
            <w:r>
              <w:t>Asociación Autismo España</w:t>
            </w:r>
          </w:p>
        </w:tc>
      </w:tr>
    </w:tbl>
    <w:p w:rsidR="00DC76F6" w:rsidRPr="007A6592" w:rsidRDefault="00DC76F6" w:rsidP="00AD5932"/>
    <w:p w:rsidR="00DC76F6" w:rsidRPr="007A6592" w:rsidRDefault="00A51443" w:rsidP="004E1B62">
      <w:r>
        <w:t>Výše uvedený seznam je sestaven na výhradní odpovědnost zpravodajky.</w:t>
      </w:r>
    </w:p>
    <w:p w:rsidR="00DC76F6" w:rsidRPr="007A6592" w:rsidRDefault="00DC76F6" w:rsidP="00DC76F6"/>
    <w:bookmarkEnd w:id="2"/>
    <w:p w:rsidR="00DC76F6" w:rsidRPr="007A6592" w:rsidRDefault="00DC76F6" w:rsidP="009522D6">
      <w:pPr>
        <w:sectPr w:rsidR="00DC76F6" w:rsidRPr="007A6592" w:rsidSect="00DC76F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522D6" w:rsidRPr="007A6592" w:rsidRDefault="009522D6" w:rsidP="009522D6"/>
    <w:p w:rsidR="009522D6" w:rsidRPr="007A6592" w:rsidRDefault="00A51443" w:rsidP="009522D6">
      <w:pPr>
        <w:pStyle w:val="PageHeadingNotTOC"/>
      </w:pPr>
      <w:bookmarkStart w:id="3" w:name="ProcPageAD"/>
      <w:r>
        <w:t xml:space="preserve">POSTUP VE VÝBORU </w:t>
      </w:r>
      <w:r>
        <w:t>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F2B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Zavedení evropského průkazu osob se zdravotním postižením a evropské parkovací karty pro osoby se zdravotním postižením</w:t>
            </w:r>
          </w:p>
        </w:tc>
      </w:tr>
      <w:tr w:rsidR="003F2B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COM(2023)0512 – C9-0328/2023 – 2023/0311(COD)</w:t>
            </w:r>
          </w:p>
        </w:tc>
      </w:tr>
      <w:tr w:rsidR="003F2B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Příslušný výbor</w:t>
            </w:r>
          </w:p>
          <w:p w:rsidR="009522D6" w:rsidRPr="007A6592" w:rsidRDefault="00A51443">
            <w:pPr>
              <w:autoSpaceDE w:val="0"/>
              <w:autoSpaceDN w:val="0"/>
              <w:adjustRightInd w:val="0"/>
              <w:rPr>
                <w:color w:val="000000"/>
                <w:sz w:val="20"/>
                <w:szCs w:val="20"/>
              </w:rPr>
            </w:pPr>
            <w:r>
              <w:rPr>
                <w:color w:val="000000"/>
                <w:sz w:val="20"/>
              </w:rPr>
              <w:t xml:space="preserve">       Datum oznámení na </w:t>
            </w:r>
            <w:r>
              <w:rPr>
                <w:color w:val="000000"/>
                <w:sz w:val="20"/>
              </w:rPr>
              <w:t>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EMPL</w:t>
            </w:r>
          </w:p>
          <w:p w:rsidR="009522D6" w:rsidRPr="007A6592" w:rsidRDefault="00A51443">
            <w:pPr>
              <w:autoSpaceDE w:val="0"/>
              <w:autoSpaceDN w:val="0"/>
              <w:adjustRightInd w:val="0"/>
              <w:rPr>
                <w:color w:val="000000"/>
                <w:sz w:val="20"/>
                <w:szCs w:val="20"/>
              </w:rPr>
            </w:pPr>
            <w:r>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522D6" w:rsidRPr="007A6592" w:rsidRDefault="009522D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522D6" w:rsidRPr="007A6592" w:rsidRDefault="009522D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522D6" w:rsidRPr="007A6592" w:rsidRDefault="009522D6">
            <w:pPr>
              <w:autoSpaceDE w:val="0"/>
              <w:autoSpaceDN w:val="0"/>
              <w:adjustRightInd w:val="0"/>
              <w:rPr>
                <w:rFonts w:ascii="sans-serif" w:hAnsi="sans-serif" w:cs="sans-serif"/>
                <w:color w:val="000000"/>
              </w:rPr>
            </w:pPr>
          </w:p>
        </w:tc>
      </w:tr>
      <w:tr w:rsidR="003F2B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Výbor, který vypracoval stanovisko</w:t>
            </w:r>
          </w:p>
          <w:p w:rsidR="009522D6" w:rsidRPr="007A6592" w:rsidRDefault="00A51443">
            <w:pPr>
              <w:autoSpaceDE w:val="0"/>
              <w:autoSpaceDN w:val="0"/>
              <w:adjustRightInd w:val="0"/>
              <w:rPr>
                <w:color w:val="000000"/>
                <w:sz w:val="20"/>
                <w:szCs w:val="20"/>
              </w:rPr>
            </w:pPr>
            <w:r>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FEMM</w:t>
            </w:r>
          </w:p>
          <w:p w:rsidR="009522D6" w:rsidRPr="007A6592" w:rsidRDefault="00A51443">
            <w:pPr>
              <w:autoSpaceDE w:val="0"/>
              <w:autoSpaceDN w:val="0"/>
              <w:adjustRightInd w:val="0"/>
              <w:rPr>
                <w:color w:val="000000"/>
                <w:sz w:val="20"/>
                <w:szCs w:val="20"/>
              </w:rPr>
            </w:pPr>
            <w:r>
              <w:rPr>
                <w:color w:val="000000"/>
                <w:sz w:val="20"/>
              </w:rPr>
              <w:t>19.10.2023</w:t>
            </w:r>
          </w:p>
        </w:tc>
      </w:tr>
      <w:tr w:rsidR="003F2B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Zpravodaj(ka)</w:t>
            </w:r>
          </w:p>
          <w:p w:rsidR="009522D6" w:rsidRPr="007A6592" w:rsidRDefault="00A51443">
            <w:pPr>
              <w:autoSpaceDE w:val="0"/>
              <w:autoSpaceDN w:val="0"/>
              <w:adjustRightInd w:val="0"/>
              <w:rPr>
                <w:color w:val="000000"/>
                <w:sz w:val="20"/>
                <w:szCs w:val="20"/>
              </w:rPr>
            </w:pPr>
            <w:r>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Rosa Estaràs Ferragut</w:t>
            </w:r>
          </w:p>
          <w:p w:rsidR="009522D6" w:rsidRPr="007A6592" w:rsidRDefault="00A51443">
            <w:pPr>
              <w:autoSpaceDE w:val="0"/>
              <w:autoSpaceDN w:val="0"/>
              <w:adjustRightInd w:val="0"/>
              <w:rPr>
                <w:color w:val="000000"/>
                <w:sz w:val="20"/>
                <w:szCs w:val="20"/>
              </w:rPr>
            </w:pPr>
            <w:r>
              <w:rPr>
                <w:color w:val="000000"/>
                <w:sz w:val="20"/>
              </w:rPr>
              <w:t>10.10.2023</w:t>
            </w:r>
          </w:p>
        </w:tc>
      </w:tr>
      <w:tr w:rsidR="003F2B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522D6" w:rsidRPr="007A6592" w:rsidRDefault="009522D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522D6" w:rsidRPr="007A6592" w:rsidRDefault="009522D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522D6" w:rsidRPr="007A6592" w:rsidRDefault="009522D6">
            <w:pPr>
              <w:autoSpaceDE w:val="0"/>
              <w:autoSpaceDN w:val="0"/>
              <w:adjustRightInd w:val="0"/>
              <w:rPr>
                <w:rFonts w:ascii="sans-serif" w:hAnsi="sans-serif" w:cs="sans-serif"/>
                <w:color w:val="000000"/>
              </w:rPr>
            </w:pPr>
          </w:p>
        </w:tc>
      </w:tr>
      <w:tr w:rsidR="003F2B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w:t>
            </w:r>
          </w:p>
          <w:p w:rsidR="009522D6" w:rsidRPr="007A6592" w:rsidRDefault="00A51443">
            <w:pPr>
              <w:autoSpaceDE w:val="0"/>
              <w:autoSpaceDN w:val="0"/>
              <w:adjustRightInd w:val="0"/>
              <w:rPr>
                <w:color w:val="000000"/>
                <w:sz w:val="20"/>
                <w:szCs w:val="20"/>
              </w:rPr>
            </w:pPr>
            <w:r>
              <w:rPr>
                <w:color w:val="000000"/>
                <w:sz w:val="20"/>
              </w:rPr>
              <w:t>–:</w:t>
            </w:r>
          </w:p>
          <w:p w:rsidR="009522D6" w:rsidRPr="007A6592" w:rsidRDefault="00A51443">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22</w:t>
            </w:r>
          </w:p>
          <w:p w:rsidR="009522D6" w:rsidRPr="007A6592" w:rsidRDefault="00A51443">
            <w:pPr>
              <w:autoSpaceDE w:val="0"/>
              <w:autoSpaceDN w:val="0"/>
              <w:adjustRightInd w:val="0"/>
              <w:rPr>
                <w:color w:val="000000"/>
                <w:sz w:val="20"/>
                <w:szCs w:val="20"/>
              </w:rPr>
            </w:pPr>
            <w:r>
              <w:rPr>
                <w:color w:val="000000"/>
                <w:sz w:val="20"/>
              </w:rPr>
              <w:t>1</w:t>
            </w:r>
          </w:p>
          <w:p w:rsidR="009522D6" w:rsidRPr="007A6592" w:rsidRDefault="00A51443">
            <w:pPr>
              <w:autoSpaceDE w:val="0"/>
              <w:autoSpaceDN w:val="0"/>
              <w:adjustRightInd w:val="0"/>
              <w:rPr>
                <w:color w:val="000000"/>
                <w:sz w:val="20"/>
                <w:szCs w:val="20"/>
              </w:rPr>
            </w:pPr>
            <w:r>
              <w:rPr>
                <w:color w:val="000000"/>
                <w:sz w:val="20"/>
              </w:rPr>
              <w:t>0</w:t>
            </w:r>
          </w:p>
        </w:tc>
      </w:tr>
      <w:tr w:rsidR="003F2B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 xml:space="preserve">Isabella Adinolfi, Robert Biedroń, Vilija Blinkevičiūtė, Margarita de la Pisa Carrión, Frances Fitzgerald, Radka Maxová, Johan Nissinen, Maria Noichl, Carina Ohlsson, Pina Picierno, Maria Veronica Rossi, </w:t>
            </w:r>
            <w:r>
              <w:rPr>
                <w:color w:val="000000"/>
                <w:sz w:val="20"/>
              </w:rPr>
              <w:t>Christine Schneider</w:t>
            </w:r>
          </w:p>
        </w:tc>
      </w:tr>
      <w:tr w:rsidR="003F2B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Abir Al-Sahlani, Marina Kaljurand, Aušra Maldeikienė, Silvia Modig, Susana Solís Pérez, Pernille Weiss, Angelika Winzig</w:t>
            </w:r>
          </w:p>
        </w:tc>
      </w:tr>
      <w:tr w:rsidR="003F2B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b/>
                <w:bCs/>
                <w:color w:val="000000"/>
                <w:sz w:val="20"/>
                <w:szCs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522D6" w:rsidRPr="007A6592" w:rsidRDefault="00A51443">
            <w:pPr>
              <w:autoSpaceDE w:val="0"/>
              <w:autoSpaceDN w:val="0"/>
              <w:adjustRightInd w:val="0"/>
              <w:rPr>
                <w:color w:val="000000"/>
                <w:sz w:val="20"/>
                <w:szCs w:val="20"/>
              </w:rPr>
            </w:pPr>
            <w:r>
              <w:rPr>
                <w:color w:val="000000"/>
                <w:sz w:val="20"/>
              </w:rPr>
              <w:t xml:space="preserve">Jakop G. </w:t>
            </w:r>
            <w:r>
              <w:rPr>
                <w:color w:val="000000"/>
                <w:sz w:val="20"/>
              </w:rPr>
              <w:t>Dalunde, France Jamet, Grace O’Sullivan, Tomáš Zdechovský</w:t>
            </w:r>
          </w:p>
        </w:tc>
      </w:tr>
    </w:tbl>
    <w:p w:rsidR="009522D6" w:rsidRPr="007A6592" w:rsidRDefault="009522D6" w:rsidP="00DC76F6"/>
    <w:bookmarkEnd w:id="3"/>
    <w:p w:rsidR="00DC76F6" w:rsidRPr="007A6592" w:rsidRDefault="00DC76F6" w:rsidP="00DC76F6">
      <w:pPr>
        <w:sectPr w:rsidR="00DC76F6" w:rsidRPr="007A6592" w:rsidSect="00DC76F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C76F6" w:rsidRPr="007A6592" w:rsidRDefault="00A51443" w:rsidP="00C36610">
      <w:pPr>
        <w:pStyle w:val="PageHeadingNotTOC"/>
      </w:pPr>
      <w:bookmarkStart w:id="4" w:name="RollCallPageAD"/>
      <w:r>
        <w:t>JMENOVITÉ KONEČNÉ HLASOVÁNÍ 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2B13" w:rsidTr="00BE03DA">
        <w:trPr>
          <w:cantSplit/>
        </w:trPr>
        <w:tc>
          <w:tcPr>
            <w:tcW w:w="1701" w:type="dxa"/>
            <w:shd w:val="pct10" w:color="000000" w:fill="FFFFFF"/>
            <w:vAlign w:val="center"/>
          </w:tcPr>
          <w:p w:rsidR="00DC76F6" w:rsidRPr="007A6592" w:rsidRDefault="00A51443" w:rsidP="00BE03DA">
            <w:pPr>
              <w:pStyle w:val="RollCallVotes"/>
            </w:pPr>
            <w:r>
              <w:t>22</w:t>
            </w:r>
          </w:p>
        </w:tc>
        <w:tc>
          <w:tcPr>
            <w:tcW w:w="7371" w:type="dxa"/>
            <w:shd w:val="pct10" w:color="000000" w:fill="FFFFFF"/>
          </w:tcPr>
          <w:p w:rsidR="00DC76F6" w:rsidRPr="007A6592" w:rsidRDefault="00A51443" w:rsidP="00BE03DA">
            <w:pPr>
              <w:pStyle w:val="RollCallSymbols14pt"/>
            </w:pPr>
            <w:r>
              <w:t>+</w:t>
            </w:r>
          </w:p>
        </w:tc>
      </w:tr>
      <w:tr w:rsidR="003F2B13" w:rsidTr="00BE03DA">
        <w:trPr>
          <w:cantSplit/>
        </w:trPr>
        <w:tc>
          <w:tcPr>
            <w:tcW w:w="1701" w:type="dxa"/>
            <w:shd w:val="clear" w:color="auto" w:fill="FFFFFF"/>
          </w:tcPr>
          <w:p w:rsidR="00DC76F6" w:rsidRPr="007A6592" w:rsidRDefault="00A51443" w:rsidP="00BE03DA">
            <w:pPr>
              <w:pStyle w:val="RollCallTable"/>
            </w:pPr>
            <w:r>
              <w:t>ECR</w:t>
            </w:r>
          </w:p>
        </w:tc>
        <w:tc>
          <w:tcPr>
            <w:tcW w:w="7371" w:type="dxa"/>
            <w:shd w:val="clear" w:color="auto" w:fill="FFFFFF"/>
          </w:tcPr>
          <w:p w:rsidR="00DC76F6" w:rsidRPr="007A6592" w:rsidRDefault="00A51443" w:rsidP="00BE03DA">
            <w:pPr>
              <w:pStyle w:val="RollCallTable"/>
            </w:pPr>
            <w:r>
              <w:t>Margarita de la Pisa Carrión</w:t>
            </w:r>
          </w:p>
        </w:tc>
      </w:tr>
      <w:tr w:rsidR="003F2B13" w:rsidTr="00BE03DA">
        <w:trPr>
          <w:cantSplit/>
        </w:trPr>
        <w:tc>
          <w:tcPr>
            <w:tcW w:w="1701" w:type="dxa"/>
            <w:shd w:val="clear" w:color="auto" w:fill="FFFFFF"/>
          </w:tcPr>
          <w:p w:rsidR="00DC76F6" w:rsidRPr="007A6592" w:rsidRDefault="00A51443" w:rsidP="00BE03DA">
            <w:pPr>
              <w:pStyle w:val="RollCallTable"/>
            </w:pPr>
            <w:r>
              <w:t>ID</w:t>
            </w:r>
          </w:p>
        </w:tc>
        <w:tc>
          <w:tcPr>
            <w:tcW w:w="7371" w:type="dxa"/>
            <w:shd w:val="clear" w:color="auto" w:fill="FFFFFF"/>
          </w:tcPr>
          <w:p w:rsidR="00DC76F6" w:rsidRPr="007A6592" w:rsidRDefault="00A51443" w:rsidP="00BE03DA">
            <w:pPr>
              <w:pStyle w:val="RollCallTable"/>
            </w:pPr>
            <w:r>
              <w:t>France Jamet, Maria Veronica Rossi</w:t>
            </w:r>
          </w:p>
        </w:tc>
      </w:tr>
      <w:tr w:rsidR="003F2B13" w:rsidTr="00BE03DA">
        <w:trPr>
          <w:cantSplit/>
        </w:trPr>
        <w:tc>
          <w:tcPr>
            <w:tcW w:w="1701" w:type="dxa"/>
            <w:shd w:val="clear" w:color="auto" w:fill="FFFFFF"/>
          </w:tcPr>
          <w:p w:rsidR="00DC76F6" w:rsidRPr="007A6592" w:rsidRDefault="00A51443" w:rsidP="00BE03DA">
            <w:pPr>
              <w:pStyle w:val="RollCallTable"/>
            </w:pPr>
            <w:r>
              <w:t>PPE</w:t>
            </w:r>
          </w:p>
        </w:tc>
        <w:tc>
          <w:tcPr>
            <w:tcW w:w="7371" w:type="dxa"/>
            <w:shd w:val="clear" w:color="auto" w:fill="FFFFFF"/>
          </w:tcPr>
          <w:p w:rsidR="00DC76F6" w:rsidRPr="007A6592" w:rsidRDefault="00A51443" w:rsidP="00BE03DA">
            <w:pPr>
              <w:pStyle w:val="RollCallTable"/>
            </w:pPr>
            <w:r>
              <w:t xml:space="preserve">Isabella Adinolfi, </w:t>
            </w:r>
            <w:r>
              <w:t>Frances Fitzgerald, Helmut Geuking, Aušra Maldeikienė, Christine Schneider, Pernille Weiss, Angelika Winzig, Tomáš Zdechovský</w:t>
            </w:r>
          </w:p>
        </w:tc>
      </w:tr>
      <w:tr w:rsidR="003F2B13" w:rsidTr="00BE03DA">
        <w:trPr>
          <w:cantSplit/>
        </w:trPr>
        <w:tc>
          <w:tcPr>
            <w:tcW w:w="1701" w:type="dxa"/>
            <w:shd w:val="clear" w:color="auto" w:fill="FFFFFF"/>
          </w:tcPr>
          <w:p w:rsidR="00DC76F6" w:rsidRPr="007A6592" w:rsidRDefault="00A51443" w:rsidP="00BE03DA">
            <w:pPr>
              <w:pStyle w:val="RollCallTable"/>
            </w:pPr>
            <w:r>
              <w:t>Renew</w:t>
            </w:r>
          </w:p>
        </w:tc>
        <w:tc>
          <w:tcPr>
            <w:tcW w:w="7371" w:type="dxa"/>
            <w:shd w:val="clear" w:color="auto" w:fill="FFFFFF"/>
          </w:tcPr>
          <w:p w:rsidR="00DC76F6" w:rsidRPr="007A6592" w:rsidRDefault="00A51443" w:rsidP="00BE03DA">
            <w:pPr>
              <w:pStyle w:val="RollCallTable"/>
            </w:pPr>
            <w:r>
              <w:t>Abir Al-Sahlani, Susana Solís Pérez</w:t>
            </w:r>
          </w:p>
        </w:tc>
      </w:tr>
      <w:tr w:rsidR="003F2B13" w:rsidTr="00BE03DA">
        <w:trPr>
          <w:cantSplit/>
        </w:trPr>
        <w:tc>
          <w:tcPr>
            <w:tcW w:w="1701" w:type="dxa"/>
            <w:shd w:val="clear" w:color="auto" w:fill="FFFFFF"/>
          </w:tcPr>
          <w:p w:rsidR="00DC76F6" w:rsidRPr="007A6592" w:rsidRDefault="00A51443" w:rsidP="00BE03DA">
            <w:pPr>
              <w:pStyle w:val="RollCallTable"/>
            </w:pPr>
            <w:r>
              <w:t>S&amp;D</w:t>
            </w:r>
          </w:p>
        </w:tc>
        <w:tc>
          <w:tcPr>
            <w:tcW w:w="7371" w:type="dxa"/>
            <w:shd w:val="clear" w:color="auto" w:fill="FFFFFF"/>
          </w:tcPr>
          <w:p w:rsidR="00DC76F6" w:rsidRPr="007A6592" w:rsidRDefault="00A51443" w:rsidP="00BE03DA">
            <w:pPr>
              <w:pStyle w:val="RollCallTable"/>
            </w:pPr>
            <w:r>
              <w:t>Robert Biedroń, Vilija Blinkevičiūtė, Marina Kaljurand, Radka Maxová, Maria Noichl</w:t>
            </w:r>
            <w:r>
              <w:t>, Carina Ohlsson, Pina Picierno</w:t>
            </w:r>
          </w:p>
        </w:tc>
      </w:tr>
      <w:tr w:rsidR="003F2B13" w:rsidTr="00BE03DA">
        <w:trPr>
          <w:cantSplit/>
        </w:trPr>
        <w:tc>
          <w:tcPr>
            <w:tcW w:w="1701" w:type="dxa"/>
            <w:shd w:val="clear" w:color="auto" w:fill="FFFFFF"/>
          </w:tcPr>
          <w:p w:rsidR="00DC76F6" w:rsidRPr="007A6592" w:rsidRDefault="00A51443" w:rsidP="00BE03DA">
            <w:pPr>
              <w:pStyle w:val="RollCallTable"/>
            </w:pPr>
            <w:r>
              <w:t>The Left</w:t>
            </w:r>
          </w:p>
        </w:tc>
        <w:tc>
          <w:tcPr>
            <w:tcW w:w="7371" w:type="dxa"/>
            <w:shd w:val="clear" w:color="auto" w:fill="FFFFFF"/>
          </w:tcPr>
          <w:p w:rsidR="00DC76F6" w:rsidRPr="007A6592" w:rsidRDefault="00A51443" w:rsidP="00BE03DA">
            <w:pPr>
              <w:pStyle w:val="RollCallTable"/>
            </w:pPr>
            <w:r>
              <w:t>Silvia Modig</w:t>
            </w:r>
          </w:p>
        </w:tc>
      </w:tr>
      <w:tr w:rsidR="003F2B13" w:rsidTr="00BE03DA">
        <w:trPr>
          <w:cantSplit/>
        </w:trPr>
        <w:tc>
          <w:tcPr>
            <w:tcW w:w="1701" w:type="dxa"/>
            <w:shd w:val="clear" w:color="auto" w:fill="FFFFFF"/>
          </w:tcPr>
          <w:p w:rsidR="00DC76F6" w:rsidRPr="007A6592" w:rsidRDefault="00A51443" w:rsidP="00BE03DA">
            <w:pPr>
              <w:pStyle w:val="RollCallTable"/>
            </w:pPr>
            <w:r>
              <w:t>Verts/ALE</w:t>
            </w:r>
          </w:p>
        </w:tc>
        <w:tc>
          <w:tcPr>
            <w:tcW w:w="7371" w:type="dxa"/>
            <w:shd w:val="clear" w:color="auto" w:fill="FFFFFF"/>
          </w:tcPr>
          <w:p w:rsidR="00DC76F6" w:rsidRPr="007A6592" w:rsidRDefault="00A51443" w:rsidP="00BE03DA">
            <w:pPr>
              <w:pStyle w:val="RollCallTable"/>
            </w:pPr>
            <w:r>
              <w:t>Grace O'Sullivan</w:t>
            </w:r>
          </w:p>
        </w:tc>
      </w:tr>
    </w:tbl>
    <w:p w:rsidR="00DC76F6" w:rsidRPr="007A6592" w:rsidRDefault="00DC76F6" w:rsidP="00DC76F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2B13" w:rsidTr="00BE03DA">
        <w:trPr>
          <w:cantSplit/>
        </w:trPr>
        <w:tc>
          <w:tcPr>
            <w:tcW w:w="1701" w:type="dxa"/>
            <w:shd w:val="pct10" w:color="000000" w:fill="FFFFFF"/>
            <w:vAlign w:val="center"/>
          </w:tcPr>
          <w:p w:rsidR="00DC76F6" w:rsidRPr="007A6592" w:rsidRDefault="00A51443" w:rsidP="00BE03DA">
            <w:pPr>
              <w:pStyle w:val="RollCallVotes"/>
            </w:pPr>
            <w:r>
              <w:t>1</w:t>
            </w:r>
          </w:p>
        </w:tc>
        <w:tc>
          <w:tcPr>
            <w:tcW w:w="7371" w:type="dxa"/>
            <w:shd w:val="pct10" w:color="000000" w:fill="FFFFFF"/>
          </w:tcPr>
          <w:p w:rsidR="00DC76F6" w:rsidRPr="007A6592" w:rsidRDefault="00A51443" w:rsidP="00BE03DA">
            <w:pPr>
              <w:pStyle w:val="RollCallSymbols14pt"/>
            </w:pPr>
            <w:r>
              <w:t>-</w:t>
            </w:r>
          </w:p>
        </w:tc>
      </w:tr>
      <w:tr w:rsidR="003F2B13" w:rsidTr="00BE03DA">
        <w:trPr>
          <w:cantSplit/>
        </w:trPr>
        <w:tc>
          <w:tcPr>
            <w:tcW w:w="1701" w:type="dxa"/>
            <w:shd w:val="clear" w:color="auto" w:fill="FFFFFF"/>
          </w:tcPr>
          <w:p w:rsidR="00DC76F6" w:rsidRPr="007A6592" w:rsidRDefault="00A51443" w:rsidP="00BE03DA">
            <w:pPr>
              <w:pStyle w:val="RollCallTable"/>
            </w:pPr>
            <w:r>
              <w:t>ECR</w:t>
            </w:r>
          </w:p>
        </w:tc>
        <w:tc>
          <w:tcPr>
            <w:tcW w:w="7371" w:type="dxa"/>
            <w:shd w:val="clear" w:color="auto" w:fill="FFFFFF"/>
          </w:tcPr>
          <w:p w:rsidR="00DC76F6" w:rsidRPr="007A6592" w:rsidRDefault="00A51443" w:rsidP="00BE03DA">
            <w:pPr>
              <w:pStyle w:val="RollCallTable"/>
            </w:pPr>
            <w:r>
              <w:t>Johan Nissinen</w:t>
            </w:r>
          </w:p>
        </w:tc>
      </w:tr>
    </w:tbl>
    <w:p w:rsidR="00DC76F6" w:rsidRPr="007A6592" w:rsidRDefault="00DC76F6" w:rsidP="00DC76F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2B13" w:rsidTr="00BE03DA">
        <w:trPr>
          <w:cantSplit/>
        </w:trPr>
        <w:tc>
          <w:tcPr>
            <w:tcW w:w="1701" w:type="dxa"/>
            <w:shd w:val="pct10" w:color="000000" w:fill="FFFFFF"/>
            <w:vAlign w:val="center"/>
          </w:tcPr>
          <w:p w:rsidR="00DC76F6" w:rsidRPr="007A6592" w:rsidRDefault="00A51443" w:rsidP="00BE03DA">
            <w:pPr>
              <w:pStyle w:val="RollCallVotes"/>
            </w:pPr>
            <w:r>
              <w:t>0</w:t>
            </w:r>
          </w:p>
        </w:tc>
        <w:tc>
          <w:tcPr>
            <w:tcW w:w="7371" w:type="dxa"/>
            <w:shd w:val="pct10" w:color="000000" w:fill="FFFFFF"/>
          </w:tcPr>
          <w:p w:rsidR="00DC76F6" w:rsidRPr="007A6592" w:rsidRDefault="00A51443" w:rsidP="00BE03DA">
            <w:pPr>
              <w:pStyle w:val="RollCallSymbols14pt"/>
            </w:pPr>
            <w:r>
              <w:t>0</w:t>
            </w:r>
          </w:p>
        </w:tc>
      </w:tr>
      <w:tr w:rsidR="003F2B13" w:rsidTr="00BE03DA">
        <w:trPr>
          <w:cantSplit/>
        </w:trPr>
        <w:tc>
          <w:tcPr>
            <w:tcW w:w="1701" w:type="dxa"/>
            <w:shd w:val="clear" w:color="auto" w:fill="FFFFFF"/>
          </w:tcPr>
          <w:p w:rsidR="00DC76F6" w:rsidRPr="007A6592" w:rsidRDefault="00DC76F6" w:rsidP="00BE03DA">
            <w:pPr>
              <w:pStyle w:val="RollCallTable"/>
            </w:pPr>
          </w:p>
        </w:tc>
        <w:tc>
          <w:tcPr>
            <w:tcW w:w="7371" w:type="dxa"/>
            <w:shd w:val="clear" w:color="auto" w:fill="FFFFFF"/>
          </w:tcPr>
          <w:p w:rsidR="00DC76F6" w:rsidRPr="007A6592" w:rsidRDefault="00DC76F6" w:rsidP="00BE03DA">
            <w:pPr>
              <w:pStyle w:val="RollCallTable"/>
            </w:pPr>
          </w:p>
        </w:tc>
      </w:tr>
    </w:tbl>
    <w:p w:rsidR="00DC76F6" w:rsidRPr="007A6592" w:rsidRDefault="00DC76F6" w:rsidP="00147FBF">
      <w:pPr>
        <w:pStyle w:val="Normal12a"/>
      </w:pPr>
    </w:p>
    <w:p w:rsidR="00DC76F6" w:rsidRPr="007A6592" w:rsidRDefault="00A51443" w:rsidP="00B735E3">
      <w:r>
        <w:t>Význam zkratek:</w:t>
      </w:r>
    </w:p>
    <w:p w:rsidR="00DC76F6" w:rsidRPr="007A6592" w:rsidRDefault="00A51443" w:rsidP="003858C5">
      <w:pPr>
        <w:pStyle w:val="RollCallTabs"/>
      </w:pPr>
      <w:r>
        <w:t>+</w:t>
      </w:r>
      <w:r>
        <w:tab/>
        <w:t>:</w:t>
      </w:r>
      <w:r>
        <w:tab/>
        <w:t>pro</w:t>
      </w:r>
    </w:p>
    <w:p w:rsidR="00DC76F6" w:rsidRPr="007A6592" w:rsidRDefault="00A51443" w:rsidP="003858C5">
      <w:pPr>
        <w:pStyle w:val="RollCallTabs"/>
      </w:pPr>
      <w:r>
        <w:t>-</w:t>
      </w:r>
      <w:r>
        <w:tab/>
        <w:t>:</w:t>
      </w:r>
      <w:r>
        <w:tab/>
        <w:t>proti</w:t>
      </w:r>
    </w:p>
    <w:p w:rsidR="00DC76F6" w:rsidRPr="007A6592" w:rsidRDefault="00A51443" w:rsidP="003858C5">
      <w:pPr>
        <w:pStyle w:val="RollCallTabs"/>
      </w:pPr>
      <w:r>
        <w:t>0</w:t>
      </w:r>
      <w:r>
        <w:tab/>
        <w:t>:</w:t>
      </w:r>
      <w:r>
        <w:tab/>
        <w:t>zdrželi se</w:t>
      </w:r>
    </w:p>
    <w:p w:rsidR="00DC76F6" w:rsidRPr="007A6592" w:rsidRDefault="00DC76F6" w:rsidP="00207509"/>
    <w:bookmarkEnd w:id="4"/>
    <w:p w:rsidR="00DB56E4" w:rsidRPr="007A6592" w:rsidRDefault="00DB56E4" w:rsidP="00DC76F6"/>
    <w:sectPr w:rsidR="00DB56E4" w:rsidRPr="007A6592" w:rsidSect="00DC76F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51443">
      <w:r>
        <w:separator/>
      </w:r>
    </w:p>
  </w:endnote>
  <w:endnote w:type="continuationSeparator" w:id="0">
    <w:p w:rsidR="00000000" w:rsidRDefault="00A51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B09" w:rsidRPr="007A6592" w:rsidRDefault="00A51443" w:rsidP="00CB0B09">
    <w:pPr>
      <w:pStyle w:val="EPFooter"/>
    </w:pPr>
    <w:r w:rsidRPr="007A6592">
      <w:t>PE</w:t>
    </w:r>
    <w:r w:rsidRPr="007A6592">
      <w:rPr>
        <w:rStyle w:val="HideTWBExt"/>
      </w:rPr>
      <w:t>&lt;NoPE&gt;</w:t>
    </w:r>
    <w:r w:rsidRPr="007A6592">
      <w:t>754.897</w:t>
    </w:r>
    <w:r w:rsidRPr="007A6592">
      <w:rPr>
        <w:rStyle w:val="HideTWBExt"/>
      </w:rPr>
      <w:t>&lt;/NoPE&gt;&lt;Version&gt;</w:t>
    </w:r>
    <w:r w:rsidRPr="007A6592">
      <w:t>v05-00</w:t>
    </w:r>
    <w:r w:rsidRPr="007A6592">
      <w:rPr>
        <w:rStyle w:val="HideTWBExt"/>
      </w:rPr>
      <w:t>&lt;/Version&gt;</w:t>
    </w:r>
    <w:r w:rsidRPr="007A6592">
      <w:tab/>
    </w:r>
    <w:r w:rsidRPr="007A6592">
      <w:fldChar w:fldCharType="begin"/>
    </w:r>
    <w:r w:rsidRPr="007A6592">
      <w:instrText xml:space="preserve"> PAGE  \* MERGEFORMAT </w:instrText>
    </w:r>
    <w:r w:rsidRPr="007A6592">
      <w:fldChar w:fldCharType="separate"/>
    </w:r>
    <w:r>
      <w:rPr>
        <w:noProof/>
      </w:rPr>
      <w:t>2</w:t>
    </w:r>
    <w:r w:rsidRPr="007A6592">
      <w:fldChar w:fldCharType="end"/>
    </w:r>
    <w:r w:rsidRPr="007A6592">
      <w:t>/</w:t>
    </w:r>
    <w:fldSimple w:instr=" NUMPAGES  \* MERGEFORMAT ">
      <w:r>
        <w:rPr>
          <w:noProof/>
        </w:rPr>
        <w:t>19</w:t>
      </w:r>
    </w:fldSimple>
    <w:r w:rsidRPr="007A6592">
      <w:tab/>
    </w:r>
    <w:r w:rsidRPr="007A6592">
      <w:rPr>
        <w:rStyle w:val="HideTWBExt"/>
      </w:rPr>
      <w:t>&lt;PathFdR&gt;</w:t>
    </w:r>
    <w:r w:rsidRPr="007A6592">
      <w:t>AD\1292708CS.docx</w:t>
    </w:r>
    <w:r w:rsidRPr="007A6592">
      <w:rPr>
        <w:rStyle w:val="HideTWBExt"/>
      </w:rPr>
      <w:t>&lt;/PathFdR&gt;</w:t>
    </w:r>
  </w:p>
  <w:p w:rsidR="00550B8D" w:rsidRPr="007A6592" w:rsidRDefault="00A51443" w:rsidP="00CB0B09">
    <w:pPr>
      <w:pStyle w:val="EPFooter2"/>
    </w:pPr>
    <w:r w:rsidRPr="007A6592">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B09" w:rsidRPr="007A6592" w:rsidRDefault="00A51443" w:rsidP="00CB0B09">
    <w:pPr>
      <w:pStyle w:val="EPFooter"/>
    </w:pPr>
    <w:r w:rsidRPr="007A6592">
      <w:rPr>
        <w:rStyle w:val="HideTWBExt"/>
      </w:rPr>
      <w:t>&lt;PathFdR&gt;</w:t>
    </w:r>
    <w:r w:rsidRPr="007A6592">
      <w:t>AD\1292708CS.docx</w:t>
    </w:r>
    <w:r w:rsidRPr="007A6592">
      <w:rPr>
        <w:rStyle w:val="HideTWBExt"/>
      </w:rPr>
      <w:t>&lt;/PathFdR&gt;</w:t>
    </w:r>
    <w:r w:rsidRPr="007A6592">
      <w:tab/>
    </w:r>
    <w:r w:rsidRPr="007A6592">
      <w:fldChar w:fldCharType="begin"/>
    </w:r>
    <w:r w:rsidRPr="007A6592">
      <w:instrText xml:space="preserve"> PAGE  \* MERGEFORMAT </w:instrText>
    </w:r>
    <w:r w:rsidRPr="007A6592">
      <w:fldChar w:fldCharType="separate"/>
    </w:r>
    <w:r>
      <w:rPr>
        <w:noProof/>
      </w:rPr>
      <w:t>15</w:t>
    </w:r>
    <w:r w:rsidRPr="007A6592">
      <w:fldChar w:fldCharType="end"/>
    </w:r>
    <w:r w:rsidRPr="007A6592">
      <w:t>/</w:t>
    </w:r>
    <w:fldSimple w:instr=" NUMPAGES  \* MERGEFORMAT ">
      <w:r>
        <w:rPr>
          <w:noProof/>
        </w:rPr>
        <w:t>19</w:t>
      </w:r>
    </w:fldSimple>
    <w:r w:rsidRPr="007A6592">
      <w:tab/>
      <w:t>PE</w:t>
    </w:r>
    <w:r w:rsidRPr="007A6592">
      <w:rPr>
        <w:rStyle w:val="HideTWBExt"/>
      </w:rPr>
      <w:t>&lt;NoPE&gt;</w:t>
    </w:r>
    <w:r w:rsidRPr="007A6592">
      <w:t>754.897</w:t>
    </w:r>
    <w:r w:rsidRPr="007A6592">
      <w:rPr>
        <w:rStyle w:val="HideTWBExt"/>
      </w:rPr>
      <w:t>&lt;/NoPE&gt;&lt;Version&gt;</w:t>
    </w:r>
    <w:r w:rsidRPr="007A6592">
      <w:t>v05-00</w:t>
    </w:r>
    <w:r w:rsidRPr="007A6592">
      <w:rPr>
        <w:rStyle w:val="HideTWBExt"/>
      </w:rPr>
      <w:t>&lt;/Version&gt;</w:t>
    </w:r>
  </w:p>
  <w:p w:rsidR="00550B8D" w:rsidRPr="007A6592" w:rsidRDefault="00A51443" w:rsidP="00CB0B09">
    <w:pPr>
      <w:pStyle w:val="EPFooter2"/>
    </w:pPr>
    <w:r w:rsidRPr="007A6592">
      <w:tab/>
    </w:r>
    <w:r w:rsidRPr="007A6592">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B09" w:rsidRPr="007A6592" w:rsidRDefault="00A51443" w:rsidP="00CB0B09">
    <w:pPr>
      <w:pStyle w:val="EPFooter"/>
    </w:pPr>
    <w:r w:rsidRPr="007A6592">
      <w:rPr>
        <w:rStyle w:val="HideTWBExt"/>
      </w:rPr>
      <w:t>&lt;PathFdR&gt;</w:t>
    </w:r>
    <w:r w:rsidRPr="007A6592">
      <w:t>AD\1292708CS.docx</w:t>
    </w:r>
    <w:r w:rsidRPr="007A6592">
      <w:rPr>
        <w:rStyle w:val="HideTWBExt"/>
      </w:rPr>
      <w:t>&lt;/PathFdR&gt;</w:t>
    </w:r>
    <w:r w:rsidRPr="007A6592">
      <w:tab/>
    </w:r>
    <w:r w:rsidRPr="007A6592">
      <w:tab/>
      <w:t>PE</w:t>
    </w:r>
    <w:r w:rsidRPr="007A6592">
      <w:rPr>
        <w:rStyle w:val="HideTWBExt"/>
      </w:rPr>
      <w:t>&lt;NoPE&gt;</w:t>
    </w:r>
    <w:r w:rsidRPr="007A6592">
      <w:t>754.897</w:t>
    </w:r>
    <w:r w:rsidRPr="007A6592">
      <w:rPr>
        <w:rStyle w:val="HideTWBExt"/>
      </w:rPr>
      <w:t>&lt;/NoPE&gt;&lt;Version&gt;</w:t>
    </w:r>
    <w:r w:rsidRPr="007A6592">
      <w:t>v05-00</w:t>
    </w:r>
    <w:r w:rsidRPr="007A6592">
      <w:rPr>
        <w:rStyle w:val="HideTWBExt"/>
      </w:rPr>
      <w:t>&lt;/Version&gt;</w:t>
    </w:r>
  </w:p>
  <w:p w:rsidR="00550B8D" w:rsidRPr="007A6592" w:rsidRDefault="00A51443" w:rsidP="00CB0B09">
    <w:pPr>
      <w:pStyle w:val="EPFooter2"/>
    </w:pPr>
    <w:r w:rsidRPr="007A6592">
      <w:t>CS</w:t>
    </w:r>
    <w:r w:rsidRPr="007A6592">
      <w:tab/>
    </w:r>
    <w:r w:rsidRPr="007A6592">
      <w:rPr>
        <w:b w:val="0"/>
        <w:i/>
        <w:color w:val="C0C0C0"/>
        <w:sz w:val="22"/>
      </w:rPr>
      <w:t>Jednotná v rozmanitosti</w:t>
    </w:r>
    <w:r w:rsidRPr="007A6592">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51443">
      <w:r>
        <w:separator/>
      </w:r>
    </w:p>
  </w:footnote>
  <w:footnote w:type="continuationSeparator" w:id="0">
    <w:p w:rsidR="00000000" w:rsidRDefault="00A51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8E8" w:rsidRDefault="000D08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8E8" w:rsidRDefault="000D08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8E8" w:rsidRDefault="000D08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1"/>
    <w:docVar w:name="AMPLURMNU" w:val=" 1"/>
    <w:docVar w:name="AUTHORMFMNU" w:val=" 2"/>
    <w:docVar w:name="CJMNU" w:val="1"/>
    <w:docVar w:name="CODEMNU" w:val=" 1"/>
    <w:docVar w:name="COM2KEY" w:val="FEMM"/>
    <w:docVar w:name="COMKEY" w:val="FEMM"/>
    <w:docVar w:name="CONTRIBUTIONMNU" w:val=" 1"/>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166505\rsid3565327\rsid4666813\rsid6641733\rsid6764168\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OSLADILOVA Jana}{\operator OSLADILOVA Jana}{\creatim\yr2023\mo12\dy11\hr15\min9}{\revtim\yr2023\mo12\dy11\hr15\min9}{\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66505\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6764168 \chftnsep _x000d__x000a_\par }}{\*\ftnsepc \ltrpar \pard\plain \ltrpar\ql \li0\ri0\widctlpar\wrapdefault\aspalpha\aspnum\faauto\adjustright\rin0\lin0\itap0 \rtlch\fcs1 \af0\afs20\alang1025 \ltrch\fcs0 \fs24\lang2057\langfe2057\cgrid\langnp2057\langfenp2057 {\rtlch\fcs1 \af0 _x000d__x000a_\ltrch\fcs0 \insrsid6764168 \chftnsepc _x000d__x000a_\par }}{\*\aftnsep \ltrpar \pard\plain \ltrpar\ql \li0\ri0\widctlpar\wrapdefault\aspalpha\aspnum\faauto\adjustright\rin0\lin0\itap0 \rtlch\fcs1 \af0\afs20\alang1025 \ltrch\fcs0 \fs24\lang2057\langfe2057\cgrid\langnp2057\langfenp2057 {\rtlch\fcs1 \af0 _x000d__x000a_\ltrch\fcs0 \insrsid6764168 \chftnsep _x000d__x000a_\par }}{\*\aftnsepc \ltrpar \pard\plain \ltrpar\ql \li0\ri0\widctlpar\wrapdefault\aspalpha\aspnum\faauto\adjustright\rin0\lin0\itap0 \rtlch\fcs1 \af0\afs20\alang1025 \ltrch\fcs0 \fs24\lang2057\langfe2057\cgrid\langnp2057\langfenp2057 {\rtlch\fcs1 \af0 _x000d__x000a_\ltrch\fcs0 \insrsid67641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3166505 _x000d__x000a_\rtlch\fcs1 \af0\afs20\alang1025 \ltrch\fcs0 \fs24\lang2057\langfe2057\cgrid\langnp2057\langfenp2057 {\rtlch\fcs1 \af0 \ltrch\fcs0 \insrsid3166505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a_x000d__x000a_a3b63b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37708 HideTWBExt;}{_x000d__x000a_\s18\ql \li0\ri0\sa120\nowidctlpar\wrapdefault\aspalpha\aspnum\faauto\adjustright\rin0\lin0\itap0 \rtlch\fcs1 \af0\afs20\alang1025 \ltrch\fcs0 \fs24\lang2057\langfe2057\cgrid\langnp2057\langfenp2057 \sbasedon0 \snext18 \spriority0 \styrsid6637708 _x000d__x000a_Normal6a;}{\s19\ql \li0\ri0\nowidctlpar\wrapdefault\aspalpha\aspnum\faauto\adjustright\rin0\lin0\itap0 \rtlch\fcs1 \af0\afs20\alang1025 \ltrch\fcs0 \b\fs24\lang2057\langfe2057\cgrid\langnp2057\langfenp2057 \sbasedon0 \snext19 \spriority0 \styrsid6637708 _x000d__x000a_NormalBold;}{\s20\qc \li0\ri0\sa240\nowidctlpar\wrapdefault\aspalpha\aspnum\faauto\adjustright\rin0\lin0\itap0 \rtlch\fcs1 \af0\afs20\alang1025 \ltrch\fcs0 \i\fs24\lang2057\langfe2057\cgrid\langnp2057\langfenp2057 _x000d__x000a_\sbasedon0 \snext20 \spriority0 \styrsid663770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637708 AmNumberTabs;}{\s22\ql \li0\ri0\sb240\nowidctlpar\wrapdefault\aspalpha\aspnum\faauto\adjustright\rin0\lin0\itap0 \rtlch\fcs1 _x000d__x000a_\af0\afs20\alang1025 \ltrch\fcs0 \b\fs24\lang2057\langfe2057\cgrid\langnp2057\langfenp2057 \sbasedon0 \snext22 \spriority0 \styrsid6637708 NormalBold12b;}}{\*\rsidtbl \rsid24658\rsid223860\rsid735077\rsid1718133\rsid1911795\rsid2892074\rsid3565327_x000d__x000a_\rsid4666813\rsid663770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OSLADILOVA Jana}{\operator OSLADILOVA Jana}{\creatim\yr2023\mo12\dy11\hr15\min10}{\revtim\yr2023\mo12\dy11\hr15\min10}{\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37708\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1911795 \chftnsep _x000d__x000a_\par }}{\*\ftnsepc \ltrpar \pard\plain \ltrpar\ql \li0\ri0\widctlpar\wrapdefault\aspalpha\aspnum\faauto\adjustright\rin0\lin0\itap0 \rtlch\fcs1 \af0\afs20\alang1025 \ltrch\fcs0 \fs24\lang2057\langfe2057\cgrid\langnp2057\langfenp2057 {\rtlch\fcs1 \af0 _x000d__x000a_\ltrch\fcs0 \insrsid1911795 \chftnsepc _x000d__x000a_\par }}{\*\aftnsep \ltrpar \pard\plain \ltrpar\ql \li0\ri0\widctlpar\wrapdefault\aspalpha\aspnum\faauto\adjustright\rin0\lin0\itap0 \rtlch\fcs1 \af0\afs20\alang1025 \ltrch\fcs0 \fs24\lang2057\langfe2057\cgrid\langnp2057\langfenp2057 {\rtlch\fcs1 \af0 _x000d__x000a_\ltrch\fcs0 \insrsid1911795 \chftnsep _x000d__x000a_\par }}{\*\aftnsepc \ltrpar \pard\plain \ltrpar\ql \li0\ri0\widctlpar\wrapdefault\aspalpha\aspnum\faauto\adjustright\rin0\lin0\itap0 \rtlch\fcs1 \af0\afs20\alang1025 \ltrch\fcs0 \fs24\lang2057\langfe2057\cgrid\langnp2057\langfenp2057 {\rtlch\fcs1 \af0 _x000d__x000a_\ltrch\fcs0 \insrsid19117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637708 \rtlch\fcs1 _x000d__x000a_\af0\afs20\alang1025 \ltrch\fcs0 \b\fs24\lang2057\langfe2057\cgrid\langnp2057\langfenp2057 {\rtlch\fcs1 \af0 \ltrch\fcs0 \cs17\b0\v\fs20\cf9\lang1024\langfe1024\loch\af1\hich\af1\dbch\af31501\noproof\insrsid6637708\charrsid15879488 {\*\bkmkstart restartA}_x000d__x000a_\hich\af1\dbch\af31501\loch\f1 &lt;AmendA&gt;}{\rtlch\fcs1 \af0 \ltrch\fcs0 \insrsid6637708\charrsid15879488 [ZAMENDMENT]\tab \tab }{\rtlch\fcs1 \af0 \ltrch\fcs0 _x000d__x000a_\cs17\b0\v\fs20\cf9\lang1024\langfe1024\loch\af1\hich\af1\dbch\af31501\noproof\insrsid6637708\charrsid15879488 \hich\af1\dbch\af31501\loch\f1 &lt;NumAmA&gt;}{\rtlch\fcs1 \af0 \ltrch\fcs0 \insrsid6637708\charrsid15879488 [ZNRAM]}{\rtlch\fcs1 \af0 \ltrch\fcs0 _x000d__x000a_\cs17\b0\v\fs20\cf9\lang1024\langfe1024\loch\af1\hich\af1\dbch\af31501\noproof\insrsid6637708\charrsid15879488 \hich\af1\dbch\af31501\loch\f1 &lt;/NumAmA&gt;}{\rtlch\fcs1 \af0 \ltrch\fcs0 \insrsid6637708\charrsid15879488 _x000d__x000a_\par }\pard\plain \ltrpar\s22\ql \li0\ri0\sb240\keepn\nowidctlpar\wrapdefault\aspalpha\aspnum\faauto\adjustright\rin0\lin0\itap0\pararsid6637708 \rtlch\fcs1 \af0\afs20\alang1025 \ltrch\fcs0 \b\fs24\lang2057\langfe2057\cgrid\langnp2057\langfenp2057 {_x000d__x000a_\rtlch\fcs1 \af0 \ltrch\fcs0 \cs17\b0\v\fs20\cf9\lang1024\langfe1024\loch\af1\hich\af1\dbch\af31501\noproof\langnp1036\insrsid6637708\charrsid11356624 \hich\af1\dbch\af31501\loch\f1 &lt;DocAmend&gt;}{\rtlch\fcs1 \af0 \ltrch\fcs0 _x000d__x000a_\lang1036\langfe2057\langnp1036\insrsid6637708\charrsid11356624 [ZRESOLUTION]}{\rtlch\fcs1 \af0 \ltrch\fcs0 \cs17\b0\v\fs20\cf9\lang1024\langfe1024\loch\af1\hich\af1\dbch\af31501\noproof\langnp1036\insrsid6637708\charrsid11356624 _x000d__x000a_\hich\af1\dbch\af31501\loch\f1 &lt;/DocAmend&gt;}{\rtlch\fcs1 \af0 \ltrch\fcs0 \lang1036\langfe2057\langnp1036\insrsid6637708\charrsid11356624 _x000d__x000a_\par }\pard\plain \ltrpar\s19\ql \li0\ri0\nowidctlpar\wrapdefault\aspalpha\aspnum\faauto\adjustright\rin0\lin0\itap0\pararsid6637708 \rtlch\fcs1 \af0\afs20\alang1025 \ltrch\fcs0 \b\fs24\lang2057\langfe2057\cgrid\langnp2057\langfenp2057 {\rtlch\fcs1 \af0 _x000d__x000a_\ltrch\fcs0 \cs17\b0\v\fs20\cf9\lang1024\langfe1024\loch\af1\hich\af1\dbch\af31501\noproof\langnp1036\insrsid6637708\charrsid11356624 \hich\af1\dbch\af31501\loch\f1 &lt;Article&gt;}{\rtlch\fcs1 \af0 \ltrch\fcs0 _x000d__x000a_\lang1036\langfe2057\langnp1036\insrsid6637708\charrsid11356624 [ZRESPART]}{\rtlch\fcs1 \af0 \ltrch\fcs0 \cs17\b0\v\fs20\cf9\lang1024\langfe1024\loch\af1\hich\af1\dbch\af31501\noproof\langnp1036\insrsid6637708\charrsid11356624 _x000d__x000a_\hich\af1\dbch\af31501\loch\f1 &lt;/Article&gt;}{\rtlch\fcs1 \af0 \ltrch\fcs0 \lang1036\langfe2057\langnp1036\insrsid663770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637708\charrsid11356624 \cell }\pard \ltrpar_x000d__x000a_\ql \li0\ri0\widctlpar\intbl\wrapdefault\aspalpha\aspnum\faauto\adjustright\rin0\lin0 {\rtlch\fcs1 \af0 \ltrch\fcs0 \insrsid663770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637708\charrsid15879488 [ZLEFTA]\cell [ZRIGHT]\cell }\pard\plain \ltrpar\ql \li0\ri0\widctlpar\intbl\wrapdefault\aspalpha\aspnum\faauto\adjustright\rin0\lin0 _x000d__x000a_\rtlch\fcs1 \af0\afs20\alang1025 \ltrch\fcs0 \fs24\lang2057\langfe2057\cgrid\langnp2057\langfenp2057 {\rtlch\fcs1 \af0 \ltrch\fcs0 \insrsid663770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637708\charrsid15879488 [ZTEXTL]\cell [ZTEXTR]}{\rtlch\fcs1 \af0\afs24 \ltrch\fcs0 \insrsid6637708\charrsid15879488 \cell }\pard\plain \ltrpar\ql \li0\ri0\widctlpar\intbl\wrapdefault\aspalpha\aspnum\faauto\adjustright\rin0\lin0 \rtlch\fcs1 _x000d__x000a_\af0\afs20\alang1025 \ltrch\fcs0 \fs24\lang2057\langfe2057\cgrid\langnp2057\langfenp2057 {\rtlch\fcs1 \af0 \ltrch\fcs0 \insrsid663770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637708 {\rtlch\fcs1 \af0 \ltrch\fcs0 \cs17\v\fs20\cf9\lang1024\langfe1024\loch\af1\hich\af1\dbch\af31501\noproof\insrsid6637708\charrsid15879488 _x000d__x000a_\hich\af1\dbch\af31501\loch\f1 &lt;/AmendA&gt;}{\rtlch\fcs1 \af0 \ltrch\fcs0 \insrsid663770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0_x000d__x000a_a3bb3b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18986 HideTWBExt;}{_x000d__x000a_\s18\ql \li0\ri0\sa120\nowidctlpar\wrapdefault\aspalpha\aspnum\faauto\adjustright\rin0\lin0\itap0 \rtlch\fcs1 \af0\afs20\alang1025 \ltrch\fcs0 \fs24\lang2057\langfe2057\cgrid\langnp2057\langfenp2057 \sbasedon0 \snext18 \spriority0 \styrsid9918986 _x000d__x000a_Normal6a;}{\s19\ql \li0\ri0\nowidctlpar\wrapdefault\aspalpha\aspnum\faauto\adjustright\rin0\lin0\itap0 \rtlch\fcs1 \af0\afs20\alang1025 \ltrch\fcs0 \b\fs24\lang2057\langfe2057\cgrid\langnp2057\langfenp2057 \sbasedon0 \snext19 \spriority0 \styrsid9918986 _x000d__x000a_NormalBold;}{\s20\ql \li0\ri0\sa240\nowidctlpar\wrapdefault\aspalpha\aspnum\faauto\adjustright\rin0\lin0\itap0 \rtlch\fcs1 \af0\afs20\alang1025 \ltrch\fcs0 \i\fs24\lang2057\langfe2057\cgrid\langnp2057\langfenp2057 _x000d__x000a_\sbasedon0 \snext20 \spriority0 \styrsid9918986 AmJustText;}{\s21\qc \li0\ri0\sb240\sa240\nowidctlpar\wrapdefault\aspalpha\aspnum\faauto\adjustright\rin0\lin0\itap0 \rtlch\fcs1 \af0\afs20\alang1025 \ltrch\fcs0 _x000d__x000a_\i\fs24\lang2057\langfe2057\cgrid\langnp2057\langfenp2057 \sbasedon0 \snext21 \spriority0 \styrsid9918986 AmCrossRef;}{\s22\qc \li0\ri0\sb240\sa240\keepn\nowidctlpar\wrapdefault\aspalpha\aspnum\faauto\adjustright\rin0\lin0\itap0 \rtlch\fcs1 _x000d__x000a_\af0\afs20\alang1025 \ltrch\fcs0 \i\fs24\lang2057\langfe2057\cgrid\langnp2057\langfenp2057 \sbasedon0 \snext20 \spriority0 \styrsid9918986 AmJustTitle;}{\s23\qc \li0\ri0\sa240\nowidctlpar\wrapdefault\aspalpha\aspnum\faauto\adjustright\rin0\lin0\itap0 _x000d__x000a_\rtlch\fcs1 \af0\afs20\alang1025 \ltrch\fcs0 \i\fs24\lang2057\langfe2057\cgrid\langnp2057\langfenp2057 \sbasedon0 \snext23 \spriority0 \styrsid991898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918986 AmNumberTabs;}{\s25\ql \li0\ri0\sb240\nowidctlpar\wrapdefault\aspalpha\aspnum\faauto\adjustright\rin0\lin0\itap0 \rtlch\fcs1 _x000d__x000a_\af0\afs20\alang1025 \ltrch\fcs0 \b\fs24\lang2057\langfe2057\cgrid\langnp2057\langfenp2057 \sbasedon0 \snext25 \spriority0 \styrsid9918986 NormalBold12b;}}{\*\rsidtbl \rsid24658\rsid223860\rsid735077\rsid1718133\rsid2892074\rsid3565327\rsid4666813_x000d__x000a_\rsid6641733\rsid7823322\rsid9636012\rsid9918986\rsid10377208\rsid11215221\rsid11549030\rsid12154954\rsid14382809\rsid14424199\rsid15204470\rsid15285974\rsid15611101\rsid15950462\rsid16324206\rsid16662270}{\mmathPr\mmathFont34\mbrkBin0\mbrkBinSub0_x000d__x000a_\msmallFrac0\mdispDef1\mlMargin0\mrMargin0\mdefJc1\mwrapIndent1440\mintLim0\mnaryLim1}{\info{\author OSLADILOVA Jana}{\operator OSLADILOVA Jana}{\creatim\yr2023\mo12\dy11\hr15\min10}{\revtim\yr2023\mo12\dy11\hr15\min10}{\version1}{\edmins0}{\nofpages1}_x000d__x000a_{\nofwords57}{\nofchars315}{\nofcharsws36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18986\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15611101 \chftnsep _x000d__x000a_\par }}{\*\ftnsepc \ltrpar \pard\plain \ltrpar\ql \li0\ri0\widctlpar\wrapdefault\aspalpha\aspnum\faauto\adjustright\rin0\lin0\itap0 \rtlch\fcs1 \af0\afs20\alang1025 \ltrch\fcs0 \fs24\lang2057\langfe2057\cgrid\langnp2057\langfenp2057 {\rtlch\fcs1 \af0 _x000d__x000a_\ltrch\fcs0 \insrsid15611101 \chftnsepc _x000d__x000a_\par }}{\*\aftnsep \ltrpar \pard\plain \ltrpar\ql \li0\ri0\widctlpar\wrapdefault\aspalpha\aspnum\faauto\adjustright\rin0\lin0\itap0 \rtlch\fcs1 \af0\afs20\alang1025 \ltrch\fcs0 \fs24\lang2057\langfe2057\cgrid\langnp2057\langfenp2057 {\rtlch\fcs1 \af0 _x000d__x000a_\ltrch\fcs0 \insrsid15611101 \chftnsep _x000d__x000a_\par }}{\*\aftnsepc \ltrpar \pard\plain \ltrpar\ql \li0\ri0\widctlpar\wrapdefault\aspalpha\aspnum\faauto\adjustright\rin0\lin0\itap0 \rtlch\fcs1 \af0\afs20\alang1025 \ltrch\fcs0 \fs24\lang2057\langfe2057\cgrid\langnp2057\langfenp2057 {\rtlch\fcs1 \af0 _x000d__x000a_\ltrch\fcs0 \insrsid156111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9918986 \rtlch\fcs1 _x000d__x000a_\af0\afs20\alang1025 \ltrch\fcs0 \b\fs24\lang2057\langfe2057\cgrid\langnp2057\langfenp2057 {\rtlch\fcs1 \af0 \ltrch\fcs0 \cs17\b0\v\fs20\cf9\lang1024\langfe1024\loch\af1\hich\af1\dbch\af31501\noproof\insrsid9918986\charrsid15879488 {\*\bkmkstart restartB}_x000d__x000a_\hich\af1\dbch\af31501\loch\f1 &lt;AmendB&gt;}{\rtlch\fcs1 \af0 \ltrch\fcs0 \insrsid9918986\charrsid15879488 [ZAMENDMENT]\tab \tab }{\rtlch\fcs1 \af0 \ltrch\fcs0 _x000d__x000a_\cs17\b0\v\fs20\cf9\lang1024\langfe1024\loch\af1\hich\af1\dbch\af31501\noproof\insrsid9918986\charrsid15879488 \hich\af1\dbch\af31501\loch\f1 &lt;NumAmB&gt;}{\rtlch\fcs1 \af0 \ltrch\fcs0 \insrsid9918986\charrsid15879488 [ZNRAM]}{\rtlch\fcs1 \af0 \ltrch\fcs0 _x000d__x000a_\cs17\b0\v\fs20\cf9\lang1024\langfe1024\loch\af1\hich\af1\dbch\af31501\noproof\insrsid9918986\charrsid15879488 \hich\af1\dbch\af31501\loch\f1 &lt;/NumAmB&gt;}{\rtlch\fcs1 \af0 \ltrch\fcs0 \insrsid9918986\charrsid15879488 _x000d__x000a_\par }\pard\plain \ltrpar\s25\ql \li0\ri0\sb240\keepn\nowidctlpar\wrapdefault\aspalpha\aspnum\faauto\adjustright\rin0\lin0\itap0\pararsid9918986 \rtlch\fcs1 \af0\afs20\alang1025 \ltrch\fcs0 \b\fs24\lang2057\langfe2057\cgrid\langnp2057\langfenp2057 {_x000d__x000a_\rtlch\fcs1 \af0 \ltrch\fcs0 \cs17\b0\v\fs20\cf9\lang1024\langfe1024\loch\af1\hich\af1\dbch\af31501\noproof\insrsid9918986\charrsid15879488 \hich\af1\dbch\af31501\loch\f1 &lt;DocAmend&gt;}{\rtlch\fcs1 \af0 \ltrch\fcs0 \insrsid9918986\charrsid15879488 _x000d__x000a_[ZPROPOSAL][ZAMACT]}{\rtlch\fcs1 \af0 \ltrch\fcs0 \cs17\b0\v\fs20\cf9\lang1024\langfe1024\loch\af1\hich\af1\dbch\af31501\noproof\insrsid9918986\charrsid15879488 \hich\af1\dbch\af31501\loch\f1 &lt;/DocAmend&gt;}{\rtlch\fcs1 \af0 \ltrch\fcs0 _x000d__x000a_\insrsid9918986\charrsid15879488 _x000d__x000a_\par }\pard\plain \ltrpar\s19\ql \li0\ri0\keepn\nowidctlpar\wrapdefault\aspalpha\aspnum\faauto\adjustright\rin0\lin0\itap0\pararsid9918986 \rtlch\fcs1 \af0\afs20\alang1025 \ltrch\fcs0 \b\fs24\lang2057\langfe2057\cgrid\langnp2057\langfenp2057 {\rtlch\fcs1 \af0 _x000d__x000a_\ltrch\fcs0 \cs17\b0\v\fs20\cf9\lang1024\langfe1024\loch\af1\hich\af1\dbch\af31501\noproof\insrsid9918986\charrsid15879488 \hich\af1\dbch\af31501\loch\f1 &lt;Article&gt;}{\rtlch\fcs1 \af0 \ltrch\fcs0 \insrsid9918986\charrsid15879488 [ZAMPART]}{\rtlch\fcs1 \af0 _x000d__x000a_\ltrch\fcs0 \cs17\b0\v\fs20\cf9\lang1024\langfe1024\loch\af1\hich\af1\dbch\af31501\noproof\insrsid9918986\charrsid15879488 \hich\af1\dbch\af31501\loch\f1 &lt;/Article&gt;}{\rtlch\fcs1 \af0 \ltrch\fcs0 \insrsid9918986\charrsid15879488 _x000d__x000a_\par }\pard\plain \ltrpar\ql \li0\ri0\keepn\widctlpar\wrapdefault\aspalpha\aspnum\faauto\adjustright\rin0\lin0\itap0\pararsid9918986 \rtlch\fcs1 \af0\afs20\alang1025 \ltrch\fcs0 \fs24\lang2057\langfe2057\cgrid\langnp2057\langfenp2057 {\rtlch\fcs1 \af0 _x000d__x000a_\ltrch\fcs0 \cs17\v\fs20\cf9\lang1024\langfe1024\loch\af1\hich\af1\dbch\af31501\noproof\insrsid9918986\charrsid15879488 \hich\af1\dbch\af31501\loch\f1 &lt;DocAmend2&gt;&lt;OptDel&gt;}{\rtlch\fcs1 \af0 \ltrch\fcs0 \insrsid9918986\charrsid15879488 [ZNRACT]}{_x000d__x000a_\rtlch\fcs1 \af0 \ltrch\fcs0 \cs17\v\fs20\cf9\lang1024\langfe1024\loch\af1\hich\af1\dbch\af31501\noproof\insrsid9918986\charrsid15879488 \hich\af1\dbch\af31501\loch\f1 &lt;/OptDel&gt;&lt;/DocAmend2&gt;}{\rtlch\fcs1 \af0 \ltrch\fcs0 \insrsid9918986\charrsid15879488 _x000d__x000a__x000d__x000a_\par }\pard \ltrpar\ql \li0\ri0\widctlpar\wrapdefault\aspalpha\aspnum\faauto\adjustright\rin0\lin0\itap0\pararsid9918986 {\rtlch\fcs1 \af0 \ltrch\fcs0 _x000d__x000a_\cs17\v\fs20\cf9\lang1024\langfe1024\loch\af1\hich\af1\dbch\af31501\noproof\langnp1036\insrsid9918986\charrsid11356624 \hich\af1\dbch\af31501\loch\f1 &lt;Article2&gt;&lt;OptDel&gt;}{\rtlch\fcs1 \af0 \ltrch\fcs0 _x000d__x000a_\lang1036\langfe2057\langnp1036\insrsid9918986\charrsid11356624 [ZACTPART]}{\rtlch\fcs1 \af0 \ltrch\fcs0 \cs17\v\fs20\cf9\lang1024\langfe1024\loch\af1\hich\af1\dbch\af31501\noproof\langnp1036\insrsid9918986\charrsid11356624 \hich\af1\dbch\af31501\loch\f1 _x000d__x000a_&lt;/OptDel&gt;&lt;/Article2&gt;}{\rtlch\fcs1 \af0 \ltrch\fcs0 \lang1036\langfe2057\langnp1036\insrsid991898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9918986\charrsid11356624 \cell }\pard \ltrpar\ql \li0\ri0\widctlpar\intbl\wrapdefault\aspalpha\aspnum\faauto\adjustright\rin0\lin0 {\rtlch\fcs1 \af0 \ltrch\fcs0 \insrsid991898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9918986\charrsid15879488 [ZLEFTB]\cell [ZRIGHT]\cell }\pard\plain \ltrpar\ql \li0\ri0\widctlpar\intbl\wrapdefault\aspalpha\aspnum\faauto\adjustright\rin0\lin0 \rtlch\fcs1 \af0\afs20\alang1025 \ltrch\fcs0 _x000d__x000a_\fs24\lang2057\langfe2057\cgrid\langnp2057\langfenp2057 {\rtlch\fcs1 \af0 \ltrch\fcs0 \insrsid991898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918986\charrsid15879488 [ZTEXTL]\cell [ZTEXTR]}{\rtlch\fcs1 \af0\afs24 \ltrch\fcs0 \insrsid9918986\charrsid15879488 \cell }\pard\plain \ltrpar\ql \li0\ri0\widctlpar\intbl\wrapdefault\aspalpha\aspnum\faauto\adjustright\rin0\lin0 \rtlch\fcs1 _x000d__x000a_\af0\afs20\alang1025 \ltrch\fcs0 \fs24\lang2057\langfe2057\cgrid\langnp2057\langfenp2057 {\rtlch\fcs1 \af0 \ltrch\fcs0 \insrsid991898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918986 \rtlch\fcs1 \af0\afs20\alang1025 \ltrch\fcs0 \i\fs24\lang2057\langfe2057\cgrid\langnp2057\langfenp2057 {\rtlch\fcs1 \af0 \ltrch\fcs0 _x000d__x000a_\cs17\i0\v\fs20\cf9\lang1024\langfe1024\loch\af1\hich\af1\dbch\af31501\noproof\insrsid9918986\charrsid15879488 \hich\af1\dbch\af31501\loch\f1 &lt;OptDel&gt;}{\rtlch\fcs1 \af0 \ltrch\fcs0 \insrsid9918986\charrsid15879488 [ZCROSSREF]}{\rtlch\fcs1 \af0 _x000d__x000a_\ltrch\fcs0 \cs17\i0\v\fs20\cf9\lang1024\langfe1024\loch\af1\hich\af1\dbch\af31501\noproof\insrsid9918986\charrsid15879488 \hich\af1\dbch\af31501\loch\f1 &lt;/OptDel&gt;}{\rtlch\fcs1 \af0 \ltrch\fcs0 \insrsid9918986\charrsid15879488 _x000d__x000a_\par }\pard\plain \ltrpar\s22\qc \li0\ri0\sb240\sa240\keepn\nowidctlpar\wrapdefault\aspalpha\aspnum\faauto\adjustright\rin0\lin0\itap0\pararsid9918986 \rtlch\fcs1 \af0\afs20\alang1025 \ltrch\fcs0 \i\fs24\lang2057\langfe2057\cgrid\langnp2057\langfenp2057 {_x000d__x000a_\rtlch\fcs1 \af0 \ltrch\fcs0 \cs17\i0\v\fs20\cf9\lang1024\langfe1024\loch\af1\hich\af1\dbch\af31501\noproof\insrsid9918986\charrsid15879488 \hich\af1\dbch\af31501\loch\f1 &lt;TitreJust&gt;}{\rtlch\fcs1 \af0 \ltrch\fcs0 \insrsid9918986\charrsid15879488 _x000d__x000a_[ZJUSTIFICATION]}{\rtlch\fcs1 \af0 \ltrch\fcs0 \cs17\i0\v\fs20\cf9\lang1024\langfe1024\loch\af1\hich\af1\dbch\af31501\noproof\insrsid9918986\charrsid15879488 \hich\af1\dbch\af31501\loch\f1 &lt;/TitreJust&gt;}{\rtlch\fcs1 \af0 \ltrch\fcs0 _x000d__x000a_\insrsid9918986\charrsid15879488 _x000d__x000a_\par }\pard\plain \ltrpar\s20\ql \li0\ri0\sa240\nowidctlpar\wrapdefault\aspalpha\aspnum\faauto\adjustright\rin0\lin0\itap0\pararsid9918986 \rtlch\fcs1 \af0\afs20\alang1025 \ltrch\fcs0 \i\fs24\lang2057\langfe2057\cgrid\langnp2057\langfenp2057 {\rtlch\fcs1 \af0 _x000d__x000a_\ltrch\fcs0 \cs17\i0\v\fs20\cf9\lang1024\langfe1024\loch\af1\hich\af1\dbch\af31501\noproof\insrsid9918986\charrsid15879488 \hich\af1\dbch\af31501\loch\f1 &lt;OptDelPrev&gt;}{\rtlch\fcs1 \af0 \ltrch\fcs0 \insrsid9918986\charrsid15879488 [ZTEXTJUST]}{\rtlch\fcs1 _x000d__x000a_\af0 \ltrch\fcs0 \cs17\i0\v\fs20\cf9\lang1024\langfe1024\loch\af1\hich\af1\dbch\af31501\noproof\insrsid9918986\charrsid15879488 \hich\af1\dbch\af31501\loch\f1 &lt;/OptDelPrev&gt;}{\rtlch\fcs1 \af0 \ltrch\fcs0 \insrsid9918986\charrsid15879488 _x000d__x000a_\par }\pard\plain \ltrpar\ql \li0\ri0\widctlpar\wrapdefault\aspalpha\aspnum\faauto\adjustright\rin0\lin0\itap0\pararsid9918986 \rtlch\fcs1 \af0\afs20\alang1025 \ltrch\fcs0 \fs24\lang2057\langfe2057\cgrid\langnp2057\langfenp2057 {\rtlch\fcs1 \af0 \ltrch\fcs0 _x000d__x000a_\cs17\v\fs20\cf9\lang1024\langfe1024\loch\af1\hich\af1\dbch\af31501\noproof\insrsid9918986\charrsid15879488 \hich\af1\dbch\af31501\loch\f1 &lt;/AmendB&gt;}{\rtlch\fcs1 \af0 \ltrch\fcs0 \insrsid991898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2_x000d__x000a_1abe3b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97554 HideTWBExt;}{_x000d__x000a_\s18\ql \li0\ri0\sa120\nowidctlpar\wrapdefault\aspalpha\aspnum\faauto\adjustright\rin0\lin0\itap0 \rtlch\fcs1 \af0\afs20\alang1025 \ltrch\fcs0 \fs24\lang2057\langfe2057\cgrid\langnp2057\langfenp2057 \sbasedon0 \snext18 \spriority0 \styrsid8997554 _x000d__x000a_Normal6a;}{\s19\ql \li0\ri0\nowidctlpar\wrapdefault\aspalpha\aspnum\faauto\adjustright\rin0\lin0\itap0 \rtlch\fcs1 \af0\afs20\alang1025 \ltrch\fcs0 \b\fs24\lang2057\langfe2057\cgrid\langnp2057\langfenp2057 \sbasedon0 \snext19 \spriority0 \styrsid8997554 _x000d__x000a_NormalBold;}{\s20\ql \li0\ri0\sa240\nowidctlpar\wrapdefault\aspalpha\aspnum\faauto\adjustright\rin0\lin0\itap0 \rtlch\fcs1 \af0\afs20\alang1025 \ltrch\fcs0 \i\fs24\lang2057\langfe2057\cgrid\langnp2057\langfenp2057 _x000d__x000a_\sbasedon0 \snext20 \spriority0 \styrsid8997554 AmJustText;}{\s21\qc \li0\ri0\sb240\sa240\nowidctlpar\wrapdefault\aspalpha\aspnum\faauto\adjustright\rin0\lin0\itap0 \rtlch\fcs1 \af0\afs20\alang1025 \ltrch\fcs0 _x000d__x000a_\i\fs24\lang2057\langfe2057\cgrid\langnp2057\langfenp2057 \sbasedon0 \snext21 \spriority0 \styrsid8997554 AmCrossRef;}{\s22\qc \li0\ri0\sb240\sa240\keepn\nowidctlpar\wrapdefault\aspalpha\aspnum\faauto\adjustright\rin0\lin0\itap0 \rtlch\fcs1 _x000d__x000a_\af0\afs20\alang1025 \ltrch\fcs0 \i\fs24\lang2057\langfe2057\cgrid\langnp2057\langfenp2057 \sbasedon0 \snext20 \spriority0 \styrsid8997554 AmJustTitle;}{\s23\qc \li0\ri0\sa240\nowidctlpar\wrapdefault\aspalpha\aspnum\faauto\adjustright\rin0\lin0\itap0 _x000d__x000a_\rtlch\fcs1 \af0\afs20\alang1025 \ltrch\fcs0 \i\fs24\lang2057\langfe2057\cgrid\langnp2057\langfenp2057 \sbasedon0 \snext23 \spriority0 \styrsid899755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97554 AmNumberTabs;}{\s25\ql \li0\ri0\sb240\nowidctlpar\wrapdefault\aspalpha\aspnum\faauto\adjustright\rin0\lin0\itap0 \rtlch\fcs1 _x000d__x000a_\af0\afs20\alang1025 \ltrch\fcs0 \b\fs24\lang2057\langfe2057\cgrid\langnp2057\langfenp2057 \sbasedon0 \snext25 \spriority0 \styrsid8997554 NormalBold12b;}}{\*\rsidtbl \rsid24658\rsid223860\rsid735077\rsid1718133\rsid2892074\rsid3565327\rsid4666813_x000d__x000a_\rsid6641733\rsid7823322\rsid8997554\rsid9636012\rsid10377208\rsid11215221\rsid11549030\rsid12154954\rsid14382809\rsid14424199\rsid15204470\rsid15285974\rsid15860182\rsid15950462\rsid16324206\rsid16662270}{\mmathPr\mmathFont34\mbrkBin0\mbrkBinSub0_x000d__x000a_\msmallFrac0\mdispDef1\mlMargin0\mrMargin0\mdefJc1\mwrapIndent1440\mintLim0\mnaryLim1}{\info{\author OSLADILOVA Jana}{\operator OSLADILOVA Jana}{\creatim\yr2023\mo12\dy11\hr15\min9}{\revtim\yr2023\mo12\dy11\hr15\min9}{\version1}{\edmins0}{\nofpages1}_x000d__x000a_{\nofwords57}{\nofchars315}{\nofcharsws36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7554\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15860182 \chftnsep _x000d__x000a_\par }}{\*\ftnsepc \ltrpar \pard\plain \ltrpar\ql \li0\ri0\widctlpar\wrapdefault\aspalpha\aspnum\faauto\adjustright\rin0\lin0\itap0 \rtlch\fcs1 \af0\afs20\alang1025 \ltrch\fcs0 \fs24\lang2057\langfe2057\cgrid\langnp2057\langfenp2057 {\rtlch\fcs1 \af0 _x000d__x000a_\ltrch\fcs0 \insrsid15860182 \chftnsepc _x000d__x000a_\par }}{\*\aftnsep \ltrpar \pard\plain \ltrpar\ql \li0\ri0\widctlpar\wrapdefault\aspalpha\aspnum\faauto\adjustright\rin0\lin0\itap0 \rtlch\fcs1 \af0\afs20\alang1025 \ltrch\fcs0 \fs24\lang2057\langfe2057\cgrid\langnp2057\langfenp2057 {\rtlch\fcs1 \af0 _x000d__x000a_\ltrch\fcs0 \insrsid15860182 \chftnsep _x000d__x000a_\par }}{\*\aftnsepc \ltrpar \pard\plain \ltrpar\ql \li0\ri0\widctlpar\wrapdefault\aspalpha\aspnum\faauto\adjustright\rin0\lin0\itap0 \rtlch\fcs1 \af0\afs20\alang1025 \ltrch\fcs0 \fs24\lang2057\langfe2057\cgrid\langnp2057\langfenp2057 {\rtlch\fcs1 \af0 _x000d__x000a_\ltrch\fcs0 \insrsid158601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97554 \rtlch\fcs1 _x000d__x000a_\af0\afs20\alang1025 \ltrch\fcs0 \b\fs24\lang2057\langfe2057\cgrid\langnp2057\langfenp2057 {\rtlch\fcs1 \af0 \ltrch\fcs0 \cs17\b0\v\fs20\cf9\lang1024\langfe1024\loch\af1\hich\af1\dbch\af31501\noproof\insrsid8997554\charrsid15879488 {\*\bkmkstart restartB}_x000d__x000a_\hich\af1\dbch\af31501\loch\f1 &lt;AmendB&gt;}{\rtlch\fcs1 \af0 \ltrch\fcs0 \insrsid8997554\charrsid15879488 [ZAMENDMENT]\tab \tab }{\rtlch\fcs1 \af0 \ltrch\fcs0 _x000d__x000a_\cs17\b0\v\fs20\cf9\lang1024\langfe1024\loch\af1\hich\af1\dbch\af31501\noproof\insrsid8997554\charrsid15879488 \hich\af1\dbch\af31501\loch\f1 &lt;NumAmB&gt;}{\rtlch\fcs1 \af0 \ltrch\fcs0 \insrsid8997554\charrsid15879488 [ZNRAM]}{\rtlch\fcs1 \af0 \ltrch\fcs0 _x000d__x000a_\cs17\b0\v\fs20\cf9\lang1024\langfe1024\loch\af1\hich\af1\dbch\af31501\noproof\insrsid8997554\charrsid15879488 \hich\af1\dbch\af31501\loch\f1 &lt;/NumAmB&gt;}{\rtlch\fcs1 \af0 \ltrch\fcs0 \insrsid8997554\charrsid15879488 _x000d__x000a_\par }\pard\plain \ltrpar\s25\ql \li0\ri0\sb240\keepn\nowidctlpar\wrapdefault\aspalpha\aspnum\faauto\adjustright\rin0\lin0\itap0\pararsid8997554 \rtlch\fcs1 \af0\afs20\alang1025 \ltrch\fcs0 \b\fs24\lang2057\langfe2057\cgrid\langnp2057\langfenp2057 {_x000d__x000a_\rtlch\fcs1 \af0 \ltrch\fcs0 \cs17\b0\v\fs20\cf9\lang1024\langfe1024\loch\af1\hich\af1\dbch\af31501\noproof\insrsid8997554\charrsid15879488 \hich\af1\dbch\af31501\loch\f1 &lt;DocAmend&gt;}{\rtlch\fcs1 \af0 \ltrch\fcs0 \insrsid8997554\charrsid15879488 _x000d__x000a_[ZPROPOSAL][ZAMACT]}{\rtlch\fcs1 \af0 \ltrch\fcs0 \cs17\b0\v\fs20\cf9\lang1024\langfe1024\loch\af1\hich\af1\dbch\af31501\noproof\insrsid8997554\charrsid15879488 \hich\af1\dbch\af31501\loch\f1 &lt;/DocAmend&gt;}{\rtlch\fcs1 \af0 \ltrch\fcs0 _x000d__x000a_\insrsid8997554\charrsid15879488 _x000d__x000a_\par }\pard\plain \ltrpar\s19\ql \li0\ri0\keepn\nowidctlpar\wrapdefault\aspalpha\aspnum\faauto\adjustright\rin0\lin0\itap0\pararsid8997554 \rtlch\fcs1 \af0\afs20\alang1025 \ltrch\fcs0 \b\fs24\lang2057\langfe2057\cgrid\langnp2057\langfenp2057 {\rtlch\fcs1 \af0 _x000d__x000a_\ltrch\fcs0 \cs17\b0\v\fs20\cf9\lang1024\langfe1024\loch\af1\hich\af1\dbch\af31501\noproof\insrsid8997554\charrsid15879488 \hich\af1\dbch\af31501\loch\f1 &lt;Article&gt;}{\rtlch\fcs1 \af0 \ltrch\fcs0 \insrsid8997554\charrsid15879488 [ZAMPART]}{\rtlch\fcs1 \af0 _x000d__x000a_\ltrch\fcs0 \cs17\b0\v\fs20\cf9\lang1024\langfe1024\loch\af1\hich\af1\dbch\af31501\noproof\insrsid8997554\charrsid15879488 \hich\af1\dbch\af31501\loch\f1 &lt;/Article&gt;}{\rtlch\fcs1 \af0 \ltrch\fcs0 \insrsid8997554\charrsid15879488 _x000d__x000a_\par }\pard\plain \ltrpar\ql \li0\ri0\keepn\widctlpar\wrapdefault\aspalpha\aspnum\faauto\adjustright\rin0\lin0\itap0\pararsid8997554 \rtlch\fcs1 \af0\afs20\alang1025 \ltrch\fcs0 \fs24\lang2057\langfe2057\cgrid\langnp2057\langfenp2057 {\rtlch\fcs1 \af0 _x000d__x000a_\ltrch\fcs0 \cs17\v\fs20\cf9\lang1024\langfe1024\loch\af1\hich\af1\dbch\af31501\noproof\insrsid8997554\charrsid15879488 \hich\af1\dbch\af31501\loch\f1 &lt;DocAmend2&gt;&lt;OptDel&gt;}{\rtlch\fcs1 \af0 \ltrch\fcs0 \insrsid8997554\charrsid15879488 [ZNRACT]}{_x000d__x000a_\rtlch\fcs1 \af0 \ltrch\fcs0 \cs17\v\fs20\cf9\lang1024\langfe1024\loch\af1\hich\af1\dbch\af31501\noproof\insrsid8997554\charrsid15879488 \hich\af1\dbch\af31501\loch\f1 &lt;/OptDel&gt;&lt;/DocAmend2&gt;}{\rtlch\fcs1 \af0 \ltrch\fcs0 \insrsid8997554\charrsid15879488 _x000d__x000a__x000d__x000a_\par }\pard \ltrpar\ql \li0\ri0\widctlpar\wrapdefault\aspalpha\aspnum\faauto\adjustright\rin0\lin0\itap0\pararsid8997554 {\rtlch\fcs1 \af0 \ltrch\fcs0 _x000d__x000a_\cs17\v\fs20\cf9\lang1024\langfe1024\loch\af1\hich\af1\dbch\af31501\noproof\langnp1036\insrsid8997554\charrsid11356624 \hich\af1\dbch\af31501\loch\f1 &lt;Article2&gt;&lt;OptDel&gt;}{\rtlch\fcs1 \af0 \ltrch\fcs0 _x000d__x000a_\lang1036\langfe2057\langnp1036\insrsid8997554\charrsid11356624 [ZACTPART]}{\rtlch\fcs1 \af0 \ltrch\fcs0 \cs17\v\fs20\cf9\lang1024\langfe1024\loch\af1\hich\af1\dbch\af31501\noproof\langnp1036\insrsid8997554\charrsid11356624 \hich\af1\dbch\af31501\loch\f1 _x000d__x000a_&lt;/OptDel&gt;&lt;/Article2&gt;}{\rtlch\fcs1 \af0 \ltrch\fcs0 \lang1036\langfe2057\langnp1036\insrsid899755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97554\charrsid11356624 \cell }\pard \ltrpar\ql \li0\ri0\widctlpar\intbl\wrapdefault\aspalpha\aspnum\faauto\adjustright\rin0\lin0 {\rtlch\fcs1 \af0 \ltrch\fcs0 \insrsid899755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97554\charrsid15879488 [ZLEFTB]\cell [ZRIGHT]\cell }\pard\plain \ltrpar\ql \li0\ri0\widctlpar\intbl\wrapdefault\aspalpha\aspnum\faauto\adjustright\rin0\lin0 \rtlch\fcs1 \af0\afs20\alang1025 \ltrch\fcs0 _x000d__x000a_\fs24\lang2057\langfe2057\cgrid\langnp2057\langfenp2057 {\rtlch\fcs1 \af0 \ltrch\fcs0 \insrsid899755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97554\charrsid15879488 [ZTEXTL]\cell [ZTEXTR]}{\rtlch\fcs1 \af0\afs24 \ltrch\fcs0 \insrsid8997554\charrsid15879488 \cell }\pard\plain \ltrpar\ql \li0\ri0\widctlpar\intbl\wrapdefault\aspalpha\aspnum\faauto\adjustright\rin0\lin0 \rtlch\fcs1 _x000d__x000a_\af0\afs20\alang1025 \ltrch\fcs0 \fs24\lang2057\langfe2057\cgrid\langnp2057\langfenp2057 {\rtlch\fcs1 \af0 \ltrch\fcs0 \insrsid899755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97554 \rtlch\fcs1 \af0\afs20\alang1025 \ltrch\fcs0 \i\fs24\lang2057\langfe2057\cgrid\langnp2057\langfenp2057 {\rtlch\fcs1 \af0 \ltrch\fcs0 _x000d__x000a_\cs17\i0\v\fs20\cf9\lang1024\langfe1024\loch\af1\hich\af1\dbch\af31501\noproof\insrsid8997554\charrsid15879488 \hich\af1\dbch\af31501\loch\f1 &lt;OptDel&gt;}{\rtlch\fcs1 \af0 \ltrch\fcs0 \insrsid8997554\charrsid15879488 [ZCROSSREF]}{\rtlch\fcs1 \af0 _x000d__x000a_\ltrch\fcs0 \cs17\i0\v\fs20\cf9\lang1024\langfe1024\loch\af1\hich\af1\dbch\af31501\noproof\insrsid8997554\charrsid15879488 \hich\af1\dbch\af31501\loch\f1 &lt;/OptDel&gt;}{\rtlch\fcs1 \af0 \ltrch\fcs0 \insrsid8997554\charrsid15879488 _x000d__x000a_\par }\pard\plain \ltrpar\s22\qc \li0\ri0\sb240\sa240\keepn\nowidctlpar\wrapdefault\aspalpha\aspnum\faauto\adjustright\rin0\lin0\itap0\pararsid8997554 \rtlch\fcs1 \af0\afs20\alang1025 \ltrch\fcs0 \i\fs24\lang2057\langfe2057\cgrid\langnp2057\langfenp2057 {_x000d__x000a_\rtlch\fcs1 \af0 \ltrch\fcs0 \cs17\i0\v\fs20\cf9\lang1024\langfe1024\loch\af1\hich\af1\dbch\af31501\noproof\insrsid8997554\charrsid15879488 \hich\af1\dbch\af31501\loch\f1 &lt;TitreJust&gt;}{\rtlch\fcs1 \af0 \ltrch\fcs0 \insrsid8997554\charrsid15879488 _x000d__x000a_[ZJUSTIFICATION]}{\rtlch\fcs1 \af0 \ltrch\fcs0 \cs17\i0\v\fs20\cf9\lang1024\langfe1024\loch\af1\hich\af1\dbch\af31501\noproof\insrsid8997554\charrsid15879488 \hich\af1\dbch\af31501\loch\f1 &lt;/TitreJust&gt;}{\rtlch\fcs1 \af0 \ltrch\fcs0 _x000d__x000a_\insrsid8997554\charrsid15879488 _x000d__x000a_\par }\pard\plain \ltrpar\s20\ql \li0\ri0\sa240\nowidctlpar\wrapdefault\aspalpha\aspnum\faauto\adjustright\rin0\lin0\itap0\pararsid8997554 \rtlch\fcs1 \af0\afs20\alang1025 \ltrch\fcs0 \i\fs24\lang2057\langfe2057\cgrid\langnp2057\langfenp2057 {\rtlch\fcs1 \af0 _x000d__x000a_\ltrch\fcs0 \cs17\i0\v\fs20\cf9\lang1024\langfe1024\loch\af1\hich\af1\dbch\af31501\noproof\insrsid8997554\charrsid15879488 \hich\af1\dbch\af31501\loch\f1 &lt;OptDelPrev&gt;}{\rtlch\fcs1 \af0 \ltrch\fcs0 \insrsid8997554\charrsid15879488 [ZTEXTJUST]}{\rtlch\fcs1 _x000d__x000a_\af0 \ltrch\fcs0 \cs17\i0\v\fs20\cf9\lang1024\langfe1024\loch\af1\hich\af1\dbch\af31501\noproof\insrsid8997554\charrsid15879488 \hich\af1\dbch\af31501\loch\f1 &lt;/OptDelPrev&gt;}{\rtlch\fcs1 \af0 \ltrch\fcs0 \insrsid8997554\charrsid15879488 _x000d__x000a_\par }\pard\plain \ltrpar\ql \li0\ri0\widctlpar\wrapdefault\aspalpha\aspnum\faauto\adjustright\rin0\lin0\itap0\pararsid8997554 \rtlch\fcs1 \af0\afs20\alang1025 \ltrch\fcs0 \fs24\lang2057\langfe2057\cgrid\langnp2057\langfenp2057 {\rtlch\fcs1 \af0 \ltrch\fcs0 _x000d__x000a_\cs17\v\fs20\cf9\lang1024\langfe1024\loch\af1\hich\af1\dbch\af31501\noproof\insrsid8997554\charrsid15879488 \hich\af1\dbch\af31501\loch\f1 &lt;/AmendB&gt;}{\rtlch\fcs1 \af0 \ltrch\fcs0 \insrsid899755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0_x000d__x000a_3cb93b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CS"/>
    <w:docVar w:name="TXTLANGUEMIN" w:val="cs"/>
    <w:docVar w:name="TXTNRC" w:val="0512"/>
    <w:docVar w:name="TXTNRCOM" w:val="2023"/>
    <w:docVar w:name="TXTNRFIRSTAM" w:val="1"/>
    <w:docVar w:name="TXTNRLASTAM" w:val="43"/>
    <w:docVar w:name="TXTNRPE" w:val="754.897"/>
    <w:docVar w:name="TXTNRPROC" w:val="2023/0311"/>
    <w:docVar w:name="TXTPEorAP" w:val="PE"/>
    <w:docVar w:name="TXTROUTE" w:val="AD\1292708CS.docx"/>
    <w:docVar w:name="TXTVERSION" w:val="05-00"/>
  </w:docVars>
  <w:rsids>
    <w:rsidRoot w:val="00B91A5E"/>
    <w:rsid w:val="00026559"/>
    <w:rsid w:val="00027FA8"/>
    <w:rsid w:val="0003274D"/>
    <w:rsid w:val="00037518"/>
    <w:rsid w:val="0004474F"/>
    <w:rsid w:val="00082EC4"/>
    <w:rsid w:val="000936A7"/>
    <w:rsid w:val="00096CA2"/>
    <w:rsid w:val="000B582F"/>
    <w:rsid w:val="000D08E8"/>
    <w:rsid w:val="000D43ED"/>
    <w:rsid w:val="000D44A6"/>
    <w:rsid w:val="000F59DA"/>
    <w:rsid w:val="00122C05"/>
    <w:rsid w:val="00134974"/>
    <w:rsid w:val="00141CD7"/>
    <w:rsid w:val="00147FBF"/>
    <w:rsid w:val="001616BD"/>
    <w:rsid w:val="0017490F"/>
    <w:rsid w:val="001820A9"/>
    <w:rsid w:val="001A0556"/>
    <w:rsid w:val="001B0A1E"/>
    <w:rsid w:val="001B7B4C"/>
    <w:rsid w:val="001C0886"/>
    <w:rsid w:val="001C1944"/>
    <w:rsid w:val="001D5154"/>
    <w:rsid w:val="001E3AC4"/>
    <w:rsid w:val="0020077A"/>
    <w:rsid w:val="00207509"/>
    <w:rsid w:val="0023131B"/>
    <w:rsid w:val="002A67EE"/>
    <w:rsid w:val="002B2C72"/>
    <w:rsid w:val="002F44A1"/>
    <w:rsid w:val="00304EA8"/>
    <w:rsid w:val="00341A99"/>
    <w:rsid w:val="00360FAA"/>
    <w:rsid w:val="0038225B"/>
    <w:rsid w:val="0038294E"/>
    <w:rsid w:val="003858C5"/>
    <w:rsid w:val="003A2F84"/>
    <w:rsid w:val="003C7390"/>
    <w:rsid w:val="003D4362"/>
    <w:rsid w:val="003E1280"/>
    <w:rsid w:val="003E352B"/>
    <w:rsid w:val="003F128E"/>
    <w:rsid w:val="003F2B13"/>
    <w:rsid w:val="003F2C57"/>
    <w:rsid w:val="0040055C"/>
    <w:rsid w:val="00475E8E"/>
    <w:rsid w:val="00480A64"/>
    <w:rsid w:val="00487596"/>
    <w:rsid w:val="004A56F3"/>
    <w:rsid w:val="004B3A53"/>
    <w:rsid w:val="004C2A0D"/>
    <w:rsid w:val="004E1B62"/>
    <w:rsid w:val="004F1D2F"/>
    <w:rsid w:val="005004D6"/>
    <w:rsid w:val="00502B76"/>
    <w:rsid w:val="0051094C"/>
    <w:rsid w:val="00513F6F"/>
    <w:rsid w:val="00522B51"/>
    <w:rsid w:val="00524707"/>
    <w:rsid w:val="00537202"/>
    <w:rsid w:val="00550B8D"/>
    <w:rsid w:val="005539B7"/>
    <w:rsid w:val="00571233"/>
    <w:rsid w:val="00582526"/>
    <w:rsid w:val="005A6143"/>
    <w:rsid w:val="005C2691"/>
    <w:rsid w:val="00613134"/>
    <w:rsid w:val="00626D52"/>
    <w:rsid w:val="00643DA8"/>
    <w:rsid w:val="00657D5C"/>
    <w:rsid w:val="00683DD1"/>
    <w:rsid w:val="00691B1C"/>
    <w:rsid w:val="006A0F0A"/>
    <w:rsid w:val="006A48AA"/>
    <w:rsid w:val="006B1267"/>
    <w:rsid w:val="006C30F5"/>
    <w:rsid w:val="006C5587"/>
    <w:rsid w:val="006D292E"/>
    <w:rsid w:val="006F096D"/>
    <w:rsid w:val="00712462"/>
    <w:rsid w:val="00716BAA"/>
    <w:rsid w:val="0078548A"/>
    <w:rsid w:val="007A6592"/>
    <w:rsid w:val="007B75B6"/>
    <w:rsid w:val="007B7CE3"/>
    <w:rsid w:val="007F187F"/>
    <w:rsid w:val="007F1AF6"/>
    <w:rsid w:val="00817D13"/>
    <w:rsid w:val="00820C7D"/>
    <w:rsid w:val="00833D11"/>
    <w:rsid w:val="00836FD3"/>
    <w:rsid w:val="008375A8"/>
    <w:rsid w:val="00872A52"/>
    <w:rsid w:val="00876A73"/>
    <w:rsid w:val="00893338"/>
    <w:rsid w:val="0089388A"/>
    <w:rsid w:val="008C1FED"/>
    <w:rsid w:val="008C5297"/>
    <w:rsid w:val="008D44ED"/>
    <w:rsid w:val="008F3DB0"/>
    <w:rsid w:val="00904864"/>
    <w:rsid w:val="009052FE"/>
    <w:rsid w:val="009215FC"/>
    <w:rsid w:val="009228F3"/>
    <w:rsid w:val="00924555"/>
    <w:rsid w:val="009368B3"/>
    <w:rsid w:val="009522D6"/>
    <w:rsid w:val="009725C8"/>
    <w:rsid w:val="0097542F"/>
    <w:rsid w:val="00982B83"/>
    <w:rsid w:val="009857B4"/>
    <w:rsid w:val="00990257"/>
    <w:rsid w:val="009C611A"/>
    <w:rsid w:val="009E7319"/>
    <w:rsid w:val="00A1418C"/>
    <w:rsid w:val="00A51443"/>
    <w:rsid w:val="00A71228"/>
    <w:rsid w:val="00A74E25"/>
    <w:rsid w:val="00A754B5"/>
    <w:rsid w:val="00A91A61"/>
    <w:rsid w:val="00AC2A60"/>
    <w:rsid w:val="00AD49D0"/>
    <w:rsid w:val="00AD5932"/>
    <w:rsid w:val="00B00EE6"/>
    <w:rsid w:val="00B476DC"/>
    <w:rsid w:val="00B556CD"/>
    <w:rsid w:val="00B62D4B"/>
    <w:rsid w:val="00B735E3"/>
    <w:rsid w:val="00B904FA"/>
    <w:rsid w:val="00B91A5E"/>
    <w:rsid w:val="00BA3E40"/>
    <w:rsid w:val="00BB0888"/>
    <w:rsid w:val="00BD1F76"/>
    <w:rsid w:val="00BE03DA"/>
    <w:rsid w:val="00BE20CF"/>
    <w:rsid w:val="00C1452F"/>
    <w:rsid w:val="00C22327"/>
    <w:rsid w:val="00C335C6"/>
    <w:rsid w:val="00C36610"/>
    <w:rsid w:val="00C4219C"/>
    <w:rsid w:val="00C52A28"/>
    <w:rsid w:val="00C62D55"/>
    <w:rsid w:val="00C66A8D"/>
    <w:rsid w:val="00C709B7"/>
    <w:rsid w:val="00C75E98"/>
    <w:rsid w:val="00C81C5B"/>
    <w:rsid w:val="00C83B35"/>
    <w:rsid w:val="00CB0B09"/>
    <w:rsid w:val="00CF14C0"/>
    <w:rsid w:val="00CF5DBD"/>
    <w:rsid w:val="00D0754B"/>
    <w:rsid w:val="00D25CF2"/>
    <w:rsid w:val="00D45B66"/>
    <w:rsid w:val="00D56CE0"/>
    <w:rsid w:val="00D6254D"/>
    <w:rsid w:val="00D67D0A"/>
    <w:rsid w:val="00D74FD1"/>
    <w:rsid w:val="00D943A5"/>
    <w:rsid w:val="00D9581F"/>
    <w:rsid w:val="00DB56E4"/>
    <w:rsid w:val="00DC76F6"/>
    <w:rsid w:val="00E27F01"/>
    <w:rsid w:val="00E6160A"/>
    <w:rsid w:val="00E6403A"/>
    <w:rsid w:val="00E77FF5"/>
    <w:rsid w:val="00E85376"/>
    <w:rsid w:val="00E94D64"/>
    <w:rsid w:val="00EA3802"/>
    <w:rsid w:val="00EB2CDF"/>
    <w:rsid w:val="00EF1432"/>
    <w:rsid w:val="00EF33D5"/>
    <w:rsid w:val="00F15744"/>
    <w:rsid w:val="00F24D40"/>
    <w:rsid w:val="00F26A7A"/>
    <w:rsid w:val="00F86515"/>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cs-CZ"/>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character" w:customStyle="1" w:styleId="AmNumberTabsChar">
    <w:name w:val="AmNumberTabs Char"/>
    <w:basedOn w:val="DefaultParagraphFont"/>
    <w:link w:val="AmNumberTabs"/>
    <w:rsid w:val="00DC76F6"/>
    <w:rPr>
      <w:b/>
      <w:sz w:val="24"/>
    </w:rPr>
  </w:style>
  <w:style w:type="character" w:customStyle="1" w:styleId="NormalBold12bChar">
    <w:name w:val="NormalBold12b Char"/>
    <w:basedOn w:val="AmNumberTabsChar"/>
    <w:link w:val="NormalBold12b"/>
    <w:rsid w:val="00DC76F6"/>
    <w:rPr>
      <w:b/>
      <w:sz w:val="24"/>
    </w:rPr>
  </w:style>
  <w:style w:type="paragraph" w:customStyle="1" w:styleId="Normal24a">
    <w:name w:val="Normal24a"/>
    <w:basedOn w:val="Normal"/>
    <w:rsid w:val="00DC76F6"/>
    <w:pPr>
      <w:spacing w:after="480"/>
    </w:pPr>
    <w:rPr>
      <w:szCs w:val="20"/>
    </w:rPr>
  </w:style>
  <w:style w:type="paragraph" w:customStyle="1" w:styleId="NormalBoldCenter">
    <w:name w:val="NormalBoldCenter"/>
    <w:basedOn w:val="Normal"/>
    <w:rsid w:val="00DC76F6"/>
    <w:pPr>
      <w:jc w:val="center"/>
    </w:pPr>
    <w:rPr>
      <w:b/>
      <w:szCs w:val="20"/>
    </w:rPr>
  </w:style>
  <w:style w:type="paragraph" w:customStyle="1" w:styleId="RollCallSymbols14pt">
    <w:name w:val="RollCallSymbols14pt"/>
    <w:basedOn w:val="Normal"/>
    <w:rsid w:val="00DC76F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C76F6"/>
    <w:pPr>
      <w:tabs>
        <w:tab w:val="center" w:pos="284"/>
        <w:tab w:val="left" w:pos="426"/>
      </w:tabs>
    </w:pPr>
    <w:rPr>
      <w:snapToGrid w:val="0"/>
      <w:szCs w:val="20"/>
      <w:lang w:eastAsia="en-US"/>
    </w:rPr>
  </w:style>
  <w:style w:type="paragraph" w:customStyle="1" w:styleId="RollCallVotes">
    <w:name w:val="RollCallVotes"/>
    <w:basedOn w:val="Normal"/>
    <w:rsid w:val="00DC76F6"/>
    <w:pPr>
      <w:spacing w:before="120" w:after="120"/>
      <w:jc w:val="center"/>
    </w:pPr>
    <w:rPr>
      <w:b/>
      <w:bCs/>
      <w:snapToGrid w:val="0"/>
      <w:sz w:val="16"/>
      <w:szCs w:val="20"/>
      <w:lang w:eastAsia="en-US"/>
    </w:rPr>
  </w:style>
  <w:style w:type="paragraph" w:customStyle="1" w:styleId="RollCallTable">
    <w:name w:val="RollCallTable"/>
    <w:basedOn w:val="Normal"/>
    <w:rsid w:val="00DC76F6"/>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64521-C9CC-41AD-B2AF-DB310B90A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3676</Words>
  <Characters>22391</Characters>
  <Application>Microsoft Office Word</Application>
  <DocSecurity>0</DocSecurity>
  <Lines>862</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2024-01-10T08:38:00Z</dcterms:created>
  <dcterms:modified xsi:type="dcterms:W3CDTF">2024-01-10T08:38:00Z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Bookout">
    <vt:lpwstr>OK - 2024/01/10 09:38</vt:lpwstr>
  </property>
  <property fmtid="{D5CDD505-2E9C-101B-9397-08002B2CF9AE}" pid="9" name="Created with">
    <vt:lpwstr>9.16.1 Build [20230920]</vt:lpwstr>
  </property>
  <property fmtid="{D5CDD505-2E9C-101B-9397-08002B2CF9AE}" pid="10" name="FooterPath">
    <vt:lpwstr>AD\1292708CS.docx</vt:lpwstr>
  </property>
  <property fmtid="{D5CDD505-2E9C-101B-9397-08002B2CF9AE}" pid="11" name="LastEdited with">
    <vt:lpwstr>9.17.0 Build [20231101]</vt:lpwstr>
  </property>
  <property fmtid="{D5CDD505-2E9C-101B-9397-08002B2CF9AE}" pid="12" name="PE number">
    <vt:lpwstr>754.897</vt:lpwstr>
  </property>
  <property fmtid="{D5CDD505-2E9C-101B-9397-08002B2CF9AE}" pid="13" name="SDLStudio">
    <vt:lpwstr/>
  </property>
  <property fmtid="{D5CDD505-2E9C-101B-9397-08002B2CF9AE}" pid="14" name="SendToEpades">
    <vt:lpwstr>OK - 2023/11/17 16:02</vt:lpwstr>
  </property>
</Properties>
</file>