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C65A0" w:rsidRPr="003801EA" w:rsidTr="009725C8">
        <w:trPr>
          <w:trHeight w:hRule="exact" w:val="1418"/>
        </w:trPr>
        <w:tc>
          <w:tcPr>
            <w:tcW w:w="6804" w:type="dxa"/>
            <w:shd w:val="clear" w:color="auto" w:fill="auto"/>
            <w:vAlign w:val="center"/>
          </w:tcPr>
          <w:p w:rsidR="00BA3E40" w:rsidRPr="003801EA" w:rsidRDefault="00AA6877" w:rsidP="00AA6877">
            <w:pPr>
              <w:pStyle w:val="EPName"/>
              <w:widowControl/>
            </w:pPr>
            <w:r w:rsidRPr="003801EA">
              <w:t>Euroopan parlamentti</w:t>
            </w:r>
          </w:p>
          <w:p w:rsidR="00BA3E40" w:rsidRPr="003801EA" w:rsidRDefault="00AA6877" w:rsidP="00AA6877">
            <w:pPr>
              <w:pStyle w:val="EPTerm"/>
              <w:widowControl/>
            </w:pPr>
            <w:r w:rsidRPr="003801EA">
              <w:t>2019-2024</w:t>
            </w:r>
          </w:p>
        </w:tc>
        <w:tc>
          <w:tcPr>
            <w:tcW w:w="2268" w:type="dxa"/>
            <w:shd w:val="clear" w:color="auto" w:fill="auto"/>
          </w:tcPr>
          <w:p w:rsidR="00BA3E40" w:rsidRPr="003801EA" w:rsidRDefault="00AA6877" w:rsidP="00AA6877">
            <w:pPr>
              <w:pStyle w:val="EPLogo"/>
              <w:widowControl/>
            </w:pPr>
            <w:r w:rsidRPr="003801EA">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801EA" w:rsidRDefault="00F24D40" w:rsidP="00AA6877">
      <w:pPr>
        <w:pStyle w:val="LineTop"/>
        <w:widowControl/>
      </w:pPr>
    </w:p>
    <w:p w:rsidR="00F24D40" w:rsidRPr="003801EA" w:rsidRDefault="00AA6877" w:rsidP="00AA6877">
      <w:pPr>
        <w:pStyle w:val="EPBody"/>
        <w:widowControl/>
      </w:pPr>
      <w:r w:rsidRPr="003801EA">
        <w:rPr>
          <w:rStyle w:val="HideTWBExt"/>
        </w:rPr>
        <w:t>&lt;</w:t>
      </w:r>
      <w:r w:rsidRPr="003801EA">
        <w:rPr>
          <w:rStyle w:val="HideTWBExt"/>
          <w:i w:val="0"/>
        </w:rPr>
        <w:t>Commission</w:t>
      </w:r>
      <w:r w:rsidRPr="003801EA">
        <w:rPr>
          <w:rStyle w:val="HideTWBExt"/>
        </w:rPr>
        <w:t>&gt;</w:t>
      </w:r>
      <w:r w:rsidRPr="003801EA">
        <w:rPr>
          <w:rStyle w:val="HideTWBInt"/>
          <w:color w:val="auto"/>
        </w:rPr>
        <w:t>{FEMM}</w:t>
      </w:r>
      <w:r w:rsidRPr="003801EA">
        <w:t>Naisten oikeuksien ja sukupuolten tasa-arvon valiokunta</w:t>
      </w:r>
      <w:r w:rsidRPr="003801EA">
        <w:rPr>
          <w:rStyle w:val="HideTWBExt"/>
        </w:rPr>
        <w:t>&lt;/</w:t>
      </w:r>
      <w:r w:rsidRPr="003801EA">
        <w:rPr>
          <w:rStyle w:val="HideTWBExt"/>
          <w:i w:val="0"/>
        </w:rPr>
        <w:t>Commission</w:t>
      </w:r>
      <w:r w:rsidRPr="003801EA">
        <w:rPr>
          <w:rStyle w:val="HideTWBExt"/>
        </w:rPr>
        <w:t>&gt;</w:t>
      </w:r>
    </w:p>
    <w:p w:rsidR="00F24D40" w:rsidRPr="003801EA" w:rsidRDefault="00F24D40" w:rsidP="00AA6877">
      <w:pPr>
        <w:pStyle w:val="LineBottom"/>
        <w:widowControl/>
      </w:pPr>
    </w:p>
    <w:p w:rsidR="00DB56E4" w:rsidRPr="003801EA" w:rsidRDefault="00AA6877" w:rsidP="00AA6877">
      <w:pPr>
        <w:pStyle w:val="CoverReference"/>
        <w:widowControl/>
      </w:pPr>
      <w:r w:rsidRPr="003801EA">
        <w:rPr>
          <w:rStyle w:val="HideTWBExt"/>
          <w:b w:val="0"/>
        </w:rPr>
        <w:t>&lt;RefProc&gt;</w:t>
      </w:r>
      <w:r w:rsidRPr="003801EA">
        <w:t>2023/0311</w:t>
      </w:r>
      <w:r w:rsidRPr="003801EA">
        <w:rPr>
          <w:rStyle w:val="HideTWBExt"/>
          <w:b w:val="0"/>
        </w:rPr>
        <w:t>&lt;/RefProc&gt;&lt;RefTypeProc&gt;</w:t>
      </w:r>
      <w:r w:rsidRPr="003801EA">
        <w:t>(COD)</w:t>
      </w:r>
      <w:r w:rsidRPr="003801EA">
        <w:rPr>
          <w:rStyle w:val="HideTWBExt"/>
          <w:b w:val="0"/>
        </w:rPr>
        <w:t>&lt;/RefTypeProc&gt;</w:t>
      </w:r>
    </w:p>
    <w:p w:rsidR="00DB56E4" w:rsidRPr="003801EA" w:rsidRDefault="00AA6877" w:rsidP="00AA6877">
      <w:pPr>
        <w:pStyle w:val="CoverDate"/>
        <w:widowControl/>
      </w:pPr>
      <w:r w:rsidRPr="003801EA">
        <w:rPr>
          <w:rStyle w:val="HideTWBExt"/>
        </w:rPr>
        <w:t>&lt;Date&gt;</w:t>
      </w:r>
      <w:r w:rsidRPr="003801EA">
        <w:rPr>
          <w:rStyle w:val="HideTWBInt"/>
          <w:color w:val="auto"/>
        </w:rPr>
        <w:t>{04/12/2023}</w:t>
      </w:r>
      <w:r w:rsidRPr="003801EA">
        <w:t>4.12.2023</w:t>
      </w:r>
      <w:r w:rsidRPr="003801EA">
        <w:rPr>
          <w:rStyle w:val="HideTWBExt"/>
        </w:rPr>
        <w:t>&lt;/Date&gt;</w:t>
      </w:r>
    </w:p>
    <w:p w:rsidR="00DB56E4" w:rsidRPr="003801EA" w:rsidRDefault="00AA6877" w:rsidP="00AA6877">
      <w:pPr>
        <w:pStyle w:val="CoverDocType24a"/>
        <w:widowControl/>
      </w:pPr>
      <w:r w:rsidRPr="003801EA">
        <w:rPr>
          <w:rStyle w:val="HideTWBExt"/>
          <w:b w:val="0"/>
        </w:rPr>
        <w:t>&lt;TitreType&gt;</w:t>
      </w:r>
      <w:r w:rsidRPr="003801EA">
        <w:t>LAUSUNTO</w:t>
      </w:r>
      <w:r w:rsidRPr="003801EA">
        <w:rPr>
          <w:rStyle w:val="HideTWBExt"/>
          <w:b w:val="0"/>
        </w:rPr>
        <w:t>&lt;/TitreType&gt;</w:t>
      </w:r>
    </w:p>
    <w:p w:rsidR="00DB56E4" w:rsidRPr="003801EA" w:rsidRDefault="00AA6877" w:rsidP="00AA6877">
      <w:pPr>
        <w:pStyle w:val="CoverNormal24a"/>
        <w:widowControl/>
      </w:pPr>
      <w:r w:rsidRPr="003801EA">
        <w:rPr>
          <w:rStyle w:val="HideTWBExt"/>
        </w:rPr>
        <w:t>&lt;CommissionResp&gt;</w:t>
      </w:r>
      <w:r w:rsidRPr="003801EA">
        <w:t>naisten oikeuksien ja sukupuolten tasa-arvon valiokunnalta</w:t>
      </w:r>
      <w:r w:rsidRPr="003801EA">
        <w:rPr>
          <w:rStyle w:val="HideTWBExt"/>
        </w:rPr>
        <w:t>&lt;/CommissionResp&gt;</w:t>
      </w:r>
    </w:p>
    <w:p w:rsidR="00DB56E4" w:rsidRPr="003801EA" w:rsidRDefault="00AA6877" w:rsidP="00AA6877">
      <w:pPr>
        <w:pStyle w:val="CoverNormal24a"/>
        <w:widowControl/>
      </w:pPr>
      <w:r w:rsidRPr="003801EA">
        <w:rPr>
          <w:rStyle w:val="HideTWBExt"/>
        </w:rPr>
        <w:t>&lt;CommissionInt&gt;</w:t>
      </w:r>
      <w:r w:rsidRPr="003801EA">
        <w:t>työllisyyden ja sosiaaliasioiden valiokunnalle</w:t>
      </w:r>
      <w:r w:rsidRPr="003801EA">
        <w:rPr>
          <w:rStyle w:val="HideTWBExt"/>
        </w:rPr>
        <w:t>&lt;/CommissionInt&gt;</w:t>
      </w:r>
    </w:p>
    <w:p w:rsidR="00DB56E4" w:rsidRPr="003801EA" w:rsidRDefault="00AA6877" w:rsidP="00AA6877">
      <w:pPr>
        <w:pStyle w:val="CoverNormal"/>
        <w:widowControl/>
      </w:pPr>
      <w:r w:rsidRPr="003801EA">
        <w:rPr>
          <w:rStyle w:val="HideTWBExt"/>
        </w:rPr>
        <w:t>&lt;Titre&gt;</w:t>
      </w:r>
      <w:r w:rsidRPr="003801EA">
        <w:t>ehdotuksesta Euroopan parlamentin ja neuvoston direktiiviksi eurooppalaisen vam</w:t>
      </w:r>
      <w:r w:rsidRPr="003801EA">
        <w:t>maiskortin ja eurooppalaisen vammaisten henkilöiden pysäköintiluvan vahvistamisesta</w:t>
      </w:r>
      <w:r w:rsidRPr="003801EA">
        <w:rPr>
          <w:rStyle w:val="HideTWBExt"/>
        </w:rPr>
        <w:t>&lt;/Titre&gt;</w:t>
      </w:r>
    </w:p>
    <w:p w:rsidR="00DB56E4" w:rsidRPr="003801EA" w:rsidRDefault="00AA6877" w:rsidP="00AA6877">
      <w:pPr>
        <w:pStyle w:val="CoverNormal24a"/>
        <w:widowControl/>
      </w:pPr>
      <w:r w:rsidRPr="003801EA">
        <w:rPr>
          <w:rStyle w:val="HideTWBExt"/>
        </w:rPr>
        <w:t>&lt;DocRef&gt;</w:t>
      </w:r>
      <w:r w:rsidRPr="003801EA">
        <w:t>COM(2023)0512 - C9 - 0328/2023</w:t>
      </w:r>
      <w:r w:rsidRPr="003801EA">
        <w:rPr>
          <w:rStyle w:val="HideTWBExt"/>
        </w:rPr>
        <w:t>&lt;/DocRef&gt;</w:t>
      </w:r>
    </w:p>
    <w:p w:rsidR="00DB56E4" w:rsidRPr="003801EA" w:rsidRDefault="00AA6877" w:rsidP="00AA6877">
      <w:pPr>
        <w:pStyle w:val="CoverNormal24a"/>
        <w:widowControl/>
      </w:pPr>
      <w:r w:rsidRPr="003801EA">
        <w:t xml:space="preserve">Valmistelija: </w:t>
      </w:r>
      <w:r w:rsidRPr="003801EA">
        <w:rPr>
          <w:rStyle w:val="HideTWBExt"/>
        </w:rPr>
        <w:t>&lt;Depute&gt;</w:t>
      </w:r>
      <w:r w:rsidRPr="003801EA">
        <w:t>Rosa Estaràs Ferragut</w:t>
      </w:r>
      <w:r w:rsidRPr="003801EA">
        <w:rPr>
          <w:rStyle w:val="HideTWBExt"/>
        </w:rPr>
        <w:t>&lt;/Depute&gt;</w:t>
      </w:r>
    </w:p>
    <w:p w:rsidR="00CF14C0" w:rsidRPr="003801EA" w:rsidRDefault="00CF14C0" w:rsidP="00AA6877">
      <w:pPr>
        <w:widowControl/>
        <w:tabs>
          <w:tab w:val="center" w:pos="4677"/>
        </w:tabs>
      </w:pPr>
    </w:p>
    <w:p w:rsidR="00DB56E4" w:rsidRPr="003801EA" w:rsidRDefault="00AA6877" w:rsidP="00AA6877">
      <w:pPr>
        <w:widowControl/>
        <w:tabs>
          <w:tab w:val="center" w:pos="4677"/>
        </w:tabs>
      </w:pPr>
      <w:r w:rsidRPr="003801EA">
        <w:br w:type="page"/>
      </w:r>
      <w:r w:rsidRPr="003801EA">
        <w:lastRenderedPageBreak/>
        <w:t>PA_Legam</w:t>
      </w:r>
    </w:p>
    <w:p w:rsidR="00DB56E4" w:rsidRPr="003801EA" w:rsidRDefault="00AA6877" w:rsidP="00AA6877">
      <w:pPr>
        <w:pStyle w:val="AmHeadingPA"/>
        <w:widowControl/>
      </w:pPr>
      <w:r w:rsidRPr="003801EA">
        <w:br w:type="page"/>
      </w:r>
      <w:r w:rsidRPr="003801EA">
        <w:lastRenderedPageBreak/>
        <w:t>TARKISTUKSET</w:t>
      </w:r>
    </w:p>
    <w:p w:rsidR="00DB56E4" w:rsidRPr="003801EA" w:rsidRDefault="00AA6877" w:rsidP="00AA6877">
      <w:pPr>
        <w:pStyle w:val="Normal12a"/>
        <w:widowControl/>
      </w:pPr>
      <w:bookmarkStart w:id="0" w:name="IntroA"/>
      <w:r w:rsidRPr="003801EA">
        <w:t xml:space="preserve">Naisten oikeuksien ja sukupuolten </w:t>
      </w:r>
      <w:r w:rsidRPr="003801EA">
        <w:t>tasa-arvon valiokunta pyytää asiasta vastaavaa työllisyyden ja sosiaaliasioiden valiokunta ottamaan huomioon seuraavaa:</w:t>
      </w:r>
    </w:p>
    <w:bookmarkEnd w:id="0"/>
    <w:p w:rsidR="00EB2CDF" w:rsidRPr="003801EA" w:rsidRDefault="00EB2CDF" w:rsidP="00AA6877">
      <w:pPr>
        <w:widowControl/>
      </w:pPr>
    </w:p>
    <w:p w:rsidR="00C11972" w:rsidRPr="003801EA" w:rsidRDefault="00AA6877" w:rsidP="00AA6877">
      <w:pPr>
        <w:widowControl/>
      </w:pPr>
      <w:bookmarkStart w:id="1" w:name="PasteOldAMStart"/>
      <w:bookmarkStart w:id="2" w:name="PasteOldAMEnd"/>
      <w:bookmarkEnd w:id="1"/>
      <w:bookmarkEnd w:id="2"/>
      <w:r w:rsidRPr="003801EA">
        <w:rPr>
          <w:rStyle w:val="HideTWBExt"/>
        </w:rPr>
        <w:t>&lt;RepeatBlock-Amend&gt;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1</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 xml:space="preserve">Johdanto-osan 2 a kappale </w:t>
      </w:r>
      <w:r w:rsidRPr="003801EA">
        <w:t>(uusi)</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(2 a)</w:t>
            </w:r>
            <w:r w:rsidRPr="003801EA">
              <w:rPr>
                <w:b/>
                <w:i/>
              </w:rPr>
              <w:tab/>
              <w:t xml:space="preserve">Euroopan unionin perusoikeuskirjassa, jäljempänä ’perusoikeuskirja’, ja erityisesti sen 3, 6, 7, 8, 14, 15, 16, 20, 21, 23, 24, 25, 26, 31, 34, 35, 36, 41, 42, 45 ja 47 artiklassa kootaan yhteen </w:t>
            </w:r>
            <w:r w:rsidRPr="003801EA">
              <w:rPr>
                <w:b/>
                <w:i/>
              </w:rPr>
              <w:t>tärkeimmät henkilökohtaiset vapaudet ja oikeudet, myös vammaisten henkilöiden osalta.</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(2 b)</w:t>
            </w:r>
            <w:r w:rsidRPr="003801EA">
              <w:rPr>
                <w:b/>
                <w:i/>
              </w:rPr>
              <w:tab/>
              <w:t xml:space="preserve"> Parlamentin 13. joulukuuta 2022 annetussa päätöslauselmassa aiheesta ”Tavoitteena yhdenvertaiset oikeudet vammaisille henkilöille”</w:t>
            </w:r>
            <w:r w:rsidRPr="003801EA">
              <w:rPr>
                <w:b/>
                <w:i/>
                <w:vertAlign w:val="superscript"/>
              </w:rPr>
              <w:t>1 a</w:t>
            </w:r>
            <w:r w:rsidRPr="003801EA">
              <w:rPr>
                <w:b/>
                <w:i/>
              </w:rPr>
              <w:t xml:space="preserve"> todetaan, että EU:n vammai</w:t>
            </w:r>
            <w:r w:rsidRPr="003801EA">
              <w:rPr>
                <w:b/>
                <w:i/>
              </w:rPr>
              <w:t>skortti on tärkeä ja tarpeellinen.</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(2 c)</w:t>
            </w:r>
            <w:r w:rsidRPr="003801EA">
              <w:rPr>
                <w:b/>
                <w:i/>
              </w:rPr>
              <w:tab/>
              <w:t>Autististen henkilöiden oikeuksien yhdenmukaistamisesta 4. lokakuuta 2023 annetussa päätöslauselmassa</w:t>
            </w:r>
            <w:r w:rsidRPr="003801EA">
              <w:rPr>
                <w:b/>
                <w:i/>
                <w:vertAlign w:val="superscript"/>
              </w:rPr>
              <w:t>2 a</w:t>
            </w:r>
            <w:r w:rsidRPr="003801EA">
              <w:rPr>
                <w:b/>
                <w:i/>
              </w:rPr>
              <w:t xml:space="preserve"> korostetaan EU:n vammaiskorttia koskevan ehdotuksen merkitystä.</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__________________</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vertAlign w:val="superscript"/>
              </w:rPr>
              <w:t>1 a</w:t>
            </w:r>
            <w:r w:rsidRPr="003801EA">
              <w:t xml:space="preserve"> </w:t>
            </w:r>
            <w:r w:rsidRPr="003801EA">
              <w:rPr>
                <w:b/>
                <w:i/>
              </w:rPr>
              <w:t>https://www.euro</w:t>
            </w:r>
            <w:r w:rsidRPr="003801EA">
              <w:rPr>
                <w:b/>
                <w:i/>
              </w:rPr>
              <w:t>parl.europa.eu/doceo/document/TA-9-2022-0435_FI.html</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vertAlign w:val="superscript"/>
              </w:rPr>
              <w:t>2 a</w:t>
            </w:r>
            <w:r w:rsidRPr="003801EA">
              <w:t xml:space="preserve"> </w:t>
            </w:r>
            <w:r w:rsidRPr="003801EA">
              <w:rPr>
                <w:b/>
                <w:i/>
              </w:rPr>
              <w:t>https://www.europarl.europa.eu/doceo/document/TA-9-2023-0343_FI.html</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2</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 xml:space="preserve">Johdanto-osan 3 a kappale </w:t>
      </w:r>
      <w:r w:rsidRPr="003801EA">
        <w:t>(uusi)</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(3 a)</w:t>
            </w:r>
            <w:r w:rsidRPr="003801EA">
              <w:rPr>
                <w:b/>
                <w:i/>
              </w:rPr>
              <w:tab/>
              <w:t xml:space="preserve">Sukupuolten tasa-arvo on SEU-sopimuksen 2 artiklassa vahvistettu unionin arvo, ja SEUT-sopimuksen 8 artiklassa todetaan, että unioni pyrkii kaikissa toimissaan poistamaan eriarvoisuutta ja vahvistamaan </w:t>
            </w:r>
            <w:r w:rsidRPr="003801EA">
              <w:rPr>
                <w:b/>
                <w:i/>
              </w:rPr>
              <w:t>sukupuolinäkökulman valtavirtaistamisen ja sukupuolten tasa-arvon periaatteen. Euroopan unioni on ratifioinut naisiin kohdistuvan väkivallan ja perheväkivallan ehkäisemisestä ja torjumisesta tehdyn Istanbulin yleissopimuksen, minkä vuoksi Istanbulin yleiss</w:t>
            </w:r>
            <w:r w:rsidRPr="003801EA">
              <w:rPr>
                <w:b/>
                <w:i/>
              </w:rPr>
              <w:t>opimuksen mukaisen suojelun ja tuen on oltava kaikkien naisten saatavilla ilman syrjintää vammaisuudesta riippumatta.</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3</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Johdanto-osan 3 b kappale (uusi)</w:t>
      </w:r>
      <w:r w:rsidRPr="003801EA">
        <w:rPr>
          <w:rStyle w:val="HideTWBExt"/>
          <w:b w:val="0"/>
        </w:rPr>
        <w:t>&lt;/Articl</w:t>
      </w:r>
      <w:r w:rsidRPr="003801EA">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(3 b)</w:t>
            </w:r>
            <w:r w:rsidRPr="003801EA">
              <w:rPr>
                <w:b/>
                <w:i/>
              </w:rPr>
              <w:tab/>
              <w:t xml:space="preserve">Vammaisyleissopimuksen 5 artiklaan sisältyvä yhdenvertaisuutta ja syrjimättömyyttä koskeva toimeksianto on merkityksellinen, koska eurooppalaisen vammaiskortin tarkoituksena on vauhdittaa vammaisten henkilöiden </w:t>
            </w:r>
            <w:r w:rsidRPr="003801EA">
              <w:rPr>
                <w:b/>
                <w:i/>
              </w:rPr>
              <w:t>yhdenvertaisuuden saavuttamista tunnustamalla heidän asemansa vastavuoroisesti EU:ssa. Liikkuvuutta ja vapaata liikkuvuutta on lähestyttävä sukupuolisensitiivisellä tavalla, jotta tämä lainsäädäntö myötävaikuttaa vammaisten naisten ja tyttöjen, äitien ja v</w:t>
            </w:r>
            <w:r w:rsidRPr="003801EA">
              <w:rPr>
                <w:b/>
                <w:i/>
              </w:rPr>
              <w:t>ammaisten hoitajien oikeuksien tunnustamiseen ja jotta omaksutaan intersektionaalinen lähestymistapa heidän suojelemisessaan syrjinnältä. On ehdottoman tärkeää tunnustaa, että vammaisiin naisiin ja tyttöihin kohdistuu monilla elämänaloilla syrjintää, kuten</w:t>
            </w:r>
            <w:r w:rsidRPr="003801EA">
              <w:rPr>
                <w:b/>
                <w:i/>
              </w:rPr>
              <w:t xml:space="preserve"> sosiaalinen eristäminen, yhteisön palvelujen puutteellinen saatavuus, heikkolaatuiset asunnot, laitoksiin sijoittaminen ja riittämätön terveydenhuolto, mikä estää heitä osallistumasta aktiivisesti yhteiskunnan toimintaan. Vammaiset naiset joutuvat kymmene</w:t>
            </w:r>
            <w:r w:rsidRPr="003801EA">
              <w:rPr>
                <w:b/>
                <w:i/>
              </w:rPr>
              <w:t xml:space="preserve">n kertaa todennäköisemmin fyysisen tai seksuaalisen pahoinpitelyn kohteeksi kuin vammattomat naiset, ja siksi erityisten tukipalvelujen saatavuudesta olisi annettava tietoa niille vammaisille naisille, jotka ovat kärsineet mistä tahansa sukupuolistuneesta </w:t>
            </w:r>
            <w:r w:rsidRPr="003801EA">
              <w:rPr>
                <w:b/>
                <w:i/>
              </w:rPr>
              <w:t>väkivallasta. Vammaisten naisten ja tyttöjen tilanne on kaiken kaikkiaan huonompi kuin vammaisten miesten ja poikien tilanne, ja tämä korostuu esimerkiksi maaseutualueilla, joilla palvelujen ja mahdollisuuksien saatavuus on yleisesti ottaen paljon rajallis</w:t>
            </w:r>
            <w:r w:rsidRPr="003801EA">
              <w:rPr>
                <w:b/>
                <w:i/>
              </w:rPr>
              <w:t>empaa. Jokaisen henkilön, jolla on vammaisyleissopimuksen 1 artiklassa tarkoitettu tosiasiallinen vammaisuus, olisi saatava tunnustettua vammaisuutensa, kun hän oleskelee toisessa EU:n jäsenvaltiossa tai siirtyy toiseen jäsenvaltioon.</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w:t>
      </w:r>
      <w:r w:rsidRPr="003801EA">
        <w:t>istus</w:t>
      </w:r>
      <w:r w:rsidRPr="003801EA">
        <w:tab/>
      </w:r>
      <w:r w:rsidRPr="003801EA">
        <w:tab/>
      </w:r>
      <w:r w:rsidRPr="003801EA">
        <w:rPr>
          <w:rStyle w:val="HideTWBExt"/>
          <w:b w:val="0"/>
        </w:rPr>
        <w:t>&lt;NumAm&gt;</w:t>
      </w:r>
      <w:r w:rsidRPr="003801EA">
        <w:t>4</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Johdanto-osan 6 kappale</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hideMark/>
          </w:tcPr>
          <w:p w:rsidR="00C11972" w:rsidRPr="003801EA" w:rsidRDefault="00AA6877" w:rsidP="00AA6877">
            <w:pPr>
              <w:pStyle w:val="Normal6"/>
              <w:widowControl/>
            </w:pPr>
            <w:r w:rsidRPr="003801EA">
              <w:t>(6)</w:t>
            </w:r>
            <w:r w:rsidRPr="003801EA">
              <w:tab/>
              <w:t xml:space="preserve">Vammaisyleissopimuksen tarkoituksena on edistää, suojella ja taata kaikille vammaisille henkilöille </w:t>
            </w:r>
            <w:r w:rsidRPr="003801EA">
              <w:t>täysimääräisesti ja yhdenvertaisesti kaikki ihmisoikeudet ja perusvapaudet sekä edistää vammaisten henkilöiden synnynnäisen arvon kunnioittamista ja varmistaa siten heidän täysimääräinen ja tehokas osallistumisensa yhteiskuntaan yhdenvertaisesti muiden kan</w:t>
            </w:r>
            <w:r w:rsidRPr="003801EA">
              <w:t>ssa. Vammaisyleissopimuksessa tunnustetaan myös, että on tärkeää toteuttaa asianmukaisia toimenpiteitä esteettömyyden varmistamiseksi vammaisille henkilöille.</w:t>
            </w:r>
          </w:p>
        </w:tc>
        <w:tc>
          <w:tcPr>
            <w:tcW w:w="4876" w:type="dxa"/>
            <w:hideMark/>
          </w:tcPr>
          <w:p w:rsidR="00C11972" w:rsidRPr="003801EA" w:rsidRDefault="00AA6877" w:rsidP="00AA6877">
            <w:pPr>
              <w:pStyle w:val="Normal6"/>
              <w:widowControl/>
              <w:rPr>
                <w:szCs w:val="24"/>
              </w:rPr>
            </w:pPr>
            <w:r w:rsidRPr="003801EA">
              <w:t>(6)</w:t>
            </w:r>
            <w:r w:rsidRPr="003801EA">
              <w:tab/>
              <w:t>Vammaisyleissopimuksen tarkoituksena on edistää, suojella ja taata kaikille vammaisille henki</w:t>
            </w:r>
            <w:r w:rsidRPr="003801EA">
              <w:t>löille täysimääräisesti ja yhdenvertaisesti kaikki ihmisoikeudet ja perusvapaudet sekä edistää vammaisten henkilöiden synnynnäisen arvon kunnioittamista ja varmistaa siten heidän täysimääräinen ja tehokas osallistumisensa yhteiskuntaan yhdenvertaisesti mui</w:t>
            </w:r>
            <w:r w:rsidRPr="003801EA">
              <w:t xml:space="preserve">den kanssa. </w:t>
            </w:r>
            <w:r w:rsidRPr="003801EA">
              <w:rPr>
                <w:b/>
                <w:i/>
              </w:rPr>
              <w:t>Vammaisyleissopimuksen 6 artiklassa todetaan erityisesti, että vammaiset naiset ja tytöt joutuvat moninkertaisen syrjinnän kohteeksi, mikä johtuu monissa tapauksissa vammaisuuden ja sukupuolen yhdistelmästä, joka vaikuttaa heidän elämänsä kaikk</w:t>
            </w:r>
            <w:r w:rsidRPr="003801EA">
              <w:rPr>
                <w:b/>
                <w:i/>
              </w:rPr>
              <w:t>iin osa-alueisiin, myös heidän liikkuvuuskokemuksiinsa, ja vaaditaan sopimuspuolia ”toteuttamaan toimia varmistaakseen, että vammaiset naiset ja tytöt voivat nauttia täysimääräisesti ja yhdenvertaisesti kaikista ihmisoikeuksista ja perusvapauksista” ja var</w:t>
            </w:r>
            <w:r w:rsidRPr="003801EA">
              <w:rPr>
                <w:b/>
                <w:i/>
              </w:rPr>
              <w:t>mistaakseen naisille täysimääräisen kehittymisen, etenemisen ja voimaantumisen. Vammaiset naiset kohtaavat usein risteäviä syrjinnän muotoja. Siksi EU:n lainsäädännössä on omaksuttava intersektionaalinen lähestymistapa, jotta syrjäytymiseen ja syrjintään v</w:t>
            </w:r>
            <w:r w:rsidRPr="003801EA">
              <w:rPr>
                <w:b/>
                <w:i/>
              </w:rPr>
              <w:t>oidaan puuttua asianmukaisesti kattavasta, systeemisestä ja rakenteellisesta näkökulmasta. Vaikka vammaisyleissopimus sitoo unionia ja kaikkia sen jäsenvaltioita, sen täytäntöönpanossa on valtioiden välillä merkittäviä eroja</w:t>
            </w:r>
            <w:r w:rsidRPr="003801EA">
              <w:rPr>
                <w:b/>
                <w:i/>
                <w:vertAlign w:val="superscript"/>
              </w:rPr>
              <w:t>1 a</w:t>
            </w:r>
            <w:r w:rsidRPr="003801EA">
              <w:rPr>
                <w:b/>
                <w:i/>
              </w:rPr>
              <w:t>. Vammaisten henkilöiden tasa</w:t>
            </w:r>
            <w:r w:rsidRPr="003801EA">
              <w:rPr>
                <w:b/>
                <w:i/>
              </w:rPr>
              <w:t>-arvoa on edistettävä kaikissa maissa esimerkiksi infrastruktuuri-investointien, valmiuksien kehittämisen ja tiedotuskampanjoiden kautta.</w:t>
            </w:r>
            <w:r w:rsidRPr="003801EA">
              <w:t xml:space="preserve"> Vammaisyleissopimuksessa tunnustetaan myös, että on tärkeää toteuttaa asianmukaisia toimenpiteitä</w:t>
            </w:r>
            <w:r w:rsidRPr="003801EA">
              <w:rPr>
                <w:b/>
                <w:i/>
              </w:rPr>
              <w:t xml:space="preserve"> yleisen</w:t>
            </w:r>
            <w:r w:rsidRPr="003801EA">
              <w:t xml:space="preserve"> esteettömyyd</w:t>
            </w:r>
            <w:r w:rsidRPr="003801EA">
              <w:t>en varmistamiseksi vammaisille henkilöille</w:t>
            </w:r>
            <w:r w:rsidRPr="003801EA">
              <w:rPr>
                <w:b/>
                <w:i/>
              </w:rPr>
              <w:t xml:space="preserve">, kuten esimerkiksi toiminnallisesti lukutaidottomille henkilöille, jotka ovat lähinnä naisia, erityisesti tämän direktiivin osalta, ja vammaisten henkilöiden mahdollisimman itsenäisen henkilökohtaisen liikkumisen </w:t>
            </w:r>
            <w:r w:rsidRPr="003801EA">
              <w:rPr>
                <w:b/>
                <w:i/>
              </w:rPr>
              <w:t>varmistamiseksi</w:t>
            </w:r>
            <w:r w:rsidRPr="003801EA">
              <w:t>.</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(6 a) On tiedostettava, että vammaisten naisten ja tyttöjen riski joutua väkivallan ja hyväksikäytön, myös seksuaalisen hyväksikäytön, kohteeksi on kasvanut ja että heidän haavoittuvuutensa on suurempi heidän sukupuolensa, ikänsä ja vamm</w:t>
            </w:r>
            <w:r w:rsidRPr="003801EA">
              <w:rPr>
                <w:b/>
                <w:i/>
              </w:rPr>
              <w:t xml:space="preserve">aisuutensa vuoksi. </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(6 b) Luvut osoittavat selvästi, että vammaisten hoitajista suuri enemmistö on naisia ja että siksi sukupuolisensitiivistä lähestymistapaa on sovellettava myös tarkasteltaessa hoitajien puolta.</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t>__________________</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AA6877">
              <w:rPr>
                <w:b/>
                <w:i/>
                <w:vertAlign w:val="superscript"/>
              </w:rPr>
              <w:t>1 a</w:t>
            </w:r>
            <w:r w:rsidRPr="003801EA">
              <w:rPr>
                <w:b/>
                <w:i/>
              </w:rPr>
              <w:t xml:space="preserve"> Implementing </w:t>
            </w:r>
            <w:r w:rsidRPr="003801EA">
              <w:rPr>
                <w:b/>
                <w:i/>
              </w:rPr>
              <w:t>the UN Convention on the Rights of Persons with Disabilities, https://fra.europa.eu/sites/default/files/fra_uploads/fra-2023-uncrpd-human-rights-indicators_en.pdf</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5</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w:t>
      </w:r>
      <w:r w:rsidRPr="003801EA">
        <w:rPr>
          <w:rStyle w:val="HideTWBExt"/>
          <w:b w:val="0"/>
        </w:rPr>
        <w:t>icle&gt;</w:t>
      </w:r>
      <w:r w:rsidRPr="003801EA">
        <w:t>Johdanto-osan 6 a kappale (uusi)</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(6 a)</w:t>
            </w:r>
            <w:r>
              <w:rPr>
                <w:b/>
                <w:i/>
              </w:rPr>
              <w:tab/>
            </w:r>
            <w:r w:rsidRPr="003801EA">
              <w:rPr>
                <w:b/>
                <w:i/>
              </w:rPr>
              <w:t>Euroopan tasa-arvoinstituutin tiedot</w:t>
            </w:r>
            <w:r w:rsidRPr="003801EA">
              <w:rPr>
                <w:b/>
                <w:i/>
                <w:vertAlign w:val="superscript"/>
              </w:rPr>
              <w:t>1 a</w:t>
            </w:r>
            <w:r w:rsidRPr="003801EA">
              <w:rPr>
                <w:b/>
                <w:i/>
              </w:rPr>
              <w:t xml:space="preserve"> osoittavat, että EU:ssa 20 prosenttia vammaisista naisista on kokopäivätyössä verrattuna siihen, että 29 prosenttia vammaisista miehistä ja 48 prosenttia vammattomista naisista on kokopäivätyössä. Vammaisista naisista 22 prosenttia on köyhyysvaarassa verr</w:t>
            </w:r>
            <w:r w:rsidRPr="003801EA">
              <w:rPr>
                <w:b/>
                <w:i/>
              </w:rPr>
              <w:t>attuna siihen, että 20 prosenttia vammaisista miehistä ja 16 prosenttia vammattomista naisista on köyhyysvaarassa. Vammaisista naisista 17 prosenttia on suorittanut korkea-asteen tutkinnon verrattuna siihen, että 18 prosentilla vammaisista miehistä ja 32 p</w:t>
            </w:r>
            <w:r w:rsidRPr="003801EA">
              <w:rPr>
                <w:b/>
                <w:i/>
              </w:rPr>
              <w:t>rosentilla vammattomista naisista on korkeakoulututkinto. Vammaisista naisista 11 prosentilla on täyttämättömiä lääkärintarkastustarpeita verrattuna siihen, että tämä osuus on 10 prosenttia vammaisten miesten keskuudessa ja 3 prosenttia vammattomien naiste</w:t>
            </w:r>
            <w:r w:rsidRPr="003801EA">
              <w:rPr>
                <w:b/>
                <w:i/>
              </w:rPr>
              <w:t>n keskuudessa. EU:ssa on 46 miljoonaa vammaista naista ja tyttöä, mikä vastaa noin 16:ta prosenttia EU:n naispuolisesta väestöstä ja 60:tä prosenttia kaikista vammaisista</w:t>
            </w:r>
            <w:r w:rsidRPr="003801EA">
              <w:rPr>
                <w:b/>
                <w:i/>
                <w:vertAlign w:val="superscript"/>
              </w:rPr>
              <w:t>1 b</w:t>
            </w:r>
            <w:r w:rsidRPr="003801EA">
              <w:rPr>
                <w:b/>
                <w:i/>
              </w:rPr>
              <w:t>. Eurooppalaisen vammaiskortin käyttöönotossa on siksi sovellettava sukupuolisensit</w:t>
            </w:r>
            <w:r w:rsidRPr="003801EA">
              <w:rPr>
                <w:b/>
                <w:i/>
              </w:rPr>
              <w:t>iivistä lähestymistapaa, ja kun otetaan huomioon vammaisyleissopimuksen komitean EU:n ensimmäisestä kertomuksesta vuonna 2015 antamat erityissuositukset, erityisesti vammaisten naisten ja tyttöjen näkökulman valtavirtaistamisen on oltava keskeisellä sijall</w:t>
            </w:r>
            <w:r w:rsidRPr="003801EA">
              <w:rPr>
                <w:b/>
                <w:i/>
              </w:rPr>
              <w:t>a EU:n sukupuolten tasa-arvostrategiassa sekä toimintapolitiikoissa ja ohjelmissa, ja sukupuolinäkökulman on oltava keskeisellä sijalla unionin vammaisstrategiassa. Komitea suositteli myös, että Euroopan unioni kehittää toimia vammaisten naisten ja tyttöje</w:t>
            </w:r>
            <w:r w:rsidRPr="003801EA">
              <w:rPr>
                <w:b/>
                <w:i/>
              </w:rPr>
              <w:t>n oikeuksien edistämiseksi perustamalla mekanismin, jolla seurataan edistymistä ja tuetaan vammaisia naisia ja tyttöjä koskevien tietojen keruun ja tutkimuksen rahoittamista</w:t>
            </w:r>
            <w:r w:rsidRPr="003801EA">
              <w:rPr>
                <w:b/>
                <w:i/>
                <w:vertAlign w:val="superscript"/>
              </w:rPr>
              <w:t>1 c</w:t>
            </w:r>
            <w:r w:rsidRPr="003801EA">
              <w:rPr>
                <w:b/>
                <w:i/>
              </w:rPr>
              <w:t xml:space="preserve">. Euroopan komission ja EU:n jäsenvaltioiden on varmistettava, että direktiivin </w:t>
            </w:r>
            <w:r w:rsidRPr="003801EA">
              <w:rPr>
                <w:b/>
                <w:i/>
              </w:rPr>
              <w:t>sukupuolivaikutusten arvioinnin laatimiseksi ja sukupuolinäkökulman valtavirtaistamisen takaamiseksi tulevaisuudessa kerätään sukupuolen mukaan eriteltyjä tietoja.</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__________________</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AA6877">
              <w:rPr>
                <w:b/>
                <w:i/>
                <w:vertAlign w:val="superscript"/>
              </w:rPr>
              <w:t>1 a</w:t>
            </w:r>
            <w:r w:rsidRPr="003801EA">
              <w:rPr>
                <w:b/>
                <w:i/>
              </w:rPr>
              <w:t xml:space="preserve"> Intersecting inequalities in the European Union in the 2023 </w:t>
            </w:r>
            <w:r w:rsidRPr="003801EA">
              <w:rPr>
                <w:b/>
                <w:i/>
              </w:rPr>
              <w:t>Gender Equality Index https://eige.europa.eu/gender-equality-index/2022/domain/intersecting-inequalities/disability/work</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AA6877">
              <w:rPr>
                <w:b/>
                <w:i/>
                <w:vertAlign w:val="superscript"/>
              </w:rPr>
              <w:t>1 b</w:t>
            </w:r>
            <w:r w:rsidRPr="003801EA">
              <w:rPr>
                <w:b/>
                <w:i/>
              </w:rPr>
              <w:t xml:space="preserve"> https://www.edf-feph.org/women-and-gender-equality/</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AA6877">
              <w:rPr>
                <w:b/>
                <w:i/>
                <w:vertAlign w:val="superscript"/>
              </w:rPr>
              <w:t xml:space="preserve">1 </w:t>
            </w:r>
            <w:r w:rsidRPr="00AA6877">
              <w:rPr>
                <w:b/>
                <w:i/>
                <w:vertAlign w:val="superscript"/>
              </w:rPr>
              <w:t>c</w:t>
            </w:r>
            <w:r w:rsidRPr="003801EA">
              <w:rPr>
                <w:b/>
                <w:i/>
              </w:rPr>
              <w:t xml:space="preserve"> Loppupäätelmät Euroopan unionin ensimmäisestä raportista CRPD/C/EU/CO/1,</w:t>
            </w:r>
            <w:r w:rsidRPr="003801EA">
              <w:rPr>
                <w:b/>
                <w:i/>
              </w:rPr>
              <w:t xml:space="preserve"> vammaisten henkilöiden oikeuksien komitea, 2. lokakuuta 2015.</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rPr>
        <w:t>&lt;Amend&gt;</w:t>
      </w:r>
      <w:r w:rsidRPr="003801EA">
        <w:t>Tarkistus</w:t>
      </w:r>
      <w:r w:rsidRPr="003801EA">
        <w:tab/>
      </w:r>
      <w:r w:rsidRPr="003801EA">
        <w:rPr>
          <w:rStyle w:val="HideTWBExt"/>
        </w:rPr>
        <w:t>&lt;NumAm&gt;</w:t>
      </w:r>
      <w:r w:rsidRPr="003801EA">
        <w:t>6</w:t>
      </w:r>
      <w:r w:rsidRPr="003801EA">
        <w:rPr>
          <w:rStyle w:val="HideTWBExt"/>
        </w:rPr>
        <w:t>&lt;/NumAm&gt;</w:t>
      </w:r>
    </w:p>
    <w:p w:rsidR="00C11972" w:rsidRPr="003801EA" w:rsidRDefault="00AA6877" w:rsidP="00AA6877">
      <w:pPr>
        <w:pStyle w:val="NormalBold12b"/>
        <w:widowControl/>
      </w:pPr>
      <w:r w:rsidRPr="003801EA">
        <w:rPr>
          <w:rStyle w:val="HideTWBExt"/>
        </w:rPr>
        <w:t>&lt;DocAmend&gt;</w:t>
      </w:r>
      <w:r w:rsidRPr="003801EA">
        <w:t>Ehdotus direktiiviksi</w:t>
      </w:r>
      <w:r w:rsidRPr="003801EA">
        <w:rPr>
          <w:rStyle w:val="HideTWBExt"/>
        </w:rPr>
        <w:t>&lt;/DocAmend&gt;</w:t>
      </w:r>
    </w:p>
    <w:p w:rsidR="00C11972" w:rsidRPr="003801EA" w:rsidRDefault="00AA6877" w:rsidP="00AA6877">
      <w:pPr>
        <w:pStyle w:val="NormalBold"/>
        <w:widowControl/>
      </w:pPr>
      <w:r w:rsidRPr="003801EA">
        <w:rPr>
          <w:rStyle w:val="HideTWBExt"/>
        </w:rPr>
        <w:t>&lt;Article&gt;</w:t>
      </w:r>
      <w:r w:rsidRPr="003801EA">
        <w:t>Johdanto-osan 7 kappale</w:t>
      </w:r>
      <w:r w:rsidRPr="003801E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trHeight w:hRule="exact" w:val="240"/>
          <w:jc w:val="center"/>
        </w:trPr>
        <w:tc>
          <w:tcPr>
            <w:tcW w:w="9752" w:type="dxa"/>
            <w:gridSpan w:val="2"/>
          </w:tcPr>
          <w:p w:rsidR="00C11972" w:rsidRPr="003801EA" w:rsidRDefault="00C11972" w:rsidP="00AA6877">
            <w:pPr>
              <w:widowControl/>
            </w:pPr>
          </w:p>
        </w:tc>
      </w:tr>
      <w:tr w:rsidR="008C65A0" w:rsidRPr="003801EA" w:rsidTr="00096654">
        <w:trPr>
          <w:trHeight w:val="240"/>
          <w:jc w:val="center"/>
        </w:trPr>
        <w:tc>
          <w:tcPr>
            <w:tcW w:w="4876" w:type="dxa"/>
          </w:tcPr>
          <w:p w:rsidR="00C11972" w:rsidRPr="003801EA" w:rsidRDefault="00AA6877" w:rsidP="00AA6877">
            <w:pPr>
              <w:pStyle w:val="AmColumnHeading"/>
              <w:widowControl/>
            </w:pPr>
            <w:r w:rsidRPr="003801EA">
              <w:t>Komission teksti</w:t>
            </w:r>
          </w:p>
        </w:tc>
        <w:tc>
          <w:tcPr>
            <w:tcW w:w="4876" w:type="dxa"/>
          </w:tcPr>
          <w:p w:rsidR="00C11972" w:rsidRPr="003801EA" w:rsidRDefault="00AA6877" w:rsidP="00AA6877">
            <w:pPr>
              <w:pStyle w:val="AmColumnHeading"/>
              <w:widowControl/>
            </w:pPr>
            <w:r w:rsidRPr="003801EA">
              <w:t>Tarkistus</w:t>
            </w:r>
          </w:p>
        </w:tc>
      </w:tr>
      <w:tr w:rsidR="008C65A0" w:rsidRPr="003801EA" w:rsidTr="00096654">
        <w:trPr>
          <w:jc w:val="center"/>
        </w:trPr>
        <w:tc>
          <w:tcPr>
            <w:tcW w:w="4876" w:type="dxa"/>
          </w:tcPr>
          <w:p w:rsidR="00C11972" w:rsidRPr="003801EA" w:rsidRDefault="00AA6877" w:rsidP="00AA6877">
            <w:pPr>
              <w:pStyle w:val="Normal6a"/>
              <w:widowControl/>
            </w:pPr>
            <w:r w:rsidRPr="003801EA">
              <w:t>(7)</w:t>
            </w:r>
            <w:r w:rsidRPr="003801EA">
              <w:tab/>
              <w:t xml:space="preserve">Euroopan sosiaalisten </w:t>
            </w:r>
            <w:r w:rsidRPr="003801EA">
              <w:t>oikeuksien pilarissa, josta Euroopan parlamentti, neuvosto ja Euroopan komissio antoivat julistuksen Göteborgissa 17 päivänä marraskuuta 2017</w:t>
            </w:r>
            <w:r w:rsidRPr="003801EA">
              <w:rPr>
                <w:vertAlign w:val="superscript"/>
              </w:rPr>
              <w:t>40</w:t>
            </w:r>
            <w:r w:rsidRPr="003801EA">
              <w:t>, määrätään, että jokaisella on muun muassa vammaisuudesta riippumatta oikeus yhdenvertaiseen kohteluun ja yhtälä</w:t>
            </w:r>
            <w:r w:rsidRPr="003801EA">
              <w:t xml:space="preserve">isiin mahdollisuuksiin siltä osin kuin on kyse </w:t>
            </w:r>
            <w:r w:rsidRPr="003801EA">
              <w:rPr>
                <w:b/>
                <w:i/>
              </w:rPr>
              <w:t>muun muassa</w:t>
            </w:r>
            <w:r w:rsidRPr="003801EA">
              <w:t xml:space="preserve"> yleisesti saatavilla olevien tavaroiden ja palvelujen saatavuudesta (periaate 3). Lisäksi Euroopan sosiaalisten oikeuksien pilarissa tunnustetaan vammaisten henkilöiden oikeus yhteiskuntaan osallis</w:t>
            </w:r>
            <w:r w:rsidRPr="003801EA">
              <w:t>tumisen mahdollistaviin palveluihin (periaate 17).</w:t>
            </w:r>
          </w:p>
        </w:tc>
        <w:tc>
          <w:tcPr>
            <w:tcW w:w="4876" w:type="dxa"/>
          </w:tcPr>
          <w:p w:rsidR="00C11972" w:rsidRPr="003801EA" w:rsidRDefault="00AA6877" w:rsidP="00AA6877">
            <w:pPr>
              <w:pStyle w:val="Normal6a"/>
              <w:widowControl/>
            </w:pPr>
            <w:r w:rsidRPr="003801EA">
              <w:t>(7)</w:t>
            </w:r>
            <w:r w:rsidRPr="003801EA">
              <w:tab/>
              <w:t>Euroopan sosiaalisten oikeuksien pilarissa, josta Euroopan parlamentti, neuvosto ja Euroopan komissio antoivat julistuksen Göteborgissa 17 päivänä marraskuuta 2017</w:t>
            </w:r>
            <w:r w:rsidRPr="003801EA">
              <w:rPr>
                <w:vertAlign w:val="superscript"/>
              </w:rPr>
              <w:t>40</w:t>
            </w:r>
            <w:r w:rsidRPr="003801EA">
              <w:t>, määrätään, että jokaisella on muun</w:t>
            </w:r>
            <w:r w:rsidRPr="003801EA">
              <w:t xml:space="preserve"> muassa vammaisuudesta riippumatta oikeus yhdenvertaiseen kohteluun ja yhtäläisiin mahdollisuuksiin siltä osin kuin on kyse </w:t>
            </w:r>
            <w:r w:rsidRPr="003801EA">
              <w:rPr>
                <w:b/>
                <w:i/>
              </w:rPr>
              <w:t>työllisyydestä, sosiaalisesta suojelusta, koulutuksesta,</w:t>
            </w:r>
            <w:r w:rsidRPr="003801EA">
              <w:t xml:space="preserve"> yleisesti saatavilla olevien tavaroiden ja palvelujen saatavuudesta (periaa</w:t>
            </w:r>
            <w:r w:rsidRPr="003801EA">
              <w:t>te 3).</w:t>
            </w:r>
            <w:r w:rsidRPr="003801EA">
              <w:rPr>
                <w:b/>
                <w:i/>
              </w:rPr>
              <w:t xml:space="preserve"> Naisten ja miesten yhdenvertainen kohtelu ja yhdenvertaiset mahdollisuudet on myös varmistettava ja niitä on edistettävä (periaate 2). </w:t>
            </w:r>
            <w:r w:rsidRPr="003801EA">
              <w:t xml:space="preserve">Lisäksi Euroopan sosiaalisten oikeuksien pilarissa tunnustetaan vammaisten henkilöiden oikeus </w:t>
            </w:r>
            <w:r w:rsidRPr="003801EA">
              <w:rPr>
                <w:b/>
                <w:i/>
              </w:rPr>
              <w:t xml:space="preserve">työmarkkinoille ja </w:t>
            </w:r>
            <w:r w:rsidRPr="003801EA">
              <w:t>y</w:t>
            </w:r>
            <w:r w:rsidRPr="003801EA">
              <w:t xml:space="preserve">hteiskuntaan osallistumisen mahdollistaviin palveluihin </w:t>
            </w:r>
            <w:r w:rsidRPr="003801EA">
              <w:rPr>
                <w:b/>
                <w:i/>
              </w:rPr>
              <w:t>ja heidän tarpeisiinsa mukautettuun työympäristöön</w:t>
            </w:r>
            <w:r w:rsidRPr="003801EA">
              <w:t xml:space="preserve"> (periaate 17). </w:t>
            </w:r>
            <w:r w:rsidRPr="003801EA">
              <w:rPr>
                <w:b/>
                <w:i/>
              </w:rPr>
              <w:t>Euroopan sosiaalisten oikeuksien pilarissa tunnustetaan myös, että jokaisella on oikeus ajoissa annettavaan kohtuuhintaiseen, ehkäis</w:t>
            </w:r>
            <w:r w:rsidRPr="003801EA">
              <w:rPr>
                <w:b/>
                <w:i/>
              </w:rPr>
              <w:t>evään, hoitavaan ja laadukkaaseen terveydenhuoltoon (periaate 16).</w:t>
            </w:r>
          </w:p>
        </w:tc>
      </w:tr>
      <w:tr w:rsidR="008C65A0" w:rsidRPr="003801EA" w:rsidTr="00096654">
        <w:trPr>
          <w:jc w:val="center"/>
        </w:trPr>
        <w:tc>
          <w:tcPr>
            <w:tcW w:w="4876" w:type="dxa"/>
          </w:tcPr>
          <w:p w:rsidR="00C11972" w:rsidRPr="003801EA" w:rsidRDefault="00AA6877" w:rsidP="00AA6877">
            <w:pPr>
              <w:pStyle w:val="Normal6a"/>
              <w:widowControl/>
            </w:pPr>
            <w:r w:rsidRPr="003801EA">
              <w:rPr>
                <w:b/>
                <w:i/>
              </w:rPr>
              <w:t>_________________</w:t>
            </w:r>
          </w:p>
        </w:tc>
        <w:tc>
          <w:tcPr>
            <w:tcW w:w="4876" w:type="dxa"/>
          </w:tcPr>
          <w:p w:rsidR="00C11972" w:rsidRPr="003801EA" w:rsidRDefault="00AA6877" w:rsidP="00AA6877">
            <w:pPr>
              <w:pStyle w:val="Normal6a"/>
              <w:widowControl/>
            </w:pPr>
            <w:r w:rsidRPr="003801EA">
              <w:rPr>
                <w:b/>
                <w:i/>
              </w:rPr>
              <w:t>_________________</w:t>
            </w:r>
          </w:p>
        </w:tc>
      </w:tr>
      <w:tr w:rsidR="008C65A0" w:rsidRPr="003801EA" w:rsidTr="00096654">
        <w:trPr>
          <w:jc w:val="center"/>
        </w:trPr>
        <w:tc>
          <w:tcPr>
            <w:tcW w:w="4876" w:type="dxa"/>
          </w:tcPr>
          <w:p w:rsidR="00C11972" w:rsidRPr="003801EA" w:rsidRDefault="00AA6877" w:rsidP="00AA6877">
            <w:pPr>
              <w:pStyle w:val="Normal6a"/>
              <w:widowControl/>
            </w:pPr>
            <w:r w:rsidRPr="003801EA">
              <w:rPr>
                <w:vertAlign w:val="superscript"/>
              </w:rPr>
              <w:t>40</w:t>
            </w:r>
            <w:r w:rsidRPr="003801EA">
              <w:t xml:space="preserve"> Toimielinten välinen julistus Euroopan sosiaalisten oikeuksien pilarista (EUVL C 428, 13.12.2017, s. 10).</w:t>
            </w:r>
          </w:p>
        </w:tc>
        <w:tc>
          <w:tcPr>
            <w:tcW w:w="4876" w:type="dxa"/>
          </w:tcPr>
          <w:p w:rsidR="00C11972" w:rsidRPr="003801EA" w:rsidRDefault="00AA6877" w:rsidP="00AA6877">
            <w:pPr>
              <w:pStyle w:val="Normal6a"/>
              <w:widowControl/>
            </w:pPr>
            <w:r w:rsidRPr="003801EA">
              <w:rPr>
                <w:vertAlign w:val="superscript"/>
              </w:rPr>
              <w:t>40</w:t>
            </w:r>
            <w:r w:rsidRPr="003801EA">
              <w:t xml:space="preserve"> Toimielinten välinen julistus Euroopan </w:t>
            </w:r>
            <w:r w:rsidRPr="003801EA">
              <w:t>sosiaalisten oikeuksien pilarista (EUVL C 428, 13.12.2017, s. 10).</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rPr>
          <w:rStyle w:val="NormalBoldChar"/>
          <w:b/>
        </w:rPr>
        <w:t>7</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Johdanto-osan 15 a kappale (uusi)</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(15 a)</w:t>
            </w:r>
            <w:r w:rsidRPr="003801EA">
              <w:rPr>
                <w:b/>
                <w:i/>
              </w:rPr>
              <w:tab/>
            </w:r>
            <w:r w:rsidRPr="003801EA">
              <w:rPr>
                <w:b/>
                <w:i/>
              </w:rPr>
              <w:t>Henkilökohtainen avustaja voi olla epävirallinen hoitaja, kuten perheenjäsen, ja on otettava huomioon, että naisilla on suhteeton vastuu vammaisten henkilöiden, myös naispuolisten perheenjäsenten, palkattomasta ja palkallisesta hoidosta.</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0"/>
        <w:keepNext/>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8</w:t>
      </w:r>
      <w:r w:rsidRPr="003801EA">
        <w:rPr>
          <w:rStyle w:val="HideTWBExt"/>
          <w:b w:val="0"/>
        </w:rPr>
        <w:t>&lt;/NumAm&gt;</w:t>
      </w: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Johdanto-osan 16 a kappale (uusi)</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(16 a)</w:t>
            </w:r>
            <w:r w:rsidRPr="003801EA">
              <w:rPr>
                <w:b/>
                <w:i/>
              </w:rPr>
              <w:tab/>
              <w:t xml:space="preserve">On puututtava psykososiaalista esteettömyyttä koskevan tiedon valtavaan puutteeseen, joka on </w:t>
            </w:r>
            <w:r w:rsidRPr="003801EA">
              <w:rPr>
                <w:b/>
                <w:i/>
              </w:rPr>
              <w:t>syynä siihen, että ei ryhdytä yksilöllisiin ja rakenteellisiin toimenpiteisiin sitä haittaavien tai rajoittavien esteiden poistamiseksi, mukaan lukien asenteelliset, hallinnolliset ja järjestelmälliset tai symboliset esteet, jotta voidaan torjua syrjintään</w:t>
            </w:r>
            <w:r w:rsidRPr="003801EA">
              <w:rPr>
                <w:b/>
                <w:i/>
              </w:rPr>
              <w:t>, väkivaltaan, hyväksikäyttöön, sosiaaliseen syrjäytymiseen ja erotteluun johtavaa leimautumista ja ennakkoluuloja, jotka ovat esteenä vammaisten henkilöiden oikeuksien tehokkaalle toteutumiselle eivätkä edistä heidän itsemääräämisoikeutensa, tahtonsa ja m</w:t>
            </w:r>
            <w:r w:rsidRPr="003801EA">
              <w:rPr>
                <w:b/>
                <w:i/>
              </w:rPr>
              <w:t>ieltymystensä kunnioittamista.</w:t>
            </w:r>
          </w:p>
        </w:tc>
      </w:tr>
    </w:tbl>
    <w:p w:rsidR="00C11972" w:rsidRPr="003801EA" w:rsidRDefault="00AA6877" w:rsidP="00AA6877">
      <w:pPr>
        <w:pStyle w:val="JustificationTitle"/>
        <w:widowControl/>
        <w:rPr>
          <w:noProof w:val="0"/>
        </w:rPr>
      </w:pPr>
      <w:r w:rsidRPr="003801EA">
        <w:rPr>
          <w:rStyle w:val="HideTWBExt"/>
          <w:i w:val="0"/>
        </w:rPr>
        <w:t>&lt;TitreJust&gt;</w:t>
      </w:r>
      <w:r w:rsidRPr="003801EA">
        <w:t>Perustelu</w:t>
      </w:r>
      <w:r w:rsidRPr="003801EA">
        <w:rPr>
          <w:rStyle w:val="HideTWBExt"/>
          <w:i w:val="0"/>
        </w:rPr>
        <w:t>&lt;/TitreJust&gt;</w:t>
      </w:r>
    </w:p>
    <w:p w:rsidR="00C11972" w:rsidRPr="003801EA" w:rsidRDefault="00AA6877" w:rsidP="00AA6877">
      <w:pPr>
        <w:pStyle w:val="Normal12Italic"/>
        <w:widowControl/>
        <w:rPr>
          <w:noProof w:val="0"/>
        </w:rPr>
      </w:pPr>
      <w:r w:rsidRPr="003801EA">
        <w:t>Vammaisten naisten suojelua on vahvistettava. Eurooppalaiseen vammaiskorttiin olisi sisällytettävä väkivallan ja hyväksikäytön uhreiksi joutuneiden vammaisten naisten ja tyttöjen etuuskohtelu</w:t>
      </w:r>
      <w:r w:rsidRPr="003801EA">
        <w:t>. Heihin olisi kiinnitettävä erityistä huomiota suurimmassa vaaratilanteessa olevina henkilöinä, jotta voidaan ryhtyä ennaltaehkäiseviin toimiin.</w:t>
      </w:r>
    </w:p>
    <w:p w:rsidR="00C11972" w:rsidRPr="003801EA" w:rsidRDefault="00AA6877" w:rsidP="00AA6877">
      <w:pPr>
        <w:widowControl/>
      </w:pPr>
      <w:r w:rsidRPr="003801EA">
        <w:rPr>
          <w:rStyle w:val="HideTWBExt"/>
        </w:rPr>
        <w:t>&lt;/Amend&gt;</w:t>
      </w:r>
    </w:p>
    <w:p w:rsidR="00C11972" w:rsidRPr="003801EA" w:rsidRDefault="00AA6877" w:rsidP="00AA6877">
      <w:pPr>
        <w:pStyle w:val="AMNumberTabs0"/>
        <w:keepNext/>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9</w:t>
      </w:r>
      <w:r w:rsidRPr="003801EA">
        <w:rPr>
          <w:rStyle w:val="HideTWBExt"/>
          <w:b w:val="0"/>
        </w:rPr>
        <w:t>&lt;/NumAm&gt;</w:t>
      </w: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 xml:space="preserve">Johdanto-osan </w:t>
      </w:r>
      <w:r w:rsidRPr="003801EA">
        <w:t>24 kappale</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hideMark/>
          </w:tcPr>
          <w:p w:rsidR="00C11972" w:rsidRPr="003801EA" w:rsidRDefault="00AA6877" w:rsidP="00AA6877">
            <w:pPr>
              <w:pStyle w:val="Normal6"/>
              <w:widowControl/>
            </w:pPr>
            <w:r w:rsidRPr="003801EA">
              <w:t>(24)</w:t>
            </w:r>
            <w:r w:rsidRPr="003801EA">
              <w:tab/>
              <w:t xml:space="preserve">Esimerkkejä erityisehdoista tai erityiskohtelusta ovat maksuton sisäänpääsy, alennetut tariffit, alennetut maksullisten teiden, siltojen tai tunnelien käyttömaksut, ensisijainen pääsy, vammaisille </w:t>
            </w:r>
            <w:r w:rsidRPr="003801EA">
              <w:t>henkilöille varatut istuimet puistoissa ja muissa julkisissa tiloissa, esteetön pääsy istumapaikoille kulttuuritapahtumissa ja julkisissa tilaisuuksissa, henkilökohtainen avustaminen, avustajaeläimet, avustaminen veteen uimarannalla, tuki (kuten pistekirjo</w:t>
            </w:r>
            <w:r w:rsidRPr="003801EA">
              <w:t>ituksen, äänioppaiden, viittomakielisen tulkkauksen saatavuus), apuvälineiden saatavuus, pyörätuolin lainaaminen, kelluvan pyörätuolin lainaaminen, esteettömässä muodossa olevan matkailutiedon saaminen, sähkömopon käyttö maanteillä tai pyörätuolin käyttö p</w:t>
            </w:r>
            <w:r w:rsidRPr="003801EA">
              <w:t>yöräkaistoilla ilman sakkoja jne. Pysäköintiehtoihin ja -järjestelyihin kuuluvat suuremmat tai varatut pysäköintiruudut. Henkilöliikennepalvelujen osalta vammaisille henkilöille tarjottujen erityisehtojen tai erityiskohtelun lisäksi avustajaeläimet, henkil</w:t>
            </w:r>
            <w:r w:rsidRPr="003801EA">
              <w:t>ökohtaiset avustajat tai muut vammaisia (tai liikuntarajoitteisia) henkilöitä saattavat tai avustavat henkilöt voivat matkustaa maksutta tai heillä on mahdollisuuksien mukaan paikka vammaisen henkilön vieressä kansallisten säännösten tai käytäntöjen mukais</w:t>
            </w:r>
            <w:r w:rsidRPr="003801EA">
              <w:t>esti.</w:t>
            </w:r>
          </w:p>
        </w:tc>
        <w:tc>
          <w:tcPr>
            <w:tcW w:w="4876" w:type="dxa"/>
            <w:hideMark/>
          </w:tcPr>
          <w:p w:rsidR="00C11972" w:rsidRPr="003801EA" w:rsidRDefault="00AA6877" w:rsidP="00AA6877">
            <w:pPr>
              <w:pStyle w:val="Normal6"/>
              <w:widowControl/>
              <w:rPr>
                <w:szCs w:val="24"/>
              </w:rPr>
            </w:pPr>
            <w:r w:rsidRPr="003801EA">
              <w:t>(24)</w:t>
            </w:r>
            <w:r w:rsidRPr="003801EA">
              <w:tab/>
              <w:t>Esimerkkejä erityisehdoista tai erityiskohtelusta ovat maksuton sisäänpääsy, alennetut tariffit, alennetut maksullisten teiden, siltojen tai tunnelien käyttömaksut, ensisijainen pääsy, vammaisille henkilöille varatut istuimet puistoissa ja muiss</w:t>
            </w:r>
            <w:r w:rsidRPr="003801EA">
              <w:t>a julkisissa tiloissa, esteetön pääsy istumapaikoille kulttuuritapahtumissa ja julkisissa tilaisuuksissa, henkilökohtainen avustaminen, avustajaeläimet, avustaminen veteen uimarannalla, tuki (kuten pistekirjoituksen, äänioppaiden, viittomakielisen tulkkauk</w:t>
            </w:r>
            <w:r w:rsidRPr="003801EA">
              <w:t>sen saatavuus), apuvälineiden saatavuus, pyörätuolin lainaaminen, kelluvan pyörätuolin lainaaminen, esteettömässä muodossa olevan matkailutiedon saaminen, sähkömopon käyttö maanteillä tai pyörätuolin käyttö pyöräkaistoilla ilman sakkoja jne. Pysäköintiehto</w:t>
            </w:r>
            <w:r w:rsidRPr="003801EA">
              <w:t>ihin ja -järjestelyihin kuuluvat suuremmat tai varatut pysäköintiruudut. Henkilöliikennepalvelujen osalta vammaisille henkilöille tarjottujen erityisehtojen tai erityiskohtelun lisäksi avustajaeläimet, henkilökohtaiset avustajat tai muut vammaisia (tai lii</w:t>
            </w:r>
            <w:r w:rsidRPr="003801EA">
              <w:t xml:space="preserve">kuntarajoitteisia) henkilöitä saattavat tai avustavat henkilöt voivat matkustaa maksutta tai heillä on mahdollisuuksien mukaan paikka vammaisen henkilön vieressä kansallisten säännösten tai käytäntöjen mukaisesti. </w:t>
            </w:r>
            <w:r w:rsidRPr="003801EA">
              <w:rPr>
                <w:b/>
                <w:i/>
              </w:rPr>
              <w:t>Liikkuvuuden varmistavien tehokkaiden toim</w:t>
            </w:r>
            <w:r w:rsidRPr="003801EA">
              <w:rPr>
                <w:b/>
                <w:i/>
              </w:rPr>
              <w:t>ien toteuttamisen kannalta on otettava huomioon esteettömyys julkisen liikenteen eri välineissä (junat, lentokoneet jne.) vammaisille henkilöille, joiden on turvallisuutensa takaamiseksi käytettävä omaa erikoisvarusteltua pyörätuoliaan.</w:t>
            </w:r>
          </w:p>
        </w:tc>
      </w:tr>
    </w:tbl>
    <w:p w:rsidR="00C11972" w:rsidRPr="003801EA" w:rsidRDefault="00AA6877" w:rsidP="00AA6877">
      <w:pPr>
        <w:pStyle w:val="JustificationTitle"/>
        <w:widowControl/>
        <w:rPr>
          <w:noProof w:val="0"/>
        </w:rPr>
      </w:pPr>
      <w:r w:rsidRPr="003801EA">
        <w:rPr>
          <w:rStyle w:val="HideTWBExt"/>
          <w:i w:val="0"/>
        </w:rPr>
        <w:t>&lt;TitreJust&gt;</w:t>
      </w:r>
      <w:r w:rsidRPr="003801EA">
        <w:t>Peruste</w:t>
      </w:r>
      <w:r w:rsidRPr="003801EA">
        <w:t>lu</w:t>
      </w:r>
      <w:r w:rsidRPr="003801EA">
        <w:rPr>
          <w:rStyle w:val="HideTWBExt"/>
          <w:i w:val="0"/>
        </w:rPr>
        <w:t>&lt;/TitreJust&gt;</w:t>
      </w:r>
    </w:p>
    <w:p w:rsidR="00C11972" w:rsidRPr="003801EA" w:rsidRDefault="00AA6877" w:rsidP="00AA6877">
      <w:pPr>
        <w:pStyle w:val="Normal12Italic"/>
        <w:widowControl/>
        <w:rPr>
          <w:noProof w:val="0"/>
        </w:rPr>
      </w:pPr>
      <w:r w:rsidRPr="003801EA">
        <w:t>Vammaisten henkilöiden syrjimättömyys. Vammaisten henkilöiden olisi nautittava kaikista oikeuksista samoin perustein kuin muidenkin. Tähän sisältyy mahdollisuus nauttia oikeudesta vapaaseen liikkuvuuteen ilman esteitä ja kunkin henkilön tarv</w:t>
      </w:r>
      <w:r w:rsidRPr="003801EA">
        <w:t>itseman yksilöllisen tuen turvin. Yleisen esteettömyyden varmistaminen vammaisyleissopimuksen 9 artiklan mukaisesti ja johdonmukaisesti aiempien tarkistusten kanssa.</w:t>
      </w:r>
    </w:p>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10</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2 artikla – 1 kohta – 3 a ja 3 b alakohta (uusi)</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3 a. vammaisten naisten tieto- ja neuvontapalvelut;</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 xml:space="preserve">3 b. erikoistunut tietopalvelu, apu ja tuki väkivallan uhreiksi joutuneille vammaisille naisille ja </w:t>
            </w:r>
            <w:r w:rsidRPr="003801EA">
              <w:rPr>
                <w:b/>
                <w:i/>
              </w:rPr>
              <w:t>tytöille.</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11</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5 artikla – 1 a kohta (uusi)</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tcPr>
          <w:p w:rsidR="00C11972" w:rsidRPr="003801EA" w:rsidRDefault="00C11972" w:rsidP="00AA6877">
            <w:pPr>
              <w:pStyle w:val="Normal6"/>
              <w:widowControl/>
            </w:pPr>
          </w:p>
        </w:tc>
        <w:tc>
          <w:tcPr>
            <w:tcW w:w="4876" w:type="dxa"/>
            <w:hideMark/>
          </w:tcPr>
          <w:p w:rsidR="00C11972" w:rsidRPr="003801EA" w:rsidRDefault="00AA6877" w:rsidP="00AA6877">
            <w:pPr>
              <w:pStyle w:val="Normal6"/>
              <w:widowControl/>
              <w:rPr>
                <w:szCs w:val="24"/>
              </w:rPr>
            </w:pPr>
            <w:r w:rsidRPr="003801EA">
              <w:rPr>
                <w:b/>
                <w:i/>
              </w:rPr>
              <w:t>1 a.</w:t>
            </w:r>
            <w:r w:rsidRPr="003801EA">
              <w:rPr>
                <w:b/>
                <w:i/>
              </w:rPr>
              <w:tab/>
              <w:t xml:space="preserve">Jäsenvaltioiden on toteutettava kaikki tarvittavat toimenpiteet </w:t>
            </w:r>
            <w:r w:rsidRPr="003801EA">
              <w:rPr>
                <w:b/>
                <w:i/>
              </w:rPr>
              <w:t>tunnustaakseen kaikki vammaiset henkilöt, joilla on eurooppalainen vammaiskortti, jotta varmistetaan kortin vastavuoroinen tunnustaminen keinona suojautua vammaisuuteen perustuvaa syrjintää vastaan ja jolloin heillä on kaikkialla EU:ssa oikeus käyttää oike</w:t>
            </w:r>
            <w:r w:rsidRPr="003801EA">
              <w:rPr>
                <w:b/>
                <w:i/>
              </w:rPr>
              <w:t>ussuojakeinoja ja mekanismeja, joita tarjotaan oikeuksien loukkauksia ja tehokkaan yhdenvertaisen kohtelun puutetta vastaan. Jäsenvaltioiden on erityisesti varmistettava, että eurooppalainen vammaiskortti on yhdenvertaisesti vammaisten henkilöiden saatavil</w:t>
            </w:r>
            <w:r w:rsidRPr="003801EA">
              <w:rPr>
                <w:b/>
                <w:i/>
              </w:rPr>
              <w:t>la biologisesta tai sosiaalisesta sukupuolesta, rodusta, ihonväristä, etnisestä tai sosiaalisesta alkuperästä, geneettisistä ominaisuuksista, kielestä, uskonnosta tai vakaumuksesta, poliittisista tai muista mielipiteistä, kansalliseen vähemmistöön kuulumis</w:t>
            </w:r>
            <w:r w:rsidRPr="003801EA">
              <w:rPr>
                <w:b/>
                <w:i/>
              </w:rPr>
              <w:t>esta, varallisuudesta, syntyperästä, vammaisuudesta, iästä tai sukupuolisesta suuntautumisesta riippumatta.</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12</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6 artikla – 5 kohta</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hideMark/>
          </w:tcPr>
          <w:p w:rsidR="00C11972" w:rsidRPr="003801EA" w:rsidRDefault="00AA6877" w:rsidP="00AA6877">
            <w:pPr>
              <w:pStyle w:val="Normal6"/>
              <w:widowControl/>
            </w:pPr>
            <w:r w:rsidRPr="003801EA">
              <w:t>5.</w:t>
            </w:r>
            <w:r w:rsidRPr="003801EA">
              <w:tab/>
              <w:t>Eurooppalainen vammaiskortti myönnetään fyysisenä korttina, ja sitä on täydennettävä digitaalisella muodolla, kun 7 kohdassa tarkoitetut delegoidut säädökset hyväksytään. Vammaisille henkilöille on annettava mahdollisuus käyttää joko digitaal</w:t>
            </w:r>
            <w:r w:rsidRPr="003801EA">
              <w:t>ista tai fyysistä lupaa tai molempia.</w:t>
            </w:r>
          </w:p>
        </w:tc>
        <w:tc>
          <w:tcPr>
            <w:tcW w:w="4876" w:type="dxa"/>
            <w:hideMark/>
          </w:tcPr>
          <w:p w:rsidR="00C11972" w:rsidRPr="003801EA" w:rsidRDefault="00AA6877" w:rsidP="00AA6877">
            <w:pPr>
              <w:pStyle w:val="Normal6"/>
              <w:widowControl/>
              <w:rPr>
                <w:szCs w:val="24"/>
              </w:rPr>
            </w:pPr>
            <w:r w:rsidRPr="003801EA">
              <w:t>5.</w:t>
            </w:r>
            <w:r w:rsidRPr="003801EA">
              <w:tab/>
              <w:t>Eurooppalainen vammaiskortti myönnetään fyysisenä korttina, ja sitä on täydennettävä digitaalisella muodolla, kun 7 kohdassa tarkoitetut delegoidut säädökset hyväksytään. Vammaisille henkilöille on annettava mahdoll</w:t>
            </w:r>
            <w:r w:rsidRPr="003801EA">
              <w:t xml:space="preserve">isuus käyttää joko digitaalista tai fyysistä lupaa tai molempia. </w:t>
            </w:r>
            <w:r w:rsidRPr="003801EA">
              <w:rPr>
                <w:b/>
                <w:i/>
              </w:rPr>
              <w:t>Jäsenvaltioiden myöntämän eurooppalaisen vammaiskortin hakemista ja saamista koskevasta menettelystä on suunniteltava yksinkertaistettu. Korttia hakevilla vammaisilla henkilöillä voisi olla v</w:t>
            </w:r>
            <w:r w:rsidRPr="003801EA">
              <w:rPr>
                <w:b/>
                <w:i/>
              </w:rPr>
              <w:t>aihtoehtona esimerkiksi se, että kortin kääntöpuolelle merkitään heidän erityistarpeensa. Näin ei pitäisi olla mitään fyysisiä tai digitaalisia esteitä, jotka estäisivät vammaisia henkilöitä saamasta korttia maksutta tai uusimasta sitä. On tärkeää taata, e</w:t>
            </w:r>
            <w:r w:rsidRPr="003801EA">
              <w:rPr>
                <w:b/>
                <w:i/>
              </w:rPr>
              <w:t>ttä kortti on täysimääräisesti kaikkien vammaisten ja erityisesti digitaaliselle syrjäytymiselle alttiimpien vammaisten naisten ja tyttöjen saatavilla ja käyttökelpoinen.</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13</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9 artikla – 2 kohta</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hideMark/>
          </w:tcPr>
          <w:p w:rsidR="00C11972" w:rsidRPr="003801EA" w:rsidRDefault="00AA6877" w:rsidP="00AA6877">
            <w:pPr>
              <w:pStyle w:val="Normal6"/>
              <w:widowControl/>
            </w:pPr>
            <w:r w:rsidRPr="003801EA">
              <w:t>2.</w:t>
            </w:r>
            <w:r w:rsidRPr="003801EA">
              <w:tab/>
              <w:t xml:space="preserve">Jäsenvaltioiden on toteutettava asianmukaiset toimenpiteet lisätäkseen yleisön tietoisuutta eurooppalaisesta vammaiskortista ja eurooppalaisesta vammaisten henkilöiden </w:t>
            </w:r>
            <w:r w:rsidRPr="003801EA">
              <w:t>pysäköintiluvasta</w:t>
            </w:r>
            <w:r w:rsidRPr="003801EA">
              <w:rPr>
                <w:b/>
                <w:i/>
              </w:rPr>
              <w:t xml:space="preserve"> ja</w:t>
            </w:r>
            <w:r w:rsidRPr="003801EA">
              <w:t xml:space="preserve"> antaakseen vammaisille henkilöille tietoa kyseisten kortin ja luvan hankkimisesta, käytöstä ja uusimisesta myös esteettömillä tavoilla.</w:t>
            </w:r>
          </w:p>
        </w:tc>
        <w:tc>
          <w:tcPr>
            <w:tcW w:w="4876" w:type="dxa"/>
            <w:hideMark/>
          </w:tcPr>
          <w:p w:rsidR="00C11972" w:rsidRPr="003801EA" w:rsidRDefault="00AA6877" w:rsidP="00AA6877">
            <w:pPr>
              <w:pStyle w:val="Normal6"/>
              <w:widowControl/>
              <w:rPr>
                <w:szCs w:val="24"/>
              </w:rPr>
            </w:pPr>
            <w:r w:rsidRPr="003801EA">
              <w:t>2.</w:t>
            </w:r>
            <w:r w:rsidRPr="003801EA">
              <w:tab/>
              <w:t xml:space="preserve">Jäsenvaltioiden on toteutettava asianmukaiset toimenpiteet lisätäkseen yleisön </w:t>
            </w:r>
            <w:r w:rsidRPr="003801EA">
              <w:rPr>
                <w:b/>
                <w:i/>
              </w:rPr>
              <w:t>sekä sellaisten v</w:t>
            </w:r>
            <w:r w:rsidRPr="003801EA">
              <w:rPr>
                <w:b/>
                <w:i/>
              </w:rPr>
              <w:t xml:space="preserve">iranomaisten ja yksityisten palveluntarjoajien </w:t>
            </w:r>
            <w:r w:rsidRPr="003801EA">
              <w:t xml:space="preserve">tietoisuutta </w:t>
            </w:r>
            <w:r w:rsidRPr="003801EA">
              <w:rPr>
                <w:b/>
                <w:i/>
              </w:rPr>
              <w:t xml:space="preserve">kortista ja sen ehdoista, jotka voivat tarjota yksilöllistä tukea 5 artiklan mukaisesti. Jäsenvaltioiden on myös tiedotettava vammaisille henkilöille esteettömällä ja sukupuolinäkökulman huomioon </w:t>
            </w:r>
            <w:r w:rsidRPr="003801EA">
              <w:rPr>
                <w:b/>
                <w:i/>
              </w:rPr>
              <w:t>ottavalla tavalla</w:t>
            </w:r>
            <w:r w:rsidRPr="003801EA">
              <w:t xml:space="preserve"> eurooppalaisesta vammaiskortista ja eurooppalaisesta vammaisten henkilöiden pysäköintiluvasta antaakseen vammaisille henkilöille tietoa kyseisten kortin ja luvan hankkimisesta, käytöstä ja uusimisesta myös esteettömillä tavoilla. </w:t>
            </w:r>
            <w:r w:rsidRPr="003801EA">
              <w:rPr>
                <w:b/>
                <w:i/>
              </w:rPr>
              <w:t>Niiden o</w:t>
            </w:r>
            <w:r w:rsidRPr="003801EA">
              <w:rPr>
                <w:b/>
                <w:i/>
              </w:rPr>
              <w:t>lisi myös koordinoitava kattavaa sukupuolinäkökulman huomioon ottavaa koulutusta kaikkia asianomaisia toimijoita varten.</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rPr>
        <w:t>&lt;Amend&gt;</w:t>
      </w:r>
      <w:r w:rsidRPr="003801EA">
        <w:t>Tarkistus</w:t>
      </w:r>
      <w:r w:rsidRPr="003801EA">
        <w:tab/>
      </w:r>
      <w:r w:rsidRPr="003801EA">
        <w:tab/>
      </w:r>
      <w:r w:rsidRPr="003801EA">
        <w:rPr>
          <w:rStyle w:val="HideTWBExt"/>
        </w:rPr>
        <w:t>&lt;NumAm&gt;</w:t>
      </w:r>
      <w:r w:rsidRPr="003801EA">
        <w:t>14</w:t>
      </w:r>
      <w:r w:rsidRPr="003801EA">
        <w:rPr>
          <w:rStyle w:val="HideTWBExt"/>
        </w:rPr>
        <w:t>&lt;/NumAm&gt;</w:t>
      </w:r>
    </w:p>
    <w:p w:rsidR="00C11972" w:rsidRPr="003801EA" w:rsidRDefault="00AA6877" w:rsidP="00AA6877">
      <w:pPr>
        <w:pStyle w:val="NormalBold12b"/>
        <w:widowControl/>
      </w:pPr>
      <w:r w:rsidRPr="003801EA">
        <w:rPr>
          <w:rStyle w:val="HideTWBExt"/>
        </w:rPr>
        <w:t>&lt;DocAmend&gt;</w:t>
      </w:r>
      <w:r w:rsidRPr="003801EA">
        <w:t>Ehdotus direktiiviksi</w:t>
      </w:r>
      <w:r w:rsidRPr="003801EA">
        <w:rPr>
          <w:rStyle w:val="HideTWBExt"/>
        </w:rPr>
        <w:t>&lt;/DocAmend&gt;</w:t>
      </w:r>
    </w:p>
    <w:p w:rsidR="00C11972" w:rsidRPr="003801EA" w:rsidRDefault="00AA6877" w:rsidP="00AA6877">
      <w:pPr>
        <w:pStyle w:val="NormalBold"/>
        <w:widowControl/>
      </w:pPr>
      <w:r w:rsidRPr="003801EA">
        <w:rPr>
          <w:rStyle w:val="HideTWBExt"/>
        </w:rPr>
        <w:t>&lt;Article&gt;</w:t>
      </w:r>
      <w:r w:rsidRPr="003801EA">
        <w:t>11 artikla – 4 kohta</w:t>
      </w:r>
      <w:r w:rsidRPr="003801E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trHeight w:hRule="exact" w:val="240"/>
          <w:jc w:val="center"/>
        </w:trPr>
        <w:tc>
          <w:tcPr>
            <w:tcW w:w="9752" w:type="dxa"/>
            <w:gridSpan w:val="2"/>
          </w:tcPr>
          <w:p w:rsidR="00C11972" w:rsidRPr="003801EA" w:rsidRDefault="00C11972" w:rsidP="00AA6877">
            <w:pPr>
              <w:widowControl/>
            </w:pPr>
          </w:p>
        </w:tc>
      </w:tr>
      <w:tr w:rsidR="008C65A0" w:rsidRPr="003801EA" w:rsidTr="00096654">
        <w:trPr>
          <w:trHeight w:val="240"/>
          <w:jc w:val="center"/>
        </w:trPr>
        <w:tc>
          <w:tcPr>
            <w:tcW w:w="4876" w:type="dxa"/>
          </w:tcPr>
          <w:p w:rsidR="00C11972" w:rsidRPr="003801EA" w:rsidRDefault="00AA6877" w:rsidP="00AA6877">
            <w:pPr>
              <w:pStyle w:val="AmColumnHeading"/>
              <w:widowControl/>
            </w:pPr>
            <w:r w:rsidRPr="003801EA">
              <w:t>Komission teksti</w:t>
            </w:r>
          </w:p>
        </w:tc>
        <w:tc>
          <w:tcPr>
            <w:tcW w:w="4876" w:type="dxa"/>
          </w:tcPr>
          <w:p w:rsidR="00C11972" w:rsidRPr="003801EA" w:rsidRDefault="00AA6877" w:rsidP="00AA6877">
            <w:pPr>
              <w:pStyle w:val="AmColumnHeading"/>
              <w:widowControl/>
            </w:pPr>
            <w:r w:rsidRPr="003801EA">
              <w:t>Tarkistus</w:t>
            </w:r>
          </w:p>
        </w:tc>
      </w:tr>
      <w:tr w:rsidR="008C65A0" w:rsidRPr="003801EA" w:rsidTr="00096654">
        <w:trPr>
          <w:jc w:val="center"/>
        </w:trPr>
        <w:tc>
          <w:tcPr>
            <w:tcW w:w="4876" w:type="dxa"/>
          </w:tcPr>
          <w:p w:rsidR="00C11972" w:rsidRPr="003801EA" w:rsidRDefault="00AA6877" w:rsidP="00AA6877">
            <w:pPr>
              <w:pStyle w:val="Normal6a"/>
              <w:widowControl/>
            </w:pPr>
            <w:r w:rsidRPr="003801EA">
              <w:t>4.</w:t>
            </w:r>
            <w:r w:rsidRPr="003801EA">
              <w:tab/>
              <w:t>Ennen kuin komissio hyväksyy delegoidun säädöksen, se kuulee kunkin jäsenvaltion nimeämiä asiantuntijoita paremmasta lainsäädännöstä 13 päivänä huhtikuuta 2016 tehdyssä toimielinten välisessä sopimuksessa vahvistettujen peria</w:t>
            </w:r>
            <w:r w:rsidRPr="003801EA">
              <w:t>atteiden mukaisesti.</w:t>
            </w:r>
          </w:p>
        </w:tc>
        <w:tc>
          <w:tcPr>
            <w:tcW w:w="4876" w:type="dxa"/>
          </w:tcPr>
          <w:p w:rsidR="00C11972" w:rsidRPr="003801EA" w:rsidRDefault="00AA6877" w:rsidP="00AA6877">
            <w:pPr>
              <w:pStyle w:val="Normal6a"/>
              <w:widowControl/>
            </w:pPr>
            <w:r>
              <w:t>4.</w:t>
            </w:r>
            <w:r w:rsidRPr="003801EA">
              <w:tab/>
              <w:t xml:space="preserve">Ennen kuin komissio hyväksyy delegoidun säädöksen, se kuulee kunkin jäsenvaltion nimeämiä asiantuntijoita paremmasta lainsäädännöstä 13 päivänä huhtikuuta 2016 tehdyssä toimielinten välisessä sopimuksessa vahvistettujen periaatteiden </w:t>
            </w:r>
            <w:r w:rsidRPr="003801EA">
              <w:t xml:space="preserve">mukaisesti. </w:t>
            </w:r>
            <w:r w:rsidRPr="003801EA">
              <w:rPr>
                <w:b/>
                <w:i/>
              </w:rPr>
              <w:t>Komissio kuulee myös sukupuolten tasa-arvon asiantuntijoita ja pyytää jäsenvaltioilta ja toimivaltaisilta EU:n viranomaisilta sukupuolen mukaan eriteltyjä tietoja sukupuolinäkökulman valtavirtaistamisen ja sukupuolitietoisen budjetoinnin tehost</w:t>
            </w:r>
            <w:r w:rsidRPr="003801EA">
              <w:rPr>
                <w:b/>
                <w:i/>
              </w:rPr>
              <w:t>amiseksi tarvittaessa.</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rPr>
        <w:t>&lt;Amend&gt;</w:t>
      </w:r>
      <w:r w:rsidRPr="003801EA">
        <w:t>Tarkistus</w:t>
      </w:r>
      <w:r w:rsidRPr="003801EA">
        <w:tab/>
      </w:r>
      <w:r w:rsidRPr="003801EA">
        <w:tab/>
      </w:r>
      <w:r w:rsidRPr="003801EA">
        <w:rPr>
          <w:rStyle w:val="HideTWBExt"/>
        </w:rPr>
        <w:t>&lt;NumAm&gt;</w:t>
      </w:r>
      <w:r w:rsidRPr="003801EA">
        <w:t>15</w:t>
      </w:r>
      <w:r w:rsidRPr="003801EA">
        <w:rPr>
          <w:rStyle w:val="HideTWBExt"/>
        </w:rPr>
        <w:t>&lt;/NumAm&gt;</w:t>
      </w:r>
    </w:p>
    <w:p w:rsidR="00C11972" w:rsidRPr="003801EA" w:rsidRDefault="00AA6877" w:rsidP="00AA6877">
      <w:pPr>
        <w:pStyle w:val="NormalBold12b"/>
        <w:widowControl/>
      </w:pPr>
      <w:r w:rsidRPr="003801EA">
        <w:rPr>
          <w:rStyle w:val="HideTWBExt"/>
        </w:rPr>
        <w:t>&lt;DocAmend&gt;</w:t>
      </w:r>
      <w:r w:rsidRPr="003801EA">
        <w:t>Ehdotus direktiiviksi</w:t>
      </w:r>
      <w:r w:rsidRPr="003801EA">
        <w:rPr>
          <w:rStyle w:val="HideTWBExt"/>
        </w:rPr>
        <w:t>&lt;/DocAmend&gt;</w:t>
      </w:r>
    </w:p>
    <w:p w:rsidR="00C11972" w:rsidRPr="003801EA" w:rsidRDefault="00AA6877" w:rsidP="00AA6877">
      <w:pPr>
        <w:pStyle w:val="NormalBold"/>
        <w:widowControl/>
      </w:pPr>
      <w:r w:rsidRPr="003801EA">
        <w:rPr>
          <w:rStyle w:val="HideTWBExt"/>
        </w:rPr>
        <w:t>&lt;Article&gt;</w:t>
      </w:r>
      <w:r w:rsidRPr="003801EA">
        <w:t>13 artikla – 2 kohta – b alakohta</w:t>
      </w:r>
      <w:r w:rsidRPr="003801E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trHeight w:hRule="exact" w:val="240"/>
          <w:jc w:val="center"/>
        </w:trPr>
        <w:tc>
          <w:tcPr>
            <w:tcW w:w="9752" w:type="dxa"/>
            <w:gridSpan w:val="2"/>
          </w:tcPr>
          <w:p w:rsidR="00C11972" w:rsidRPr="003801EA" w:rsidRDefault="00C11972" w:rsidP="00AA6877">
            <w:pPr>
              <w:widowControl/>
            </w:pPr>
          </w:p>
        </w:tc>
      </w:tr>
      <w:tr w:rsidR="008C65A0" w:rsidRPr="003801EA" w:rsidTr="00096654">
        <w:trPr>
          <w:trHeight w:val="240"/>
          <w:jc w:val="center"/>
        </w:trPr>
        <w:tc>
          <w:tcPr>
            <w:tcW w:w="4876" w:type="dxa"/>
          </w:tcPr>
          <w:p w:rsidR="00C11972" w:rsidRPr="003801EA" w:rsidRDefault="00AA6877" w:rsidP="00AA6877">
            <w:pPr>
              <w:pStyle w:val="AmColumnHeading"/>
              <w:widowControl/>
            </w:pPr>
            <w:r w:rsidRPr="003801EA">
              <w:t>Komission teksti</w:t>
            </w:r>
          </w:p>
        </w:tc>
        <w:tc>
          <w:tcPr>
            <w:tcW w:w="4876" w:type="dxa"/>
          </w:tcPr>
          <w:p w:rsidR="00C11972" w:rsidRPr="003801EA" w:rsidRDefault="00AA6877" w:rsidP="00AA6877">
            <w:pPr>
              <w:pStyle w:val="AmColumnHeading"/>
              <w:widowControl/>
            </w:pPr>
            <w:r w:rsidRPr="003801EA">
              <w:t>Tarkistus</w:t>
            </w:r>
          </w:p>
        </w:tc>
      </w:tr>
      <w:tr w:rsidR="008C65A0" w:rsidRPr="003801EA" w:rsidTr="00096654">
        <w:trPr>
          <w:jc w:val="center"/>
        </w:trPr>
        <w:tc>
          <w:tcPr>
            <w:tcW w:w="4876" w:type="dxa"/>
          </w:tcPr>
          <w:p w:rsidR="00C11972" w:rsidRPr="003801EA" w:rsidRDefault="00AA6877" w:rsidP="00AA6877">
            <w:pPr>
              <w:pStyle w:val="Normal6a"/>
              <w:widowControl/>
            </w:pPr>
            <w:r w:rsidRPr="003801EA">
              <w:t>b)</w:t>
            </w:r>
            <w:r w:rsidRPr="003801EA">
              <w:tab/>
              <w:t xml:space="preserve">säännökset, joiden mukaan julkiset elimet tai yksityiset </w:t>
            </w:r>
            <w:r w:rsidRPr="003801EA">
              <w:t xml:space="preserve">yhdistykset, järjestöt tai muut oikeushenkilöt, joilla on oikeutettu intressi varmistaa tämän direktiivin säännösten noudattaminen, voivat kansallisen lainsäädännön ja menettelyjen mukaisesti aloittaa tuomioistuimessa tai toimivaltaisessa hallintoelimessä </w:t>
            </w:r>
            <w:r w:rsidRPr="003801EA">
              <w:t>tämän direktiivin mukaisten velvoitteiden täytäntöön panemiseksi säädetyn oikeudellisen tai hallinnollisen menettelyn vammaisen henkilön puolesta tai vammaista henkilöä tukeakseen tämän suostumuksella.</w:t>
            </w:r>
          </w:p>
        </w:tc>
        <w:tc>
          <w:tcPr>
            <w:tcW w:w="4876" w:type="dxa"/>
          </w:tcPr>
          <w:p w:rsidR="00C11972" w:rsidRPr="003801EA" w:rsidRDefault="00AA6877" w:rsidP="00AA6877">
            <w:pPr>
              <w:pStyle w:val="Normal6a"/>
              <w:widowControl/>
            </w:pPr>
            <w:r w:rsidRPr="003801EA">
              <w:t>b)</w:t>
            </w:r>
            <w:r w:rsidRPr="003801EA">
              <w:tab/>
              <w:t>säännökset, joiden mukaan julkiset elimet</w:t>
            </w:r>
            <w:r w:rsidRPr="003801EA">
              <w:rPr>
                <w:b/>
                <w:i/>
              </w:rPr>
              <w:t>, kuten ta</w:t>
            </w:r>
            <w:r w:rsidRPr="003801EA">
              <w:rPr>
                <w:b/>
                <w:i/>
              </w:rPr>
              <w:t>sa-arvoelimet,</w:t>
            </w:r>
            <w:r w:rsidRPr="003801EA">
              <w:t xml:space="preserve"> tai yksityiset yhdistykset, järjestöt tai muut oikeushenkilöt, joilla on oikeutettu intressi varmistaa tämän direktiivin säännösten noudattaminen, voivat kansallisen lainsäädännön ja menettelyjen mukaisesti aloittaa tuomioistuimessa tai toim</w:t>
            </w:r>
            <w:r w:rsidRPr="003801EA">
              <w:t>ivaltaisessa hallintoelimessä tämän direktiivin mukaisten velvoitteiden täytäntöön panemiseksi säädetyn oikeudellisen tai hallinnollisen menettelyn vammaisen henkilön puolesta tai vammaista henkilöä tukeakseen tämän suostumuksella.</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&lt;Amend&gt;</w:t>
      </w:r>
      <w:r w:rsidRPr="003801EA">
        <w:t>Tarkistus</w:t>
      </w:r>
      <w:r w:rsidRPr="003801EA">
        <w:tab/>
      </w:r>
      <w:r w:rsidRPr="003801EA">
        <w:tab/>
      </w:r>
      <w:r w:rsidRPr="003801EA">
        <w:rPr>
          <w:rStyle w:val="HideTWBExt"/>
          <w:b w:val="0"/>
        </w:rPr>
        <w:t>&lt;NumAm&gt;</w:t>
      </w:r>
      <w:r w:rsidRPr="003801EA">
        <w:t>16</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16 artikla – 2 kohta</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hideMark/>
          </w:tcPr>
          <w:p w:rsidR="00C11972" w:rsidRPr="003801EA" w:rsidRDefault="00AA6877" w:rsidP="00AA6877">
            <w:pPr>
              <w:pStyle w:val="Normal6"/>
              <w:widowControl/>
            </w:pPr>
            <w:r w:rsidRPr="003801EA">
              <w:t>2.</w:t>
            </w:r>
            <w:r w:rsidRPr="003801EA">
              <w:tab/>
              <w:t xml:space="preserve">Kertomuksessa käsitellään eurooppalaisen vammaiskortin ja eurooppalaisen vammaisten henkilöiden </w:t>
            </w:r>
            <w:r w:rsidRPr="003801EA">
              <w:t>pysäköintiluvan käyttöä muun muassa sosiaalisen ja taloudellisen kehityksen valossa, jotta voidaan arvioida, olisiko tätä direktiiviä tarpeen tarkistaa.</w:t>
            </w:r>
          </w:p>
        </w:tc>
        <w:tc>
          <w:tcPr>
            <w:tcW w:w="4876" w:type="dxa"/>
            <w:hideMark/>
          </w:tcPr>
          <w:p w:rsidR="00C11972" w:rsidRPr="003801EA" w:rsidRDefault="00AA6877" w:rsidP="00AA6877">
            <w:pPr>
              <w:pStyle w:val="Normal6"/>
              <w:widowControl/>
              <w:rPr>
                <w:szCs w:val="24"/>
              </w:rPr>
            </w:pPr>
            <w:r w:rsidRPr="003801EA">
              <w:t>2.</w:t>
            </w:r>
            <w:r w:rsidRPr="003801EA">
              <w:tab/>
              <w:t>Kertomuksessa käsitellään eurooppalaisen vammaiskortin ja eurooppalaisen vammaisten henkilöiden pysä</w:t>
            </w:r>
            <w:r w:rsidRPr="003801EA">
              <w:t xml:space="preserve">köintiluvan käyttöä muun muassa </w:t>
            </w:r>
            <w:r w:rsidRPr="003801EA">
              <w:rPr>
                <w:b/>
                <w:i/>
              </w:rPr>
              <w:t xml:space="preserve">jäsenvaltioiden ja koko unionin </w:t>
            </w:r>
            <w:r w:rsidRPr="003801EA">
              <w:t xml:space="preserve">sosiaalisen ja taloudellisen kehityksen valossa, jotta voidaan arvioida, olisiko tätä direktiiviä tarpeen tarkistaa. </w:t>
            </w:r>
            <w:r w:rsidRPr="003801EA">
              <w:rPr>
                <w:b/>
                <w:i/>
              </w:rPr>
              <w:t>Kertomukseen on sisällyttävä sukupuolianalyysi, jossa keskitytään siihen, m</w:t>
            </w:r>
            <w:r w:rsidRPr="003801EA">
              <w:rPr>
                <w:b/>
                <w:i/>
              </w:rPr>
              <w:t>iten tämän direktiivin säännökset ovat tosiasiallisesti ja mahdollisesti vaikuttaneet vammaisten naisten ja tyttöjen vapaaseen liikkuvuuteen. Kertomuksessa on arvioitava myös jäsenvaltioiden palveluntarjoajille tarjoamien kannustintoimenpiteiden tehokkuutt</w:t>
            </w:r>
            <w:r w:rsidRPr="003801EA">
              <w:rPr>
                <w:b/>
                <w:i/>
              </w:rPr>
              <w:t>a. Siinä otetaan huomioon vammaisten henkilöiden ja asiaan liittyvien valtiosta riippumattomien järjestöjen palaute, erityisesti vammaisia henkilöitä edustavien järjestöjen ja sukupuolten tasa-arvoa edistävien järjestöjen sekä talouden toimijoiden palaute.</w:t>
            </w:r>
            <w:r w:rsidRPr="003801EA">
              <w:rPr>
                <w:b/>
                <w:i/>
              </w:rPr>
              <w:t xml:space="preserve"> Komissio perustaa digitaalisen portaalin, joka sisältää kaikki tiedot, jotka koskevat eurooppalaisen vammaiskortin ja eurooppalaisen pysäköintiluvan hallussapidon etuja kaikissa jäsenvaltioissa sukupuolinäkökulman huomioon ottavalla tavalla.</w:t>
            </w:r>
          </w:p>
        </w:tc>
      </w:tr>
    </w:tbl>
    <w:p w:rsidR="00C11972" w:rsidRPr="003801EA" w:rsidRDefault="00AA6877" w:rsidP="00AA6877">
      <w:pPr>
        <w:widowControl/>
      </w:pPr>
      <w:r w:rsidRPr="003801EA">
        <w:rPr>
          <w:rStyle w:val="HideTWBExt"/>
        </w:rPr>
        <w:t>&lt;/Amend&gt;</w:t>
      </w:r>
    </w:p>
    <w:p w:rsidR="00C11972" w:rsidRPr="003801EA" w:rsidRDefault="00AA6877" w:rsidP="00AA6877">
      <w:pPr>
        <w:pStyle w:val="AmNumberTabs"/>
        <w:widowControl/>
      </w:pPr>
      <w:r w:rsidRPr="003801EA">
        <w:rPr>
          <w:rStyle w:val="HideTWBExt"/>
          <w:b w:val="0"/>
        </w:rPr>
        <w:t>&lt;Am</w:t>
      </w:r>
      <w:r w:rsidRPr="003801EA">
        <w:rPr>
          <w:rStyle w:val="HideTWBExt"/>
          <w:b w:val="0"/>
        </w:rPr>
        <w:t>end&gt;</w:t>
      </w:r>
      <w:r w:rsidRPr="003801EA">
        <w:t>Tarkistus</w:t>
      </w:r>
      <w:r w:rsidRPr="003801EA">
        <w:tab/>
      </w:r>
      <w:r w:rsidRPr="003801EA">
        <w:tab/>
      </w:r>
      <w:r w:rsidRPr="003801EA">
        <w:rPr>
          <w:rStyle w:val="HideTWBExt"/>
          <w:b w:val="0"/>
        </w:rPr>
        <w:t>&lt;NumAm&gt;</w:t>
      </w:r>
      <w:r w:rsidRPr="003801EA">
        <w:t>17</w:t>
      </w:r>
      <w:r w:rsidRPr="003801EA">
        <w:rPr>
          <w:rStyle w:val="HideTWBExt"/>
          <w:b w:val="0"/>
        </w:rPr>
        <w:t>&lt;/NumAm&gt;</w:t>
      </w:r>
    </w:p>
    <w:p w:rsidR="00C11972" w:rsidRPr="003801EA" w:rsidRDefault="00C11972" w:rsidP="00AA6877">
      <w:pPr>
        <w:widowControl/>
      </w:pPr>
    </w:p>
    <w:p w:rsidR="00C11972" w:rsidRPr="003801EA" w:rsidRDefault="00AA6877" w:rsidP="00AA6877">
      <w:pPr>
        <w:pStyle w:val="NormalBold"/>
        <w:keepNext/>
        <w:widowControl/>
      </w:pPr>
      <w:r w:rsidRPr="003801EA">
        <w:rPr>
          <w:rStyle w:val="HideTWBExt"/>
          <w:b w:val="0"/>
        </w:rPr>
        <w:t>&lt;DocAmend&gt;</w:t>
      </w:r>
      <w:r w:rsidRPr="003801EA">
        <w:t>Ehdotus direktiiviksi</w:t>
      </w:r>
      <w:r w:rsidRPr="003801EA">
        <w:rPr>
          <w:rStyle w:val="HideTWBExt"/>
          <w:b w:val="0"/>
        </w:rPr>
        <w:t>&lt;/DocAmend&gt;</w:t>
      </w:r>
    </w:p>
    <w:p w:rsidR="00C11972" w:rsidRPr="003801EA" w:rsidRDefault="00AA6877" w:rsidP="00AA6877">
      <w:pPr>
        <w:pStyle w:val="NormalBold"/>
        <w:widowControl/>
      </w:pPr>
      <w:r w:rsidRPr="003801EA">
        <w:rPr>
          <w:rStyle w:val="HideTWBExt"/>
          <w:b w:val="0"/>
        </w:rPr>
        <w:t>&lt;Article&gt;</w:t>
      </w:r>
      <w:r w:rsidRPr="003801EA">
        <w:t>16 artikla – 3 kohta</w:t>
      </w:r>
      <w:r w:rsidRPr="003801E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5A0" w:rsidRPr="003801EA" w:rsidTr="00096654">
        <w:trPr>
          <w:jc w:val="center"/>
        </w:trPr>
        <w:tc>
          <w:tcPr>
            <w:tcW w:w="9752" w:type="dxa"/>
            <w:gridSpan w:val="2"/>
          </w:tcPr>
          <w:p w:rsidR="00C11972" w:rsidRPr="003801EA" w:rsidRDefault="00C11972" w:rsidP="00AA6877">
            <w:pPr>
              <w:keepNext/>
              <w:widowControl/>
            </w:pPr>
          </w:p>
        </w:tc>
      </w:tr>
      <w:tr w:rsidR="008C65A0" w:rsidRPr="003801EA" w:rsidTr="00096654">
        <w:trPr>
          <w:jc w:val="center"/>
        </w:trPr>
        <w:tc>
          <w:tcPr>
            <w:tcW w:w="4876" w:type="dxa"/>
            <w:hideMark/>
          </w:tcPr>
          <w:p w:rsidR="00C11972" w:rsidRPr="003801EA" w:rsidRDefault="00AA6877" w:rsidP="00AA6877">
            <w:pPr>
              <w:pStyle w:val="ColumnHeading"/>
              <w:keepNext/>
              <w:widowControl/>
            </w:pPr>
            <w:r w:rsidRPr="003801EA">
              <w:t>Komission teksti</w:t>
            </w:r>
          </w:p>
        </w:tc>
        <w:tc>
          <w:tcPr>
            <w:tcW w:w="4876" w:type="dxa"/>
            <w:hideMark/>
          </w:tcPr>
          <w:p w:rsidR="00C11972" w:rsidRPr="003801EA" w:rsidRDefault="00AA6877" w:rsidP="00AA6877">
            <w:pPr>
              <w:pStyle w:val="ColumnHeading"/>
              <w:keepNext/>
              <w:widowControl/>
            </w:pPr>
            <w:r w:rsidRPr="003801EA">
              <w:t>Tarkistus</w:t>
            </w:r>
          </w:p>
        </w:tc>
      </w:tr>
      <w:tr w:rsidR="008C65A0" w:rsidRPr="003801EA" w:rsidTr="00096654">
        <w:trPr>
          <w:jc w:val="center"/>
        </w:trPr>
        <w:tc>
          <w:tcPr>
            <w:tcW w:w="4876" w:type="dxa"/>
            <w:hideMark/>
          </w:tcPr>
          <w:p w:rsidR="00C11972" w:rsidRPr="003801EA" w:rsidRDefault="00AA6877" w:rsidP="00AA6877">
            <w:pPr>
              <w:pStyle w:val="Normal6"/>
              <w:widowControl/>
            </w:pPr>
            <w:r w:rsidRPr="003801EA">
              <w:t>3.</w:t>
            </w:r>
            <w:r w:rsidRPr="003801EA">
              <w:tab/>
              <w:t xml:space="preserve">Jäsenvaltioiden on ilmoitettava komissiolle sen pyynnöstä ja hyvissä ajoin kaikki tiedot, jotka komissio </w:t>
            </w:r>
            <w:r w:rsidRPr="003801EA">
              <w:t>tarvitsee laatiakseen kertomuksen.</w:t>
            </w:r>
          </w:p>
        </w:tc>
        <w:tc>
          <w:tcPr>
            <w:tcW w:w="4876" w:type="dxa"/>
            <w:hideMark/>
          </w:tcPr>
          <w:p w:rsidR="00C11972" w:rsidRPr="003801EA" w:rsidRDefault="00AA6877" w:rsidP="00AA6877">
            <w:pPr>
              <w:pStyle w:val="Normal6"/>
              <w:widowControl/>
              <w:rPr>
                <w:szCs w:val="24"/>
              </w:rPr>
            </w:pPr>
            <w:r w:rsidRPr="003801EA">
              <w:t>3.</w:t>
            </w:r>
            <w:r w:rsidRPr="003801EA">
              <w:tab/>
              <w:t xml:space="preserve">Jäsenvaltioiden on ilmoitettava komissiolle sen pyynnöstä ja hyvissä ajoin kaikki tiedot, jotka komissio tarvitsee laatiakseen kertomuksen. </w:t>
            </w:r>
            <w:r w:rsidRPr="003801EA">
              <w:rPr>
                <w:b/>
                <w:i/>
              </w:rPr>
              <w:t>Näihin tietoihin on sisällyttävä muun muassa vammaiskortin toteuttamista koske</w:t>
            </w:r>
            <w:r w:rsidRPr="003801EA">
              <w:rPr>
                <w:b/>
                <w:i/>
              </w:rPr>
              <w:t>va selkeä sukupuolinäkökulma. Jäsenvaltioiden on kerättävä sukupuolen mukaan eriteltyjä tietoja tunnistaakseen moniperusteisen syrjinnän muodot, joita vammaiset naiset ja tytöt kohtaavat, kun he käyttävät palveluja, toimintoja tai tiloja, joihin liittyy er</w:t>
            </w:r>
            <w:r w:rsidRPr="003801EA">
              <w:rPr>
                <w:b/>
                <w:i/>
              </w:rPr>
              <w:t>ityisehtoja tai -kohtelua, tai vammaisille henkilöille tai heidän saattajilleen tai avustajilleen, myös henkilökohtaisille avustajilleen, tarjottavia tai heille varattuja pysäköintiolosuhteita ja -tiloja eurooppalaisesta vammaiskortista tai eurooppalaisest</w:t>
            </w:r>
            <w:r w:rsidRPr="003801EA">
              <w:rPr>
                <w:b/>
                <w:i/>
              </w:rPr>
              <w:t>a vammaisten henkilöiden pysäköintiluvasta johtuvien velvoitteiden mukaisesti. Näitä tietoja olisi käytettävä direktiivin sukupuolivaikutusten arvioinnissa ja taattava, että direktiiviä tarkistetaan tulevaisuudessa sukupuolinäkökulman huomioon ottamiseksi.</w:t>
            </w:r>
          </w:p>
        </w:tc>
      </w:tr>
    </w:tbl>
    <w:p w:rsidR="00C11972" w:rsidRPr="003801EA" w:rsidRDefault="00AA6877" w:rsidP="00AA6877">
      <w:pPr>
        <w:widowControl/>
      </w:pPr>
      <w:r w:rsidRPr="003801EA">
        <w:rPr>
          <w:rStyle w:val="HideTWBExt"/>
        </w:rPr>
        <w:t>&lt;/Amend&gt;</w:t>
      </w:r>
    </w:p>
    <w:p w:rsidR="00C11972" w:rsidRPr="003801EA" w:rsidRDefault="00C11972" w:rsidP="00AA6877">
      <w:pPr>
        <w:widowControl/>
        <w:rPr>
          <w:rStyle w:val="HideTWBExt"/>
          <w:szCs w:val="20"/>
        </w:rPr>
      </w:pPr>
    </w:p>
    <w:p w:rsidR="00EB2CDF" w:rsidRPr="003801EA" w:rsidRDefault="00AA6877" w:rsidP="00AA6877">
      <w:pPr>
        <w:widowControl/>
      </w:pPr>
      <w:r w:rsidRPr="003801EA">
        <w:rPr>
          <w:rStyle w:val="HideTWBExt"/>
        </w:rPr>
        <w:t>&lt;/RepeatBlock-Amend&gt;</w:t>
      </w:r>
    </w:p>
    <w:p w:rsidR="00EB2CDF" w:rsidRPr="003801EA" w:rsidRDefault="00EB2CDF" w:rsidP="00AA6877">
      <w:pPr>
        <w:widowControl/>
      </w:pPr>
    </w:p>
    <w:p w:rsidR="00D36117" w:rsidRPr="003801EA" w:rsidRDefault="00D36117" w:rsidP="00AA6877">
      <w:pPr>
        <w:widowControl/>
      </w:pPr>
      <w:bookmarkStart w:id="3" w:name="_GoBack"/>
      <w:bookmarkEnd w:id="3"/>
    </w:p>
    <w:p w:rsidR="00CD1847" w:rsidRPr="003801EA" w:rsidRDefault="00AA6877" w:rsidP="00AA6877">
      <w:pPr>
        <w:widowControl/>
        <w:ind w:right="-46"/>
        <w:jc w:val="center"/>
        <w:outlineLvl w:val="0"/>
        <w:rPr>
          <w:rFonts w:ascii="Arial" w:hAnsi="Arial"/>
          <w:b/>
          <w:caps/>
          <w:szCs w:val="20"/>
        </w:rPr>
      </w:pPr>
      <w:r w:rsidRPr="003801EA">
        <w:br w:type="page"/>
      </w:r>
      <w:r w:rsidRPr="003801EA">
        <w:rPr>
          <w:rFonts w:ascii="Arial" w:hAnsi="Arial"/>
          <w:b/>
        </w:rPr>
        <w:t xml:space="preserve">LIITE: </w:t>
      </w:r>
      <w:r w:rsidRPr="003801EA">
        <w:rPr>
          <w:rFonts w:ascii="Arial" w:hAnsi="Arial"/>
          <w:b/>
          <w:caps/>
        </w:rPr>
        <w:t>YHTEISÖT TAI HENKILÖT,</w:t>
      </w:r>
    </w:p>
    <w:p w:rsidR="00CD1847" w:rsidRPr="003801EA" w:rsidRDefault="00AA6877" w:rsidP="00AA6877">
      <w:pPr>
        <w:widowControl/>
        <w:ind w:right="-46"/>
        <w:jc w:val="center"/>
        <w:outlineLvl w:val="0"/>
        <w:rPr>
          <w:rFonts w:ascii="Arial" w:hAnsi="Arial"/>
          <w:b/>
        </w:rPr>
      </w:pPr>
      <w:r w:rsidRPr="003801EA">
        <w:rPr>
          <w:rFonts w:ascii="Arial" w:hAnsi="Arial"/>
          <w:b/>
          <w:caps/>
        </w:rPr>
        <w:t>JOILTA VALMISTELIJA ON SAANUT TIETOJA</w:t>
      </w:r>
    </w:p>
    <w:p w:rsidR="00CD1847" w:rsidRPr="003801EA" w:rsidRDefault="00CD1847" w:rsidP="00AA6877">
      <w:pPr>
        <w:widowControl/>
        <w:spacing w:before="9" w:line="500" w:lineRule="atLeast"/>
        <w:ind w:left="80" w:right="-46" w:hanging="97"/>
        <w:jc w:val="center"/>
        <w:rPr>
          <w:rFonts w:eastAsia="Calibri"/>
          <w:sz w:val="22"/>
          <w:szCs w:val="22"/>
        </w:rPr>
      </w:pPr>
    </w:p>
    <w:p w:rsidR="00CD1847" w:rsidRPr="003801EA" w:rsidRDefault="00AA6877" w:rsidP="00AA6877">
      <w:pPr>
        <w:widowControl/>
        <w:spacing w:before="9" w:line="360" w:lineRule="auto"/>
        <w:ind w:right="-46"/>
        <w:rPr>
          <w:rFonts w:eastAsia="Calibri"/>
          <w:sz w:val="22"/>
          <w:szCs w:val="22"/>
        </w:rPr>
      </w:pPr>
      <w:r w:rsidRPr="003801EA">
        <w:rPr>
          <w:sz w:val="22"/>
        </w:rPr>
        <w:t xml:space="preserve">Valmistelija on yksin vastuussa edellä olevan luettelon laatimisesta. Valmistelija on saanut tietoja seuraavilta yhteisöiltä tai henkilöiltä </w:t>
      </w:r>
      <w:r w:rsidRPr="003801EA">
        <w:rPr>
          <w:sz w:val="22"/>
        </w:rPr>
        <w:t>valmistellessaan lausuntoluonnosta / lausuntoa (ennen sen hyväksymistä valiokunnassa):</w:t>
      </w:r>
    </w:p>
    <w:p w:rsidR="00CD1847" w:rsidRPr="003801EA" w:rsidRDefault="00CD1847" w:rsidP="00AA6877">
      <w:pPr>
        <w:widowControl/>
        <w:spacing w:line="200" w:lineRule="exact"/>
        <w:ind w:right="-46"/>
        <w:rPr>
          <w:szCs w:val="20"/>
        </w:rPr>
      </w:pPr>
    </w:p>
    <w:p w:rsidR="00CD1847" w:rsidRPr="003801EA" w:rsidRDefault="00CD1847" w:rsidP="00AA6877">
      <w:pPr>
        <w:widowControl/>
        <w:spacing w:line="200" w:lineRule="exact"/>
        <w:ind w:right="-46"/>
      </w:pPr>
    </w:p>
    <w:p w:rsidR="00CD1847" w:rsidRPr="003801EA" w:rsidRDefault="00CD1847" w:rsidP="00AA6877">
      <w:pPr>
        <w:widowControl/>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8C65A0" w:rsidRPr="003801E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3801EA" w:rsidRDefault="00AA6877" w:rsidP="00AA6877">
            <w:pPr>
              <w:widowControl/>
              <w:spacing w:line="260" w:lineRule="exact"/>
              <w:ind w:left="3567" w:right="3563"/>
              <w:jc w:val="both"/>
              <w:rPr>
                <w:rFonts w:eastAsia="Calibri"/>
                <w:b/>
                <w:sz w:val="22"/>
                <w:szCs w:val="22"/>
              </w:rPr>
            </w:pPr>
            <w:r w:rsidRPr="003801EA">
              <w:rPr>
                <w:b/>
                <w:sz w:val="22"/>
              </w:rPr>
              <w:t>Yhteisö ja/tai henkilö</w:t>
            </w:r>
          </w:p>
        </w:tc>
      </w:tr>
      <w:tr w:rsidR="008C65A0" w:rsidRPr="003801E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3801EA" w:rsidRDefault="00AA6877" w:rsidP="00AA6877">
            <w:pPr>
              <w:widowControl/>
              <w:rPr>
                <w:szCs w:val="20"/>
              </w:rPr>
            </w:pPr>
            <w:r w:rsidRPr="003801EA">
              <w:t>CERMI- Comité Español de Representantes de Personas con Discapacidad</w:t>
            </w:r>
          </w:p>
        </w:tc>
      </w:tr>
      <w:tr w:rsidR="008C65A0" w:rsidRPr="003801E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3801EA" w:rsidRDefault="00AA6877" w:rsidP="00AA6877">
            <w:pPr>
              <w:widowControl/>
            </w:pPr>
            <w:r w:rsidRPr="003801EA">
              <w:t>ONCE-Organización Nacional de Ciegos Españoles</w:t>
            </w:r>
          </w:p>
        </w:tc>
      </w:tr>
      <w:tr w:rsidR="008C65A0" w:rsidRPr="003801E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3801EA" w:rsidRDefault="00AA6877" w:rsidP="00AA6877">
            <w:pPr>
              <w:widowControl/>
            </w:pPr>
            <w:r w:rsidRPr="003801EA">
              <w:t>Asociación Autismo Españ</w:t>
            </w:r>
            <w:r w:rsidRPr="003801EA">
              <w:t>a</w:t>
            </w:r>
          </w:p>
        </w:tc>
      </w:tr>
    </w:tbl>
    <w:p w:rsidR="00CD1847" w:rsidRPr="003801EA" w:rsidRDefault="00CD1847" w:rsidP="00AA6877">
      <w:pPr>
        <w:widowControl/>
        <w:spacing w:line="200" w:lineRule="exact"/>
        <w:rPr>
          <w:szCs w:val="20"/>
          <w:lang w:bidi="en-GB"/>
        </w:rPr>
      </w:pPr>
    </w:p>
    <w:p w:rsidR="00CD1847" w:rsidRPr="003801EA" w:rsidRDefault="00CD1847" w:rsidP="00AA6877">
      <w:pPr>
        <w:widowControl/>
        <w:spacing w:line="200" w:lineRule="exact"/>
      </w:pPr>
    </w:p>
    <w:p w:rsidR="00CD1847" w:rsidRPr="003801EA" w:rsidRDefault="00CD1847" w:rsidP="00AA6877">
      <w:pPr>
        <w:widowControl/>
        <w:spacing w:line="200" w:lineRule="exact"/>
      </w:pPr>
    </w:p>
    <w:p w:rsidR="00CD1847" w:rsidRPr="003801EA" w:rsidRDefault="00AA6877" w:rsidP="00AA6877">
      <w:pPr>
        <w:widowControl/>
      </w:pPr>
      <w:r w:rsidRPr="003801EA">
        <w:br w:type="page"/>
      </w:r>
    </w:p>
    <w:p w:rsidR="005B3175" w:rsidRPr="003801EA" w:rsidRDefault="00AA6877" w:rsidP="00AA6877">
      <w:pPr>
        <w:pStyle w:val="PageHeadingNotTOC"/>
        <w:widowControl/>
      </w:pPr>
      <w:bookmarkStart w:id="4" w:name="ProcPageAD"/>
      <w:r w:rsidRPr="003801EA">
        <w:t>ASIAN KÄSITTELY</w:t>
      </w:r>
      <w:r w:rsidRPr="003801EA">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C65A0" w:rsidRPr="003801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Eurooppalaisen vammaiskortin ja eurooppalaisen vammaisten henkilöiden pysäköintiluvan vahvistamisesta</w:t>
            </w:r>
          </w:p>
        </w:tc>
      </w:tr>
      <w:tr w:rsidR="008C65A0" w:rsidRPr="003801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COM(2023)0512 – C9-0328/2023 – 2023/0311(COD)</w:t>
            </w:r>
          </w:p>
        </w:tc>
      </w:tr>
      <w:tr w:rsidR="008C65A0" w:rsidRPr="003801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 xml:space="preserve">Asiasta vastaava </w:t>
            </w:r>
            <w:r w:rsidRPr="003801EA">
              <w:rPr>
                <w:b/>
                <w:color w:val="000000"/>
                <w:sz w:val="20"/>
              </w:rPr>
              <w:t>valiokunta</w:t>
            </w:r>
          </w:p>
          <w:p w:rsidR="005B3175" w:rsidRPr="003801EA" w:rsidRDefault="00AA6877" w:rsidP="00AA6877">
            <w:pPr>
              <w:widowControl/>
              <w:autoSpaceDE w:val="0"/>
              <w:autoSpaceDN w:val="0"/>
              <w:adjustRightInd w:val="0"/>
              <w:rPr>
                <w:color w:val="000000"/>
                <w:sz w:val="20"/>
                <w:szCs w:val="20"/>
              </w:rPr>
            </w:pPr>
            <w:r w:rsidRPr="003801EA">
              <w:rPr>
                <w:color w:val="000000"/>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EMPL</w:t>
            </w:r>
          </w:p>
          <w:p w:rsidR="005B3175" w:rsidRPr="003801EA" w:rsidRDefault="00AA6877" w:rsidP="00AA6877">
            <w:pPr>
              <w:widowControl/>
              <w:autoSpaceDE w:val="0"/>
              <w:autoSpaceDN w:val="0"/>
              <w:adjustRightInd w:val="0"/>
              <w:rPr>
                <w:color w:val="000000"/>
                <w:sz w:val="20"/>
                <w:szCs w:val="20"/>
              </w:rPr>
            </w:pPr>
            <w:r w:rsidRPr="003801EA">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3801EA" w:rsidRDefault="005B3175" w:rsidP="00AA68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3801EA" w:rsidRDefault="005B3175" w:rsidP="00AA68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3801EA" w:rsidRDefault="005B3175" w:rsidP="00AA6877">
            <w:pPr>
              <w:widowControl/>
              <w:autoSpaceDE w:val="0"/>
              <w:autoSpaceDN w:val="0"/>
              <w:adjustRightInd w:val="0"/>
              <w:rPr>
                <w:rFonts w:ascii="sans-serif" w:hAnsi="sans-serif" w:cs="sans-serif"/>
                <w:color w:val="000000"/>
              </w:rPr>
            </w:pPr>
          </w:p>
        </w:tc>
      </w:tr>
      <w:tr w:rsidR="008C65A0" w:rsidRPr="003801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Lausunnon antanut valiokunta</w:t>
            </w:r>
          </w:p>
          <w:p w:rsidR="005B3175" w:rsidRPr="003801EA" w:rsidRDefault="00AA6877" w:rsidP="00AA6877">
            <w:pPr>
              <w:widowControl/>
              <w:autoSpaceDE w:val="0"/>
              <w:autoSpaceDN w:val="0"/>
              <w:adjustRightInd w:val="0"/>
              <w:rPr>
                <w:color w:val="000000"/>
                <w:sz w:val="20"/>
                <w:szCs w:val="20"/>
              </w:rPr>
            </w:pPr>
            <w:r w:rsidRPr="003801EA">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FEMM</w:t>
            </w:r>
          </w:p>
          <w:p w:rsidR="005B3175" w:rsidRPr="003801EA" w:rsidRDefault="00AA6877" w:rsidP="00AA6877">
            <w:pPr>
              <w:widowControl/>
              <w:autoSpaceDE w:val="0"/>
              <w:autoSpaceDN w:val="0"/>
              <w:adjustRightInd w:val="0"/>
              <w:rPr>
                <w:color w:val="000000"/>
                <w:sz w:val="20"/>
                <w:szCs w:val="20"/>
              </w:rPr>
            </w:pPr>
            <w:r w:rsidRPr="003801EA">
              <w:rPr>
                <w:color w:val="000000"/>
                <w:sz w:val="20"/>
              </w:rPr>
              <w:t>19.10.2023</w:t>
            </w:r>
          </w:p>
        </w:tc>
      </w:tr>
      <w:tr w:rsidR="008C65A0" w:rsidRPr="003801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Valmistelija</w:t>
            </w:r>
          </w:p>
          <w:p w:rsidR="005B3175" w:rsidRPr="003801EA" w:rsidRDefault="00AA6877" w:rsidP="00AA6877">
            <w:pPr>
              <w:widowControl/>
              <w:autoSpaceDE w:val="0"/>
              <w:autoSpaceDN w:val="0"/>
              <w:adjustRightInd w:val="0"/>
              <w:rPr>
                <w:color w:val="000000"/>
                <w:sz w:val="20"/>
                <w:szCs w:val="20"/>
              </w:rPr>
            </w:pPr>
            <w:r w:rsidRPr="003801EA">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Rosa Estaràs Ferragut</w:t>
            </w:r>
          </w:p>
          <w:p w:rsidR="005B3175" w:rsidRPr="003801EA" w:rsidRDefault="00AA6877" w:rsidP="00AA6877">
            <w:pPr>
              <w:widowControl/>
              <w:autoSpaceDE w:val="0"/>
              <w:autoSpaceDN w:val="0"/>
              <w:adjustRightInd w:val="0"/>
              <w:rPr>
                <w:color w:val="000000"/>
                <w:sz w:val="20"/>
                <w:szCs w:val="20"/>
              </w:rPr>
            </w:pPr>
            <w:r w:rsidRPr="003801EA">
              <w:rPr>
                <w:color w:val="000000"/>
                <w:sz w:val="20"/>
              </w:rPr>
              <w:t>10.10.2023</w:t>
            </w:r>
          </w:p>
        </w:tc>
      </w:tr>
      <w:tr w:rsidR="008C65A0" w:rsidRPr="003801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3801EA" w:rsidRDefault="005B3175" w:rsidP="00AA68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3801EA" w:rsidRDefault="005B3175" w:rsidP="00AA68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3801EA" w:rsidRDefault="005B3175" w:rsidP="00AA6877">
            <w:pPr>
              <w:widowControl/>
              <w:autoSpaceDE w:val="0"/>
              <w:autoSpaceDN w:val="0"/>
              <w:adjustRightInd w:val="0"/>
              <w:rPr>
                <w:rFonts w:ascii="sans-serif" w:hAnsi="sans-serif" w:cs="sans-serif"/>
                <w:color w:val="000000"/>
              </w:rPr>
            </w:pPr>
          </w:p>
        </w:tc>
      </w:tr>
      <w:tr w:rsidR="008C65A0" w:rsidRPr="003801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w:t>
            </w:r>
          </w:p>
          <w:p w:rsidR="005B3175" w:rsidRPr="003801EA" w:rsidRDefault="00AA6877" w:rsidP="00AA6877">
            <w:pPr>
              <w:widowControl/>
              <w:autoSpaceDE w:val="0"/>
              <w:autoSpaceDN w:val="0"/>
              <w:adjustRightInd w:val="0"/>
              <w:rPr>
                <w:color w:val="000000"/>
                <w:sz w:val="20"/>
                <w:szCs w:val="20"/>
              </w:rPr>
            </w:pPr>
            <w:r w:rsidRPr="003801EA">
              <w:rPr>
                <w:color w:val="000000"/>
                <w:sz w:val="20"/>
              </w:rPr>
              <w:t>–:</w:t>
            </w:r>
          </w:p>
          <w:p w:rsidR="005B3175" w:rsidRPr="003801EA" w:rsidRDefault="00AA6877" w:rsidP="00AA6877">
            <w:pPr>
              <w:widowControl/>
              <w:autoSpaceDE w:val="0"/>
              <w:autoSpaceDN w:val="0"/>
              <w:adjustRightInd w:val="0"/>
              <w:rPr>
                <w:color w:val="000000"/>
                <w:sz w:val="20"/>
                <w:szCs w:val="20"/>
              </w:rPr>
            </w:pPr>
            <w:r w:rsidRPr="003801E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22</w:t>
            </w:r>
          </w:p>
          <w:p w:rsidR="005B3175" w:rsidRPr="003801EA" w:rsidRDefault="00AA6877" w:rsidP="00AA6877">
            <w:pPr>
              <w:widowControl/>
              <w:autoSpaceDE w:val="0"/>
              <w:autoSpaceDN w:val="0"/>
              <w:adjustRightInd w:val="0"/>
              <w:rPr>
                <w:color w:val="000000"/>
                <w:sz w:val="20"/>
                <w:szCs w:val="20"/>
              </w:rPr>
            </w:pPr>
            <w:r w:rsidRPr="003801EA">
              <w:rPr>
                <w:color w:val="000000"/>
                <w:sz w:val="20"/>
              </w:rPr>
              <w:t>1</w:t>
            </w:r>
          </w:p>
          <w:p w:rsidR="005B3175" w:rsidRPr="003801EA" w:rsidRDefault="00AA6877" w:rsidP="00AA6877">
            <w:pPr>
              <w:widowControl/>
              <w:autoSpaceDE w:val="0"/>
              <w:autoSpaceDN w:val="0"/>
              <w:adjustRightInd w:val="0"/>
              <w:rPr>
                <w:color w:val="000000"/>
                <w:sz w:val="20"/>
                <w:szCs w:val="20"/>
              </w:rPr>
            </w:pPr>
            <w:r w:rsidRPr="003801EA">
              <w:rPr>
                <w:color w:val="000000"/>
                <w:sz w:val="20"/>
              </w:rPr>
              <w:t>0</w:t>
            </w:r>
          </w:p>
        </w:tc>
      </w:tr>
      <w:tr w:rsidR="008C65A0" w:rsidRPr="003801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 xml:space="preserve">Isabella Adinolfi, Robert Biedroń, Vilija Blinkevičiūtė, Margarita de la Pisa Carrión, Frances Fitzgerald, Radka Maxová, Johan Nissinen, Maria Noichl, Carina </w:t>
            </w:r>
            <w:r w:rsidRPr="003801EA">
              <w:rPr>
                <w:color w:val="000000"/>
                <w:sz w:val="20"/>
              </w:rPr>
              <w:t>Ohlsson, Pina Picierno, Maria Veronica Rossi, Christine Schneider</w:t>
            </w:r>
          </w:p>
        </w:tc>
      </w:tr>
      <w:tr w:rsidR="008C65A0" w:rsidRPr="003801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Abir Al-Sahlani, Marina Kaljurand, Aušra Maldeikienė, Silvia Modig, Susana Solís Pérez, Pernille Weiss, Angelika Winzig</w:t>
            </w:r>
          </w:p>
        </w:tc>
      </w:tr>
      <w:tr w:rsidR="008C65A0" w:rsidRPr="003801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b/>
                <w:bCs/>
                <w:color w:val="000000"/>
                <w:sz w:val="20"/>
                <w:szCs w:val="20"/>
              </w:rPr>
            </w:pPr>
            <w:r w:rsidRPr="003801EA">
              <w:rPr>
                <w:b/>
                <w:color w:val="000000"/>
                <w:sz w:val="20"/>
              </w:rPr>
              <w:t xml:space="preserve">Lopullisessa </w:t>
            </w:r>
            <w:r w:rsidRPr="003801EA">
              <w:rPr>
                <w:b/>
                <w:color w:val="000000"/>
                <w:sz w:val="20"/>
              </w:rPr>
              <w:t>äänestyksessä läsnä olleet sijaiset (209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3801EA" w:rsidRDefault="00AA6877" w:rsidP="00AA6877">
            <w:pPr>
              <w:widowControl/>
              <w:autoSpaceDE w:val="0"/>
              <w:autoSpaceDN w:val="0"/>
              <w:adjustRightInd w:val="0"/>
              <w:rPr>
                <w:color w:val="000000"/>
                <w:sz w:val="20"/>
                <w:szCs w:val="20"/>
              </w:rPr>
            </w:pPr>
            <w:r w:rsidRPr="003801EA">
              <w:rPr>
                <w:color w:val="000000"/>
                <w:sz w:val="20"/>
              </w:rPr>
              <w:t>Jakop G. Dalunde, France Jamet, Grace O’Sullivan, Tomáš Zdechovský</w:t>
            </w:r>
          </w:p>
        </w:tc>
      </w:tr>
    </w:tbl>
    <w:p w:rsidR="005B3175" w:rsidRPr="003801EA" w:rsidRDefault="005B3175" w:rsidP="00AA6877">
      <w:pPr>
        <w:widowControl/>
      </w:pPr>
    </w:p>
    <w:p w:rsidR="00DE2846" w:rsidRPr="003801EA" w:rsidRDefault="00DE2846" w:rsidP="00AA6877">
      <w:pPr>
        <w:widowControl/>
      </w:pPr>
    </w:p>
    <w:bookmarkEnd w:id="4"/>
    <w:p w:rsidR="00DE2846" w:rsidRPr="003801EA" w:rsidRDefault="00DE2846" w:rsidP="00AA6877">
      <w:pPr>
        <w:widowControl/>
        <w:sectPr w:rsidR="00DE2846" w:rsidRPr="003801EA" w:rsidSect="003801E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3801EA" w:rsidRDefault="00DE2846" w:rsidP="00AA6877">
      <w:pPr>
        <w:widowControl/>
      </w:pPr>
    </w:p>
    <w:p w:rsidR="00DE2846" w:rsidRPr="003801EA" w:rsidRDefault="00AA6877" w:rsidP="00AA6877">
      <w:pPr>
        <w:pStyle w:val="PageHeadingNotTOC"/>
        <w:widowControl/>
      </w:pPr>
      <w:bookmarkStart w:id="5" w:name="RollCallPageAD"/>
      <w:r w:rsidRPr="003801EA">
        <w:t>LOPULLINEN ÄÄNESTYS NIMENHUUTOÄÄNESTYKSENÄ</w:t>
      </w:r>
      <w:r w:rsidRPr="003801EA">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C65A0" w:rsidRPr="003801EA" w:rsidTr="008920AC">
        <w:trPr>
          <w:cantSplit/>
        </w:trPr>
        <w:tc>
          <w:tcPr>
            <w:tcW w:w="1701" w:type="dxa"/>
            <w:shd w:val="pct10" w:color="000000" w:fill="FFFFFF"/>
            <w:vAlign w:val="center"/>
          </w:tcPr>
          <w:p w:rsidR="00DE2846" w:rsidRPr="003801EA" w:rsidRDefault="00AA6877" w:rsidP="00AA6877">
            <w:pPr>
              <w:pStyle w:val="RollCallVotes"/>
              <w:widowControl/>
            </w:pPr>
            <w:r w:rsidRPr="003801EA">
              <w:t>22</w:t>
            </w:r>
          </w:p>
        </w:tc>
        <w:tc>
          <w:tcPr>
            <w:tcW w:w="7371" w:type="dxa"/>
            <w:shd w:val="pct10" w:color="000000" w:fill="FFFFFF"/>
          </w:tcPr>
          <w:p w:rsidR="00DE2846" w:rsidRPr="003801EA" w:rsidRDefault="00AA6877" w:rsidP="00AA6877">
            <w:pPr>
              <w:pStyle w:val="RollCallSymbols14pt"/>
              <w:widowControl/>
            </w:pPr>
            <w:r w:rsidRPr="003801EA">
              <w:t>+</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ECR</w:t>
            </w:r>
          </w:p>
        </w:tc>
        <w:tc>
          <w:tcPr>
            <w:tcW w:w="7371" w:type="dxa"/>
            <w:shd w:val="clear" w:color="auto" w:fill="FFFFFF"/>
          </w:tcPr>
          <w:p w:rsidR="00DE2846" w:rsidRPr="003801EA" w:rsidRDefault="00AA6877" w:rsidP="00AA6877">
            <w:pPr>
              <w:pStyle w:val="RollCallTable"/>
              <w:widowControl/>
            </w:pPr>
            <w:r w:rsidRPr="003801EA">
              <w:t xml:space="preserve">Margarita de la Pisa </w:t>
            </w:r>
            <w:r w:rsidRPr="003801EA">
              <w:t>Carrión</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ID</w:t>
            </w:r>
          </w:p>
        </w:tc>
        <w:tc>
          <w:tcPr>
            <w:tcW w:w="7371" w:type="dxa"/>
            <w:shd w:val="clear" w:color="auto" w:fill="FFFFFF"/>
          </w:tcPr>
          <w:p w:rsidR="00DE2846" w:rsidRPr="003801EA" w:rsidRDefault="00AA6877" w:rsidP="00AA6877">
            <w:pPr>
              <w:pStyle w:val="RollCallTable"/>
              <w:widowControl/>
            </w:pPr>
            <w:r w:rsidRPr="003801EA">
              <w:t>France Jamet, Maria Veronica Rossi</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PPE</w:t>
            </w:r>
          </w:p>
        </w:tc>
        <w:tc>
          <w:tcPr>
            <w:tcW w:w="7371" w:type="dxa"/>
            <w:shd w:val="clear" w:color="auto" w:fill="FFFFFF"/>
          </w:tcPr>
          <w:p w:rsidR="00DE2846" w:rsidRPr="003801EA" w:rsidRDefault="00AA6877" w:rsidP="00AA6877">
            <w:pPr>
              <w:pStyle w:val="RollCallTable"/>
              <w:widowControl/>
            </w:pPr>
            <w:r w:rsidRPr="003801EA">
              <w:t>Isabella Adinolfi, Frances Fitzgerald, Helmut Geuking, Aušra Maldeikienė, Christine Schneider, Pernille Weiss, Angelika Winzig, Tomáš Zdechovský</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Renew</w:t>
            </w:r>
          </w:p>
        </w:tc>
        <w:tc>
          <w:tcPr>
            <w:tcW w:w="7371" w:type="dxa"/>
            <w:shd w:val="clear" w:color="auto" w:fill="FFFFFF"/>
          </w:tcPr>
          <w:p w:rsidR="00DE2846" w:rsidRPr="003801EA" w:rsidRDefault="00AA6877" w:rsidP="00AA6877">
            <w:pPr>
              <w:pStyle w:val="RollCallTable"/>
              <w:widowControl/>
            </w:pPr>
            <w:r w:rsidRPr="003801EA">
              <w:t>Abir Al-Sahlani, Susana Solís Pérez</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S&amp;D</w:t>
            </w:r>
          </w:p>
        </w:tc>
        <w:tc>
          <w:tcPr>
            <w:tcW w:w="7371" w:type="dxa"/>
            <w:shd w:val="clear" w:color="auto" w:fill="FFFFFF"/>
          </w:tcPr>
          <w:p w:rsidR="00DE2846" w:rsidRPr="003801EA" w:rsidRDefault="00AA6877" w:rsidP="00AA6877">
            <w:pPr>
              <w:pStyle w:val="RollCallTable"/>
              <w:widowControl/>
            </w:pPr>
            <w:r w:rsidRPr="003801EA">
              <w:t xml:space="preserve">Robert </w:t>
            </w:r>
            <w:r w:rsidRPr="003801EA">
              <w:t>Biedroń, Vilija Blinkevičiūtė, Marina Kaljurand, Radka Maxová, Maria Noichl, Carina Ohlsson, Pina Picierno</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The Left</w:t>
            </w:r>
          </w:p>
        </w:tc>
        <w:tc>
          <w:tcPr>
            <w:tcW w:w="7371" w:type="dxa"/>
            <w:shd w:val="clear" w:color="auto" w:fill="FFFFFF"/>
          </w:tcPr>
          <w:p w:rsidR="00DE2846" w:rsidRPr="003801EA" w:rsidRDefault="00AA6877" w:rsidP="00AA6877">
            <w:pPr>
              <w:pStyle w:val="RollCallTable"/>
              <w:widowControl/>
            </w:pPr>
            <w:r w:rsidRPr="003801EA">
              <w:t>Silvia Modig</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Verts/ALE</w:t>
            </w:r>
          </w:p>
        </w:tc>
        <w:tc>
          <w:tcPr>
            <w:tcW w:w="7371" w:type="dxa"/>
            <w:shd w:val="clear" w:color="auto" w:fill="FFFFFF"/>
          </w:tcPr>
          <w:p w:rsidR="00DE2846" w:rsidRPr="003801EA" w:rsidRDefault="00AA6877" w:rsidP="00AA6877">
            <w:pPr>
              <w:pStyle w:val="RollCallTable"/>
              <w:widowControl/>
            </w:pPr>
            <w:r w:rsidRPr="003801EA">
              <w:t>Grace O'Sullivan</w:t>
            </w:r>
          </w:p>
        </w:tc>
      </w:tr>
    </w:tbl>
    <w:p w:rsidR="00DE2846" w:rsidRPr="003801EA" w:rsidRDefault="00DE2846" w:rsidP="00AA68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C65A0" w:rsidRPr="003801EA" w:rsidTr="008920AC">
        <w:trPr>
          <w:cantSplit/>
        </w:trPr>
        <w:tc>
          <w:tcPr>
            <w:tcW w:w="1701" w:type="dxa"/>
            <w:shd w:val="pct10" w:color="000000" w:fill="FFFFFF"/>
            <w:vAlign w:val="center"/>
          </w:tcPr>
          <w:p w:rsidR="00DE2846" w:rsidRPr="003801EA" w:rsidRDefault="00AA6877" w:rsidP="00AA6877">
            <w:pPr>
              <w:pStyle w:val="RollCallVotes"/>
              <w:widowControl/>
            </w:pPr>
            <w:r w:rsidRPr="003801EA">
              <w:t>1</w:t>
            </w:r>
          </w:p>
        </w:tc>
        <w:tc>
          <w:tcPr>
            <w:tcW w:w="7371" w:type="dxa"/>
            <w:shd w:val="pct10" w:color="000000" w:fill="FFFFFF"/>
          </w:tcPr>
          <w:p w:rsidR="00DE2846" w:rsidRPr="003801EA" w:rsidRDefault="00AA6877" w:rsidP="00AA6877">
            <w:pPr>
              <w:pStyle w:val="RollCallSymbols14pt"/>
              <w:widowControl/>
            </w:pPr>
            <w:r w:rsidRPr="003801EA">
              <w:t>-</w:t>
            </w:r>
          </w:p>
        </w:tc>
      </w:tr>
      <w:tr w:rsidR="008C65A0" w:rsidRPr="003801EA" w:rsidTr="008920AC">
        <w:trPr>
          <w:cantSplit/>
        </w:trPr>
        <w:tc>
          <w:tcPr>
            <w:tcW w:w="1701" w:type="dxa"/>
            <w:shd w:val="clear" w:color="auto" w:fill="FFFFFF"/>
          </w:tcPr>
          <w:p w:rsidR="00DE2846" w:rsidRPr="003801EA" w:rsidRDefault="00AA6877" w:rsidP="00AA6877">
            <w:pPr>
              <w:pStyle w:val="RollCallTable"/>
              <w:widowControl/>
            </w:pPr>
            <w:r w:rsidRPr="003801EA">
              <w:t>ECR</w:t>
            </w:r>
          </w:p>
        </w:tc>
        <w:tc>
          <w:tcPr>
            <w:tcW w:w="7371" w:type="dxa"/>
            <w:shd w:val="clear" w:color="auto" w:fill="FFFFFF"/>
          </w:tcPr>
          <w:p w:rsidR="00DE2846" w:rsidRPr="003801EA" w:rsidRDefault="00AA6877" w:rsidP="00AA6877">
            <w:pPr>
              <w:pStyle w:val="RollCallTable"/>
              <w:widowControl/>
            </w:pPr>
            <w:r w:rsidRPr="003801EA">
              <w:t>Johan Nissinen</w:t>
            </w:r>
          </w:p>
        </w:tc>
      </w:tr>
    </w:tbl>
    <w:p w:rsidR="00DE2846" w:rsidRPr="003801EA" w:rsidRDefault="00DE2846" w:rsidP="00AA68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C65A0" w:rsidRPr="003801EA" w:rsidTr="008920AC">
        <w:trPr>
          <w:cantSplit/>
        </w:trPr>
        <w:tc>
          <w:tcPr>
            <w:tcW w:w="1701" w:type="dxa"/>
            <w:shd w:val="pct10" w:color="000000" w:fill="FFFFFF"/>
            <w:vAlign w:val="center"/>
          </w:tcPr>
          <w:p w:rsidR="00DE2846" w:rsidRPr="003801EA" w:rsidRDefault="00AA6877" w:rsidP="00AA6877">
            <w:pPr>
              <w:pStyle w:val="RollCallVotes"/>
              <w:widowControl/>
            </w:pPr>
            <w:r w:rsidRPr="003801EA">
              <w:t>0</w:t>
            </w:r>
          </w:p>
        </w:tc>
        <w:tc>
          <w:tcPr>
            <w:tcW w:w="7371" w:type="dxa"/>
            <w:shd w:val="pct10" w:color="000000" w:fill="FFFFFF"/>
          </w:tcPr>
          <w:p w:rsidR="00DE2846" w:rsidRPr="003801EA" w:rsidRDefault="00AA6877" w:rsidP="00AA6877">
            <w:pPr>
              <w:pStyle w:val="RollCallSymbols14pt"/>
              <w:widowControl/>
            </w:pPr>
            <w:r w:rsidRPr="003801EA">
              <w:t>0</w:t>
            </w:r>
          </w:p>
        </w:tc>
      </w:tr>
      <w:tr w:rsidR="008C65A0" w:rsidRPr="003801EA" w:rsidTr="008920AC">
        <w:trPr>
          <w:cantSplit/>
        </w:trPr>
        <w:tc>
          <w:tcPr>
            <w:tcW w:w="1701" w:type="dxa"/>
            <w:shd w:val="clear" w:color="auto" w:fill="FFFFFF"/>
          </w:tcPr>
          <w:p w:rsidR="00DE2846" w:rsidRPr="003801EA" w:rsidRDefault="00DE2846" w:rsidP="00AA6877">
            <w:pPr>
              <w:pStyle w:val="RollCallTable"/>
              <w:widowControl/>
            </w:pPr>
          </w:p>
        </w:tc>
        <w:tc>
          <w:tcPr>
            <w:tcW w:w="7371" w:type="dxa"/>
            <w:shd w:val="clear" w:color="auto" w:fill="FFFFFF"/>
          </w:tcPr>
          <w:p w:rsidR="00DE2846" w:rsidRPr="003801EA" w:rsidRDefault="00DE2846" w:rsidP="00AA6877">
            <w:pPr>
              <w:pStyle w:val="RollCallTable"/>
              <w:widowControl/>
            </w:pPr>
          </w:p>
        </w:tc>
      </w:tr>
    </w:tbl>
    <w:p w:rsidR="00DE2846" w:rsidRPr="003801EA" w:rsidRDefault="00DE2846" w:rsidP="00AA6877">
      <w:pPr>
        <w:pStyle w:val="Normal12a"/>
        <w:widowControl/>
      </w:pPr>
    </w:p>
    <w:p w:rsidR="00DE2846" w:rsidRPr="003801EA" w:rsidRDefault="00AA6877" w:rsidP="00AA6877">
      <w:pPr>
        <w:widowControl/>
      </w:pPr>
      <w:r w:rsidRPr="003801EA">
        <w:t>Symbolien selitys:</w:t>
      </w:r>
    </w:p>
    <w:p w:rsidR="00DE2846" w:rsidRPr="003801EA" w:rsidRDefault="00AA6877" w:rsidP="00AA6877">
      <w:pPr>
        <w:pStyle w:val="RollCallTabs"/>
        <w:widowControl/>
      </w:pPr>
      <w:r w:rsidRPr="003801EA">
        <w:t>+</w:t>
      </w:r>
      <w:r w:rsidRPr="003801EA">
        <w:tab/>
        <w:t>:</w:t>
      </w:r>
      <w:r w:rsidRPr="003801EA">
        <w:tab/>
        <w:t>puolesta</w:t>
      </w:r>
    </w:p>
    <w:p w:rsidR="00DE2846" w:rsidRPr="003801EA" w:rsidRDefault="00AA6877" w:rsidP="00AA6877">
      <w:pPr>
        <w:pStyle w:val="RollCallTabs"/>
        <w:widowControl/>
      </w:pPr>
      <w:r w:rsidRPr="003801EA">
        <w:t>-</w:t>
      </w:r>
      <w:r w:rsidRPr="003801EA">
        <w:tab/>
        <w:t>:</w:t>
      </w:r>
      <w:r w:rsidRPr="003801EA">
        <w:tab/>
        <w:t>vastaan</w:t>
      </w:r>
    </w:p>
    <w:p w:rsidR="00DE2846" w:rsidRPr="003801EA" w:rsidRDefault="00AA6877" w:rsidP="00AA6877">
      <w:pPr>
        <w:pStyle w:val="RollCallTabs"/>
        <w:widowControl/>
      </w:pPr>
      <w:r w:rsidRPr="003801EA">
        <w:t>0</w:t>
      </w:r>
      <w:r w:rsidRPr="003801EA">
        <w:tab/>
        <w:t>:</w:t>
      </w:r>
      <w:r w:rsidRPr="003801EA">
        <w:tab/>
        <w:t>tyhjää</w:t>
      </w:r>
    </w:p>
    <w:p w:rsidR="00DE2846" w:rsidRPr="003801EA" w:rsidRDefault="00DE2846" w:rsidP="00AA6877">
      <w:pPr>
        <w:widowControl/>
      </w:pPr>
    </w:p>
    <w:bookmarkEnd w:id="5"/>
    <w:p w:rsidR="00DB56E4" w:rsidRPr="003801EA" w:rsidRDefault="00DB56E4" w:rsidP="00AA6877">
      <w:pPr>
        <w:widowControl/>
      </w:pPr>
    </w:p>
    <w:sectPr w:rsidR="00DB56E4" w:rsidRPr="003801EA"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801EA" w:rsidRDefault="00AA6877">
      <w:r w:rsidRPr="003801EA">
        <w:separator/>
      </w:r>
    </w:p>
  </w:endnote>
  <w:endnote w:type="continuationSeparator" w:id="0">
    <w:p w:rsidR="00000000" w:rsidRPr="003801EA" w:rsidRDefault="00AA6877">
      <w:r w:rsidRPr="003801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1EA" w:rsidRPr="003801EA" w:rsidRDefault="003801EA" w:rsidP="003801EA">
    <w:pPr>
      <w:pStyle w:val="EPFooter"/>
    </w:pPr>
    <w:r w:rsidRPr="003801EA">
      <w:t>PE</w:t>
    </w:r>
    <w:r w:rsidRPr="003801EA">
      <w:rPr>
        <w:rStyle w:val="HideTWBExt"/>
      </w:rPr>
      <w:t>&lt;NoPE&gt;</w:t>
    </w:r>
    <w:r w:rsidRPr="003801EA">
      <w:t>754.897</w:t>
    </w:r>
    <w:r w:rsidRPr="003801EA">
      <w:rPr>
        <w:rStyle w:val="HideTWBExt"/>
      </w:rPr>
      <w:t>&lt;/NoPE&gt;&lt;Version&gt;</w:t>
    </w:r>
    <w:r w:rsidRPr="003801EA">
      <w:t>v05-00</w:t>
    </w:r>
    <w:r w:rsidRPr="003801EA">
      <w:rPr>
        <w:rStyle w:val="HideTWBExt"/>
      </w:rPr>
      <w:t>&lt;/Version&gt;</w:t>
    </w:r>
    <w:r w:rsidRPr="003801EA">
      <w:tab/>
    </w:r>
    <w:r w:rsidRPr="003801EA">
      <w:fldChar w:fldCharType="begin"/>
    </w:r>
    <w:r w:rsidRPr="003801EA">
      <w:instrText xml:space="preserve"> PAGE  \* MERGEFORMAT </w:instrText>
    </w:r>
    <w:r w:rsidRPr="003801EA">
      <w:fldChar w:fldCharType="separate"/>
    </w:r>
    <w:r w:rsidR="00AA6877">
      <w:rPr>
        <w:noProof/>
      </w:rPr>
      <w:t>16</w:t>
    </w:r>
    <w:r w:rsidRPr="003801EA">
      <w:fldChar w:fldCharType="end"/>
    </w:r>
    <w:r w:rsidRPr="003801EA">
      <w:t>/</w:t>
    </w:r>
    <w:fldSimple w:instr=" NUMPAGES  \* MERGEFORMAT ">
      <w:r w:rsidR="00AA6877">
        <w:rPr>
          <w:noProof/>
        </w:rPr>
        <w:t>20</w:t>
      </w:r>
    </w:fldSimple>
    <w:r w:rsidRPr="003801EA">
      <w:tab/>
    </w:r>
    <w:r w:rsidRPr="003801EA">
      <w:rPr>
        <w:rStyle w:val="HideTWBExt"/>
      </w:rPr>
      <w:t>&lt;PathFdR&gt;</w:t>
    </w:r>
    <w:r w:rsidRPr="003801EA">
      <w:t>AD\1292708FI.docx</w:t>
    </w:r>
    <w:r w:rsidRPr="003801EA">
      <w:rPr>
        <w:rStyle w:val="HideTWBExt"/>
      </w:rPr>
      <w:t>&lt;/PathFdR&gt;</w:t>
    </w:r>
  </w:p>
  <w:p w:rsidR="009725C8" w:rsidRPr="003801EA" w:rsidRDefault="003801EA" w:rsidP="003801EA">
    <w:pPr>
      <w:pStyle w:val="EPFooter2"/>
    </w:pPr>
    <w:r w:rsidRPr="003801E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1EA" w:rsidRPr="003801EA" w:rsidRDefault="003801EA" w:rsidP="003801EA">
    <w:pPr>
      <w:pStyle w:val="EPFooter"/>
    </w:pPr>
    <w:r w:rsidRPr="003801EA">
      <w:rPr>
        <w:rStyle w:val="HideTWBExt"/>
      </w:rPr>
      <w:t>&lt;PathFdR&gt;</w:t>
    </w:r>
    <w:r w:rsidRPr="003801EA">
      <w:t>AD\1292708FI.docx</w:t>
    </w:r>
    <w:r w:rsidRPr="003801EA">
      <w:rPr>
        <w:rStyle w:val="HideTWBExt"/>
      </w:rPr>
      <w:t>&lt;/PathFdR&gt;</w:t>
    </w:r>
    <w:r w:rsidRPr="003801EA">
      <w:tab/>
    </w:r>
    <w:r w:rsidRPr="003801EA">
      <w:fldChar w:fldCharType="begin"/>
    </w:r>
    <w:r w:rsidRPr="003801EA">
      <w:instrText xml:space="preserve"> PAGE  \* MERGEFORMAT </w:instrText>
    </w:r>
    <w:r w:rsidRPr="003801EA">
      <w:fldChar w:fldCharType="separate"/>
    </w:r>
    <w:r w:rsidR="00AA6877">
      <w:rPr>
        <w:noProof/>
      </w:rPr>
      <w:t>17</w:t>
    </w:r>
    <w:r w:rsidRPr="003801EA">
      <w:fldChar w:fldCharType="end"/>
    </w:r>
    <w:r w:rsidRPr="003801EA">
      <w:t>/</w:t>
    </w:r>
    <w:fldSimple w:instr=" NUMPAGES  \* MERGEFORMAT ">
      <w:r w:rsidR="00AA6877">
        <w:rPr>
          <w:noProof/>
        </w:rPr>
        <w:t>20</w:t>
      </w:r>
    </w:fldSimple>
    <w:r w:rsidRPr="003801EA">
      <w:tab/>
      <w:t>PE</w:t>
    </w:r>
    <w:r w:rsidRPr="003801EA">
      <w:rPr>
        <w:rStyle w:val="HideTWBExt"/>
      </w:rPr>
      <w:t>&lt;NoPE&gt;</w:t>
    </w:r>
    <w:r w:rsidRPr="003801EA">
      <w:t>754.897</w:t>
    </w:r>
    <w:r w:rsidRPr="003801EA">
      <w:rPr>
        <w:rStyle w:val="HideTWBExt"/>
      </w:rPr>
      <w:t>&lt;/NoPE&gt;&lt;Version&gt;</w:t>
    </w:r>
    <w:r w:rsidRPr="003801EA">
      <w:t>v05-00</w:t>
    </w:r>
    <w:r w:rsidRPr="003801EA">
      <w:rPr>
        <w:rStyle w:val="HideTWBExt"/>
      </w:rPr>
      <w:t>&lt;/Version&gt;</w:t>
    </w:r>
  </w:p>
  <w:p w:rsidR="009725C8" w:rsidRPr="003801EA" w:rsidRDefault="003801EA" w:rsidP="003801EA">
    <w:pPr>
      <w:pStyle w:val="EPFooter2"/>
    </w:pPr>
    <w:r w:rsidRPr="003801EA">
      <w:tab/>
    </w:r>
    <w:r w:rsidRPr="003801EA">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1EA" w:rsidRPr="003801EA" w:rsidRDefault="003801EA" w:rsidP="003801EA">
    <w:pPr>
      <w:pStyle w:val="EPFooter"/>
    </w:pPr>
    <w:r w:rsidRPr="003801EA">
      <w:rPr>
        <w:rStyle w:val="HideTWBExt"/>
      </w:rPr>
      <w:t>&lt;PathFdR&gt;</w:t>
    </w:r>
    <w:r w:rsidRPr="003801EA">
      <w:t>AD\1292708FI.docx</w:t>
    </w:r>
    <w:r w:rsidRPr="003801EA">
      <w:rPr>
        <w:rStyle w:val="HideTWBExt"/>
      </w:rPr>
      <w:t>&lt;/PathFdR&gt;</w:t>
    </w:r>
    <w:r w:rsidRPr="003801EA">
      <w:tab/>
    </w:r>
    <w:r w:rsidRPr="003801EA">
      <w:tab/>
      <w:t>PE</w:t>
    </w:r>
    <w:r w:rsidRPr="003801EA">
      <w:rPr>
        <w:rStyle w:val="HideTWBExt"/>
      </w:rPr>
      <w:t>&lt;NoPE&gt;</w:t>
    </w:r>
    <w:r w:rsidRPr="003801EA">
      <w:t>754.897</w:t>
    </w:r>
    <w:r w:rsidRPr="003801EA">
      <w:rPr>
        <w:rStyle w:val="HideTWBExt"/>
      </w:rPr>
      <w:t>&lt;/NoPE&gt;&lt;Version&gt;</w:t>
    </w:r>
    <w:r w:rsidRPr="003801EA">
      <w:t>v05-00</w:t>
    </w:r>
    <w:r w:rsidRPr="003801EA">
      <w:rPr>
        <w:rStyle w:val="HideTWBExt"/>
      </w:rPr>
      <w:t>&lt;/Version&gt;</w:t>
    </w:r>
  </w:p>
  <w:p w:rsidR="009725C8" w:rsidRPr="003801EA" w:rsidRDefault="003801EA" w:rsidP="003801EA">
    <w:pPr>
      <w:pStyle w:val="EPFooter2"/>
    </w:pPr>
    <w:r w:rsidRPr="003801EA">
      <w:t>FI</w:t>
    </w:r>
    <w:r w:rsidRPr="003801EA">
      <w:tab/>
    </w:r>
    <w:r w:rsidRPr="003801EA">
      <w:rPr>
        <w:b w:val="0"/>
        <w:i/>
        <w:color w:val="C0C0C0"/>
        <w:sz w:val="22"/>
      </w:rPr>
      <w:t>Moninaisuudessaan yhtenäinen</w:t>
    </w:r>
    <w:r w:rsidRPr="003801EA">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801EA" w:rsidRDefault="00AA6877">
      <w:r w:rsidRPr="003801EA">
        <w:separator/>
      </w:r>
    </w:p>
  </w:footnote>
  <w:footnote w:type="continuationSeparator" w:id="0">
    <w:p w:rsidR="00000000" w:rsidRPr="003801EA" w:rsidRDefault="00AA6877">
      <w:r w:rsidRPr="003801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877" w:rsidRDefault="00AA68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877" w:rsidRDefault="00AA68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877" w:rsidRDefault="00AA68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EN"/>
    <w:docVar w:name="TXTLANGUEMIN" w:val="en"/>
    <w:docVar w:name="TXTNRC" w:val="0512"/>
    <w:docVar w:name="TXTNRCOM" w:val="2023"/>
    <w:docVar w:name="TXTNRFIRSTAM" w:val="1"/>
    <w:docVar w:name="TXTNRLASTAM" w:val="43"/>
    <w:docVar w:name="TXTNRPE" w:val="754.897"/>
    <w:docVar w:name="TXTNRPROC" w:val="2023/0311"/>
    <w:docVar w:name="TXTPEorAP" w:val="PE"/>
    <w:docVar w:name="TXTROUTE" w:val="AD\1292708EN.docx"/>
    <w:docVar w:name="TXTVERSION" w:val="05-00"/>
  </w:docVars>
  <w:rsids>
    <w:rsidRoot w:val="00B91A5E"/>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676CA"/>
    <w:rsid w:val="002A67EE"/>
    <w:rsid w:val="002D6504"/>
    <w:rsid w:val="002F44A1"/>
    <w:rsid w:val="00304EA8"/>
    <w:rsid w:val="0030544B"/>
    <w:rsid w:val="00341A99"/>
    <w:rsid w:val="00344369"/>
    <w:rsid w:val="00360FAA"/>
    <w:rsid w:val="003801E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F1D2F"/>
    <w:rsid w:val="005004D6"/>
    <w:rsid w:val="00502B76"/>
    <w:rsid w:val="00513F6F"/>
    <w:rsid w:val="00522B51"/>
    <w:rsid w:val="00524707"/>
    <w:rsid w:val="00537202"/>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C65A0"/>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A6877"/>
    <w:rsid w:val="00AC2A60"/>
    <w:rsid w:val="00AD49D0"/>
    <w:rsid w:val="00AE7614"/>
    <w:rsid w:val="00B00003"/>
    <w:rsid w:val="00B00EE6"/>
    <w:rsid w:val="00B02B0F"/>
    <w:rsid w:val="00B04C49"/>
    <w:rsid w:val="00B476DC"/>
    <w:rsid w:val="00B556CD"/>
    <w:rsid w:val="00B62D4B"/>
    <w:rsid w:val="00B735E3"/>
    <w:rsid w:val="00B904FA"/>
    <w:rsid w:val="00B91A5E"/>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56E4"/>
    <w:rsid w:val="00DE2846"/>
    <w:rsid w:val="00E27F01"/>
    <w:rsid w:val="00E6160A"/>
    <w:rsid w:val="00E77FF5"/>
    <w:rsid w:val="00E85376"/>
    <w:rsid w:val="00E94D64"/>
    <w:rsid w:val="00EA3802"/>
    <w:rsid w:val="00EB2CDF"/>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00333"/>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fi-FI"/>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D594E-1302-46A7-8591-2C509254E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2838</Words>
  <Characters>24018</Characters>
  <Application>Microsoft Office Word</Application>
  <DocSecurity>0</DocSecurity>
  <Lines>899</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2024-01-09T15:10:00Z</dcterms:created>
  <dcterms:modified xsi:type="dcterms:W3CDTF">2024-01-09T15:10:00Z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AD\1292708FI.docx</vt:lpwstr>
  </property>
  <property fmtid="{D5CDD505-2E9C-101B-9397-08002B2CF9AE}" pid="10" name="LastEdited with">
    <vt:lpwstr>9.16.1 Build [20230920]</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y fmtid="{D5CDD505-2E9C-101B-9397-08002B2CF9AE}" pid="14" name="Bookout">
    <vt:lpwstr>OK - 2024/01/09 16:10</vt:lpwstr>
  </property>
</Properties>
</file>