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B302B" w:rsidRPr="004A5C44" w:rsidTr="009725C8">
        <w:trPr>
          <w:trHeight w:hRule="exact" w:val="1418"/>
        </w:trPr>
        <w:tc>
          <w:tcPr>
            <w:tcW w:w="6804" w:type="dxa"/>
            <w:shd w:val="clear" w:color="auto" w:fill="auto"/>
            <w:vAlign w:val="center"/>
          </w:tcPr>
          <w:p w:rsidR="00BA3E40" w:rsidRPr="004A5C44" w:rsidRDefault="002112FF" w:rsidP="009725C8">
            <w:pPr>
              <w:pStyle w:val="EPName"/>
            </w:pPr>
            <w:r w:rsidRPr="004A5C44">
              <w:t>Parlament Europejski</w:t>
            </w:r>
          </w:p>
          <w:p w:rsidR="00BA3E40" w:rsidRPr="004A5C44" w:rsidRDefault="002112FF" w:rsidP="00F26A7A">
            <w:pPr>
              <w:pStyle w:val="EPTerm"/>
            </w:pPr>
            <w:r w:rsidRPr="004A5C44">
              <w:t>2019-2024</w:t>
            </w:r>
          </w:p>
        </w:tc>
        <w:tc>
          <w:tcPr>
            <w:tcW w:w="2268" w:type="dxa"/>
            <w:shd w:val="clear" w:color="auto" w:fill="auto"/>
          </w:tcPr>
          <w:p w:rsidR="00BA3E40" w:rsidRPr="004A5C44" w:rsidRDefault="002112FF" w:rsidP="009725C8">
            <w:pPr>
              <w:pStyle w:val="EPLogo"/>
            </w:pPr>
            <w:r w:rsidRPr="004A5C4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A5C44" w:rsidRDefault="00F24D40" w:rsidP="00F24D40">
      <w:pPr>
        <w:pStyle w:val="LineTop"/>
      </w:pPr>
    </w:p>
    <w:p w:rsidR="00F24D40" w:rsidRPr="004A5C44" w:rsidRDefault="002112FF" w:rsidP="00F24D40">
      <w:pPr>
        <w:pStyle w:val="EPBody"/>
      </w:pPr>
      <w:r w:rsidRPr="004A5C44">
        <w:rPr>
          <w:rStyle w:val="HideTWBExt"/>
        </w:rPr>
        <w:t>&lt;</w:t>
      </w:r>
      <w:r w:rsidRPr="004A5C44">
        <w:rPr>
          <w:rStyle w:val="HideTWBExt"/>
          <w:i w:val="0"/>
        </w:rPr>
        <w:t>Commission</w:t>
      </w:r>
      <w:r w:rsidRPr="004A5C44">
        <w:rPr>
          <w:rStyle w:val="HideTWBExt"/>
        </w:rPr>
        <w:t>&gt;</w:t>
      </w:r>
      <w:r w:rsidRPr="004A5C44">
        <w:rPr>
          <w:rStyle w:val="HideTWBInt"/>
          <w:color w:val="auto"/>
        </w:rPr>
        <w:t>{FEMM}</w:t>
      </w:r>
      <w:r w:rsidRPr="004A5C44">
        <w:t>Komisja Praw Kobiet i Równouprawnienia</w:t>
      </w:r>
      <w:r w:rsidRPr="004A5C44">
        <w:rPr>
          <w:rStyle w:val="HideTWBExt"/>
        </w:rPr>
        <w:t>&lt;/</w:t>
      </w:r>
      <w:r w:rsidRPr="004A5C44">
        <w:rPr>
          <w:rStyle w:val="HideTWBExt"/>
          <w:i w:val="0"/>
        </w:rPr>
        <w:t>Commission</w:t>
      </w:r>
      <w:r w:rsidRPr="004A5C44">
        <w:rPr>
          <w:rStyle w:val="HideTWBExt"/>
        </w:rPr>
        <w:t>&gt;</w:t>
      </w:r>
    </w:p>
    <w:p w:rsidR="00F24D40" w:rsidRPr="004A5C44" w:rsidRDefault="00F24D40" w:rsidP="00F24D40">
      <w:pPr>
        <w:pStyle w:val="LineBottom"/>
      </w:pPr>
    </w:p>
    <w:p w:rsidR="00DB56E4" w:rsidRPr="004A5C44" w:rsidRDefault="002112FF" w:rsidP="00DB56E4">
      <w:pPr>
        <w:pStyle w:val="CoverReference"/>
      </w:pPr>
      <w:r w:rsidRPr="004A5C44">
        <w:rPr>
          <w:rStyle w:val="HideTWBExt"/>
          <w:b w:val="0"/>
        </w:rPr>
        <w:t>&lt;RefProc&gt;</w:t>
      </w:r>
      <w:r w:rsidRPr="004A5C44">
        <w:t>2023/0311</w:t>
      </w:r>
      <w:r w:rsidRPr="004A5C44">
        <w:rPr>
          <w:rStyle w:val="HideTWBExt"/>
          <w:b w:val="0"/>
        </w:rPr>
        <w:t>&lt;/RefProc&gt;&lt;RefTypeProc&gt;</w:t>
      </w:r>
      <w:r w:rsidRPr="004A5C44">
        <w:t>(COD)</w:t>
      </w:r>
      <w:r w:rsidRPr="004A5C44">
        <w:rPr>
          <w:rStyle w:val="HideTWBExt"/>
          <w:b w:val="0"/>
        </w:rPr>
        <w:t>&lt;/RefTypeProc&gt;</w:t>
      </w:r>
    </w:p>
    <w:p w:rsidR="00DB56E4" w:rsidRPr="004A5C44" w:rsidRDefault="002112FF" w:rsidP="00DB56E4">
      <w:pPr>
        <w:pStyle w:val="CoverDate"/>
      </w:pPr>
      <w:r w:rsidRPr="004A5C44">
        <w:rPr>
          <w:rStyle w:val="HideTWBExt"/>
        </w:rPr>
        <w:t>&lt;Date&gt;</w:t>
      </w:r>
      <w:r w:rsidRPr="004A5C44">
        <w:rPr>
          <w:rStyle w:val="HideTWBInt"/>
          <w:color w:val="auto"/>
        </w:rPr>
        <w:t>{04/12/2023}</w:t>
      </w:r>
      <w:r w:rsidRPr="004A5C44">
        <w:t>4.12.2023</w:t>
      </w:r>
      <w:r w:rsidRPr="004A5C44">
        <w:rPr>
          <w:rStyle w:val="HideTWBExt"/>
        </w:rPr>
        <w:t>&lt;/Date&gt;</w:t>
      </w:r>
    </w:p>
    <w:p w:rsidR="00DB56E4" w:rsidRPr="004A5C44" w:rsidRDefault="002112FF" w:rsidP="00DB56E4">
      <w:pPr>
        <w:pStyle w:val="CoverDocType24a"/>
      </w:pPr>
      <w:r w:rsidRPr="004A5C44">
        <w:rPr>
          <w:rStyle w:val="HideTWBExt"/>
          <w:b w:val="0"/>
        </w:rPr>
        <w:t>&lt;TitreType&gt;</w:t>
      </w:r>
      <w:r w:rsidRPr="004A5C44">
        <w:t>OPINIA</w:t>
      </w:r>
      <w:r w:rsidRPr="004A5C44">
        <w:rPr>
          <w:rStyle w:val="HideTWBExt"/>
          <w:b w:val="0"/>
        </w:rPr>
        <w:t>&lt;/TitreType&gt;</w:t>
      </w:r>
    </w:p>
    <w:p w:rsidR="00DB56E4" w:rsidRPr="004A5C44" w:rsidRDefault="002112FF" w:rsidP="00DB56E4">
      <w:pPr>
        <w:pStyle w:val="CoverNormal24a"/>
      </w:pPr>
      <w:r w:rsidRPr="004A5C44">
        <w:rPr>
          <w:rStyle w:val="HideTWBExt"/>
        </w:rPr>
        <w:t>&lt;CommissionResp&gt;</w:t>
      </w:r>
      <w:r w:rsidRPr="004A5C44">
        <w:t>Komisji</w:t>
      </w:r>
      <w:r w:rsidRPr="004A5C44">
        <w:t xml:space="preserve"> Praw Kobiet i Równouprawnienia</w:t>
      </w:r>
      <w:r w:rsidRPr="004A5C44">
        <w:rPr>
          <w:rStyle w:val="HideTWBExt"/>
        </w:rPr>
        <w:t>&lt;/CommissionResp&gt;</w:t>
      </w:r>
    </w:p>
    <w:p w:rsidR="00DB56E4" w:rsidRPr="004A5C44" w:rsidRDefault="002112FF" w:rsidP="00DB56E4">
      <w:pPr>
        <w:pStyle w:val="CoverNormal24a"/>
      </w:pPr>
      <w:r w:rsidRPr="004A5C44">
        <w:rPr>
          <w:rStyle w:val="HideTWBExt"/>
        </w:rPr>
        <w:t>&lt;CommissionInt&gt;</w:t>
      </w:r>
      <w:r w:rsidRPr="004A5C44">
        <w:t>dla Komisji Zatrudnienia i Spraw Socjalnych</w:t>
      </w:r>
      <w:r w:rsidRPr="004A5C44">
        <w:rPr>
          <w:rStyle w:val="HideTWBExt"/>
        </w:rPr>
        <w:t>&lt;/CommissionInt&gt;</w:t>
      </w:r>
    </w:p>
    <w:p w:rsidR="00DB56E4" w:rsidRPr="004A5C44" w:rsidRDefault="002112FF" w:rsidP="00DB56E4">
      <w:pPr>
        <w:pStyle w:val="CoverNormal"/>
      </w:pPr>
      <w:r w:rsidRPr="004A5C44">
        <w:rPr>
          <w:rStyle w:val="HideTWBExt"/>
        </w:rPr>
        <w:t>&lt;Titre&gt;</w:t>
      </w:r>
      <w:r w:rsidRPr="004A5C44">
        <w:t>w sprawie wniosku dotyczącego dyrektywy Parlamentu Europejskiego i Rady ustanawiającej europejską kartę osoby z niepełnospraw</w:t>
      </w:r>
      <w:r w:rsidRPr="004A5C44">
        <w:t>nością i europejską kartę parkingową dla osób z niepełnosprawnościami</w:t>
      </w:r>
      <w:r w:rsidRPr="004A5C44">
        <w:rPr>
          <w:vanish/>
        </w:rPr>
        <w:t xml:space="preserve"> </w:t>
      </w:r>
      <w:r w:rsidRPr="004A5C44">
        <w:rPr>
          <w:rStyle w:val="HideTWBExt"/>
        </w:rPr>
        <w:t>&lt;/Titre&gt;</w:t>
      </w:r>
    </w:p>
    <w:p w:rsidR="00DB56E4" w:rsidRPr="004A5C44" w:rsidRDefault="002112FF" w:rsidP="00DB56E4">
      <w:pPr>
        <w:pStyle w:val="CoverNormal24a"/>
      </w:pPr>
      <w:r w:rsidRPr="004A5C44">
        <w:rPr>
          <w:rStyle w:val="HideTWBExt"/>
        </w:rPr>
        <w:t>&lt;DocRef&gt;</w:t>
      </w:r>
      <w:r w:rsidRPr="004A5C44">
        <w:t>COM(2023)0512 - C9 - 0328/2023</w:t>
      </w:r>
      <w:r w:rsidRPr="004A5C44">
        <w:rPr>
          <w:rStyle w:val="HideTWBExt"/>
        </w:rPr>
        <w:t>&lt;/DocRef&gt;</w:t>
      </w:r>
    </w:p>
    <w:p w:rsidR="00DB56E4" w:rsidRPr="004A5C44" w:rsidRDefault="002112FF" w:rsidP="00DB56E4">
      <w:pPr>
        <w:pStyle w:val="CoverNormal24a"/>
      </w:pPr>
      <w:r w:rsidRPr="004A5C44">
        <w:t xml:space="preserve">Sprawozdawczyni komisji opiniodawczej: </w:t>
      </w:r>
      <w:r w:rsidRPr="004A5C44">
        <w:rPr>
          <w:rStyle w:val="HideTWBExt"/>
        </w:rPr>
        <w:t>&lt;Depute&gt;</w:t>
      </w:r>
      <w:r w:rsidRPr="004A5C44">
        <w:t>Rosa Estaràs Ferragut</w:t>
      </w:r>
      <w:r w:rsidRPr="004A5C44">
        <w:rPr>
          <w:rStyle w:val="HideTWBExt"/>
        </w:rPr>
        <w:t>&lt;/Depute&gt;</w:t>
      </w:r>
    </w:p>
    <w:p w:rsidR="00CF14C0" w:rsidRPr="004A5C44" w:rsidRDefault="00CF14C0" w:rsidP="0004474F">
      <w:pPr>
        <w:tabs>
          <w:tab w:val="center" w:pos="4677"/>
        </w:tabs>
      </w:pPr>
    </w:p>
    <w:p w:rsidR="00DB56E4" w:rsidRPr="004A5C44" w:rsidRDefault="002112FF" w:rsidP="0004474F">
      <w:pPr>
        <w:tabs>
          <w:tab w:val="center" w:pos="4677"/>
        </w:tabs>
      </w:pPr>
      <w:r w:rsidRPr="004A5C44">
        <w:br w:type="page"/>
      </w:r>
      <w:r w:rsidRPr="004A5C44">
        <w:lastRenderedPageBreak/>
        <w:t>PA_Legam</w:t>
      </w:r>
    </w:p>
    <w:p w:rsidR="00DB56E4" w:rsidRPr="004A5C44" w:rsidRDefault="002112FF" w:rsidP="005A6143">
      <w:pPr>
        <w:pStyle w:val="AmHeadingPA"/>
      </w:pPr>
      <w:r w:rsidRPr="004A5C44">
        <w:br w:type="page"/>
      </w:r>
      <w:r w:rsidRPr="004A5C44">
        <w:lastRenderedPageBreak/>
        <w:t>POPRAWKI</w:t>
      </w:r>
    </w:p>
    <w:p w:rsidR="00DB56E4" w:rsidRPr="004A5C44" w:rsidRDefault="002112FF" w:rsidP="001E3AC4">
      <w:pPr>
        <w:pStyle w:val="Normal12a"/>
      </w:pPr>
      <w:bookmarkStart w:id="0" w:name="IntroA"/>
      <w:r w:rsidRPr="004A5C44">
        <w:t xml:space="preserve">Komisja Praw Kobiet i </w:t>
      </w:r>
      <w:r w:rsidRPr="004A5C44">
        <w:t>Równouprawnienia zwraca się do Komisji Zatrudnienia i Spraw Socjalnych, jako komisji przedmiotowo właściwej, o wzięcie pod uwagę następujących poprawek:</w:t>
      </w:r>
    </w:p>
    <w:bookmarkEnd w:id="0"/>
    <w:p w:rsidR="00EB2CDF" w:rsidRPr="004A5C44" w:rsidRDefault="00EB2CDF" w:rsidP="00EB2CDF"/>
    <w:p w:rsidR="00C11972" w:rsidRPr="004A5C44" w:rsidRDefault="002112FF" w:rsidP="00C11972">
      <w:bookmarkStart w:id="1" w:name="PasteOldAMStart"/>
      <w:bookmarkStart w:id="2" w:name="PasteOldAMEnd"/>
      <w:bookmarkEnd w:id="1"/>
      <w:bookmarkEnd w:id="2"/>
      <w:r w:rsidRPr="004A5C44">
        <w:rPr>
          <w:rStyle w:val="HideTWBExt"/>
        </w:rPr>
        <w:t>&lt;RepeatBlock-Amend&gt;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2 a (nowy)</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(2a)</w:t>
            </w:r>
            <w:r w:rsidRPr="004A5C44">
              <w:rPr>
                <w:b/>
                <w:i/>
              </w:rPr>
              <w:tab/>
              <w:t xml:space="preserve">Mając na uwadze, że w Karcie praw podstawowych Unii Europejskiej (zwanej dalej „Kartą”), w szczególności jej art. 3, 6, 7, 8, 14, 15, 16, 20, 21, 23, 24, 25, </w:t>
            </w:r>
            <w:r w:rsidRPr="004A5C44">
              <w:rPr>
                <w:b/>
                <w:i/>
              </w:rPr>
              <w:t>26, 31, 34, 35, 36, 41, 42, 45 i 47, zapisano najważniejsze wolności osobiste i prawa, w tym przysługujące osobom z niepełnosprawnościami.</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(2b)</w:t>
            </w:r>
            <w:r w:rsidRPr="004A5C44">
              <w:rPr>
                <w:b/>
                <w:i/>
              </w:rPr>
              <w:tab/>
              <w:t xml:space="preserve"> </w:t>
            </w:r>
            <w:r w:rsidRPr="004A5C44">
              <w:rPr>
                <w:b/>
                <w:bCs/>
                <w:i/>
                <w:iCs/>
              </w:rPr>
              <w:t>Mając na uwadze, że w rezolucji z 13 grudnia 2022 r. pt. „Dążenie do równouprawnienia osób z niepełnosprawnoś</w:t>
            </w:r>
            <w:r w:rsidRPr="004A5C44">
              <w:rPr>
                <w:b/>
                <w:bCs/>
                <w:i/>
                <w:iCs/>
              </w:rPr>
              <w:t>ciami”</w:t>
            </w:r>
            <w:r w:rsidRPr="004A5C44">
              <w:rPr>
                <w:b/>
                <w:bCs/>
                <w:i/>
                <w:iCs/>
                <w:vertAlign w:val="superscript"/>
              </w:rPr>
              <w:t>1a</w:t>
            </w:r>
            <w:r w:rsidRPr="004A5C44">
              <w:rPr>
                <w:b/>
                <w:bCs/>
                <w:i/>
                <w:iCs/>
              </w:rPr>
              <w:t xml:space="preserve"> podkreślono znaczenie i potrzebę wprowadzenia unijnej karty osoby z niepełnosprawnością.</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(2c)</w:t>
            </w:r>
            <w:r w:rsidRPr="004A5C44">
              <w:rPr>
                <w:b/>
                <w:i/>
              </w:rPr>
              <w:tab/>
              <w:t>Mając na uwadze, że w rezolucji z 4 października 2023 r. w sprawie harmonizacji praw osób z autyzmem</w:t>
            </w:r>
            <w:r w:rsidRPr="004A5C44">
              <w:rPr>
                <w:b/>
                <w:i/>
                <w:vertAlign w:val="superscript"/>
              </w:rPr>
              <w:t>2a</w:t>
            </w:r>
            <w:r w:rsidRPr="004A5C44">
              <w:rPr>
                <w:b/>
                <w:i/>
              </w:rPr>
              <w:t xml:space="preserve"> podkreślono znaczenie wniosku w sprawie unijnej </w:t>
            </w:r>
            <w:r w:rsidRPr="004A5C44">
              <w:rPr>
                <w:b/>
                <w:i/>
              </w:rPr>
              <w:t>karty osoby z niepełnosprawnością.</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__________________</w:t>
            </w:r>
          </w:p>
        </w:tc>
      </w:tr>
      <w:tr w:rsidR="00EB302B" w:rsidRPr="002112FF" w:rsidTr="00096654">
        <w:trPr>
          <w:jc w:val="center"/>
        </w:trPr>
        <w:tc>
          <w:tcPr>
            <w:tcW w:w="4876" w:type="dxa"/>
          </w:tcPr>
          <w:p w:rsidR="00C11972" w:rsidRPr="004A5C44" w:rsidRDefault="00C11972" w:rsidP="00096654">
            <w:pPr>
              <w:pStyle w:val="Normal6"/>
            </w:pPr>
          </w:p>
        </w:tc>
        <w:tc>
          <w:tcPr>
            <w:tcW w:w="4876" w:type="dxa"/>
            <w:hideMark/>
          </w:tcPr>
          <w:p w:rsidR="00C11972" w:rsidRPr="002112FF" w:rsidRDefault="002112FF" w:rsidP="00096654">
            <w:pPr>
              <w:pStyle w:val="Normal6"/>
              <w:rPr>
                <w:szCs w:val="24"/>
                <w:lang w:val="pt-PT"/>
              </w:rPr>
            </w:pPr>
            <w:r w:rsidRPr="002112FF">
              <w:rPr>
                <w:b/>
                <w:i/>
                <w:vertAlign w:val="superscript"/>
                <w:lang w:val="pt-PT"/>
              </w:rPr>
              <w:t>1a</w:t>
            </w:r>
            <w:r w:rsidRPr="002112FF">
              <w:rPr>
                <w:lang w:val="pt-PT"/>
              </w:rPr>
              <w:t xml:space="preserve"> </w:t>
            </w:r>
            <w:r w:rsidRPr="002112FF">
              <w:rPr>
                <w:b/>
                <w:i/>
                <w:lang w:val="pt-PT"/>
              </w:rPr>
              <w:t>https://www.europarl.europa.eu/doceo/document/TA-9-2022-0435_PL.html</w:t>
            </w:r>
          </w:p>
        </w:tc>
      </w:tr>
      <w:tr w:rsidR="00EB302B" w:rsidRPr="002112FF" w:rsidTr="00096654">
        <w:trPr>
          <w:jc w:val="center"/>
        </w:trPr>
        <w:tc>
          <w:tcPr>
            <w:tcW w:w="4876" w:type="dxa"/>
          </w:tcPr>
          <w:p w:rsidR="00C11972" w:rsidRPr="002112FF" w:rsidRDefault="00C11972" w:rsidP="00096654">
            <w:pPr>
              <w:pStyle w:val="Normal6"/>
              <w:rPr>
                <w:lang w:val="pt-PT"/>
              </w:rPr>
            </w:pPr>
          </w:p>
        </w:tc>
        <w:tc>
          <w:tcPr>
            <w:tcW w:w="4876" w:type="dxa"/>
            <w:hideMark/>
          </w:tcPr>
          <w:p w:rsidR="00C11972" w:rsidRPr="002112FF" w:rsidRDefault="002112FF" w:rsidP="00096654">
            <w:pPr>
              <w:pStyle w:val="Normal6"/>
              <w:rPr>
                <w:szCs w:val="24"/>
                <w:lang w:val="pt-PT"/>
              </w:rPr>
            </w:pPr>
            <w:r w:rsidRPr="002112FF">
              <w:rPr>
                <w:b/>
                <w:i/>
                <w:vertAlign w:val="superscript"/>
                <w:lang w:val="pt-PT"/>
              </w:rPr>
              <w:t>2a</w:t>
            </w:r>
            <w:r w:rsidRPr="002112FF">
              <w:rPr>
                <w:lang w:val="pt-PT"/>
              </w:rPr>
              <w:t xml:space="preserve"> </w:t>
            </w:r>
            <w:r w:rsidRPr="002112FF">
              <w:rPr>
                <w:b/>
                <w:i/>
                <w:lang w:val="pt-PT"/>
              </w:rPr>
              <w:t>https://www.europarl.europa.eu/doceo/document/TA-9-2023-0343_PL.html</w:t>
            </w:r>
          </w:p>
        </w:tc>
      </w:tr>
    </w:tbl>
    <w:p w:rsidR="00C11972" w:rsidRPr="002112FF" w:rsidRDefault="002112FF" w:rsidP="00C11972">
      <w:pPr>
        <w:rPr>
          <w:lang w:val="pt-PT"/>
        </w:rPr>
      </w:pPr>
      <w:r w:rsidRPr="002112FF">
        <w:rPr>
          <w:rStyle w:val="HideTWBExt"/>
          <w:lang w:val="pt-P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2</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3 a (nowy)</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(3a)</w:t>
            </w:r>
            <w:r w:rsidRPr="004A5C44">
              <w:rPr>
                <w:b/>
                <w:i/>
              </w:rPr>
              <w:tab/>
              <w:t xml:space="preserve">Mając na uwadze, że równość płci jest wartością Unii zapisaną w art. 2 TUE, zaś art. 8 TFUE stanowi, że we wszystkich </w:t>
            </w:r>
            <w:r w:rsidRPr="004A5C44">
              <w:rPr>
                <w:b/>
                <w:i/>
              </w:rPr>
              <w:t>swoich działaniach Unia zmierza do zniesienia nierówności, poprzez ustanowienie zasady uwzględniania aspektu płci i zasady równości płci. Mając na uwadze, że Unia Europejska ratyfikowała Konwencję Rady Europy o zapobieganiu i zwalczaniu przemocy wobec kobi</w:t>
            </w:r>
            <w:r w:rsidRPr="004A5C44">
              <w:rPr>
                <w:b/>
                <w:i/>
              </w:rPr>
              <w:t>et i przemocy domowej (konwencję stambulską), w związku z czym przewidziane w niej ochrona i wsparcie muszą być dostępne dla każdej kobiety bez dyskryminacji i bez względu na niepełnosprawność.</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3</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w:t>
      </w:r>
      <w:r w:rsidRPr="004A5C44">
        <w:t xml:space="preserve">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3 b (nowy)</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(3b)</w:t>
            </w:r>
            <w:r w:rsidRPr="004A5C44">
              <w:rPr>
                <w:b/>
                <w:i/>
              </w:rPr>
              <w:tab/>
              <w:t xml:space="preserve">Istotne znaczenie ma nakaz równości i niedyskryminacji, o którym mowa w art. 5 Konwencji ONZ o prawach osób niepełnosprawnych, ponieważ </w:t>
            </w:r>
            <w:r w:rsidRPr="004A5C44">
              <w:rPr>
                <w:b/>
                <w:i/>
              </w:rPr>
              <w:t>wzajemne honorowanie europejskiej karty osoby z niepełnosprawnością w UE przyspieszy osiągnięcie równości osób z niepełnosprawnościami. Istnieje potrzeba podejścia do mobilności i swobodnego przemieszczania się w sposób uwzględniający aspekt płci, aby prze</w:t>
            </w:r>
            <w:r w:rsidRPr="004A5C44">
              <w:rPr>
                <w:b/>
                <w:i/>
              </w:rPr>
              <w:t>pisy te przyczyniły się do uznawania praw kobiet i dziewcząt z niepełnosprawnościami, matek i opiekunów osób z niepełnosprawnościami oraz do przyjęcia podejścia intersekcjonalnego w ramach ich ochrony przed dyskryminacją. Należy uznać, że kobiety i dziewcz</w:t>
            </w:r>
            <w:r w:rsidRPr="004A5C44">
              <w:rPr>
                <w:b/>
                <w:i/>
              </w:rPr>
              <w:t>ęta z niepełnosprawnościami doświadczają dyskryminacji w wielu dziedzinach życia, w tym izolacji społecznej, braku dostępu do usług społecznych, niskiej jakości mieszkań, instytucjonalizacji i nieodpowiedniej opieki zdrowotnej, co utrudnia im wnoszenie wkł</w:t>
            </w:r>
            <w:r w:rsidRPr="004A5C44">
              <w:rPr>
                <w:b/>
                <w:i/>
              </w:rPr>
              <w:t>adu i aktywne angażowanie się w życie społeczne. Kobiety z niepełnosprawnościami doświadczają napaści fizycznych lub seksualnych dziesięciokrotnie częściej niż kobiety bez niepełnosprawności, w związku z czym należy udostępnić informacje na temat dostępu d</w:t>
            </w:r>
            <w:r w:rsidRPr="004A5C44">
              <w:rPr>
                <w:b/>
                <w:i/>
              </w:rPr>
              <w:t>o specjalistycznych usług wsparcia kobietom z niepełnosprawnościami, które doznały jakiejkolwiek formy przemocy ze względu na płeć. Ogólnie sytuacja kobiet i dziewcząt z niepełnosprawnościami jest gorsza niż sytuacja mężczyzn i chłopców z niepełnosprawnośc</w:t>
            </w:r>
            <w:r w:rsidRPr="004A5C44">
              <w:rPr>
                <w:b/>
                <w:i/>
              </w:rPr>
              <w:t>iami, co jest szczególnie widoczne na przykład na obszarach wiejskich, gdzie dostęp do usług i możliwości jest zwykle bardziej ograniczony. Należy uznać, że każda osoba z faktyczną niepełnosprawnością w rozumieniu art. 1 Konwencji ONZ o prawach osób niepeł</w:t>
            </w:r>
            <w:r w:rsidRPr="004A5C44">
              <w:rPr>
                <w:b/>
                <w:i/>
              </w:rPr>
              <w:t>nosprawnych, przebywająca w państwie UE innym niż jej własne lub przemieszczająca się do państwa UE innego niż jej własne, ma status osoby z niepełnosprawnością.</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4</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6</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hideMark/>
          </w:tcPr>
          <w:p w:rsidR="00C11972" w:rsidRPr="004A5C44" w:rsidRDefault="002112FF" w:rsidP="00096654">
            <w:pPr>
              <w:pStyle w:val="Normal6"/>
            </w:pPr>
            <w:r w:rsidRPr="004A5C44">
              <w:t>(6)</w:t>
            </w:r>
            <w:r w:rsidRPr="004A5C44">
              <w:tab/>
              <w:t>Celem konwencji jest wspieranie i ochrona wszystkich praw człowieka i podstawowych wolności oraz zapewnienie trwałego i równego korzystania z nich przez wszystkie osoby z niepełnosp</w:t>
            </w:r>
            <w:r w:rsidRPr="004A5C44">
              <w:t>rawnościami oraz popieranie poszanowania ich przyrodzonej godności, a zatem zapewnienie im pełnego i skutecznego uczestnictwa w życiu społecznym, na równych zasadach z innymi osobami. Uznano w niej również doniosłość potrzeby wprowadzenia odpowiednich środ</w:t>
            </w:r>
            <w:r w:rsidRPr="004A5C44">
              <w:t>ków w</w:t>
            </w:r>
            <w:r w:rsidRPr="004A5C44">
              <w:rPr>
                <w:b/>
                <w:i/>
              </w:rPr>
              <w:t> </w:t>
            </w:r>
            <w:r w:rsidRPr="004A5C44">
              <w:t>celu zapewnienia dostępności dla osób z</w:t>
            </w:r>
            <w:r w:rsidRPr="004A5C44">
              <w:rPr>
                <w:b/>
                <w:i/>
              </w:rPr>
              <w:t> </w:t>
            </w:r>
            <w:r w:rsidRPr="004A5C44">
              <w:t>niepełnosprawnościami</w:t>
            </w:r>
            <w:r w:rsidRPr="004A5C44">
              <w:rPr>
                <w:b/>
                <w:i/>
              </w:rPr>
              <w:t>.</w:t>
            </w:r>
          </w:p>
        </w:tc>
        <w:tc>
          <w:tcPr>
            <w:tcW w:w="4876" w:type="dxa"/>
            <w:hideMark/>
          </w:tcPr>
          <w:p w:rsidR="00C11972" w:rsidRPr="004A5C44" w:rsidRDefault="002112FF" w:rsidP="00096654">
            <w:pPr>
              <w:pStyle w:val="Normal6"/>
              <w:rPr>
                <w:szCs w:val="24"/>
              </w:rPr>
            </w:pPr>
            <w:r w:rsidRPr="004A5C44">
              <w:t>(6)</w:t>
            </w:r>
            <w:r w:rsidRPr="004A5C44">
              <w:tab/>
              <w:t>Celem konwencji jest wspieranie i ochrona wszystkich praw człowieka i podstawowych wolności oraz zapewnienie trwałego i równego korzystania z nich przez wszystkie osoby z niepełnospra</w:t>
            </w:r>
            <w:r w:rsidRPr="004A5C44">
              <w:t xml:space="preserve">wnościami oraz popieranie poszanowania ich przyrodzonej godności, a zatem zapewnienie im pełnego i skutecznego uczestnictwa w życiu społecznym, na równych zasadach z innymi osobami. </w:t>
            </w:r>
            <w:r w:rsidRPr="004A5C44">
              <w:rPr>
                <w:b/>
                <w:i/>
              </w:rPr>
              <w:t>W art. 6 Konwencji ONZ o prawach osób niepełnosprawnych wyraźnie uznano, ż</w:t>
            </w:r>
            <w:r w:rsidRPr="004A5C44">
              <w:rPr>
                <w:b/>
                <w:i/>
              </w:rPr>
              <w:t>e kobiety i dziewczęta z niepełnosprawnościami są narażone na dyskryminację z wielu przyczyn jednocześnie, w wielu przypadkach wynikającą z przenikania się aspektów płci i niepełnosprawności, co wpływa na wszystkie sfery ich życia, w tym na mobilność, i wy</w:t>
            </w:r>
            <w:r w:rsidRPr="004A5C44">
              <w:rPr>
                <w:b/>
                <w:i/>
              </w:rPr>
              <w:t>maga od państw stron „podjęcia środków w celu zapewnienia im pełnego i równego korzystania z wszystkich praw człowieka i podstawowych wolności” oraz zapewnienia pełnego rozwoju, awansu i wzmocnienia pozycji kobiet. Kobiety z niepełnosprawnościami często st</w:t>
            </w:r>
            <w:r w:rsidRPr="004A5C44">
              <w:rPr>
                <w:b/>
                <w:i/>
              </w:rPr>
              <w:t>ają w obliczu intersekcjonalnych form dyskryminacji, w związku z czym należy włączyć do prawodawstwa UE podejście intersekcjonalne, aby odpowiednio zaradzić wykluczeniu i dyskryminacji, z zastosowaniem kompleksowej perspektywy systemowej i strukturalnej. P</w:t>
            </w:r>
            <w:r w:rsidRPr="004A5C44">
              <w:rPr>
                <w:b/>
                <w:i/>
              </w:rPr>
              <w:t>aństwa członkowskie UE są związane Konwencją ONZ o prawach osób niepełnosprawnych, jednak istnieją między nimi znaczne różnice w jej wdrażaniu</w:t>
            </w:r>
            <w:r w:rsidRPr="004A5C44">
              <w:rPr>
                <w:b/>
                <w:i/>
                <w:vertAlign w:val="superscript"/>
              </w:rPr>
              <w:t>1a</w:t>
            </w:r>
            <w:r w:rsidRPr="004A5C44">
              <w:rPr>
                <w:b/>
                <w:i/>
              </w:rPr>
              <w:t>. Potrzebne są postępy w zakresie równouprawnienia osób z niepełnosprawnościami we wszystkich krajach, na przykł</w:t>
            </w:r>
            <w:r w:rsidRPr="004A5C44">
              <w:rPr>
                <w:b/>
                <w:i/>
              </w:rPr>
              <w:t>ad przez inwestycje w infrastrukturę, budowanie zdolności i kampanie uświadamiające.</w:t>
            </w:r>
            <w:r w:rsidRPr="004A5C44">
              <w:t xml:space="preserve"> Uznano w niej również doniosłość potrzeby wprowadzenia odpowiednich środków w</w:t>
            </w:r>
            <w:r w:rsidRPr="004A5C44">
              <w:rPr>
                <w:b/>
                <w:i/>
              </w:rPr>
              <w:t xml:space="preserve"> </w:t>
            </w:r>
            <w:r w:rsidRPr="004A5C44">
              <w:t>celu zapewnienia</w:t>
            </w:r>
            <w:r w:rsidRPr="004A5C44">
              <w:rPr>
                <w:b/>
                <w:i/>
              </w:rPr>
              <w:t xml:space="preserve"> powszechnej</w:t>
            </w:r>
            <w:r w:rsidRPr="004A5C44">
              <w:t xml:space="preserve"> dostępności dla osób z</w:t>
            </w:r>
            <w:r w:rsidRPr="004A5C44">
              <w:rPr>
                <w:b/>
                <w:i/>
              </w:rPr>
              <w:t xml:space="preserve"> </w:t>
            </w:r>
            <w:r w:rsidRPr="004A5C44">
              <w:t>niepełnosprawnościami</w:t>
            </w:r>
            <w:r w:rsidRPr="004A5C44">
              <w:rPr>
                <w:b/>
                <w:i/>
              </w:rPr>
              <w:t xml:space="preserve">, na przykład dla </w:t>
            </w:r>
            <w:r w:rsidRPr="004A5C44">
              <w:rPr>
                <w:b/>
                <w:i/>
              </w:rPr>
              <w:t>osób z analfabetyzmem funkcjonalnym, których większość stanowią kobiety, zwłaszcza w odniesieniu do obecnej dyrektywy, oraz zagwarantowania, aby osoby z niepełnosprawnościami mogły jak najbardziej samodzielnie korzystać z mobilności osobistej.</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(6a) Należ</w:t>
            </w:r>
            <w:r w:rsidRPr="004A5C44">
              <w:rPr>
                <w:b/>
                <w:i/>
              </w:rPr>
              <w:t xml:space="preserve">y uznać, że kobiety i dziewczęta z niepełnosprawnościami są bardziej narażone na przemoc i nadużycia, w tym wykorzystywanie seksualne, i są bardziej podatne na zagrożenia ze względu na płeć, wiek i niepełnosprawność. </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 xml:space="preserve">(6b) Dane liczbowe wyraźnie </w:t>
            </w:r>
            <w:r w:rsidRPr="004A5C44">
              <w:rPr>
                <w:b/>
                <w:i/>
              </w:rPr>
              <w:t>pokazują, że opiekunowie osób z niepełnosprawnościami to w zdecydowanej większości kobiety i że w związku z tym należy stosować podejście uwzględniające aspekt płci również w odniesieniu do opiekunów.</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t>__________________</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vertAlign w:val="superscript"/>
              </w:rPr>
              <w:t>1a</w:t>
            </w:r>
            <w:r w:rsidRPr="004A5C44">
              <w:rPr>
                <w:b/>
                <w:i/>
              </w:rPr>
              <w:t xml:space="preserve"> Wdrażanie Konwencji ONZ o pra</w:t>
            </w:r>
            <w:r w:rsidRPr="004A5C44">
              <w:rPr>
                <w:b/>
                <w:i/>
              </w:rPr>
              <w:t>wach osób niepełnosprawnych, https://fra.europa.eu/sites/default/files/fra_uploads/fra-2023-uncrpd-human-rights-indicators_en.pdf</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5</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6 a (nowy)</w:t>
      </w:r>
      <w:r w:rsidRPr="004A5C44">
        <w:rPr>
          <w:rStyle w:val="HideTWBExt"/>
          <w:b w:val="0"/>
        </w:rPr>
        <w:t>&lt;/Artic</w:t>
      </w:r>
      <w:r w:rsidRPr="004A5C44">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Pr>
                <w:b/>
                <w:i/>
              </w:rPr>
              <w:t xml:space="preserve">(6a) </w:t>
            </w:r>
            <w:r w:rsidRPr="004A5C44">
              <w:rPr>
                <w:b/>
                <w:bCs/>
                <w:i/>
                <w:iCs/>
              </w:rPr>
              <w:t>Mając na uwadze, że z danych Europejskiego Instytutu ds. Równości Kobiet i Mężczyzn</w:t>
            </w:r>
            <w:r w:rsidRPr="004A5C44">
              <w:rPr>
                <w:b/>
                <w:bCs/>
                <w:i/>
                <w:iCs/>
                <w:vertAlign w:val="superscript"/>
              </w:rPr>
              <w:t>1a</w:t>
            </w:r>
            <w:r w:rsidRPr="004A5C44">
              <w:rPr>
                <w:b/>
                <w:bCs/>
                <w:i/>
                <w:iCs/>
              </w:rPr>
              <w:t xml:space="preserve"> wynika, że w UE 20 % kobiet z niepełnosprawnościami jest zatrudnionych w pełnym wymiarze czasu; dla porównania odsetek ten wynosi 29 % w przypadku mężczyzn z niepełnosprawnościami i 48 % w przypadku kobiet bez niepełnosprawności.</w:t>
            </w:r>
            <w:r w:rsidRPr="004A5C44">
              <w:rPr>
                <w:b/>
                <w:i/>
              </w:rPr>
              <w:t xml:space="preserve"> 22 % kobiet z niepełnospr</w:t>
            </w:r>
            <w:r w:rsidRPr="004A5C44">
              <w:rPr>
                <w:b/>
                <w:i/>
              </w:rPr>
              <w:t xml:space="preserve">awnościami jest zagrożonych ubóstwem; dla porównania odsetek ten wynosi 20 % w przypadku mężczyzn z niepełnosprawnościami i 16 % w przypadku kobiet bez niepełnosprawności. 17 % kobiet z niepełnosprawnościami ma wykształcenie wyższe; dla porównania odsetek </w:t>
            </w:r>
            <w:r w:rsidRPr="004A5C44">
              <w:rPr>
                <w:b/>
                <w:i/>
              </w:rPr>
              <w:t>ten wynosi 18 % w przypadku mężczyzn z niepełnosprawnościami i 32 % w przypadku kobiet bez niepełnosprawności. 11 % kobiet z niepełnosprawnościami nie ma dostępu do wszystkich potrzebnych badań lekarskich; dla porównania odsetek ten wynosi 10 % w przypadku</w:t>
            </w:r>
            <w:r w:rsidRPr="004A5C44">
              <w:rPr>
                <w:b/>
                <w:i/>
              </w:rPr>
              <w:t xml:space="preserve"> mężczyzn z niepełnosprawnościami i 3 % w przypadku kobiet bez niepełnosprawności. Mając na uwadze, że w UE żyje około 46 mln kobiet i dziewcząt z niepełnosprawnościami, co stanowi około 16 % wszystkich kobiet i 60 % wszystkich osób z niepełnosprawnościami</w:t>
            </w:r>
            <w:r w:rsidRPr="004A5C44">
              <w:rPr>
                <w:b/>
                <w:i/>
                <w:vertAlign w:val="superscript"/>
              </w:rPr>
              <w:t>1b</w:t>
            </w:r>
            <w:r w:rsidRPr="004A5C44">
              <w:rPr>
                <w:b/>
                <w:i/>
              </w:rPr>
              <w:t>. W związku z tym przy tworzeniu europejskiej karty osoby z niepełnosprawnością należy stosować podejście uwzględniające aspekt płci, a zgodnie ze szczegółowymi zaleceniami przyjętymi przez Komitet ONZ ds. Praw Osób z Niepełnosprawnościami w 2015 r. w sp</w:t>
            </w:r>
            <w:r w:rsidRPr="004A5C44">
              <w:rPr>
                <w:b/>
                <w:i/>
              </w:rPr>
              <w:t>rawie wstępnego sprawozdania UE w szczególności uwzględnianie perspektywy kobiet i dziewcząt z niepełnosprawnościami musi być centralnym elementem unijnej strategii na rzecz równouprawnienia płci, podobnie jak polityka i programy oraz perspektywa płci w je</w:t>
            </w:r>
            <w:r w:rsidRPr="004A5C44">
              <w:rPr>
                <w:b/>
                <w:i/>
              </w:rPr>
              <w:t>j strategii dotyczącej niepełnosprawności. Komitet zalecił również, by Unia Europejska opracowała działania na rzecz wzmocnienia praw kobiet i dziewcząt z niepełnosprawnościami poprzez ustanowienie mechanizmu monitorowania postępów i finansowania, jeśli ch</w:t>
            </w:r>
            <w:r w:rsidRPr="004A5C44">
              <w:rPr>
                <w:b/>
                <w:i/>
              </w:rPr>
              <w:t>odzi o gromadzenie danych i badania naukowe na temat kobiet i dziewcząt z niepełnosprawnościami</w:t>
            </w:r>
            <w:r w:rsidRPr="004A5C44">
              <w:rPr>
                <w:b/>
                <w:i/>
                <w:vertAlign w:val="superscript"/>
              </w:rPr>
              <w:t>1c</w:t>
            </w:r>
            <w:r w:rsidRPr="004A5C44">
              <w:rPr>
                <w:b/>
                <w:i/>
              </w:rPr>
              <w:t>. Mając na uwadze, że Komisja Europejska i państwa członkowskie UE zapewniają gromadzenie danych segregowanych według kryterium płci, aby sporządzić ocenę wpły</w:t>
            </w:r>
            <w:r w:rsidRPr="004A5C44">
              <w:rPr>
                <w:b/>
                <w:i/>
              </w:rPr>
              <w:t>wu dyrektywy w aspekcie płci i zagwarantować jej przyszły przegląd uwzględniający aspekt płci.</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__________________</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bCs/>
                <w:i/>
                <w:iCs/>
                <w:vertAlign w:val="superscript"/>
              </w:rPr>
              <w:t>1a</w:t>
            </w:r>
            <w:r w:rsidRPr="004A5C44">
              <w:rPr>
                <w:b/>
                <w:bCs/>
                <w:i/>
                <w:iCs/>
              </w:rPr>
              <w:t xml:space="preserve"> Nierówności intersekcjonalne w Unii Europejskiej wg wskaźnika w indeksie równouprawnienia płci z 2023 r. https://eige.europa.eu/gender-equality-index/2022/domain/intersecting-inequalities/disability/work</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vertAlign w:val="superscript"/>
              </w:rPr>
              <w:t>1b</w:t>
            </w:r>
            <w:r w:rsidRPr="004A5C44">
              <w:t xml:space="preserve"> </w:t>
            </w:r>
            <w:r w:rsidRPr="004A5C44">
              <w:rPr>
                <w:b/>
                <w:i/>
              </w:rPr>
              <w:t>https://www.edf-feph.org/women-and-gender-equa</w:t>
            </w:r>
            <w:r w:rsidRPr="004A5C44">
              <w:rPr>
                <w:b/>
                <w:i/>
              </w:rPr>
              <w:t>lity/</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bCs/>
                <w:i/>
                <w:iCs/>
                <w:vertAlign w:val="superscript"/>
              </w:rPr>
              <w:t>1c</w:t>
            </w:r>
            <w:r w:rsidRPr="004A5C44">
              <w:rPr>
                <w:b/>
                <w:bCs/>
                <w:i/>
                <w:iCs/>
              </w:rPr>
              <w:t xml:space="preserve"> Uwagi końcowe dotyczące wstępnego sprawozdania Unii Europejskiej CRPD/C/EU/CO/1, Komitet ds. Praw Osób Niepełnosprawnych, 2 października 2015 r.</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rPr>
        <w:t>&lt;Amend&gt;</w:t>
      </w:r>
      <w:r w:rsidRPr="004A5C44">
        <w:t>Poprawka</w:t>
      </w:r>
      <w:r w:rsidRPr="004A5C44">
        <w:tab/>
      </w:r>
      <w:r w:rsidRPr="004A5C44">
        <w:rPr>
          <w:rStyle w:val="HideTWBExt"/>
        </w:rPr>
        <w:t>&lt;NumAm&gt;</w:t>
      </w:r>
      <w:r w:rsidRPr="004A5C44">
        <w:t>6</w:t>
      </w:r>
      <w:r w:rsidRPr="004A5C44">
        <w:rPr>
          <w:rStyle w:val="HideTWBExt"/>
        </w:rPr>
        <w:t>&lt;/NumAm&gt;</w:t>
      </w:r>
    </w:p>
    <w:p w:rsidR="00C11972" w:rsidRPr="004A5C44" w:rsidRDefault="002112FF" w:rsidP="00C11972">
      <w:pPr>
        <w:pStyle w:val="NormalBold12b"/>
      </w:pPr>
      <w:r w:rsidRPr="004A5C44">
        <w:rPr>
          <w:rStyle w:val="HideTWBExt"/>
        </w:rPr>
        <w:t>&lt;DocAmend&gt;</w:t>
      </w:r>
      <w:r w:rsidRPr="004A5C44">
        <w:t>Wniosek dotyczący dyrektywy</w:t>
      </w:r>
      <w:r w:rsidRPr="004A5C44">
        <w:rPr>
          <w:rStyle w:val="HideTWBExt"/>
        </w:rPr>
        <w:t>&lt;/DocAmend&gt;</w:t>
      </w:r>
    </w:p>
    <w:p w:rsidR="00C11972" w:rsidRPr="004A5C44" w:rsidRDefault="002112FF" w:rsidP="00C11972">
      <w:pPr>
        <w:pStyle w:val="NormalBold"/>
      </w:pPr>
      <w:r w:rsidRPr="004A5C44">
        <w:rPr>
          <w:rStyle w:val="HideTWBExt"/>
        </w:rPr>
        <w:t>&lt;Article</w:t>
      </w:r>
      <w:r w:rsidRPr="004A5C44">
        <w:rPr>
          <w:rStyle w:val="HideTWBExt"/>
        </w:rPr>
        <w:t>&gt;</w:t>
      </w:r>
      <w:r w:rsidRPr="004A5C44">
        <w:t>Motyw 7</w:t>
      </w:r>
      <w:r w:rsidRPr="004A5C4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trHeight w:hRule="exact" w:val="240"/>
          <w:jc w:val="center"/>
        </w:trPr>
        <w:tc>
          <w:tcPr>
            <w:tcW w:w="9752" w:type="dxa"/>
            <w:gridSpan w:val="2"/>
          </w:tcPr>
          <w:p w:rsidR="00C11972" w:rsidRPr="004A5C44" w:rsidRDefault="00C11972" w:rsidP="00096654"/>
        </w:tc>
      </w:tr>
      <w:tr w:rsidR="00EB302B" w:rsidRPr="004A5C44" w:rsidTr="00096654">
        <w:trPr>
          <w:trHeight w:val="240"/>
          <w:jc w:val="center"/>
        </w:trPr>
        <w:tc>
          <w:tcPr>
            <w:tcW w:w="4876" w:type="dxa"/>
          </w:tcPr>
          <w:p w:rsidR="00C11972" w:rsidRPr="004A5C44" w:rsidRDefault="002112FF" w:rsidP="00096654">
            <w:pPr>
              <w:pStyle w:val="AmColumnHeading"/>
            </w:pPr>
            <w:r w:rsidRPr="004A5C44">
              <w:t>Tekst proponowany przez Komisję</w:t>
            </w:r>
          </w:p>
        </w:tc>
        <w:tc>
          <w:tcPr>
            <w:tcW w:w="4876" w:type="dxa"/>
          </w:tcPr>
          <w:p w:rsidR="00C11972" w:rsidRPr="004A5C44" w:rsidRDefault="002112FF" w:rsidP="00096654">
            <w:pPr>
              <w:pStyle w:val="AmColumnHeading"/>
            </w:pPr>
            <w:r w:rsidRPr="004A5C44">
              <w:t>Poprawka</w:t>
            </w:r>
          </w:p>
        </w:tc>
      </w:tr>
      <w:tr w:rsidR="00EB302B" w:rsidRPr="004A5C44" w:rsidTr="00096654">
        <w:trPr>
          <w:jc w:val="center"/>
        </w:trPr>
        <w:tc>
          <w:tcPr>
            <w:tcW w:w="4876" w:type="dxa"/>
          </w:tcPr>
          <w:p w:rsidR="00C11972" w:rsidRPr="004A5C44" w:rsidRDefault="002112FF" w:rsidP="00096654">
            <w:pPr>
              <w:pStyle w:val="Normal6a"/>
            </w:pPr>
            <w:r w:rsidRPr="004A5C44">
              <w:t>(7)</w:t>
            </w:r>
            <w:r w:rsidRPr="004A5C44">
              <w:tab/>
              <w:t>Europejski filar praw socjalnych, ogłoszony przez Parlament Europejski, Radę i Komisję Europejską 17 listopada 2017 r. w Göteborgu</w:t>
            </w:r>
            <w:r w:rsidRPr="004A5C44">
              <w:rPr>
                <w:vertAlign w:val="superscript"/>
              </w:rPr>
              <w:t>40</w:t>
            </w:r>
            <w:r w:rsidRPr="004A5C44">
              <w:t xml:space="preserve">, stanowi, że każdy, bez względu na niepełnosprawność, ma prawo do równego traktowania i równych szans </w:t>
            </w:r>
            <w:r w:rsidRPr="004A5C44">
              <w:rPr>
                <w:b/>
                <w:i/>
              </w:rPr>
              <w:t xml:space="preserve">między innymi </w:t>
            </w:r>
            <w:r w:rsidRPr="004A5C44">
              <w:t>w dziedzinie dostępu do dóbr i usług dostępnych dla społeczeństwa (zasada 3). W Europejskim filarze praw socjalnych uznano ponadto, że osob</w:t>
            </w:r>
            <w:r w:rsidRPr="004A5C44">
              <w:t>om z niepełnosprawnościami przysługuje prawo do usług, które pozwolą im na uczestnictwo w</w:t>
            </w:r>
            <w:r w:rsidRPr="004A5C44">
              <w:rPr>
                <w:b/>
                <w:i/>
              </w:rPr>
              <w:t> </w:t>
            </w:r>
            <w:r w:rsidRPr="004A5C44">
              <w:t>życiu społecznym (zasada 17).</w:t>
            </w:r>
          </w:p>
        </w:tc>
        <w:tc>
          <w:tcPr>
            <w:tcW w:w="4876" w:type="dxa"/>
          </w:tcPr>
          <w:p w:rsidR="00C11972" w:rsidRPr="004A5C44" w:rsidRDefault="002112FF" w:rsidP="00096654">
            <w:pPr>
              <w:pStyle w:val="Normal6a"/>
            </w:pPr>
            <w:r w:rsidRPr="004A5C44">
              <w:t>(7)</w:t>
            </w:r>
            <w:r w:rsidRPr="004A5C44">
              <w:tab/>
              <w:t>Europejski filar praw socjalnych, ogłoszony przez Parlament Europejski, Radę i Komisję Europejską 17 listopada 2017 r. w Göteborgu</w:t>
            </w:r>
            <w:r w:rsidRPr="004A5C44">
              <w:rPr>
                <w:vertAlign w:val="superscript"/>
              </w:rPr>
              <w:t>40</w:t>
            </w:r>
            <w:r w:rsidRPr="004A5C44">
              <w:t>, stanowi, że każdy, bez względu na niepełnosprawność, ma prawo do równego traktowania i równych szans w dziedzinie</w:t>
            </w:r>
            <w:r w:rsidRPr="004A5C44">
              <w:rPr>
                <w:b/>
                <w:i/>
              </w:rPr>
              <w:t xml:space="preserve"> zatrudnienia, ochrony socjalnej, edukacji,</w:t>
            </w:r>
            <w:r w:rsidRPr="004A5C44">
              <w:t xml:space="preserve"> dostępu do dóbr i usług dostępnych dla społeczeństwa (zasada 3)</w:t>
            </w:r>
            <w:r w:rsidRPr="004A5C44">
              <w:rPr>
                <w:b/>
                <w:i/>
              </w:rPr>
              <w:t>, a także że należy zapewnić i wsp</w:t>
            </w:r>
            <w:r w:rsidRPr="004A5C44">
              <w:rPr>
                <w:b/>
                <w:i/>
              </w:rPr>
              <w:t>ierać równość traktowania i szans kobiet i mężczyzn we wszystkich dziedzinach (zasada 2)</w:t>
            </w:r>
            <w:r w:rsidRPr="004A5C44">
              <w:t>. W Europejskim filarze praw socjalnych uznano ponadto, że osobom z niepełnosprawnościami przysługuje prawo do usług, które pozwolą im na uczestnictwo w</w:t>
            </w:r>
            <w:r w:rsidRPr="004A5C44">
              <w:rPr>
                <w:b/>
                <w:i/>
              </w:rPr>
              <w:t xml:space="preserve"> rynku pracy i w</w:t>
            </w:r>
            <w:r w:rsidRPr="004A5C44">
              <w:rPr>
                <w:b/>
                <w:i/>
              </w:rPr>
              <w:t xml:space="preserve"> </w:t>
            </w:r>
            <w:r w:rsidRPr="004A5C44">
              <w:t>życiu społecznym</w:t>
            </w:r>
            <w:r w:rsidRPr="004A5C44">
              <w:rPr>
                <w:b/>
                <w:i/>
              </w:rPr>
              <w:t>, a także do środowiska pracy dostosowanego do ich potrzeb</w:t>
            </w:r>
            <w:r w:rsidRPr="004A5C44">
              <w:t xml:space="preserve"> (zasada 17). </w:t>
            </w:r>
            <w:r w:rsidRPr="004A5C44">
              <w:rPr>
                <w:b/>
                <w:i/>
              </w:rPr>
              <w:t>(1) W Europejskim filarze praw socjalnych uznano również, że każdy ma prawo do szybkiego dostępu do przystępnej cenowo prewencyjnej i objawowej opieki zdrowotnej dobre</w:t>
            </w:r>
            <w:r w:rsidRPr="004A5C44">
              <w:rPr>
                <w:b/>
                <w:i/>
              </w:rPr>
              <w:t>j jakości (zasada 16).</w:t>
            </w:r>
          </w:p>
        </w:tc>
      </w:tr>
      <w:tr w:rsidR="00EB302B" w:rsidRPr="004A5C44" w:rsidTr="00096654">
        <w:trPr>
          <w:jc w:val="center"/>
        </w:trPr>
        <w:tc>
          <w:tcPr>
            <w:tcW w:w="4876" w:type="dxa"/>
          </w:tcPr>
          <w:p w:rsidR="00C11972" w:rsidRPr="004A5C44" w:rsidRDefault="002112FF" w:rsidP="00096654">
            <w:pPr>
              <w:pStyle w:val="Normal6a"/>
            </w:pPr>
            <w:r w:rsidRPr="004A5C44">
              <w:rPr>
                <w:b/>
                <w:i/>
              </w:rPr>
              <w:t>_________________</w:t>
            </w:r>
          </w:p>
        </w:tc>
        <w:tc>
          <w:tcPr>
            <w:tcW w:w="4876" w:type="dxa"/>
          </w:tcPr>
          <w:p w:rsidR="00C11972" w:rsidRPr="004A5C44" w:rsidRDefault="002112FF" w:rsidP="00096654">
            <w:pPr>
              <w:pStyle w:val="Normal6a"/>
            </w:pPr>
            <w:r w:rsidRPr="004A5C44">
              <w:rPr>
                <w:b/>
                <w:i/>
              </w:rPr>
              <w:t>_________________</w:t>
            </w:r>
          </w:p>
        </w:tc>
      </w:tr>
      <w:tr w:rsidR="00EB302B" w:rsidRPr="004A5C44" w:rsidTr="00096654">
        <w:trPr>
          <w:jc w:val="center"/>
        </w:trPr>
        <w:tc>
          <w:tcPr>
            <w:tcW w:w="4876" w:type="dxa"/>
          </w:tcPr>
          <w:p w:rsidR="00C11972" w:rsidRPr="004A5C44" w:rsidRDefault="002112FF" w:rsidP="00096654">
            <w:pPr>
              <w:pStyle w:val="Normal6a"/>
            </w:pPr>
            <w:r w:rsidRPr="004A5C44">
              <w:rPr>
                <w:vertAlign w:val="superscript"/>
              </w:rPr>
              <w:t>40</w:t>
            </w:r>
            <w:r w:rsidRPr="004A5C44">
              <w:t xml:space="preserve"> Międzyinstytucjonalna proklamacja Europejskiego filaru praw socjalnych (Dz.U. C 428 z 13.12.2017, s. 10).</w:t>
            </w:r>
          </w:p>
        </w:tc>
        <w:tc>
          <w:tcPr>
            <w:tcW w:w="4876" w:type="dxa"/>
          </w:tcPr>
          <w:p w:rsidR="00C11972" w:rsidRPr="004A5C44" w:rsidRDefault="002112FF" w:rsidP="00096654">
            <w:pPr>
              <w:pStyle w:val="Normal6a"/>
            </w:pPr>
            <w:r w:rsidRPr="004A5C44">
              <w:rPr>
                <w:vertAlign w:val="superscript"/>
              </w:rPr>
              <w:t>40</w:t>
            </w:r>
            <w:r w:rsidRPr="004A5C44">
              <w:t xml:space="preserve"> Międzyinstytucjonalna proklamacja Europejskiego filaru praw socjalnych (Dz.U. C 428 z 13.12.2017, s. 10).</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rPr>
          <w:rStyle w:val="NormalBoldChar"/>
          <w:b/>
        </w:rPr>
        <w:t>7</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15 a (nowy)</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 xml:space="preserve">Tekst </w:t>
            </w:r>
            <w:r w:rsidRPr="004A5C44">
              <w:t>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(15a)</w:t>
            </w:r>
            <w:r w:rsidRPr="004A5C44">
              <w:rPr>
                <w:b/>
                <w:i/>
              </w:rPr>
              <w:tab/>
              <w:t>Mając na uwadze, że asystent osobisty może oznaczać opiekunów nieformalnych, np. członków rodziny. Ponadto należy wziąć pod uwagę, że na kobietach spoczywa nieproporcjonalna odpowiedzialność za nieodpłatną i płatn</w:t>
            </w:r>
            <w:r w:rsidRPr="004A5C44">
              <w:rPr>
                <w:b/>
                <w:i/>
              </w:rPr>
              <w:t>ą opiekę nad osobami z niepełnosprawnościami, w tym nad kobietami należącymi do ich rodzin.</w:t>
            </w:r>
          </w:p>
        </w:tc>
      </w:tr>
    </w:tbl>
    <w:p w:rsidR="00C11972" w:rsidRPr="004A5C44" w:rsidRDefault="002112FF" w:rsidP="00C11972">
      <w:r w:rsidRPr="004A5C44">
        <w:rPr>
          <w:rStyle w:val="HideTWBExt"/>
        </w:rPr>
        <w:t>&lt;/Amend&gt;</w:t>
      </w:r>
    </w:p>
    <w:p w:rsidR="00C11972" w:rsidRPr="004A5C44" w:rsidRDefault="002112FF" w:rsidP="00C11972">
      <w:pPr>
        <w:pStyle w:val="AMNumberTabs0"/>
        <w:keepNext/>
      </w:pPr>
      <w:r w:rsidRPr="004A5C44">
        <w:rPr>
          <w:rStyle w:val="HideTWBExt"/>
          <w:b w:val="0"/>
        </w:rPr>
        <w:t>&lt;Amend&gt;</w:t>
      </w:r>
      <w:r w:rsidRPr="004A5C44">
        <w:t>Poprawka</w:t>
      </w:r>
      <w:r w:rsidRPr="004A5C44">
        <w:tab/>
      </w:r>
      <w:r w:rsidRPr="004A5C44">
        <w:tab/>
      </w:r>
      <w:r w:rsidRPr="004A5C44">
        <w:rPr>
          <w:rStyle w:val="HideTWBExt"/>
          <w:b w:val="0"/>
        </w:rPr>
        <w:t>&lt;NumAm&gt;</w:t>
      </w:r>
      <w:r w:rsidRPr="004A5C44">
        <w:t>8</w:t>
      </w:r>
      <w:r w:rsidRPr="004A5C44">
        <w:rPr>
          <w:rStyle w:val="HideTWBExt"/>
          <w:b w:val="0"/>
        </w:rPr>
        <w:t>&lt;/NumAm&gt;</w:t>
      </w:r>
    </w:p>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16 a (nowy)</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(16a)</w:t>
            </w:r>
            <w:r w:rsidRPr="004A5C44">
              <w:rPr>
                <w:b/>
                <w:i/>
              </w:rPr>
              <w:tab/>
              <w:t xml:space="preserve">Należy zmierzyć się z ogromnym brakiem wiedzy na temat dostępności psychospołecznej sprawiającym, że nie podejmuje się żadnych indywidualnych ani strukturalnych środków w celu wyeliminowania barier, które ograniczają dostępność </w:t>
            </w:r>
            <w:r w:rsidRPr="004A5C44">
              <w:rPr>
                <w:b/>
                <w:i/>
              </w:rPr>
              <w:t>psychospołeczną, takich jak postawy stanowiące barierę oraz bariery administracyjne, systemowe lub symboliczne, aby przyczynić się do zwalczania stygmatyzacji i uprzedzeń prowadzących do dyskryminacji, przemocy, nadużyć, wykluczenia społecznego i segregacj</w:t>
            </w:r>
            <w:r w:rsidRPr="004A5C44">
              <w:rPr>
                <w:b/>
                <w:i/>
              </w:rPr>
              <w:t>i, które to zjawiska stanowią przeszkody dla osób z niepełnosprawnościami w skutecznym korzystaniu z praw i nie sprzyjają poszanowaniu ich autonomii, woli i preferencji.</w:t>
            </w:r>
          </w:p>
        </w:tc>
      </w:tr>
    </w:tbl>
    <w:p w:rsidR="00C11972" w:rsidRPr="004A5C44" w:rsidRDefault="002112FF" w:rsidP="00C11972">
      <w:pPr>
        <w:pStyle w:val="JustificationTitle"/>
        <w:rPr>
          <w:noProof w:val="0"/>
        </w:rPr>
      </w:pPr>
      <w:r w:rsidRPr="004A5C44">
        <w:rPr>
          <w:rStyle w:val="HideTWBExt"/>
          <w:i w:val="0"/>
        </w:rPr>
        <w:t>&lt;TitreJust&gt;</w:t>
      </w:r>
      <w:r w:rsidRPr="004A5C44">
        <w:t>Uzasadnienie</w:t>
      </w:r>
      <w:r w:rsidRPr="004A5C44">
        <w:rPr>
          <w:rStyle w:val="HideTWBExt"/>
          <w:i w:val="0"/>
        </w:rPr>
        <w:t>&lt;/TitreJust&gt;</w:t>
      </w:r>
    </w:p>
    <w:p w:rsidR="00C11972" w:rsidRPr="004A5C44" w:rsidRDefault="002112FF" w:rsidP="00C11972">
      <w:pPr>
        <w:pStyle w:val="Normal12Italic"/>
        <w:rPr>
          <w:noProof w:val="0"/>
        </w:rPr>
      </w:pPr>
      <w:r w:rsidRPr="004A5C44">
        <w:t>Konieczność zwiększenia ochrony kobiet z niepełno</w:t>
      </w:r>
      <w:r w:rsidRPr="004A5C44">
        <w:t>sprawnościami. W ramach europejskiej karty osoby z niepełnosprawnością należy zapewnić uprzywilejowany status kobiet i dziewcząt z niepełnosprawnościami, które są ofiarami przemocy i nadużyć, wskazujący na to, że osoby te wymagają pilnej uwagi jako osoby n</w:t>
      </w:r>
      <w:r w:rsidRPr="004A5C44">
        <w:t>ajbardziej narażone, tak aby można było podjąć działania zapobiegawcze.</w:t>
      </w:r>
    </w:p>
    <w:p w:rsidR="00C11972" w:rsidRPr="004A5C44" w:rsidRDefault="002112FF" w:rsidP="00C11972">
      <w:r w:rsidRPr="004A5C44">
        <w:rPr>
          <w:rStyle w:val="HideTWBExt"/>
        </w:rPr>
        <w:t>&lt;/Amend&gt;</w:t>
      </w:r>
    </w:p>
    <w:p w:rsidR="00C11972" w:rsidRPr="004A5C44" w:rsidRDefault="002112FF" w:rsidP="00C11972">
      <w:pPr>
        <w:pStyle w:val="AMNumberTabs0"/>
        <w:keepNext/>
      </w:pPr>
      <w:r w:rsidRPr="004A5C44">
        <w:rPr>
          <w:rStyle w:val="HideTWBExt"/>
          <w:b w:val="0"/>
        </w:rPr>
        <w:t>&lt;Amend&gt;</w:t>
      </w:r>
      <w:r w:rsidRPr="004A5C44">
        <w:t>Poprawka</w:t>
      </w:r>
      <w:r w:rsidRPr="004A5C44">
        <w:tab/>
      </w:r>
      <w:r w:rsidRPr="004A5C44">
        <w:tab/>
      </w:r>
      <w:r w:rsidRPr="004A5C44">
        <w:rPr>
          <w:rStyle w:val="HideTWBExt"/>
          <w:b w:val="0"/>
        </w:rPr>
        <w:t>&lt;NumAm&gt;</w:t>
      </w:r>
      <w:r w:rsidRPr="004A5C44">
        <w:t>9</w:t>
      </w:r>
      <w:r w:rsidRPr="004A5C44">
        <w:rPr>
          <w:rStyle w:val="HideTWBExt"/>
          <w:b w:val="0"/>
        </w:rPr>
        <w:t>&lt;/NumAm&gt;</w:t>
      </w:r>
    </w:p>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Motyw 24</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hideMark/>
          </w:tcPr>
          <w:p w:rsidR="00C11972" w:rsidRPr="004A5C44" w:rsidRDefault="002112FF" w:rsidP="00096654">
            <w:pPr>
              <w:pStyle w:val="Normal6"/>
            </w:pPr>
            <w:r w:rsidRPr="004A5C44">
              <w:t>(24)</w:t>
            </w:r>
            <w:r w:rsidRPr="004A5C44">
              <w:tab/>
              <w:t xml:space="preserve">Przykłady </w:t>
            </w:r>
            <w:r w:rsidRPr="004A5C44">
              <w:t>warunków specjalnych lub preferencyjnego traktowania obejmują bezpłatny dostęp, obniżone taryfy, obniżone ceny, w tym opłaty za korzystanie z płatnych dróg/mostów/tuneli, pierwszeństwo dostępu, wyznaczone miejsca w parkach i innych przestrzeniach publiczny</w:t>
            </w:r>
            <w:r w:rsidRPr="004A5C44">
              <w:t>ch, dostępne miejsca siedzące podczas wydarzeń kulturalnych lub publicznych, pomoc osobistą, zwierzęta asystujące, pomoc na plaży przy wejściu do wody, wsparcie (takie jak dostęp do przewodników zapisanych alfabetem Braille'a, przewodników audio, tłumaczen</w:t>
            </w:r>
            <w:r w:rsidRPr="004A5C44">
              <w:t>ia na język migowy), zapewnienie pomocy lub wsparcia, wypożyczenie wózka inwalidzkiego, wypożyczenie pływającego wózka inwalidzkiego, udzielanie informacji turystycznych w dostępnych formatach, korzystanie ze skutera inwalidzkiego na drogach lub wózka inwa</w:t>
            </w:r>
            <w:r w:rsidRPr="004A5C44">
              <w:t>lidzkiego na ścieżkach rowerowych bez kary pieniężnej itp. Warunki i udogodnienia związane z parkowaniem obejmują wydłużony czas parkowania lub zastrzeżone miejsca parkingowe. W odniesieniu do usług przewozu osób, oprócz warunków specjalnych lub preferency</w:t>
            </w:r>
            <w:r w:rsidRPr="004A5C44">
              <w:t>jnego traktowania oferowanego osobom niepełnosprawnym zgodnie z krajowymi przepisami lub praktykami, zwierzęta asystujące, asystenci osobiści osób z niepełnosprawnościami (lub osób o ograniczonej możliwości poruszania się) lub inne osoby towarzyszące takim</w:t>
            </w:r>
            <w:r w:rsidRPr="004A5C44">
              <w:t xml:space="preserve"> osobom lub pomagające im mogą bezpłatnie podróżować z osobą z niepełnosprawnością lub zajmować miejsce obok takiej osoby, o ile jest to wykonalne.</w:t>
            </w:r>
          </w:p>
        </w:tc>
        <w:tc>
          <w:tcPr>
            <w:tcW w:w="4876" w:type="dxa"/>
            <w:hideMark/>
          </w:tcPr>
          <w:p w:rsidR="00C11972" w:rsidRPr="004A5C44" w:rsidRDefault="002112FF" w:rsidP="00096654">
            <w:pPr>
              <w:pStyle w:val="Normal6"/>
              <w:rPr>
                <w:szCs w:val="24"/>
              </w:rPr>
            </w:pPr>
            <w:r w:rsidRPr="004A5C44">
              <w:t>(24)</w:t>
            </w:r>
            <w:r w:rsidRPr="004A5C44">
              <w:tab/>
              <w:t>Przykłady warunków specjalnych lub preferencyjnego traktowania obejmują bezpłatny dostęp, obniżone tary</w:t>
            </w:r>
            <w:r w:rsidRPr="004A5C44">
              <w:t xml:space="preserve">fy, obniżone ceny, w tym opłaty za korzystanie z płatnych dróg/mostów/tuneli, pierwszeństwo dostępu, wyznaczone miejsca w parkach i innych przestrzeniach publicznych, dostępne miejsca siedzące podczas wydarzeń kulturalnych lub publicznych, pomoc osobistą, </w:t>
            </w:r>
            <w:r w:rsidRPr="004A5C44">
              <w:t>zwierzęta asystujące, pomoc na plaży przy wejściu do wody, wsparcie (takie jak dostęp do przewodników zapisanych alfabetem Braille'a, przewodników audio, tłumaczenia na język migowy), zapewnienie pomocy lub wsparcia, wypożyczenie wózka inwalidzkiego, wypoż</w:t>
            </w:r>
            <w:r w:rsidRPr="004A5C44">
              <w:t>yczenie pływającego wózka inwalidzkiego, udzielanie informacji turystycznych w dostępnych formatach, korzystanie ze skutera inwalidzkiego na drogach lub wózka inwalidzkiego na ścieżkach rowerowych bez kary pieniężnej itp. Warunki i udogodnienia związane z </w:t>
            </w:r>
            <w:r w:rsidRPr="004A5C44">
              <w:t>parkowaniem obejmują wydłużony czas parkowania lub zastrzeżone miejsca parkingowe. W odniesieniu do usług przewozu osób, oprócz warunków specjalnych lub preferencyjnego traktowania oferowanego osobom niepełnosprawnym zgodnie z krajowymi przepisami lub prak</w:t>
            </w:r>
            <w:r w:rsidRPr="004A5C44">
              <w:t>tykami, zwierzęta asystujące, asystenci osobiści osób z niepełnosprawnościami (lub osób o ograniczonej możliwości poruszania się) lub inne osoby towarzyszące takim osobom lub pomagające im mogą bezpłatnie podróżować z osobą z niepełnosprawnością lub zajmow</w:t>
            </w:r>
            <w:r w:rsidRPr="004A5C44">
              <w:t xml:space="preserve">ać miejsce obok takiej osoby, o ile jest to wykonalne. </w:t>
            </w:r>
            <w:r w:rsidRPr="004A5C44">
              <w:rPr>
                <w:b/>
                <w:i/>
              </w:rPr>
              <w:t>W odniesieniu do przyjęcia skutecznych środków w celu zapewnienia mobilności konieczne jest rozważenie dostępności w różnych środkach transportu publicznego (pociąg, samolot itp.) dla osób z niepełnosp</w:t>
            </w:r>
            <w:r w:rsidRPr="004A5C44">
              <w:rPr>
                <w:b/>
                <w:i/>
              </w:rPr>
              <w:t>rawnościami, które muszą korzystać z własnego wózka inwalidzkiego ze względu na specjalne wymogi związane z zagwarantowaniem im bezpieczeństwa.</w:t>
            </w:r>
          </w:p>
        </w:tc>
      </w:tr>
    </w:tbl>
    <w:p w:rsidR="00C11972" w:rsidRPr="004A5C44" w:rsidRDefault="002112FF" w:rsidP="00C11972">
      <w:pPr>
        <w:pStyle w:val="JustificationTitle"/>
        <w:rPr>
          <w:noProof w:val="0"/>
        </w:rPr>
      </w:pPr>
      <w:r w:rsidRPr="004A5C44">
        <w:rPr>
          <w:rStyle w:val="HideTWBExt"/>
          <w:i w:val="0"/>
        </w:rPr>
        <w:t>&lt;TitreJust&gt;</w:t>
      </w:r>
      <w:r w:rsidRPr="004A5C44">
        <w:t>Uzasadnienie</w:t>
      </w:r>
      <w:r w:rsidRPr="004A5C44">
        <w:rPr>
          <w:rStyle w:val="HideTWBExt"/>
          <w:i w:val="0"/>
        </w:rPr>
        <w:t>&lt;/TitreJust&gt;</w:t>
      </w:r>
    </w:p>
    <w:p w:rsidR="00C11972" w:rsidRPr="004A5C44" w:rsidRDefault="002112FF" w:rsidP="00C11972">
      <w:pPr>
        <w:pStyle w:val="Normal12Italic"/>
        <w:rPr>
          <w:noProof w:val="0"/>
        </w:rPr>
      </w:pPr>
      <w:r w:rsidRPr="004A5C44">
        <w:t>Niedyskryminacja osób z niepełnosprawnościami. Osoby z niepełnosprawnościam</w:t>
      </w:r>
      <w:r w:rsidRPr="004A5C44">
        <w:t>i powinny móc korzystać ze wszystkich praw na równi z innymi ludźmi. Dotyczy to między innymi możliwości swobodnego przemieszczania się bez przeszkód na drodze i z zapewnieniem indywidualnego wsparcia potrzebnego poszczególnym osobom. Zapewnienie powszechn</w:t>
      </w:r>
      <w:r w:rsidRPr="004A5C44">
        <w:t>ej dostępności, zgodnie z art. 9 Konwencji o prawach osób niepełnosprawnych, z zachowaniem spójności z poprzednimi poprawkami.</w:t>
      </w:r>
    </w:p>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10</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 xml:space="preserve">Artykuł 2 – akapit 1 – </w:t>
      </w:r>
      <w:r>
        <w:t>punkty</w:t>
      </w:r>
      <w:r w:rsidRPr="004A5C44">
        <w:t xml:space="preserve"> 3 a i 3 b (nowe)</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3a) usług informacyjnych i doradczych dla kobiet i dziewcząt z niepełnosprawnościami,</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3b) specjalistycznych usług informacyjnych, specjalistycznej pomocy i specjalistycznego</w:t>
            </w:r>
            <w:r w:rsidRPr="004A5C44">
              <w:rPr>
                <w:b/>
                <w:i/>
              </w:rPr>
              <w:t xml:space="preserve"> wsparcia dla kobiet i dziewcząt z niepełnosprawnościami będących ofiarami przemocy.</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11</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Artykuł 5 – ustęp 1 a (nowy)</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 xml:space="preserve">Tekst proponowany przez </w:t>
            </w:r>
            <w:r w:rsidRPr="004A5C44">
              <w:t>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tcPr>
          <w:p w:rsidR="00C11972" w:rsidRPr="004A5C44" w:rsidRDefault="00C11972" w:rsidP="00096654">
            <w:pPr>
              <w:pStyle w:val="Normal6"/>
            </w:pPr>
          </w:p>
        </w:tc>
        <w:tc>
          <w:tcPr>
            <w:tcW w:w="4876" w:type="dxa"/>
            <w:hideMark/>
          </w:tcPr>
          <w:p w:rsidR="00C11972" w:rsidRPr="004A5C44" w:rsidRDefault="002112FF" w:rsidP="00096654">
            <w:pPr>
              <w:pStyle w:val="Normal6"/>
              <w:rPr>
                <w:szCs w:val="24"/>
              </w:rPr>
            </w:pPr>
            <w:r w:rsidRPr="004A5C44">
              <w:rPr>
                <w:b/>
                <w:i/>
              </w:rPr>
              <w:t>1a.</w:t>
            </w:r>
            <w:r w:rsidRPr="004A5C44">
              <w:rPr>
                <w:b/>
                <w:i/>
              </w:rPr>
              <w:tab/>
              <w:t xml:space="preserve">Państwa członkowskie podejmują wszelkie niezbędne środki, aby uznawać wszystkie osoby z niepełnosprawnością posiadające europejską karty osoby z niepełnosprawnością, zapewnić wzajemne uznawanie karty jako środek ochrony przed </w:t>
            </w:r>
            <w:r w:rsidRPr="004A5C44">
              <w:rPr>
                <w:b/>
                <w:i/>
              </w:rPr>
              <w:t>dyskryminacją ze względu na niepełnosprawność, z wynikającym z tego prawem dostępu w całej UE do środków odwoławczych i mechanizmów przewidzianych w przypadku naruszeń praw i braku skutecznego równego traktowania. W szczególności państwa członkowskie dopil</w:t>
            </w:r>
            <w:r w:rsidRPr="004A5C44">
              <w:rPr>
                <w:b/>
                <w:i/>
              </w:rPr>
              <w:t>nowują, aby osoby z niepełnosprawnościami miały równy dostęp do europejskiej karty osoby z niepełnosprawnością bez względu na płeć, płeć społeczno-kulturową, rasę, kolor skóry, pochodzenie etniczne lub społeczne, cechy genetyczne, język, religię lub przeko</w:t>
            </w:r>
            <w:r w:rsidRPr="004A5C44">
              <w:rPr>
                <w:b/>
                <w:i/>
              </w:rPr>
              <w:t>nania, wszelkie poglądy, w tym polityczne, przynależność do mniejszości narodowej, majątek, urodzenie, niepełnosprawność, wiek lub orientację seksualną.</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12</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w:t>
      </w:r>
      <w:r w:rsidRPr="004A5C44">
        <w:rPr>
          <w:rStyle w:val="HideTWBExt"/>
          <w:b w:val="0"/>
        </w:rPr>
        <w:t>&gt;</w:t>
      </w:r>
      <w:r w:rsidRPr="004A5C44">
        <w:t>Artykuł 6 – ustęp 5</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hideMark/>
          </w:tcPr>
          <w:p w:rsidR="00C11972" w:rsidRPr="004A5C44" w:rsidRDefault="002112FF" w:rsidP="00096654">
            <w:pPr>
              <w:pStyle w:val="Normal6"/>
            </w:pPr>
            <w:r w:rsidRPr="004A5C44">
              <w:t>5.</w:t>
            </w:r>
            <w:r w:rsidRPr="004A5C44">
              <w:tab/>
              <w:t xml:space="preserve">Europejską kartę osoby z niepełnosprawnością wydaje się jako kartę fizyczną, uzupełnioną formatem cyfrowym po przyjęciu aktów delegowanych, o których mowa w ust. 7. Osobom </w:t>
            </w:r>
            <w:r w:rsidRPr="004A5C44">
              <w:t>z niepełnosprawnościami zapewnia się możliwość wyboru, czy chcą korzystać z karty w formacie cyfrowym czy karty fizycznej; mogą też korzystać z obu form.</w:t>
            </w:r>
          </w:p>
        </w:tc>
        <w:tc>
          <w:tcPr>
            <w:tcW w:w="4876" w:type="dxa"/>
            <w:hideMark/>
          </w:tcPr>
          <w:p w:rsidR="00C11972" w:rsidRPr="004A5C44" w:rsidRDefault="002112FF" w:rsidP="00096654">
            <w:pPr>
              <w:pStyle w:val="Normal6"/>
              <w:rPr>
                <w:szCs w:val="24"/>
              </w:rPr>
            </w:pPr>
            <w:r w:rsidRPr="004A5C44">
              <w:t>5.</w:t>
            </w:r>
            <w:r w:rsidRPr="004A5C44">
              <w:tab/>
              <w:t>Europejską kartę osoby z niepełnosprawnością wydaje się jako kartę fizyczną, uzupełnioną formatem c</w:t>
            </w:r>
            <w:r w:rsidRPr="004A5C44">
              <w:t xml:space="preserve">yfrowym po przyjęciu aktów delegowanych, o których mowa w ust. 7. Osobom z niepełnosprawnościami zapewnia się możliwość wyboru, czy chcą korzystać z karty w formacie cyfrowym czy karty fizycznej; mogą też korzystać z obu form. </w:t>
            </w:r>
            <w:r w:rsidRPr="004A5C44">
              <w:rPr>
                <w:b/>
                <w:i/>
              </w:rPr>
              <w:t>Procedurę ubiegania się o eur</w:t>
            </w:r>
            <w:r w:rsidRPr="004A5C44">
              <w:rPr>
                <w:b/>
                <w:i/>
              </w:rPr>
              <w:t>opejską kartę osoby z niepełnosprawnością wydawaną przez państwa członkowskie i jej uzyskania należy opracować w sposób uproszczony. W przypadku osób z niepełnosprawnościami ubiegających się o kartę można by na przykład zamieścić na odwrocie karty ich szcz</w:t>
            </w:r>
            <w:r w:rsidRPr="004A5C44">
              <w:rPr>
                <w:b/>
                <w:i/>
              </w:rPr>
              <w:t>ególne potrzeby. W ten sposób nie powinny istnieć żadne bariery fizyczne ani cyfrowe uniemożliwiające równy dostęp do bezpłatnego wydania lub odnowienia karty. Należy zapewnić jej pełną dostępność i użyteczność wszystkim osobom z niepełnosprawnościami, zwł</w:t>
            </w:r>
            <w:r w:rsidRPr="004A5C44">
              <w:rPr>
                <w:b/>
                <w:i/>
              </w:rPr>
              <w:t>aszcza kobietom i dziewczętom z niepełnosprawnościami, które są szczególnie narażone na wykluczenie cyfrowe.</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13</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Artykuł 9 – ustęp 2</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 xml:space="preserve">Tekst </w:t>
            </w:r>
            <w:r w:rsidRPr="004A5C44">
              <w:t>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hideMark/>
          </w:tcPr>
          <w:p w:rsidR="00C11972" w:rsidRPr="004A5C44" w:rsidRDefault="002112FF" w:rsidP="00096654">
            <w:pPr>
              <w:pStyle w:val="Normal6"/>
            </w:pPr>
            <w:r w:rsidRPr="004A5C44">
              <w:t>2.</w:t>
            </w:r>
            <w:r w:rsidRPr="004A5C44">
              <w:tab/>
              <w:t>Państwa członkowskie wdrażają odpowiednie środki w celu podnoszenia świadomości społeczeństwa i</w:t>
            </w:r>
            <w:r w:rsidRPr="004A5C44">
              <w:rPr>
                <w:b/>
                <w:i/>
              </w:rPr>
              <w:t> informowania osób</w:t>
            </w:r>
            <w:r w:rsidRPr="004A5C44">
              <w:t xml:space="preserve"> z niepełnosprawnościami, </w:t>
            </w:r>
            <w:r w:rsidRPr="004A5C44">
              <w:rPr>
                <w:b/>
                <w:i/>
              </w:rPr>
              <w:t>również</w:t>
            </w:r>
            <w:r w:rsidRPr="004A5C44">
              <w:t xml:space="preserve"> w dostępny sposób, o istnieniu i warunkach uzyskania, używania lub odn</w:t>
            </w:r>
            <w:r w:rsidRPr="004A5C44">
              <w:t>awiania europejskiej karty osoby z niepełnosprawnością i europejskiej karty parkingowej dla osób z niepełnosprawnościami.</w:t>
            </w:r>
          </w:p>
        </w:tc>
        <w:tc>
          <w:tcPr>
            <w:tcW w:w="4876" w:type="dxa"/>
            <w:hideMark/>
          </w:tcPr>
          <w:p w:rsidR="00C11972" w:rsidRPr="004A5C44" w:rsidRDefault="002112FF" w:rsidP="00096654">
            <w:pPr>
              <w:pStyle w:val="Normal6"/>
              <w:rPr>
                <w:szCs w:val="24"/>
              </w:rPr>
            </w:pPr>
            <w:r w:rsidRPr="004A5C44">
              <w:t>2.</w:t>
            </w:r>
            <w:r w:rsidRPr="004A5C44">
              <w:tab/>
              <w:t>Państwa członkowskie wdrażają odpowiednie środki w celu podnoszenia świadomości społeczeństwa</w:t>
            </w:r>
            <w:r w:rsidRPr="004A5C44">
              <w:rPr>
                <w:b/>
                <w:i/>
              </w:rPr>
              <w:t>, w tym organów publicznych</w:t>
            </w:r>
            <w:r w:rsidRPr="004A5C44">
              <w:t xml:space="preserve"> i</w:t>
            </w:r>
            <w:r w:rsidRPr="004A5C44">
              <w:rPr>
                <w:b/>
                <w:i/>
              </w:rPr>
              <w:t xml:space="preserve"> prywatnych usługodawców, którzy mogą zaoferować dostosowane wsparcie zgodnie z art. 5, na temat istnienia karty i warunków jej uzyskania. Państwa członkowskie informują osoby</w:t>
            </w:r>
            <w:r w:rsidRPr="004A5C44">
              <w:t xml:space="preserve"> z niepełnosprawnościami, </w:t>
            </w:r>
            <w:r w:rsidRPr="004A5C44">
              <w:rPr>
                <w:b/>
                <w:i/>
              </w:rPr>
              <w:t>w tym</w:t>
            </w:r>
            <w:r w:rsidRPr="004A5C44">
              <w:t xml:space="preserve"> w dostępny</w:t>
            </w:r>
            <w:r w:rsidRPr="004A5C44">
              <w:rPr>
                <w:b/>
                <w:i/>
              </w:rPr>
              <w:t xml:space="preserve"> i neutralny płciowo</w:t>
            </w:r>
            <w:r w:rsidRPr="004A5C44">
              <w:t xml:space="preserve"> sposób, o istnieni</w:t>
            </w:r>
            <w:r w:rsidRPr="004A5C44">
              <w:t xml:space="preserve">u i warunkach uzyskania, używania lub odnawiania europejskiej karty osoby z niepełnosprawnością i europejskiej karty parkingowej dla osób z niepełnosprawnościami. </w:t>
            </w:r>
            <w:r w:rsidRPr="004A5C44">
              <w:rPr>
                <w:b/>
                <w:i/>
              </w:rPr>
              <w:t>Powinny one również koordynować szeroko zakrojone szkolenia uwzględniające aspekt płci dla ws</w:t>
            </w:r>
            <w:r w:rsidRPr="004A5C44">
              <w:rPr>
                <w:b/>
                <w:i/>
              </w:rPr>
              <w:t>zystkich zainteresowanych podmiotów.</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rPr>
        <w:t>&lt;Amend&gt;</w:t>
      </w:r>
      <w:r w:rsidRPr="004A5C44">
        <w:t>Poprawka</w:t>
      </w:r>
      <w:r w:rsidRPr="004A5C44">
        <w:tab/>
      </w:r>
      <w:r w:rsidRPr="004A5C44">
        <w:tab/>
      </w:r>
      <w:r w:rsidRPr="004A5C44">
        <w:rPr>
          <w:rStyle w:val="HideTWBExt"/>
        </w:rPr>
        <w:t>&lt;NumAm&gt;</w:t>
      </w:r>
      <w:r w:rsidRPr="004A5C44">
        <w:t>14</w:t>
      </w:r>
      <w:r w:rsidRPr="004A5C44">
        <w:rPr>
          <w:rStyle w:val="HideTWBExt"/>
        </w:rPr>
        <w:t>&lt;/NumAm&gt;</w:t>
      </w:r>
    </w:p>
    <w:p w:rsidR="00C11972" w:rsidRPr="004A5C44" w:rsidRDefault="002112FF" w:rsidP="00C11972">
      <w:pPr>
        <w:pStyle w:val="NormalBold12b"/>
      </w:pPr>
      <w:r w:rsidRPr="004A5C44">
        <w:rPr>
          <w:rStyle w:val="HideTWBExt"/>
        </w:rPr>
        <w:t>&lt;DocAmend&gt;</w:t>
      </w:r>
      <w:r w:rsidRPr="004A5C44">
        <w:t>Wniosek dotyczący dyrektywy</w:t>
      </w:r>
      <w:r w:rsidRPr="004A5C44">
        <w:rPr>
          <w:rStyle w:val="HideTWBExt"/>
        </w:rPr>
        <w:t>&lt;/DocAmend&gt;</w:t>
      </w:r>
    </w:p>
    <w:p w:rsidR="00C11972" w:rsidRPr="004A5C44" w:rsidRDefault="002112FF" w:rsidP="00C11972">
      <w:pPr>
        <w:pStyle w:val="NormalBold"/>
      </w:pPr>
      <w:r w:rsidRPr="004A5C44">
        <w:rPr>
          <w:rStyle w:val="HideTWBExt"/>
        </w:rPr>
        <w:t>&lt;Article&gt;</w:t>
      </w:r>
      <w:r w:rsidRPr="004A5C44">
        <w:t>Artykuł 11 – ustęp 4</w:t>
      </w:r>
      <w:r w:rsidRPr="004A5C4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trHeight w:hRule="exact" w:val="240"/>
          <w:jc w:val="center"/>
        </w:trPr>
        <w:tc>
          <w:tcPr>
            <w:tcW w:w="9752" w:type="dxa"/>
            <w:gridSpan w:val="2"/>
          </w:tcPr>
          <w:p w:rsidR="00C11972" w:rsidRPr="004A5C44" w:rsidRDefault="00C11972" w:rsidP="00096654"/>
        </w:tc>
      </w:tr>
      <w:tr w:rsidR="00EB302B" w:rsidRPr="004A5C44" w:rsidTr="00096654">
        <w:trPr>
          <w:trHeight w:val="240"/>
          <w:jc w:val="center"/>
        </w:trPr>
        <w:tc>
          <w:tcPr>
            <w:tcW w:w="4876" w:type="dxa"/>
          </w:tcPr>
          <w:p w:rsidR="00C11972" w:rsidRPr="004A5C44" w:rsidRDefault="002112FF" w:rsidP="00096654">
            <w:pPr>
              <w:pStyle w:val="AmColumnHeading"/>
            </w:pPr>
            <w:r w:rsidRPr="004A5C44">
              <w:t>Tekst proponowany przez Komisję</w:t>
            </w:r>
          </w:p>
        </w:tc>
        <w:tc>
          <w:tcPr>
            <w:tcW w:w="4876" w:type="dxa"/>
          </w:tcPr>
          <w:p w:rsidR="00C11972" w:rsidRPr="004A5C44" w:rsidRDefault="002112FF" w:rsidP="00096654">
            <w:pPr>
              <w:pStyle w:val="AmColumnHeading"/>
            </w:pPr>
            <w:r w:rsidRPr="004A5C44">
              <w:t>Poprawka</w:t>
            </w:r>
          </w:p>
        </w:tc>
      </w:tr>
      <w:tr w:rsidR="00EB302B" w:rsidRPr="004A5C44" w:rsidTr="00096654">
        <w:trPr>
          <w:jc w:val="center"/>
        </w:trPr>
        <w:tc>
          <w:tcPr>
            <w:tcW w:w="4876" w:type="dxa"/>
          </w:tcPr>
          <w:p w:rsidR="00C11972" w:rsidRPr="004A5C44" w:rsidRDefault="002112FF" w:rsidP="00096654">
            <w:pPr>
              <w:pStyle w:val="Normal6a"/>
            </w:pPr>
            <w:r w:rsidRPr="004A5C44">
              <w:t>4.</w:t>
            </w:r>
            <w:r w:rsidRPr="004A5C44">
              <w:tab/>
              <w:t xml:space="preserve">Przed przyjęciem aktu delegowanego </w:t>
            </w:r>
            <w:r w:rsidRPr="004A5C44">
              <w:t>Komisja konsultuje się z ekspertami wyznaczonymi przez każde państwo członkowskie zgodnie z zasadami określonymi w Porozumieniu międzyinstytucjonalnym z dnia 13 kwietnia 2016 r. w sprawie lepszego stanowienia prawa.</w:t>
            </w:r>
          </w:p>
        </w:tc>
        <w:tc>
          <w:tcPr>
            <w:tcW w:w="4876" w:type="dxa"/>
          </w:tcPr>
          <w:p w:rsidR="00C11972" w:rsidRPr="004A5C44" w:rsidRDefault="002112FF" w:rsidP="00096654">
            <w:pPr>
              <w:pStyle w:val="Normal6a"/>
            </w:pPr>
            <w:r w:rsidRPr="004A5C44">
              <w:t>4.</w:t>
            </w:r>
            <w:r w:rsidRPr="004A5C44">
              <w:tab/>
              <w:t>Przed przyjęciem aktu delegowanego Ko</w:t>
            </w:r>
            <w:r w:rsidRPr="004A5C44">
              <w:t xml:space="preserve">misja konsultuje się z ekspertami wyznaczonymi przez każde państwo członkowskie zgodnie z zasadami określonymi w Porozumieniu międzyinstytucjonalnym z dnia 13 kwietnia 2016 r. w sprawie lepszego stanowienia prawa. </w:t>
            </w:r>
            <w:r w:rsidRPr="004A5C44">
              <w:rPr>
                <w:b/>
                <w:i/>
              </w:rPr>
              <w:t>Komisja konsultuje się również z ekspertam</w:t>
            </w:r>
            <w:r w:rsidRPr="004A5C44">
              <w:rPr>
                <w:b/>
                <w:i/>
              </w:rPr>
              <w:t>i ds. równości płci oraz zwraca się do każdego państwa członkowskiego i właściwych organów UE o dane segregowane według kryterium płci w celu uwzględnienia aspektu płci i, w razie potrzeby, sporządzania budżetu z uwzględnieniem aspektu płci.</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rPr>
        <w:t>&lt;Amend&gt;</w:t>
      </w:r>
      <w:r w:rsidRPr="004A5C44">
        <w:t>Poprawka</w:t>
      </w:r>
      <w:r w:rsidRPr="004A5C44">
        <w:tab/>
      </w:r>
      <w:r w:rsidRPr="004A5C44">
        <w:tab/>
      </w:r>
      <w:r w:rsidRPr="004A5C44">
        <w:rPr>
          <w:rStyle w:val="HideTWBExt"/>
        </w:rPr>
        <w:t>&lt;NumAm&gt;</w:t>
      </w:r>
      <w:r w:rsidRPr="004A5C44">
        <w:t>15</w:t>
      </w:r>
      <w:r w:rsidRPr="004A5C44">
        <w:rPr>
          <w:rStyle w:val="HideTWBExt"/>
        </w:rPr>
        <w:t>&lt;/NumAm&gt;</w:t>
      </w:r>
    </w:p>
    <w:p w:rsidR="00C11972" w:rsidRPr="004A5C44" w:rsidRDefault="002112FF" w:rsidP="00C11972">
      <w:pPr>
        <w:pStyle w:val="NormalBold12b"/>
      </w:pPr>
      <w:r w:rsidRPr="004A5C44">
        <w:rPr>
          <w:rStyle w:val="HideTWBExt"/>
        </w:rPr>
        <w:t>&lt;DocAmend&gt;</w:t>
      </w:r>
      <w:r w:rsidRPr="004A5C44">
        <w:t>Wniosek dotyczący dyrektywy</w:t>
      </w:r>
      <w:r w:rsidRPr="004A5C44">
        <w:rPr>
          <w:rStyle w:val="HideTWBExt"/>
        </w:rPr>
        <w:t>&lt;/DocAmend&gt;</w:t>
      </w:r>
    </w:p>
    <w:p w:rsidR="00C11972" w:rsidRPr="004A5C44" w:rsidRDefault="002112FF" w:rsidP="00C11972">
      <w:pPr>
        <w:pStyle w:val="NormalBold"/>
      </w:pPr>
      <w:r w:rsidRPr="004A5C44">
        <w:rPr>
          <w:rStyle w:val="HideTWBExt"/>
        </w:rPr>
        <w:t>&lt;Article&gt;</w:t>
      </w:r>
      <w:r w:rsidRPr="004A5C44">
        <w:t>Artykuł 13 – ustęp 2 – litera b</w:t>
      </w:r>
      <w:r w:rsidRPr="004A5C4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trHeight w:hRule="exact" w:val="240"/>
          <w:jc w:val="center"/>
        </w:trPr>
        <w:tc>
          <w:tcPr>
            <w:tcW w:w="9752" w:type="dxa"/>
            <w:gridSpan w:val="2"/>
          </w:tcPr>
          <w:p w:rsidR="00C11972" w:rsidRPr="004A5C44" w:rsidRDefault="00C11972" w:rsidP="00096654"/>
        </w:tc>
      </w:tr>
      <w:tr w:rsidR="00EB302B" w:rsidRPr="004A5C44" w:rsidTr="00096654">
        <w:trPr>
          <w:trHeight w:val="240"/>
          <w:jc w:val="center"/>
        </w:trPr>
        <w:tc>
          <w:tcPr>
            <w:tcW w:w="4876" w:type="dxa"/>
          </w:tcPr>
          <w:p w:rsidR="00C11972" w:rsidRPr="004A5C44" w:rsidRDefault="002112FF" w:rsidP="00096654">
            <w:pPr>
              <w:pStyle w:val="AmColumnHeading"/>
            </w:pPr>
            <w:r w:rsidRPr="004A5C44">
              <w:t>Tekst proponowany przez Komisję</w:t>
            </w:r>
          </w:p>
        </w:tc>
        <w:tc>
          <w:tcPr>
            <w:tcW w:w="4876" w:type="dxa"/>
          </w:tcPr>
          <w:p w:rsidR="00C11972" w:rsidRPr="004A5C44" w:rsidRDefault="002112FF" w:rsidP="00096654">
            <w:pPr>
              <w:pStyle w:val="AmColumnHeading"/>
            </w:pPr>
            <w:r w:rsidRPr="004A5C44">
              <w:t>Poprawka</w:t>
            </w:r>
          </w:p>
        </w:tc>
      </w:tr>
      <w:tr w:rsidR="00EB302B" w:rsidRPr="004A5C44" w:rsidTr="00096654">
        <w:trPr>
          <w:jc w:val="center"/>
        </w:trPr>
        <w:tc>
          <w:tcPr>
            <w:tcW w:w="4876" w:type="dxa"/>
          </w:tcPr>
          <w:p w:rsidR="00C11972" w:rsidRPr="004A5C44" w:rsidRDefault="002112FF" w:rsidP="00096654">
            <w:pPr>
              <w:pStyle w:val="Normal6a"/>
            </w:pPr>
            <w:r w:rsidRPr="004A5C44">
              <w:t>b)</w:t>
            </w:r>
            <w:r w:rsidRPr="004A5C44">
              <w:tab/>
              <w:t>przepisy, na podstawie których organy publiczne lub prywatne stowarzyszen</w:t>
            </w:r>
            <w:r w:rsidRPr="004A5C44">
              <w:t>ia, organizacje lub inne podmioty prawne, które mają uzasadniony interes w zapewnieniu zgodności z przepisami niniejszej dyrektywy, mogą podejmować działania zgodnie z prawem i procedurami krajowymi przed sądem lub właściwym organem administracyjnym w imie</w:t>
            </w:r>
            <w:r w:rsidRPr="004A5C44">
              <w:t>niu osoby z niepełnosprawnościami lub w celu jej wsparcia, za jej zgodą, w ramach dowolnego postępowania sądowego lub administracyjnego dotyczącego egzekwowania obowiązków określonych w niniejszej dyrektywie.</w:t>
            </w:r>
          </w:p>
        </w:tc>
        <w:tc>
          <w:tcPr>
            <w:tcW w:w="4876" w:type="dxa"/>
          </w:tcPr>
          <w:p w:rsidR="00C11972" w:rsidRPr="004A5C44" w:rsidRDefault="002112FF" w:rsidP="00096654">
            <w:pPr>
              <w:pStyle w:val="Normal6a"/>
            </w:pPr>
            <w:bookmarkStart w:id="3" w:name="_GoBack"/>
            <w:bookmarkEnd w:id="3"/>
            <w:r w:rsidRPr="004A5C44">
              <w:t>b)</w:t>
            </w:r>
            <w:r w:rsidRPr="004A5C44">
              <w:tab/>
              <w:t>przepisy, na podstawie których organy publi</w:t>
            </w:r>
            <w:r w:rsidRPr="004A5C44">
              <w:t>czne</w:t>
            </w:r>
            <w:r w:rsidRPr="004A5C44">
              <w:rPr>
                <w:b/>
                <w:i/>
              </w:rPr>
              <w:t>, takie jak organy ds. równości,</w:t>
            </w:r>
            <w:r w:rsidRPr="004A5C44">
              <w:t xml:space="preserve"> lub prywatne stowarzyszenia, organizacje lub inne podmioty prawne, które mają uzasadniony interes w zapewnieniu zgodności z przepisami niniejszej dyrektywy, mogą podejmować działania zgodnie z prawem i procedurami krajo</w:t>
            </w:r>
            <w:r w:rsidRPr="004A5C44">
              <w:t>wymi przed sądem lub właściwym organem administracyjnym w imieniu osoby z niepełnosprawnościami lub w celu jej wsparcia, za jej zgodą, w ramach dowolnego postępowania sądowego lub administracyjnego dotyczącego egzekwowania obowiązków określonych w niniejsz</w:t>
            </w:r>
            <w:r w:rsidRPr="004A5C44">
              <w:t>ej dyrektywie.</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16</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Artykuł 16 – ustęp 2</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hideMark/>
          </w:tcPr>
          <w:p w:rsidR="00C11972" w:rsidRPr="004A5C44" w:rsidRDefault="002112FF" w:rsidP="00096654">
            <w:pPr>
              <w:pStyle w:val="Normal6"/>
            </w:pPr>
            <w:r w:rsidRPr="004A5C44">
              <w:t>2.</w:t>
            </w:r>
            <w:r w:rsidRPr="004A5C44">
              <w:tab/>
            </w:r>
            <w:r w:rsidRPr="004A5C44">
              <w:t xml:space="preserve">W sprawozdaniu tym uwzględnia się między innymi stosowanie europejskiej karty osoby z niepełnosprawnością i europejskiej karty parkingowej dla osób z niepełnosprawnościami w świetle </w:t>
            </w:r>
            <w:r w:rsidRPr="004A5C44">
              <w:rPr>
                <w:b/>
                <w:i/>
              </w:rPr>
              <w:t>rozwoju społecznego</w:t>
            </w:r>
            <w:r w:rsidRPr="004A5C44">
              <w:t xml:space="preserve"> i</w:t>
            </w:r>
            <w:r w:rsidRPr="004A5C44">
              <w:rPr>
                <w:b/>
                <w:i/>
              </w:rPr>
              <w:t> gospodarczego</w:t>
            </w:r>
            <w:r w:rsidRPr="004A5C44">
              <w:t>, aby ocenić konieczność zmiany niniejs</w:t>
            </w:r>
            <w:r w:rsidRPr="004A5C44">
              <w:t>zej dyrektywy.</w:t>
            </w:r>
          </w:p>
        </w:tc>
        <w:tc>
          <w:tcPr>
            <w:tcW w:w="4876" w:type="dxa"/>
            <w:hideMark/>
          </w:tcPr>
          <w:p w:rsidR="00C11972" w:rsidRPr="004A5C44" w:rsidRDefault="002112FF" w:rsidP="00096654">
            <w:pPr>
              <w:pStyle w:val="Normal6"/>
              <w:rPr>
                <w:szCs w:val="24"/>
              </w:rPr>
            </w:pPr>
            <w:r w:rsidRPr="004A5C44">
              <w:t>2.</w:t>
            </w:r>
            <w:r w:rsidRPr="004A5C44">
              <w:tab/>
              <w:t xml:space="preserve">W sprawozdaniu tym uwzględnia się między innymi stosowanie europejskiej karty osoby z niepełnosprawnością i europejskiej karty parkingowej dla osób z niepełnosprawnościami w świetle </w:t>
            </w:r>
            <w:r w:rsidRPr="004A5C44">
              <w:rPr>
                <w:b/>
                <w:i/>
              </w:rPr>
              <w:t>zmian społecznych</w:t>
            </w:r>
            <w:r w:rsidRPr="004A5C44">
              <w:t xml:space="preserve"> i</w:t>
            </w:r>
            <w:r w:rsidRPr="004A5C44">
              <w:rPr>
                <w:b/>
                <w:i/>
              </w:rPr>
              <w:t xml:space="preserve"> gospodarczych w państwach członkowsk</w:t>
            </w:r>
            <w:r w:rsidRPr="004A5C44">
              <w:rPr>
                <w:b/>
                <w:i/>
              </w:rPr>
              <w:t>ich oraz w całej Unii</w:t>
            </w:r>
            <w:r w:rsidRPr="004A5C44">
              <w:t xml:space="preserve">, aby ocenić konieczność zmiany niniejszej dyrektywy. </w:t>
            </w:r>
            <w:r w:rsidRPr="004A5C44">
              <w:rPr>
                <w:b/>
                <w:i/>
              </w:rPr>
              <w:t xml:space="preserve">Sprawozdanie zawiera analizę aspektu płci, ze szczególnym uwzględnieniem rzeczywistego i potencjalnego wpływu przepisów niniejszej dyrektywy na swobodę przemieszczania się kobiet i </w:t>
            </w:r>
            <w:r w:rsidRPr="004A5C44">
              <w:rPr>
                <w:b/>
                <w:i/>
              </w:rPr>
              <w:t>dziewcząt z niepełnosprawnościami. W sprawozdaniu ocenia się również skuteczność środków zachęcających, które państwa członkowskie zapewniają usługodawcom. Uwzględnia się informacje przekazane przez osoby z niepełnosprawnościami, odpowiednie organizacje po</w:t>
            </w:r>
            <w:r w:rsidRPr="004A5C44">
              <w:rPr>
                <w:b/>
                <w:i/>
              </w:rPr>
              <w:t>zarządowe, w szczególności organizacje reprezentujące osoby z niepełnosprawnościami i organizacje walczące o równość płci, oraz przez zainteresowane podmioty gospodarcze. Komisja tworzy portal cyfrowy, który zawiera wszystkie informacje na temat korzyści w</w:t>
            </w:r>
            <w:r w:rsidRPr="004A5C44">
              <w:rPr>
                <w:b/>
                <w:i/>
              </w:rPr>
              <w:t>ynikających z posiadania europejskiej karty osoby z niepełnosprawnością i europejskiej karty parkingowej we wszystkich państwach członkowskich, i używa w tym celu języka neutralnego płciowo.</w:t>
            </w:r>
          </w:p>
        </w:tc>
      </w:tr>
    </w:tbl>
    <w:p w:rsidR="00C11972" w:rsidRPr="004A5C44" w:rsidRDefault="002112FF" w:rsidP="00C11972">
      <w:r w:rsidRPr="004A5C44">
        <w:rPr>
          <w:rStyle w:val="HideTWBExt"/>
        </w:rPr>
        <w:t>&lt;/Amend&gt;</w:t>
      </w:r>
    </w:p>
    <w:p w:rsidR="00C11972" w:rsidRPr="004A5C44" w:rsidRDefault="002112FF" w:rsidP="00C11972">
      <w:pPr>
        <w:pStyle w:val="AmNumberTabs"/>
      </w:pPr>
      <w:r w:rsidRPr="004A5C44">
        <w:rPr>
          <w:rStyle w:val="HideTWBExt"/>
          <w:b w:val="0"/>
        </w:rPr>
        <w:t>&lt;Amend&gt;</w:t>
      </w:r>
      <w:r w:rsidRPr="004A5C44">
        <w:t>Poprawka</w:t>
      </w:r>
      <w:r w:rsidRPr="004A5C44">
        <w:tab/>
      </w:r>
      <w:r w:rsidRPr="004A5C44">
        <w:tab/>
      </w:r>
      <w:r w:rsidRPr="004A5C44">
        <w:rPr>
          <w:rStyle w:val="HideTWBExt"/>
          <w:b w:val="0"/>
        </w:rPr>
        <w:t>&lt;NumAm&gt;</w:t>
      </w:r>
      <w:r w:rsidRPr="004A5C44">
        <w:t>17</w:t>
      </w:r>
      <w:r w:rsidRPr="004A5C44">
        <w:rPr>
          <w:rStyle w:val="HideTWBExt"/>
          <w:b w:val="0"/>
        </w:rPr>
        <w:t>&lt;/NumAm&gt;</w:t>
      </w:r>
    </w:p>
    <w:p w:rsidR="00C11972" w:rsidRPr="004A5C44" w:rsidRDefault="00C11972" w:rsidP="00C11972"/>
    <w:p w:rsidR="00C11972" w:rsidRPr="004A5C44" w:rsidRDefault="002112FF" w:rsidP="00C11972">
      <w:pPr>
        <w:pStyle w:val="NormalBold"/>
        <w:keepNext/>
      </w:pPr>
      <w:r w:rsidRPr="004A5C44">
        <w:rPr>
          <w:rStyle w:val="HideTWBExt"/>
          <w:b w:val="0"/>
        </w:rPr>
        <w:t>&lt;DocAmend&gt;</w:t>
      </w:r>
      <w:r w:rsidRPr="004A5C44">
        <w:t>Wniosek d</w:t>
      </w:r>
      <w:r w:rsidRPr="004A5C44">
        <w:t>otyczący dyrektywy</w:t>
      </w:r>
      <w:r w:rsidRPr="004A5C44">
        <w:rPr>
          <w:rStyle w:val="HideTWBExt"/>
          <w:b w:val="0"/>
        </w:rPr>
        <w:t>&lt;/DocAmend&gt;</w:t>
      </w:r>
    </w:p>
    <w:p w:rsidR="00C11972" w:rsidRPr="004A5C44" w:rsidRDefault="002112FF" w:rsidP="00C11972">
      <w:pPr>
        <w:pStyle w:val="NormalBold"/>
      </w:pPr>
      <w:r w:rsidRPr="004A5C44">
        <w:rPr>
          <w:rStyle w:val="HideTWBExt"/>
          <w:b w:val="0"/>
        </w:rPr>
        <w:t>&lt;Article&gt;</w:t>
      </w:r>
      <w:r w:rsidRPr="004A5C44">
        <w:t>Artykuł 16 – ustęp 3</w:t>
      </w:r>
      <w:r w:rsidRPr="004A5C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02B" w:rsidRPr="004A5C44" w:rsidTr="00096654">
        <w:trPr>
          <w:jc w:val="center"/>
        </w:trPr>
        <w:tc>
          <w:tcPr>
            <w:tcW w:w="9752" w:type="dxa"/>
            <w:gridSpan w:val="2"/>
          </w:tcPr>
          <w:p w:rsidR="00C11972" w:rsidRPr="004A5C44" w:rsidRDefault="00C11972" w:rsidP="00096654">
            <w:pPr>
              <w:keepNext/>
            </w:pPr>
          </w:p>
        </w:tc>
      </w:tr>
      <w:tr w:rsidR="00EB302B" w:rsidRPr="004A5C44" w:rsidTr="00096654">
        <w:trPr>
          <w:jc w:val="center"/>
        </w:trPr>
        <w:tc>
          <w:tcPr>
            <w:tcW w:w="4876" w:type="dxa"/>
            <w:hideMark/>
          </w:tcPr>
          <w:p w:rsidR="00C11972" w:rsidRPr="004A5C44" w:rsidRDefault="002112FF" w:rsidP="00096654">
            <w:pPr>
              <w:pStyle w:val="ColumnHeading"/>
              <w:keepNext/>
            </w:pPr>
            <w:r w:rsidRPr="004A5C44">
              <w:t>Tekst proponowany przez Komisję</w:t>
            </w:r>
          </w:p>
        </w:tc>
        <w:tc>
          <w:tcPr>
            <w:tcW w:w="4876" w:type="dxa"/>
            <w:hideMark/>
          </w:tcPr>
          <w:p w:rsidR="00C11972" w:rsidRPr="004A5C44" w:rsidRDefault="002112FF" w:rsidP="00096654">
            <w:pPr>
              <w:pStyle w:val="ColumnHeading"/>
              <w:keepNext/>
            </w:pPr>
            <w:r w:rsidRPr="004A5C44">
              <w:t>Poprawka</w:t>
            </w:r>
          </w:p>
        </w:tc>
      </w:tr>
      <w:tr w:rsidR="00EB302B" w:rsidRPr="004A5C44" w:rsidTr="00096654">
        <w:trPr>
          <w:jc w:val="center"/>
        </w:trPr>
        <w:tc>
          <w:tcPr>
            <w:tcW w:w="4876" w:type="dxa"/>
            <w:hideMark/>
          </w:tcPr>
          <w:p w:rsidR="00C11972" w:rsidRPr="004A5C44" w:rsidRDefault="002112FF" w:rsidP="00096654">
            <w:pPr>
              <w:pStyle w:val="Normal6"/>
            </w:pPr>
            <w:r w:rsidRPr="004A5C44">
              <w:t>3.</w:t>
            </w:r>
            <w:r w:rsidRPr="004A5C44">
              <w:tab/>
              <w:t xml:space="preserve">Państwa członkowskie przekazują Komisji na jej wniosek i w należytym terminie wszystkie informacje, które są dla niej niezbędne do </w:t>
            </w:r>
            <w:r w:rsidRPr="004A5C44">
              <w:t>sporządzenia takiego sprawozdania.</w:t>
            </w:r>
          </w:p>
        </w:tc>
        <w:tc>
          <w:tcPr>
            <w:tcW w:w="4876" w:type="dxa"/>
            <w:hideMark/>
          </w:tcPr>
          <w:p w:rsidR="00C11972" w:rsidRPr="004A5C44" w:rsidRDefault="002112FF" w:rsidP="00096654">
            <w:pPr>
              <w:pStyle w:val="Normal6"/>
              <w:rPr>
                <w:szCs w:val="24"/>
              </w:rPr>
            </w:pPr>
            <w:r w:rsidRPr="004A5C44">
              <w:t>3.</w:t>
            </w:r>
            <w:r w:rsidRPr="004A5C44">
              <w:tab/>
              <w:t xml:space="preserve">Państwa członkowskie przekazują Komisji na jej wniosek i w należytym terminie wszystkie informacje, które są dla niej niezbędne do sporządzenia takiego sprawozdania. </w:t>
            </w:r>
            <w:r w:rsidRPr="004A5C44">
              <w:rPr>
                <w:b/>
                <w:i/>
              </w:rPr>
              <w:t>Informacje te obejmują między innymi jasną perspekty</w:t>
            </w:r>
            <w:r w:rsidRPr="004A5C44">
              <w:rPr>
                <w:b/>
                <w:i/>
              </w:rPr>
              <w:t>wę płci w odniesieniu do wdrażania karty osoby z niepełnosprawnością. Państwa członkowskie gromadzą dane segregowane według kryterium płci w celu zidentyfikowania form dyskryminacji z wielu przyczyn jednocześnie, z którymi borykają się kobiety i dziewczęta</w:t>
            </w:r>
            <w:r w:rsidRPr="004A5C44">
              <w:rPr>
                <w:b/>
                <w:i/>
              </w:rPr>
              <w:t xml:space="preserve"> z niepełnosprawnościami przy dostępie do specjalnych warunków lub preferencyjnego traktowania w odniesieniu do usług, aktywności lub obiektów, lub warunków parkowania i udogodnień oferowanych osobom z niepełnosprawnościami lub osób towarzyszących lub poma</w:t>
            </w:r>
            <w:r w:rsidRPr="004A5C44">
              <w:rPr>
                <w:b/>
                <w:i/>
              </w:rPr>
              <w:t>gających tym osobom, lub do warunków parkowania i udogodnień zastrzeżonych dla osób z niepełnosprawnościami, w tym ich asystentów osobistych, zgodnie z obowiązkami wynikającymi z europejskiej karty osoby z niepełnosprawnością lub europejskiej karty parking</w:t>
            </w:r>
            <w:r w:rsidRPr="004A5C44">
              <w:rPr>
                <w:b/>
                <w:i/>
              </w:rPr>
              <w:t>owej dla osób z niepełnosprawnościami. Dane te należy wykorzystywać na potrzeby oceny wpływu dyrektywy w aspekcie płci i gwarantować jej przyszły przegląd z uwzględnieniem tego aspektu.</w:t>
            </w:r>
          </w:p>
        </w:tc>
      </w:tr>
    </w:tbl>
    <w:p w:rsidR="00C11972" w:rsidRPr="004A5C44" w:rsidRDefault="002112FF" w:rsidP="00C11972">
      <w:r w:rsidRPr="004A5C44">
        <w:rPr>
          <w:rStyle w:val="HideTWBExt"/>
        </w:rPr>
        <w:t>&lt;/Amend&gt;</w:t>
      </w:r>
    </w:p>
    <w:p w:rsidR="00C11972" w:rsidRPr="004A5C44" w:rsidRDefault="00C11972" w:rsidP="00C11972">
      <w:pPr>
        <w:rPr>
          <w:rStyle w:val="HideTWBExt"/>
          <w:szCs w:val="20"/>
        </w:rPr>
      </w:pPr>
    </w:p>
    <w:p w:rsidR="00EB2CDF" w:rsidRPr="004A5C44" w:rsidRDefault="002112FF" w:rsidP="00EB2CDF">
      <w:r w:rsidRPr="004A5C44">
        <w:rPr>
          <w:rStyle w:val="HideTWBExt"/>
        </w:rPr>
        <w:t>&lt;/RepeatBlock-Amend&gt;</w:t>
      </w:r>
    </w:p>
    <w:p w:rsidR="00EB2CDF" w:rsidRPr="004A5C44" w:rsidRDefault="00EB2CDF" w:rsidP="00EB2CDF"/>
    <w:p w:rsidR="00D36117" w:rsidRPr="004A5C44" w:rsidRDefault="002112FF" w:rsidP="00D36117">
      <w:r w:rsidRPr="004A5C44">
        <w:br w:type="page"/>
      </w:r>
    </w:p>
    <w:p w:rsidR="00CD1847" w:rsidRPr="004A5C44" w:rsidRDefault="002112FF" w:rsidP="00CD1847">
      <w:pPr>
        <w:ind w:right="-46"/>
        <w:jc w:val="center"/>
        <w:outlineLvl w:val="0"/>
        <w:rPr>
          <w:rFonts w:ascii="Arial" w:hAnsi="Arial"/>
          <w:b/>
          <w:caps/>
          <w:szCs w:val="20"/>
        </w:rPr>
      </w:pPr>
      <w:r w:rsidRPr="004A5C44">
        <w:br w:type="page"/>
      </w:r>
      <w:r w:rsidRPr="004A5C44">
        <w:rPr>
          <w:rFonts w:ascii="Arial" w:hAnsi="Arial"/>
          <w:b/>
        </w:rPr>
        <w:t xml:space="preserve">ZAŁĄCZNIK: </w:t>
      </w:r>
      <w:r w:rsidRPr="004A5C44">
        <w:rPr>
          <w:rFonts w:ascii="Arial" w:hAnsi="Arial"/>
          <w:b/>
          <w:caps/>
        </w:rPr>
        <w:t>Wykaz podmiotów lub osó</w:t>
      </w:r>
      <w:r w:rsidRPr="004A5C44">
        <w:rPr>
          <w:rFonts w:ascii="Arial" w:hAnsi="Arial"/>
          <w:b/>
          <w:caps/>
        </w:rPr>
        <w:t>b,</w:t>
      </w:r>
    </w:p>
    <w:p w:rsidR="00CD1847" w:rsidRPr="004A5C44" w:rsidRDefault="002112FF" w:rsidP="00CD1847">
      <w:pPr>
        <w:ind w:right="-46"/>
        <w:jc w:val="center"/>
        <w:outlineLvl w:val="0"/>
        <w:rPr>
          <w:rFonts w:ascii="Arial" w:hAnsi="Arial"/>
          <w:b/>
        </w:rPr>
      </w:pPr>
      <w:r w:rsidRPr="004A5C44">
        <w:rPr>
          <w:rFonts w:ascii="Arial" w:hAnsi="Arial"/>
          <w:b/>
          <w:caps/>
        </w:rPr>
        <w:t>od których sprawozdawczyni komisji opiniodawczej otrzymała informacje</w:t>
      </w:r>
    </w:p>
    <w:p w:rsidR="00CD1847" w:rsidRPr="004A5C44" w:rsidRDefault="00CD1847" w:rsidP="00CD1847">
      <w:pPr>
        <w:spacing w:before="9" w:line="500" w:lineRule="atLeast"/>
        <w:ind w:left="80" w:right="-46" w:hanging="97"/>
        <w:jc w:val="center"/>
        <w:rPr>
          <w:rFonts w:eastAsia="Calibri"/>
          <w:sz w:val="22"/>
          <w:szCs w:val="22"/>
        </w:rPr>
      </w:pPr>
    </w:p>
    <w:p w:rsidR="00CD1847" w:rsidRPr="004A5C44" w:rsidRDefault="002112FF" w:rsidP="00CD1847">
      <w:pPr>
        <w:spacing w:before="9" w:line="360" w:lineRule="auto"/>
        <w:ind w:right="-46"/>
        <w:rPr>
          <w:rFonts w:eastAsia="Calibri"/>
          <w:sz w:val="22"/>
          <w:szCs w:val="22"/>
        </w:rPr>
      </w:pPr>
      <w:r w:rsidRPr="004A5C44">
        <w:rPr>
          <w:sz w:val="22"/>
        </w:rPr>
        <w:t xml:space="preserve">Poniższy wykaz sporządzono na wyłączną odpowiedzialność sprawozdawczyni komisji opiniodawczej. Przy sporządzaniu [projektu opinii / opinii, do czasu jej przyjęcia w komisji] </w:t>
      </w:r>
      <w:r w:rsidRPr="004A5C44">
        <w:rPr>
          <w:sz w:val="22"/>
        </w:rPr>
        <w:t>sprawozdawczyni otrzymała informacje od następujących podmiotów lub osób:</w:t>
      </w:r>
    </w:p>
    <w:p w:rsidR="00CD1847" w:rsidRPr="004A5C44" w:rsidRDefault="00CD1847" w:rsidP="00CD1847">
      <w:pPr>
        <w:spacing w:line="200" w:lineRule="exact"/>
        <w:ind w:right="-46"/>
        <w:rPr>
          <w:szCs w:val="20"/>
        </w:rPr>
      </w:pPr>
    </w:p>
    <w:p w:rsidR="00CD1847" w:rsidRPr="004A5C44" w:rsidRDefault="00CD1847" w:rsidP="00CD1847">
      <w:pPr>
        <w:spacing w:line="200" w:lineRule="exact"/>
        <w:ind w:right="-46"/>
      </w:pPr>
    </w:p>
    <w:p w:rsidR="00CD1847" w:rsidRPr="004A5C44"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EB302B" w:rsidRPr="004A5C44"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4A5C44" w:rsidRDefault="002112FF">
            <w:pPr>
              <w:spacing w:line="260" w:lineRule="exact"/>
              <w:ind w:left="3567" w:right="3563"/>
              <w:jc w:val="both"/>
              <w:rPr>
                <w:rFonts w:eastAsia="Calibri"/>
                <w:b/>
                <w:sz w:val="22"/>
                <w:szCs w:val="22"/>
              </w:rPr>
            </w:pPr>
            <w:r w:rsidRPr="004A5C44">
              <w:rPr>
                <w:b/>
                <w:sz w:val="22"/>
              </w:rPr>
              <w:t>Podmiot i/lub osoba</w:t>
            </w:r>
          </w:p>
        </w:tc>
      </w:tr>
      <w:tr w:rsidR="00EB302B" w:rsidRPr="002112FF"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2112FF" w:rsidRDefault="002112FF">
            <w:pPr>
              <w:rPr>
                <w:szCs w:val="20"/>
                <w:lang w:val="es-ES"/>
              </w:rPr>
            </w:pPr>
            <w:r w:rsidRPr="002112FF">
              <w:rPr>
                <w:lang w:val="es-ES"/>
              </w:rPr>
              <w:t>CERMI- Comité Español de Representantes de Personas con Discapacidad</w:t>
            </w:r>
          </w:p>
        </w:tc>
      </w:tr>
      <w:tr w:rsidR="00EB302B" w:rsidRPr="002112FF"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2112FF" w:rsidRDefault="002112FF">
            <w:pPr>
              <w:rPr>
                <w:lang w:val="es-ES"/>
              </w:rPr>
            </w:pPr>
            <w:r w:rsidRPr="002112FF">
              <w:rPr>
                <w:lang w:val="es-ES"/>
              </w:rPr>
              <w:t>ONCE-Organización Nacional de Ciegos Españoles</w:t>
            </w:r>
          </w:p>
        </w:tc>
      </w:tr>
      <w:tr w:rsidR="00EB302B" w:rsidRPr="004A5C44"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4A5C44" w:rsidRDefault="002112FF">
            <w:r w:rsidRPr="004A5C44">
              <w:t>Asociación Autismo España</w:t>
            </w:r>
          </w:p>
        </w:tc>
      </w:tr>
    </w:tbl>
    <w:p w:rsidR="00CD1847" w:rsidRPr="004A5C44" w:rsidRDefault="00CD1847" w:rsidP="00CD1847">
      <w:pPr>
        <w:spacing w:line="200" w:lineRule="exact"/>
        <w:rPr>
          <w:szCs w:val="20"/>
          <w:lang w:bidi="en-GB"/>
        </w:rPr>
      </w:pPr>
    </w:p>
    <w:p w:rsidR="00CD1847" w:rsidRPr="004A5C44" w:rsidRDefault="00CD1847" w:rsidP="00CD1847">
      <w:pPr>
        <w:spacing w:line="200" w:lineRule="exact"/>
      </w:pPr>
    </w:p>
    <w:p w:rsidR="00CD1847" w:rsidRPr="004A5C44" w:rsidRDefault="00CD1847" w:rsidP="00CD1847">
      <w:pPr>
        <w:spacing w:line="200" w:lineRule="exact"/>
      </w:pPr>
    </w:p>
    <w:p w:rsidR="00CD1847" w:rsidRPr="004A5C44" w:rsidRDefault="002112FF">
      <w:pPr>
        <w:widowControl/>
      </w:pPr>
      <w:r w:rsidRPr="004A5C44">
        <w:br w:type="page"/>
      </w:r>
    </w:p>
    <w:p w:rsidR="005B3175" w:rsidRPr="004A5C44" w:rsidRDefault="002112FF" w:rsidP="00A4306C">
      <w:pPr>
        <w:pStyle w:val="PageHeadingNotTOC"/>
      </w:pPr>
      <w:bookmarkStart w:id="4" w:name="ProcPageAD"/>
      <w:r w:rsidRPr="004A5C44">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Ustanowienie europejskiej karty osoby z niepełnosprawnością i europejskiej karty parkingowej dla osób z niepełnosprawnościami</w:t>
            </w:r>
          </w:p>
        </w:tc>
      </w:tr>
      <w:tr w:rsidR="00EB302B" w:rsidRPr="004A5C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COM(2023)0512 – C9-0328/2023 – 2023/0311(COD)</w:t>
            </w:r>
          </w:p>
        </w:tc>
      </w:tr>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Komisja przedmiotowo właściwa</w:t>
            </w:r>
          </w:p>
          <w:p w:rsidR="005B3175" w:rsidRPr="004A5C44" w:rsidRDefault="002112FF">
            <w:pPr>
              <w:autoSpaceDE w:val="0"/>
              <w:autoSpaceDN w:val="0"/>
              <w:adjustRightInd w:val="0"/>
              <w:rPr>
                <w:color w:val="000000"/>
                <w:sz w:val="20"/>
                <w:szCs w:val="20"/>
              </w:rPr>
            </w:pPr>
            <w:r w:rsidRPr="004A5C44">
              <w:rPr>
                <w:color w:val="000000"/>
                <w:sz w:val="20"/>
              </w:rPr>
              <w:t>  </w:t>
            </w:r>
            <w:r w:rsidRPr="004A5C44">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EMPL</w:t>
            </w:r>
          </w:p>
          <w:p w:rsidR="005B3175" w:rsidRPr="004A5C44" w:rsidRDefault="002112FF">
            <w:pPr>
              <w:autoSpaceDE w:val="0"/>
              <w:autoSpaceDN w:val="0"/>
              <w:adjustRightInd w:val="0"/>
              <w:rPr>
                <w:color w:val="000000"/>
                <w:sz w:val="20"/>
                <w:szCs w:val="20"/>
              </w:rPr>
            </w:pPr>
            <w:r w:rsidRPr="004A5C44">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5B3175">
            <w:pPr>
              <w:autoSpaceDE w:val="0"/>
              <w:autoSpaceDN w:val="0"/>
              <w:adjustRightInd w:val="0"/>
              <w:rPr>
                <w:rFonts w:ascii="sans-serif" w:hAnsi="sans-serif" w:cs="sans-serif"/>
                <w:color w:val="000000"/>
              </w:rPr>
            </w:pPr>
          </w:p>
        </w:tc>
      </w:tr>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Opinia wydana przez</w:t>
            </w:r>
          </w:p>
          <w:p w:rsidR="005B3175" w:rsidRPr="004A5C44" w:rsidRDefault="002112FF">
            <w:pPr>
              <w:autoSpaceDE w:val="0"/>
              <w:autoSpaceDN w:val="0"/>
              <w:adjustRightInd w:val="0"/>
              <w:rPr>
                <w:color w:val="000000"/>
                <w:sz w:val="20"/>
                <w:szCs w:val="20"/>
              </w:rPr>
            </w:pPr>
            <w:r w:rsidRPr="004A5C44">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FEMM</w:t>
            </w:r>
          </w:p>
          <w:p w:rsidR="005B3175" w:rsidRPr="004A5C44" w:rsidRDefault="002112FF">
            <w:pPr>
              <w:autoSpaceDE w:val="0"/>
              <w:autoSpaceDN w:val="0"/>
              <w:adjustRightInd w:val="0"/>
              <w:rPr>
                <w:color w:val="000000"/>
                <w:sz w:val="20"/>
                <w:szCs w:val="20"/>
              </w:rPr>
            </w:pPr>
            <w:r w:rsidRPr="004A5C44">
              <w:rPr>
                <w:color w:val="000000"/>
                <w:sz w:val="20"/>
              </w:rPr>
              <w:t>19.10.2023</w:t>
            </w:r>
          </w:p>
        </w:tc>
      </w:tr>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Sprawozdawca komisji opiniodawczej</w:t>
            </w:r>
          </w:p>
          <w:p w:rsidR="005B3175" w:rsidRPr="004A5C44" w:rsidRDefault="002112FF">
            <w:pPr>
              <w:autoSpaceDE w:val="0"/>
              <w:autoSpaceDN w:val="0"/>
              <w:adjustRightInd w:val="0"/>
              <w:rPr>
                <w:color w:val="000000"/>
                <w:sz w:val="20"/>
                <w:szCs w:val="20"/>
              </w:rPr>
            </w:pPr>
            <w:r w:rsidRPr="004A5C44">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Rosa Estaràs Ferragut</w:t>
            </w:r>
          </w:p>
          <w:p w:rsidR="005B3175" w:rsidRPr="004A5C44" w:rsidRDefault="002112FF">
            <w:pPr>
              <w:autoSpaceDE w:val="0"/>
              <w:autoSpaceDN w:val="0"/>
              <w:adjustRightInd w:val="0"/>
              <w:rPr>
                <w:color w:val="000000"/>
                <w:sz w:val="20"/>
                <w:szCs w:val="20"/>
              </w:rPr>
            </w:pPr>
            <w:r w:rsidRPr="004A5C44">
              <w:rPr>
                <w:color w:val="000000"/>
                <w:sz w:val="20"/>
              </w:rPr>
              <w:t>10.10.2023</w:t>
            </w:r>
          </w:p>
        </w:tc>
      </w:tr>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5B3175">
            <w:pPr>
              <w:autoSpaceDE w:val="0"/>
              <w:autoSpaceDN w:val="0"/>
              <w:adjustRightInd w:val="0"/>
              <w:rPr>
                <w:rFonts w:ascii="sans-serif" w:hAnsi="sans-serif" w:cs="sans-serif"/>
                <w:color w:val="000000"/>
              </w:rPr>
            </w:pPr>
          </w:p>
        </w:tc>
      </w:tr>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w:t>
            </w:r>
          </w:p>
          <w:p w:rsidR="005B3175" w:rsidRPr="004A5C44" w:rsidRDefault="002112FF">
            <w:pPr>
              <w:autoSpaceDE w:val="0"/>
              <w:autoSpaceDN w:val="0"/>
              <w:adjustRightInd w:val="0"/>
              <w:rPr>
                <w:color w:val="000000"/>
                <w:sz w:val="20"/>
                <w:szCs w:val="20"/>
              </w:rPr>
            </w:pPr>
            <w:r w:rsidRPr="004A5C44">
              <w:rPr>
                <w:color w:val="000000"/>
                <w:sz w:val="20"/>
              </w:rPr>
              <w:t>–:</w:t>
            </w:r>
          </w:p>
          <w:p w:rsidR="005B3175" w:rsidRPr="004A5C44" w:rsidRDefault="002112FF">
            <w:pPr>
              <w:autoSpaceDE w:val="0"/>
              <w:autoSpaceDN w:val="0"/>
              <w:adjustRightInd w:val="0"/>
              <w:rPr>
                <w:color w:val="000000"/>
                <w:sz w:val="20"/>
                <w:szCs w:val="20"/>
              </w:rPr>
            </w:pPr>
            <w:r w:rsidRPr="004A5C4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22</w:t>
            </w:r>
          </w:p>
          <w:p w:rsidR="005B3175" w:rsidRPr="004A5C44" w:rsidRDefault="002112FF">
            <w:pPr>
              <w:autoSpaceDE w:val="0"/>
              <w:autoSpaceDN w:val="0"/>
              <w:adjustRightInd w:val="0"/>
              <w:rPr>
                <w:color w:val="000000"/>
                <w:sz w:val="20"/>
                <w:szCs w:val="20"/>
              </w:rPr>
            </w:pPr>
            <w:r w:rsidRPr="004A5C44">
              <w:rPr>
                <w:color w:val="000000"/>
                <w:sz w:val="20"/>
              </w:rPr>
              <w:t>1</w:t>
            </w:r>
          </w:p>
          <w:p w:rsidR="005B3175" w:rsidRPr="004A5C44" w:rsidRDefault="002112FF">
            <w:pPr>
              <w:autoSpaceDE w:val="0"/>
              <w:autoSpaceDN w:val="0"/>
              <w:adjustRightInd w:val="0"/>
              <w:rPr>
                <w:color w:val="000000"/>
                <w:sz w:val="20"/>
                <w:szCs w:val="20"/>
              </w:rPr>
            </w:pPr>
            <w:r w:rsidRPr="004A5C44">
              <w:rPr>
                <w:color w:val="000000"/>
                <w:sz w:val="20"/>
              </w:rPr>
              <w:t>0</w:t>
            </w:r>
          </w:p>
        </w:tc>
      </w:tr>
      <w:tr w:rsidR="00EB302B" w:rsidRPr="004A5C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 xml:space="preserve">Isabella Adinolfi, Robert Biedroń, Vilija Blinkevičiūtė, Margarita de la Pisa Carrión, Frances Fitzgerald, Radka Maxová, Johan Nissinen, Maria Noichl, Carina Ohlsson, </w:t>
            </w:r>
            <w:r w:rsidRPr="004A5C44">
              <w:rPr>
                <w:color w:val="000000"/>
                <w:sz w:val="20"/>
              </w:rPr>
              <w:t>Pina Picierno, Maria Veronica Rossi, Christine Schneider</w:t>
            </w:r>
          </w:p>
        </w:tc>
      </w:tr>
      <w:tr w:rsidR="00EB302B" w:rsidRPr="004A5C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Abir Al-Sahlani, Marina Kaljurand, Aušra Maldeikienė, Silvia Modig, Susana Solís Pérez, Pernille Weiss, Angelika Winzig</w:t>
            </w:r>
          </w:p>
        </w:tc>
      </w:tr>
      <w:tr w:rsidR="00EB302B" w:rsidRPr="004A5C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b/>
                <w:bCs/>
                <w:color w:val="000000"/>
                <w:sz w:val="20"/>
                <w:szCs w:val="20"/>
              </w:rPr>
            </w:pPr>
            <w:r w:rsidRPr="004A5C44">
              <w:rPr>
                <w:b/>
                <w:color w:val="000000"/>
                <w:sz w:val="20"/>
              </w:rPr>
              <w:t xml:space="preserve">Zastępcy (art. 209 ust. 7) </w:t>
            </w:r>
            <w:r w:rsidRPr="004A5C44">
              <w:rPr>
                <w:b/>
                <w:color w:val="000000"/>
                <w:sz w:val="20"/>
              </w:rPr>
              <w:t>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4A5C44" w:rsidRDefault="002112FF">
            <w:pPr>
              <w:autoSpaceDE w:val="0"/>
              <w:autoSpaceDN w:val="0"/>
              <w:adjustRightInd w:val="0"/>
              <w:rPr>
                <w:color w:val="000000"/>
                <w:sz w:val="20"/>
                <w:szCs w:val="20"/>
              </w:rPr>
            </w:pPr>
            <w:r w:rsidRPr="004A5C44">
              <w:rPr>
                <w:color w:val="000000"/>
                <w:sz w:val="20"/>
              </w:rPr>
              <w:t>Jakop G. Dalunde, France Jamet, Grace O’Sullivan, Tomáš Zdechovský</w:t>
            </w:r>
          </w:p>
        </w:tc>
      </w:tr>
    </w:tbl>
    <w:p w:rsidR="005B3175" w:rsidRPr="004A5C44" w:rsidRDefault="005B3175"/>
    <w:p w:rsidR="00DE2846" w:rsidRPr="004A5C44" w:rsidRDefault="00DE2846" w:rsidP="00D36117"/>
    <w:bookmarkEnd w:id="4"/>
    <w:p w:rsidR="00DE2846" w:rsidRPr="004A5C44" w:rsidRDefault="00DE2846" w:rsidP="00DE2846">
      <w:pPr>
        <w:sectPr w:rsidR="00DE2846" w:rsidRPr="004A5C44" w:rsidSect="004A5C4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4A5C44" w:rsidRDefault="00DE2846" w:rsidP="00DE2846"/>
    <w:p w:rsidR="00DE2846" w:rsidRPr="004A5C44" w:rsidRDefault="002112FF" w:rsidP="00C36610">
      <w:pPr>
        <w:pStyle w:val="PageHeadingNotTOC"/>
      </w:pPr>
      <w:bookmarkStart w:id="5" w:name="RollCallPageAD"/>
      <w:r w:rsidRPr="004A5C44">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B302B" w:rsidRPr="004A5C44" w:rsidTr="008920AC">
        <w:trPr>
          <w:cantSplit/>
        </w:trPr>
        <w:tc>
          <w:tcPr>
            <w:tcW w:w="1701" w:type="dxa"/>
            <w:shd w:val="pct10" w:color="000000" w:fill="FFFFFF"/>
            <w:vAlign w:val="center"/>
          </w:tcPr>
          <w:p w:rsidR="00DE2846" w:rsidRPr="004A5C44" w:rsidRDefault="002112FF" w:rsidP="003858C5">
            <w:pPr>
              <w:pStyle w:val="RollCallVotes"/>
            </w:pPr>
            <w:r w:rsidRPr="004A5C44">
              <w:t>22</w:t>
            </w:r>
          </w:p>
        </w:tc>
        <w:tc>
          <w:tcPr>
            <w:tcW w:w="7371" w:type="dxa"/>
            <w:shd w:val="pct10" w:color="000000" w:fill="FFFFFF"/>
          </w:tcPr>
          <w:p w:rsidR="00DE2846" w:rsidRPr="004A5C44" w:rsidRDefault="002112FF" w:rsidP="003858C5">
            <w:pPr>
              <w:pStyle w:val="RollCallSymbols14pt"/>
            </w:pPr>
            <w:r w:rsidRPr="004A5C44">
              <w:t>+</w:t>
            </w:r>
          </w:p>
        </w:tc>
      </w:tr>
      <w:tr w:rsidR="00EB302B" w:rsidRPr="002112FF" w:rsidTr="008920AC">
        <w:trPr>
          <w:cantSplit/>
        </w:trPr>
        <w:tc>
          <w:tcPr>
            <w:tcW w:w="1701" w:type="dxa"/>
            <w:shd w:val="clear" w:color="auto" w:fill="FFFFFF"/>
          </w:tcPr>
          <w:p w:rsidR="00DE2846" w:rsidRPr="004A5C44" w:rsidRDefault="002112FF" w:rsidP="003858C5">
            <w:pPr>
              <w:pStyle w:val="RollCallTable"/>
            </w:pPr>
            <w:r w:rsidRPr="004A5C44">
              <w:t>ECR</w:t>
            </w:r>
          </w:p>
        </w:tc>
        <w:tc>
          <w:tcPr>
            <w:tcW w:w="7371" w:type="dxa"/>
            <w:shd w:val="clear" w:color="auto" w:fill="FFFFFF"/>
          </w:tcPr>
          <w:p w:rsidR="00DE2846" w:rsidRPr="002112FF" w:rsidRDefault="002112FF" w:rsidP="003858C5">
            <w:pPr>
              <w:pStyle w:val="RollCallTable"/>
              <w:rPr>
                <w:lang w:val="es-ES"/>
              </w:rPr>
            </w:pPr>
            <w:r w:rsidRPr="002112FF">
              <w:rPr>
                <w:lang w:val="es-ES"/>
              </w:rPr>
              <w:t>Margarita de la Pisa Carrión</w:t>
            </w:r>
          </w:p>
        </w:tc>
      </w:tr>
      <w:tr w:rsidR="00EB302B" w:rsidRPr="004A5C44" w:rsidTr="008920AC">
        <w:trPr>
          <w:cantSplit/>
        </w:trPr>
        <w:tc>
          <w:tcPr>
            <w:tcW w:w="1701" w:type="dxa"/>
            <w:shd w:val="clear" w:color="auto" w:fill="FFFFFF"/>
          </w:tcPr>
          <w:p w:rsidR="00DE2846" w:rsidRPr="004A5C44" w:rsidRDefault="002112FF" w:rsidP="003858C5">
            <w:pPr>
              <w:pStyle w:val="RollCallTable"/>
            </w:pPr>
            <w:r w:rsidRPr="004A5C44">
              <w:t>ID</w:t>
            </w:r>
          </w:p>
        </w:tc>
        <w:tc>
          <w:tcPr>
            <w:tcW w:w="7371" w:type="dxa"/>
            <w:shd w:val="clear" w:color="auto" w:fill="FFFFFF"/>
          </w:tcPr>
          <w:p w:rsidR="00DE2846" w:rsidRPr="004A5C44" w:rsidRDefault="002112FF" w:rsidP="003858C5">
            <w:pPr>
              <w:pStyle w:val="RollCallTable"/>
            </w:pPr>
            <w:r w:rsidRPr="004A5C44">
              <w:t xml:space="preserve">France Jamet, Maria </w:t>
            </w:r>
            <w:r w:rsidRPr="004A5C44">
              <w:t>Veronica Rossi</w:t>
            </w:r>
          </w:p>
        </w:tc>
      </w:tr>
      <w:tr w:rsidR="00EB302B" w:rsidRPr="004A5C44" w:rsidTr="008920AC">
        <w:trPr>
          <w:cantSplit/>
        </w:trPr>
        <w:tc>
          <w:tcPr>
            <w:tcW w:w="1701" w:type="dxa"/>
            <w:shd w:val="clear" w:color="auto" w:fill="FFFFFF"/>
          </w:tcPr>
          <w:p w:rsidR="00DE2846" w:rsidRPr="004A5C44" w:rsidRDefault="002112FF" w:rsidP="003858C5">
            <w:pPr>
              <w:pStyle w:val="RollCallTable"/>
            </w:pPr>
            <w:r w:rsidRPr="004A5C44">
              <w:t>PPE</w:t>
            </w:r>
          </w:p>
        </w:tc>
        <w:tc>
          <w:tcPr>
            <w:tcW w:w="7371" w:type="dxa"/>
            <w:shd w:val="clear" w:color="auto" w:fill="FFFFFF"/>
          </w:tcPr>
          <w:p w:rsidR="00DE2846" w:rsidRPr="004A5C44" w:rsidRDefault="002112FF" w:rsidP="003858C5">
            <w:pPr>
              <w:pStyle w:val="RollCallTable"/>
            </w:pPr>
            <w:r w:rsidRPr="004A5C44">
              <w:t>Isabella Adinolfi, Frances Fitzgerald, Helmut Geuking, Aušra Maldeikienė, Christine Schneider, Pernille Weiss, Angelika Winzig, Tomáš Zdechovský</w:t>
            </w:r>
          </w:p>
        </w:tc>
      </w:tr>
      <w:tr w:rsidR="00EB302B" w:rsidRPr="002112FF" w:rsidTr="008920AC">
        <w:trPr>
          <w:cantSplit/>
        </w:trPr>
        <w:tc>
          <w:tcPr>
            <w:tcW w:w="1701" w:type="dxa"/>
            <w:shd w:val="clear" w:color="auto" w:fill="FFFFFF"/>
          </w:tcPr>
          <w:p w:rsidR="00DE2846" w:rsidRPr="004A5C44" w:rsidRDefault="002112FF" w:rsidP="003858C5">
            <w:pPr>
              <w:pStyle w:val="RollCallTable"/>
            </w:pPr>
            <w:r w:rsidRPr="004A5C44">
              <w:t>Renew</w:t>
            </w:r>
          </w:p>
        </w:tc>
        <w:tc>
          <w:tcPr>
            <w:tcW w:w="7371" w:type="dxa"/>
            <w:shd w:val="clear" w:color="auto" w:fill="FFFFFF"/>
          </w:tcPr>
          <w:p w:rsidR="00DE2846" w:rsidRPr="002112FF" w:rsidRDefault="002112FF" w:rsidP="003858C5">
            <w:pPr>
              <w:pStyle w:val="RollCallTable"/>
              <w:rPr>
                <w:lang w:val="es-ES"/>
              </w:rPr>
            </w:pPr>
            <w:r w:rsidRPr="002112FF">
              <w:rPr>
                <w:lang w:val="es-ES"/>
              </w:rPr>
              <w:t>Abir Al-Sahlani, Susana Solís Pérez</w:t>
            </w:r>
          </w:p>
        </w:tc>
      </w:tr>
      <w:tr w:rsidR="00EB302B" w:rsidRPr="004A5C44" w:rsidTr="008920AC">
        <w:trPr>
          <w:cantSplit/>
        </w:trPr>
        <w:tc>
          <w:tcPr>
            <w:tcW w:w="1701" w:type="dxa"/>
            <w:shd w:val="clear" w:color="auto" w:fill="FFFFFF"/>
          </w:tcPr>
          <w:p w:rsidR="00DE2846" w:rsidRPr="004A5C44" w:rsidRDefault="002112FF" w:rsidP="003858C5">
            <w:pPr>
              <w:pStyle w:val="RollCallTable"/>
            </w:pPr>
            <w:r w:rsidRPr="004A5C44">
              <w:t>S&amp;D</w:t>
            </w:r>
          </w:p>
        </w:tc>
        <w:tc>
          <w:tcPr>
            <w:tcW w:w="7371" w:type="dxa"/>
            <w:shd w:val="clear" w:color="auto" w:fill="FFFFFF"/>
          </w:tcPr>
          <w:p w:rsidR="00DE2846" w:rsidRPr="004A5C44" w:rsidRDefault="002112FF" w:rsidP="003858C5">
            <w:pPr>
              <w:pStyle w:val="RollCallTable"/>
            </w:pPr>
            <w:r w:rsidRPr="004A5C44">
              <w:t xml:space="preserve">Robert Biedroń, Vilija Blinkevičiūtė, </w:t>
            </w:r>
            <w:r w:rsidRPr="004A5C44">
              <w:t>Marina Kaljurand, Radka Maxová, Maria Noichl, Carina Ohlsson, Pina Picierno</w:t>
            </w:r>
          </w:p>
        </w:tc>
      </w:tr>
      <w:tr w:rsidR="00EB302B" w:rsidRPr="004A5C44" w:rsidTr="008920AC">
        <w:trPr>
          <w:cantSplit/>
        </w:trPr>
        <w:tc>
          <w:tcPr>
            <w:tcW w:w="1701" w:type="dxa"/>
            <w:shd w:val="clear" w:color="auto" w:fill="FFFFFF"/>
          </w:tcPr>
          <w:p w:rsidR="00DE2846" w:rsidRPr="004A5C44" w:rsidRDefault="002112FF" w:rsidP="003858C5">
            <w:pPr>
              <w:pStyle w:val="RollCallTable"/>
            </w:pPr>
            <w:r w:rsidRPr="004A5C44">
              <w:t>The Left</w:t>
            </w:r>
          </w:p>
        </w:tc>
        <w:tc>
          <w:tcPr>
            <w:tcW w:w="7371" w:type="dxa"/>
            <w:shd w:val="clear" w:color="auto" w:fill="FFFFFF"/>
          </w:tcPr>
          <w:p w:rsidR="00DE2846" w:rsidRPr="004A5C44" w:rsidRDefault="002112FF" w:rsidP="003858C5">
            <w:pPr>
              <w:pStyle w:val="RollCallTable"/>
            </w:pPr>
            <w:r w:rsidRPr="004A5C44">
              <w:t>Silvia Modig</w:t>
            </w:r>
          </w:p>
        </w:tc>
      </w:tr>
      <w:tr w:rsidR="00EB302B" w:rsidRPr="004A5C44" w:rsidTr="008920AC">
        <w:trPr>
          <w:cantSplit/>
        </w:trPr>
        <w:tc>
          <w:tcPr>
            <w:tcW w:w="1701" w:type="dxa"/>
            <w:shd w:val="clear" w:color="auto" w:fill="FFFFFF"/>
          </w:tcPr>
          <w:p w:rsidR="00DE2846" w:rsidRPr="004A5C44" w:rsidRDefault="002112FF" w:rsidP="003858C5">
            <w:pPr>
              <w:pStyle w:val="RollCallTable"/>
            </w:pPr>
            <w:r w:rsidRPr="004A5C44">
              <w:t>Verts/ALE</w:t>
            </w:r>
          </w:p>
        </w:tc>
        <w:tc>
          <w:tcPr>
            <w:tcW w:w="7371" w:type="dxa"/>
            <w:shd w:val="clear" w:color="auto" w:fill="FFFFFF"/>
          </w:tcPr>
          <w:p w:rsidR="00DE2846" w:rsidRPr="004A5C44" w:rsidRDefault="002112FF" w:rsidP="003858C5">
            <w:pPr>
              <w:pStyle w:val="RollCallTable"/>
            </w:pPr>
            <w:r w:rsidRPr="004A5C44">
              <w:t>Grace O'Sullivan</w:t>
            </w:r>
          </w:p>
        </w:tc>
      </w:tr>
    </w:tbl>
    <w:p w:rsidR="00DE2846" w:rsidRPr="004A5C44"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B302B" w:rsidRPr="004A5C44" w:rsidTr="008920AC">
        <w:trPr>
          <w:cantSplit/>
        </w:trPr>
        <w:tc>
          <w:tcPr>
            <w:tcW w:w="1701" w:type="dxa"/>
            <w:shd w:val="pct10" w:color="000000" w:fill="FFFFFF"/>
            <w:vAlign w:val="center"/>
          </w:tcPr>
          <w:p w:rsidR="00DE2846" w:rsidRPr="004A5C44" w:rsidRDefault="002112FF" w:rsidP="003858C5">
            <w:pPr>
              <w:pStyle w:val="RollCallVotes"/>
            </w:pPr>
            <w:r w:rsidRPr="004A5C44">
              <w:t>1</w:t>
            </w:r>
          </w:p>
        </w:tc>
        <w:tc>
          <w:tcPr>
            <w:tcW w:w="7371" w:type="dxa"/>
            <w:shd w:val="pct10" w:color="000000" w:fill="FFFFFF"/>
          </w:tcPr>
          <w:p w:rsidR="00DE2846" w:rsidRPr="004A5C44" w:rsidRDefault="002112FF" w:rsidP="003858C5">
            <w:pPr>
              <w:pStyle w:val="RollCallSymbols14pt"/>
            </w:pPr>
            <w:r w:rsidRPr="004A5C44">
              <w:t>-</w:t>
            </w:r>
          </w:p>
        </w:tc>
      </w:tr>
      <w:tr w:rsidR="00EB302B" w:rsidRPr="004A5C44" w:rsidTr="008920AC">
        <w:trPr>
          <w:cantSplit/>
        </w:trPr>
        <w:tc>
          <w:tcPr>
            <w:tcW w:w="1701" w:type="dxa"/>
            <w:shd w:val="clear" w:color="auto" w:fill="FFFFFF"/>
          </w:tcPr>
          <w:p w:rsidR="00DE2846" w:rsidRPr="004A5C44" w:rsidRDefault="002112FF" w:rsidP="003858C5">
            <w:pPr>
              <w:pStyle w:val="RollCallTable"/>
            </w:pPr>
            <w:r w:rsidRPr="004A5C44">
              <w:t>ECR</w:t>
            </w:r>
          </w:p>
        </w:tc>
        <w:tc>
          <w:tcPr>
            <w:tcW w:w="7371" w:type="dxa"/>
            <w:shd w:val="clear" w:color="auto" w:fill="FFFFFF"/>
          </w:tcPr>
          <w:p w:rsidR="00DE2846" w:rsidRPr="004A5C44" w:rsidRDefault="002112FF" w:rsidP="003858C5">
            <w:pPr>
              <w:pStyle w:val="RollCallTable"/>
            </w:pPr>
            <w:r w:rsidRPr="004A5C44">
              <w:t>Johan Nissinen</w:t>
            </w:r>
          </w:p>
        </w:tc>
      </w:tr>
    </w:tbl>
    <w:p w:rsidR="00DE2846" w:rsidRPr="004A5C44"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B302B" w:rsidRPr="004A5C44" w:rsidTr="008920AC">
        <w:trPr>
          <w:cantSplit/>
        </w:trPr>
        <w:tc>
          <w:tcPr>
            <w:tcW w:w="1701" w:type="dxa"/>
            <w:shd w:val="pct10" w:color="000000" w:fill="FFFFFF"/>
            <w:vAlign w:val="center"/>
          </w:tcPr>
          <w:p w:rsidR="00DE2846" w:rsidRPr="004A5C44" w:rsidRDefault="002112FF" w:rsidP="003858C5">
            <w:pPr>
              <w:pStyle w:val="RollCallVotes"/>
            </w:pPr>
            <w:r w:rsidRPr="004A5C44">
              <w:t>0</w:t>
            </w:r>
          </w:p>
        </w:tc>
        <w:tc>
          <w:tcPr>
            <w:tcW w:w="7371" w:type="dxa"/>
            <w:shd w:val="pct10" w:color="000000" w:fill="FFFFFF"/>
          </w:tcPr>
          <w:p w:rsidR="00DE2846" w:rsidRPr="004A5C44" w:rsidRDefault="002112FF" w:rsidP="003858C5">
            <w:pPr>
              <w:pStyle w:val="RollCallSymbols14pt"/>
            </w:pPr>
            <w:r w:rsidRPr="004A5C44">
              <w:t>0</w:t>
            </w:r>
          </w:p>
        </w:tc>
      </w:tr>
      <w:tr w:rsidR="00EB302B" w:rsidRPr="004A5C44" w:rsidTr="008920AC">
        <w:trPr>
          <w:cantSplit/>
        </w:trPr>
        <w:tc>
          <w:tcPr>
            <w:tcW w:w="1701" w:type="dxa"/>
            <w:shd w:val="clear" w:color="auto" w:fill="FFFFFF"/>
          </w:tcPr>
          <w:p w:rsidR="00DE2846" w:rsidRPr="004A5C44" w:rsidRDefault="00DE2846" w:rsidP="003858C5">
            <w:pPr>
              <w:pStyle w:val="RollCallTable"/>
            </w:pPr>
          </w:p>
        </w:tc>
        <w:tc>
          <w:tcPr>
            <w:tcW w:w="7371" w:type="dxa"/>
            <w:shd w:val="clear" w:color="auto" w:fill="FFFFFF"/>
          </w:tcPr>
          <w:p w:rsidR="00DE2846" w:rsidRPr="004A5C44" w:rsidRDefault="00DE2846" w:rsidP="003858C5">
            <w:pPr>
              <w:pStyle w:val="RollCallTable"/>
            </w:pPr>
          </w:p>
        </w:tc>
      </w:tr>
    </w:tbl>
    <w:p w:rsidR="00DE2846" w:rsidRPr="004A5C44" w:rsidRDefault="00DE2846" w:rsidP="00147FBF">
      <w:pPr>
        <w:pStyle w:val="Normal12a"/>
      </w:pPr>
    </w:p>
    <w:p w:rsidR="00DE2846" w:rsidRPr="004A5C44" w:rsidRDefault="002112FF" w:rsidP="00B735E3">
      <w:r w:rsidRPr="004A5C44">
        <w:t>Objaśnienie używanych znaków:</w:t>
      </w:r>
    </w:p>
    <w:p w:rsidR="00DE2846" w:rsidRPr="004A5C44" w:rsidRDefault="002112FF" w:rsidP="003858C5">
      <w:pPr>
        <w:pStyle w:val="RollCallTabs"/>
      </w:pPr>
      <w:r w:rsidRPr="004A5C44">
        <w:t>+</w:t>
      </w:r>
      <w:r w:rsidRPr="004A5C44">
        <w:tab/>
        <w:t>:</w:t>
      </w:r>
      <w:r w:rsidRPr="004A5C44">
        <w:tab/>
        <w:t>za</w:t>
      </w:r>
    </w:p>
    <w:p w:rsidR="00DE2846" w:rsidRPr="004A5C44" w:rsidRDefault="002112FF" w:rsidP="003858C5">
      <w:pPr>
        <w:pStyle w:val="RollCallTabs"/>
      </w:pPr>
      <w:r w:rsidRPr="004A5C44">
        <w:t>-</w:t>
      </w:r>
      <w:r w:rsidRPr="004A5C44">
        <w:tab/>
        <w:t>:</w:t>
      </w:r>
      <w:r w:rsidRPr="004A5C44">
        <w:tab/>
        <w:t>przeciw</w:t>
      </w:r>
    </w:p>
    <w:p w:rsidR="00DE2846" w:rsidRPr="004A5C44" w:rsidRDefault="002112FF" w:rsidP="003858C5">
      <w:pPr>
        <w:pStyle w:val="RollCallTabs"/>
      </w:pPr>
      <w:r w:rsidRPr="004A5C44">
        <w:t>0</w:t>
      </w:r>
      <w:r w:rsidRPr="004A5C44">
        <w:tab/>
        <w:t>:</w:t>
      </w:r>
      <w:r w:rsidRPr="004A5C44">
        <w:tab/>
        <w:t>wstrzymało się</w:t>
      </w:r>
    </w:p>
    <w:p w:rsidR="00DE2846" w:rsidRPr="004A5C44" w:rsidRDefault="00DE2846" w:rsidP="00207509"/>
    <w:bookmarkEnd w:id="5"/>
    <w:p w:rsidR="00DB56E4" w:rsidRPr="004A5C44" w:rsidRDefault="00DB56E4" w:rsidP="00DE2846"/>
    <w:sectPr w:rsidR="00DB56E4" w:rsidRPr="004A5C44"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A5C44" w:rsidRDefault="002112FF">
      <w:r w:rsidRPr="004A5C44">
        <w:separator/>
      </w:r>
    </w:p>
  </w:endnote>
  <w:endnote w:type="continuationSeparator" w:id="0">
    <w:p w:rsidR="00000000" w:rsidRPr="004A5C44" w:rsidRDefault="002112FF">
      <w:r w:rsidRPr="004A5C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C44" w:rsidRPr="004A5C44" w:rsidRDefault="004A5C44" w:rsidP="004A5C44">
    <w:pPr>
      <w:pStyle w:val="EPFooter"/>
    </w:pPr>
    <w:r w:rsidRPr="004A5C44">
      <w:t>PE</w:t>
    </w:r>
    <w:r w:rsidRPr="004A5C44">
      <w:rPr>
        <w:rStyle w:val="HideTWBExt"/>
      </w:rPr>
      <w:t>&lt;NoPE&gt;</w:t>
    </w:r>
    <w:r w:rsidRPr="004A5C44">
      <w:t>754.897</w:t>
    </w:r>
    <w:r w:rsidRPr="004A5C44">
      <w:rPr>
        <w:rStyle w:val="HideTWBExt"/>
      </w:rPr>
      <w:t>&lt;/NoPE&gt;&lt;Version&gt;</w:t>
    </w:r>
    <w:r w:rsidRPr="004A5C44">
      <w:t>v05-00</w:t>
    </w:r>
    <w:r w:rsidRPr="004A5C44">
      <w:rPr>
        <w:rStyle w:val="HideTWBExt"/>
      </w:rPr>
      <w:t>&lt;/Version&gt;</w:t>
    </w:r>
    <w:r w:rsidRPr="004A5C44">
      <w:tab/>
    </w:r>
    <w:r w:rsidRPr="004A5C44">
      <w:fldChar w:fldCharType="begin"/>
    </w:r>
    <w:r w:rsidRPr="004A5C44">
      <w:instrText xml:space="preserve"> PAGE  \* MERGEFORMAT </w:instrText>
    </w:r>
    <w:r w:rsidRPr="004A5C44">
      <w:fldChar w:fldCharType="separate"/>
    </w:r>
    <w:r w:rsidR="002112FF">
      <w:rPr>
        <w:noProof/>
      </w:rPr>
      <w:t>16</w:t>
    </w:r>
    <w:r w:rsidRPr="004A5C44">
      <w:fldChar w:fldCharType="end"/>
    </w:r>
    <w:r w:rsidRPr="004A5C44">
      <w:t>/</w:t>
    </w:r>
    <w:fldSimple w:instr=" NUMPAGES  \* MERGEFORMAT ">
      <w:r w:rsidR="002112FF">
        <w:rPr>
          <w:noProof/>
        </w:rPr>
        <w:t>21</w:t>
      </w:r>
    </w:fldSimple>
    <w:r w:rsidRPr="004A5C44">
      <w:tab/>
    </w:r>
    <w:r w:rsidRPr="004A5C44">
      <w:rPr>
        <w:rStyle w:val="HideTWBExt"/>
      </w:rPr>
      <w:t>&lt;PathFdR&gt;</w:t>
    </w:r>
    <w:r w:rsidRPr="004A5C44">
      <w:t>AD\1292708PL.docx</w:t>
    </w:r>
    <w:r w:rsidRPr="004A5C44">
      <w:rPr>
        <w:rStyle w:val="HideTWBExt"/>
      </w:rPr>
      <w:t>&lt;/PathFdR&gt;</w:t>
    </w:r>
  </w:p>
  <w:p w:rsidR="009725C8" w:rsidRPr="004A5C44" w:rsidRDefault="004A5C44" w:rsidP="004A5C44">
    <w:pPr>
      <w:pStyle w:val="EPFooter2"/>
    </w:pPr>
    <w:r w:rsidRPr="004A5C4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C44" w:rsidRPr="004A5C44" w:rsidRDefault="004A5C44" w:rsidP="004A5C44">
    <w:pPr>
      <w:pStyle w:val="EPFooter"/>
    </w:pPr>
    <w:r w:rsidRPr="004A5C44">
      <w:rPr>
        <w:rStyle w:val="HideTWBExt"/>
      </w:rPr>
      <w:t>&lt;PathFdR&gt;</w:t>
    </w:r>
    <w:r w:rsidRPr="004A5C44">
      <w:t>AD\1292708PL.docx</w:t>
    </w:r>
    <w:r w:rsidRPr="004A5C44">
      <w:rPr>
        <w:rStyle w:val="HideTWBExt"/>
      </w:rPr>
      <w:t>&lt;/PathFdR&gt;</w:t>
    </w:r>
    <w:r w:rsidRPr="004A5C44">
      <w:tab/>
    </w:r>
    <w:r w:rsidRPr="004A5C44">
      <w:fldChar w:fldCharType="begin"/>
    </w:r>
    <w:r w:rsidRPr="004A5C44">
      <w:instrText xml:space="preserve"> PAGE  \* MERGEFORMAT </w:instrText>
    </w:r>
    <w:r w:rsidRPr="004A5C44">
      <w:fldChar w:fldCharType="separate"/>
    </w:r>
    <w:r w:rsidR="002112FF">
      <w:rPr>
        <w:noProof/>
      </w:rPr>
      <w:t>15</w:t>
    </w:r>
    <w:r w:rsidRPr="004A5C44">
      <w:fldChar w:fldCharType="end"/>
    </w:r>
    <w:r w:rsidRPr="004A5C44">
      <w:t>/</w:t>
    </w:r>
    <w:fldSimple w:instr=" NUMPAGES  \* MERGEFORMAT ">
      <w:r w:rsidR="002112FF">
        <w:rPr>
          <w:noProof/>
        </w:rPr>
        <w:t>21</w:t>
      </w:r>
    </w:fldSimple>
    <w:r w:rsidRPr="004A5C44">
      <w:tab/>
      <w:t>PE</w:t>
    </w:r>
    <w:r w:rsidRPr="004A5C44">
      <w:rPr>
        <w:rStyle w:val="HideTWBExt"/>
      </w:rPr>
      <w:t>&lt;NoPE&gt;</w:t>
    </w:r>
    <w:r w:rsidRPr="004A5C44">
      <w:t>754.897</w:t>
    </w:r>
    <w:r w:rsidRPr="004A5C44">
      <w:rPr>
        <w:rStyle w:val="HideTWBExt"/>
      </w:rPr>
      <w:t>&lt;/NoPE&gt;&lt;Version&gt;</w:t>
    </w:r>
    <w:r w:rsidRPr="004A5C44">
      <w:t>v05-00</w:t>
    </w:r>
    <w:r w:rsidRPr="004A5C44">
      <w:rPr>
        <w:rStyle w:val="HideTWBExt"/>
      </w:rPr>
      <w:t>&lt;/Version&gt;</w:t>
    </w:r>
  </w:p>
  <w:p w:rsidR="009725C8" w:rsidRPr="004A5C44" w:rsidRDefault="004A5C44" w:rsidP="004A5C44">
    <w:pPr>
      <w:pStyle w:val="EPFooter2"/>
    </w:pPr>
    <w:r w:rsidRPr="004A5C44">
      <w:tab/>
    </w:r>
    <w:r w:rsidRPr="004A5C4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C44" w:rsidRPr="004A5C44" w:rsidRDefault="004A5C44" w:rsidP="004A5C44">
    <w:pPr>
      <w:pStyle w:val="EPFooter"/>
    </w:pPr>
    <w:r w:rsidRPr="004A5C44">
      <w:rPr>
        <w:rStyle w:val="HideTWBExt"/>
      </w:rPr>
      <w:t>&lt;PathFdR&gt;</w:t>
    </w:r>
    <w:r w:rsidRPr="004A5C44">
      <w:t>AD\1292708PL.docx</w:t>
    </w:r>
    <w:r w:rsidRPr="004A5C44">
      <w:rPr>
        <w:rStyle w:val="HideTWBExt"/>
      </w:rPr>
      <w:t>&lt;/PathFdR&gt;</w:t>
    </w:r>
    <w:r w:rsidRPr="004A5C44">
      <w:tab/>
    </w:r>
    <w:r w:rsidRPr="004A5C44">
      <w:tab/>
      <w:t>PE</w:t>
    </w:r>
    <w:r w:rsidRPr="004A5C44">
      <w:rPr>
        <w:rStyle w:val="HideTWBExt"/>
      </w:rPr>
      <w:t>&lt;NoPE&gt;</w:t>
    </w:r>
    <w:r w:rsidRPr="004A5C44">
      <w:t>754.897</w:t>
    </w:r>
    <w:r w:rsidRPr="004A5C44">
      <w:rPr>
        <w:rStyle w:val="HideTWBExt"/>
      </w:rPr>
      <w:t>&lt;/NoPE&gt;&lt;Version&gt;</w:t>
    </w:r>
    <w:r w:rsidRPr="004A5C44">
      <w:t>v05-00</w:t>
    </w:r>
    <w:r w:rsidRPr="004A5C44">
      <w:rPr>
        <w:rStyle w:val="HideTWBExt"/>
      </w:rPr>
      <w:t>&lt;/Version&gt;</w:t>
    </w:r>
  </w:p>
  <w:p w:rsidR="009725C8" w:rsidRPr="004A5C44" w:rsidRDefault="004A5C44" w:rsidP="004A5C44">
    <w:pPr>
      <w:pStyle w:val="EPFooter2"/>
    </w:pPr>
    <w:r w:rsidRPr="004A5C44">
      <w:t>PL</w:t>
    </w:r>
    <w:r w:rsidRPr="004A5C44">
      <w:tab/>
    </w:r>
    <w:r w:rsidRPr="004A5C44">
      <w:rPr>
        <w:b w:val="0"/>
        <w:i/>
        <w:color w:val="C0C0C0"/>
        <w:sz w:val="22"/>
      </w:rPr>
      <w:t>Zjednoczona w różnorodności</w:t>
    </w:r>
    <w:r w:rsidRPr="004A5C4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A5C44" w:rsidRDefault="002112FF">
      <w:r w:rsidRPr="004A5C44">
        <w:separator/>
      </w:r>
    </w:p>
  </w:footnote>
  <w:footnote w:type="continuationSeparator" w:id="0">
    <w:p w:rsidR="00000000" w:rsidRPr="004A5C44" w:rsidRDefault="002112FF">
      <w:r w:rsidRPr="004A5C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FF" w:rsidRDefault="00211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FF" w:rsidRDefault="002112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2FF" w:rsidRDefault="00211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N"/>
    <w:docVar w:name="TXTLANGUEMIN" w:val="en"/>
    <w:docVar w:name="TXTNRC" w:val="0512"/>
    <w:docVar w:name="TXTNRCOM" w:val="2023"/>
    <w:docVar w:name="TXTNRFIRSTAM" w:val="1"/>
    <w:docVar w:name="TXTNRLASTAM" w:val="43"/>
    <w:docVar w:name="TXTNRPE" w:val="754.897"/>
    <w:docVar w:name="TXTNRPROC" w:val="2023/0311"/>
    <w:docVar w:name="TXTPEorAP" w:val="PE"/>
    <w:docVar w:name="TXTROUTE" w:val="AD\1292708EN.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12FF"/>
    <w:rsid w:val="00215FA4"/>
    <w:rsid w:val="0023131B"/>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A5C44"/>
    <w:rsid w:val="004B3A53"/>
    <w:rsid w:val="004C2A0D"/>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B302B"/>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34215"/>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pl-PL"/>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DC043-ABD9-413D-A72A-B69BC4C04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3687</Words>
  <Characters>24886</Characters>
  <Application>Microsoft Office Word</Application>
  <DocSecurity>0</DocSecurity>
  <Lines>961</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2024-01-10T09:47:00Z</dcterms:created>
  <dcterms:modified xsi:type="dcterms:W3CDTF">2024-01-10T09:47:00Z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AD\1292708PL.docx</vt:lpwstr>
  </property>
  <property fmtid="{D5CDD505-2E9C-101B-9397-08002B2CF9AE}" pid="10" name="LastEdited with">
    <vt:lpwstr>9.16.1 Build [20230920]</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ies>
</file>