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728B" w:rsidRPr="00B760BB" w:rsidTr="009725C8">
        <w:trPr>
          <w:trHeight w:hRule="exact" w:val="1418"/>
        </w:trPr>
        <w:tc>
          <w:tcPr>
            <w:tcW w:w="6804" w:type="dxa"/>
            <w:shd w:val="clear" w:color="auto" w:fill="auto"/>
            <w:vAlign w:val="center"/>
          </w:tcPr>
          <w:p w:rsidR="00BA3E40" w:rsidRPr="00B760BB" w:rsidRDefault="00BF3479" w:rsidP="009725C8">
            <w:pPr>
              <w:pStyle w:val="EPName"/>
            </w:pPr>
            <w:r w:rsidRPr="00B760BB">
              <w:t>Evropski parlament</w:t>
            </w:r>
          </w:p>
          <w:p w:rsidR="00BA3E40" w:rsidRPr="00B760BB" w:rsidRDefault="00BF3479" w:rsidP="00F26A7A">
            <w:pPr>
              <w:pStyle w:val="EPTerm"/>
            </w:pPr>
            <w:r w:rsidRPr="00B760BB">
              <w:t>2019-2024</w:t>
            </w:r>
          </w:p>
        </w:tc>
        <w:tc>
          <w:tcPr>
            <w:tcW w:w="2268" w:type="dxa"/>
            <w:shd w:val="clear" w:color="auto" w:fill="auto"/>
          </w:tcPr>
          <w:p w:rsidR="00BA3E40" w:rsidRPr="00B760BB" w:rsidRDefault="00BF3479" w:rsidP="009725C8">
            <w:pPr>
              <w:pStyle w:val="EPLogo"/>
            </w:pPr>
            <w:r w:rsidRPr="00B760BB">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760BB" w:rsidRDefault="00F24D40" w:rsidP="00F24D40">
      <w:pPr>
        <w:pStyle w:val="LineTop"/>
      </w:pPr>
    </w:p>
    <w:p w:rsidR="00F24D40" w:rsidRPr="00B760BB" w:rsidRDefault="00BF3479" w:rsidP="00F24D40">
      <w:pPr>
        <w:pStyle w:val="EPBody"/>
      </w:pPr>
      <w:r w:rsidRPr="006D2CA9">
        <w:rPr>
          <w:rStyle w:val="HideTWBExt"/>
          <w:i w:val="0"/>
          <w:szCs w:val="24"/>
        </w:rPr>
        <w:t>&lt;Commission&gt;</w:t>
      </w:r>
      <w:r w:rsidRPr="006D2CA9">
        <w:rPr>
          <w:rStyle w:val="HideTWBInt"/>
          <w:i w:val="0"/>
          <w:szCs w:val="24"/>
        </w:rPr>
        <w:t>{FEMM}</w:t>
      </w:r>
      <w:r w:rsidRPr="00B760BB">
        <w:t>Odbor za pravice žensk in enakost spolov</w:t>
      </w:r>
      <w:r w:rsidRPr="006D2CA9">
        <w:rPr>
          <w:rStyle w:val="HideTWBExt"/>
          <w:i w:val="0"/>
          <w:szCs w:val="24"/>
        </w:rPr>
        <w:t>&lt;/Commission&gt;</w:t>
      </w:r>
    </w:p>
    <w:p w:rsidR="00F24D40" w:rsidRPr="00B760BB" w:rsidRDefault="00F24D40" w:rsidP="00F24D40">
      <w:pPr>
        <w:pStyle w:val="LineBottom"/>
      </w:pPr>
    </w:p>
    <w:p w:rsidR="00DB56E4" w:rsidRPr="00B760BB" w:rsidRDefault="00BF3479" w:rsidP="00DB56E4">
      <w:pPr>
        <w:pStyle w:val="CoverReference"/>
      </w:pPr>
      <w:r w:rsidRPr="006D2CA9">
        <w:rPr>
          <w:rStyle w:val="HideTWBExt"/>
          <w:b w:val="0"/>
          <w:szCs w:val="24"/>
        </w:rPr>
        <w:t>&lt;RefProc&gt;</w:t>
      </w:r>
      <w:r w:rsidRPr="00B760BB">
        <w:t>2023/0311</w:t>
      </w:r>
      <w:r w:rsidRPr="006D2CA9">
        <w:rPr>
          <w:rStyle w:val="HideTWBExt"/>
          <w:b w:val="0"/>
          <w:szCs w:val="24"/>
        </w:rPr>
        <w:t>&lt;/RefProc&gt;&lt;RefTypeProc&gt;</w:t>
      </w:r>
      <w:r w:rsidRPr="00B760BB">
        <w:t>(COD)</w:t>
      </w:r>
      <w:r w:rsidRPr="006D2CA9">
        <w:rPr>
          <w:rStyle w:val="HideTWBExt"/>
          <w:b w:val="0"/>
          <w:szCs w:val="24"/>
        </w:rPr>
        <w:t>&lt;/RefTypeProc&gt;</w:t>
      </w:r>
    </w:p>
    <w:p w:rsidR="00DB56E4" w:rsidRPr="00B760BB" w:rsidRDefault="00BF3479" w:rsidP="00DB56E4">
      <w:pPr>
        <w:pStyle w:val="CoverDate"/>
      </w:pPr>
      <w:r w:rsidRPr="006D2CA9">
        <w:rPr>
          <w:rStyle w:val="HideTWBExt"/>
        </w:rPr>
        <w:t>&lt;Date&gt;</w:t>
      </w:r>
      <w:r w:rsidRPr="006D2CA9">
        <w:rPr>
          <w:rStyle w:val="HideTWBInt"/>
        </w:rPr>
        <w:t>{04/12/2023}</w:t>
      </w:r>
      <w:r w:rsidRPr="00B760BB">
        <w:t>4.12.2023</w:t>
      </w:r>
      <w:r w:rsidRPr="006D2CA9">
        <w:rPr>
          <w:rStyle w:val="HideTWBExt"/>
        </w:rPr>
        <w:t>&lt;/Date&gt;</w:t>
      </w:r>
    </w:p>
    <w:p w:rsidR="00DB56E4" w:rsidRPr="00B760BB" w:rsidRDefault="00BF3479" w:rsidP="00DB56E4">
      <w:pPr>
        <w:pStyle w:val="CoverDocType24a"/>
      </w:pPr>
      <w:r w:rsidRPr="006D2CA9">
        <w:rPr>
          <w:rStyle w:val="HideTWBExt"/>
          <w:b w:val="0"/>
          <w:szCs w:val="24"/>
        </w:rPr>
        <w:t>&lt;TitreType&gt;</w:t>
      </w:r>
      <w:r w:rsidRPr="00B760BB">
        <w:t>MNENJE</w:t>
      </w:r>
      <w:r w:rsidRPr="006D2CA9">
        <w:rPr>
          <w:rStyle w:val="HideTWBExt"/>
          <w:b w:val="0"/>
          <w:szCs w:val="24"/>
        </w:rPr>
        <w:t>&lt;/TitreType&gt;</w:t>
      </w:r>
    </w:p>
    <w:p w:rsidR="00DB56E4" w:rsidRPr="00B760BB" w:rsidRDefault="00BF3479" w:rsidP="00DB56E4">
      <w:pPr>
        <w:pStyle w:val="CoverNormal24a"/>
      </w:pPr>
      <w:r w:rsidRPr="006D2CA9">
        <w:rPr>
          <w:rStyle w:val="HideTWBExt"/>
        </w:rPr>
        <w:t>&lt;CommissionResp&gt;</w:t>
      </w:r>
      <w:r w:rsidRPr="00B760BB">
        <w:t>Odbora za pravice žensk in enakost spolov</w:t>
      </w:r>
      <w:r w:rsidRPr="006D2CA9">
        <w:rPr>
          <w:rStyle w:val="HideTWBExt"/>
        </w:rPr>
        <w:t>&lt;/CommissionResp&gt;</w:t>
      </w:r>
    </w:p>
    <w:p w:rsidR="00DB56E4" w:rsidRPr="00B760BB" w:rsidRDefault="00BF3479" w:rsidP="00DB56E4">
      <w:pPr>
        <w:pStyle w:val="CoverNormal24a"/>
      </w:pPr>
      <w:r w:rsidRPr="006D2CA9">
        <w:rPr>
          <w:rStyle w:val="HideTWBExt"/>
        </w:rPr>
        <w:t>&lt;CommissionInt&gt;</w:t>
      </w:r>
      <w:r w:rsidRPr="00B760BB">
        <w:t>za Odbor za zaposlovanje in socialne zadeve</w:t>
      </w:r>
      <w:r w:rsidRPr="006D2CA9">
        <w:rPr>
          <w:rStyle w:val="HideTWBExt"/>
        </w:rPr>
        <w:t>&lt;/CommissionInt&gt;</w:t>
      </w:r>
    </w:p>
    <w:p w:rsidR="00DB56E4" w:rsidRPr="00B760BB" w:rsidRDefault="00BF3479" w:rsidP="00DB56E4">
      <w:pPr>
        <w:pStyle w:val="CoverNormal"/>
      </w:pPr>
      <w:r w:rsidRPr="006D2CA9">
        <w:rPr>
          <w:rStyle w:val="HideTWBExt"/>
        </w:rPr>
        <w:t>&lt;Titre&gt;</w:t>
      </w:r>
      <w:r w:rsidRPr="00B760BB">
        <w:t>o predlogu direktive Evropskega parlamenta in Sveta o uvedbi evropske kartice ugodnosti za invalide in evropske parkirne karte za invalide</w:t>
      </w:r>
      <w:r w:rsidRPr="00B760BB">
        <w:rPr>
          <w:vanish/>
        </w:rPr>
        <w:t xml:space="preserve"> </w:t>
      </w:r>
      <w:r w:rsidRPr="006D2CA9">
        <w:rPr>
          <w:rStyle w:val="HideTWBExt"/>
        </w:rPr>
        <w:t>&lt;/Titre&gt;</w:t>
      </w:r>
    </w:p>
    <w:p w:rsidR="00DB56E4" w:rsidRPr="00B760BB" w:rsidRDefault="00BF3479" w:rsidP="00DB56E4">
      <w:pPr>
        <w:pStyle w:val="CoverNormal24a"/>
      </w:pPr>
      <w:r w:rsidRPr="006D2CA9">
        <w:rPr>
          <w:rStyle w:val="HideTWBExt"/>
        </w:rPr>
        <w:t>&lt;DocRef&gt;</w:t>
      </w:r>
      <w:r w:rsidR="006D2CA9">
        <w:t>COM(2023)0512 - C9</w:t>
      </w:r>
      <w:r w:rsidRPr="00B760BB">
        <w:t>-0328/2023</w:t>
      </w:r>
      <w:r w:rsidRPr="006D2CA9">
        <w:rPr>
          <w:rStyle w:val="HideTWBExt"/>
        </w:rPr>
        <w:t>&lt;/DocRef&gt;</w:t>
      </w:r>
    </w:p>
    <w:p w:rsidR="00DB56E4" w:rsidRPr="00B760BB" w:rsidRDefault="00BF3479" w:rsidP="00DB56E4">
      <w:pPr>
        <w:pStyle w:val="CoverNormal24a"/>
      </w:pPr>
      <w:r w:rsidRPr="00B760BB">
        <w:t xml:space="preserve">Pripravljavka mnenja: </w:t>
      </w:r>
      <w:r w:rsidRPr="006D2CA9">
        <w:rPr>
          <w:rStyle w:val="HideTWBExt"/>
        </w:rPr>
        <w:t>&lt;Depute&gt;</w:t>
      </w:r>
      <w:r w:rsidRPr="00B760BB">
        <w:t>Rosa Estaràs Ferragut</w:t>
      </w:r>
      <w:r w:rsidRPr="006D2CA9">
        <w:rPr>
          <w:rStyle w:val="HideTWBExt"/>
        </w:rPr>
        <w:t>&lt;/Depute&gt;</w:t>
      </w:r>
    </w:p>
    <w:p w:rsidR="00CF14C0" w:rsidRPr="00B760BB" w:rsidRDefault="00CF14C0" w:rsidP="0004474F">
      <w:pPr>
        <w:tabs>
          <w:tab w:val="center" w:pos="4677"/>
        </w:tabs>
      </w:pPr>
    </w:p>
    <w:p w:rsidR="00DB56E4" w:rsidRPr="00B760BB" w:rsidRDefault="00BF3479" w:rsidP="0004474F">
      <w:pPr>
        <w:tabs>
          <w:tab w:val="center" w:pos="4677"/>
        </w:tabs>
      </w:pPr>
      <w:r w:rsidRPr="00B760BB">
        <w:br w:type="page"/>
      </w:r>
      <w:r w:rsidRPr="00B760BB">
        <w:lastRenderedPageBreak/>
        <w:t>PA_Legam</w:t>
      </w:r>
    </w:p>
    <w:p w:rsidR="00DB56E4" w:rsidRPr="00B760BB" w:rsidRDefault="00BF3479" w:rsidP="005A6143">
      <w:pPr>
        <w:pStyle w:val="AmHeadingPA"/>
      </w:pPr>
      <w:r w:rsidRPr="00B760BB">
        <w:br w:type="page"/>
        <w:t>PREDLOGI SPREMEMB</w:t>
      </w:r>
    </w:p>
    <w:p w:rsidR="00DB56E4" w:rsidRPr="00B760BB" w:rsidRDefault="00BF3479" w:rsidP="001E3AC4">
      <w:pPr>
        <w:pStyle w:val="Normal12a"/>
      </w:pPr>
      <w:bookmarkStart w:id="0" w:name="IntroA"/>
      <w:r w:rsidRPr="00B760BB">
        <w:t>Odbor za pravice žensk in enakost spolov poziva Odbor za zaposlovanje in socialne zadeve kot pristojni odbor, da upošteva:</w:t>
      </w:r>
    </w:p>
    <w:bookmarkEnd w:id="0"/>
    <w:p w:rsidR="00EB2CDF" w:rsidRPr="00B760BB" w:rsidRDefault="00EB2CDF" w:rsidP="00EB2CDF"/>
    <w:p w:rsidR="00C11972" w:rsidRPr="00B760BB" w:rsidRDefault="00BF3479" w:rsidP="00C11972">
      <w:bookmarkStart w:id="1" w:name="PasteOldAMStart"/>
      <w:bookmarkStart w:id="2" w:name="PasteOldAMEnd"/>
      <w:bookmarkEnd w:id="1"/>
      <w:bookmarkEnd w:id="2"/>
      <w:r w:rsidRPr="006D2CA9">
        <w:rPr>
          <w:rStyle w:val="HideTWBExt"/>
        </w:rPr>
        <w:t>&lt;RepeatBlock-Amend&gt;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2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(2a)</w:t>
            </w:r>
            <w:r w:rsidRPr="00B760BB">
              <w:rPr>
                <w:b/>
                <w:i/>
              </w:rPr>
              <w:tab/>
              <w:t>V Listini Evropske unije o temeljnih pravicah (v nadaljnjem besedilu: Listina), zlasti v členih 3, 6, 7, 8, 14, 15, 16, 20, 21, 23, 24, 25, 26, 31, 34, 35, 36, 41, 42, 45 in 47, so združene najpomembnejše osebne svoboščine in pravice, tudi za invalide.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(2b)</w:t>
            </w:r>
            <w:r w:rsidRPr="00B760BB">
              <w:rPr>
                <w:b/>
                <w:i/>
              </w:rPr>
              <w:tab/>
              <w:t xml:space="preserve"> </w:t>
            </w:r>
            <w:r w:rsidRPr="00B760BB">
              <w:rPr>
                <w:b/>
                <w:bCs/>
                <w:i/>
                <w:iCs/>
              </w:rPr>
              <w:t>V resoluciji z dne 13. decembra 2022 z naslovom Enakim pravicam za invalide naproti</w:t>
            </w:r>
            <w:r w:rsidRPr="00B760BB">
              <w:rPr>
                <w:b/>
                <w:bCs/>
                <w:i/>
                <w:iCs/>
                <w:vertAlign w:val="superscript"/>
              </w:rPr>
              <w:t>1a</w:t>
            </w:r>
            <w:r w:rsidRPr="00B760BB">
              <w:rPr>
                <w:b/>
                <w:bCs/>
                <w:i/>
                <w:iCs/>
              </w:rPr>
              <w:t xml:space="preserve"> je navedeno, kako pomembna in potrebna je evropska kartica ugodnosti za invalide.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(2c)</w:t>
            </w:r>
            <w:r w:rsidRPr="00B760BB">
              <w:rPr>
                <w:b/>
                <w:i/>
              </w:rPr>
              <w:tab/>
              <w:t>V resoluciji z dne 4. oktobra 2023 z naslovom Uskladitev pravic oseb z avtizmom</w:t>
            </w:r>
            <w:r w:rsidRPr="00B760BB">
              <w:rPr>
                <w:b/>
                <w:i/>
                <w:vertAlign w:val="superscript"/>
              </w:rPr>
              <w:t>2a</w:t>
            </w:r>
            <w:r w:rsidRPr="00B760BB">
              <w:rPr>
                <w:b/>
                <w:i/>
              </w:rPr>
              <w:t xml:space="preserve"> je poudarjeno, kako pomemben je predlog o evropski kartici ugodnosti za invalide.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__________________</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1a</w:t>
            </w:r>
            <w:r w:rsidRPr="00B760BB">
              <w:t xml:space="preserve"> </w:t>
            </w:r>
            <w:r w:rsidRPr="00B760BB">
              <w:rPr>
                <w:b/>
                <w:i/>
              </w:rPr>
              <w:t>https://www.europarl.europa.eu/doceo/document/TA-9-2022-0435_SL.html</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2a</w:t>
            </w:r>
            <w:r w:rsidRPr="00B760BB">
              <w:t xml:space="preserve"> </w:t>
            </w:r>
            <w:r w:rsidRPr="00B760BB">
              <w:rPr>
                <w:b/>
                <w:i/>
              </w:rPr>
              <w:t>https://www.europarl.europa.eu/doceo/document/TA-9-2023-0343_SL.html</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2</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3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(3a)</w:t>
            </w:r>
            <w:r w:rsidRPr="00B760BB">
              <w:rPr>
                <w:b/>
                <w:i/>
              </w:rPr>
              <w:tab/>
              <w:t>Enakost spolov je vrednota Unije, zapisana v členu 2 PEU, člen 8 PDEU pa določa, da si Unija v vseh svojih dejavnostih prizadeva odpraviti neenakosti, s čimer je bilo uvedeno načelo vključevanja vidika spola in enakosti spolov. Evropska unija je ratificirala Istanbulsko konvencijo o preprečevanju nasilja nad ženskami in nasilja v družini ter o boju proti njima, zato morata biti zaščita in podpora, ki sta z njo zagotovljeni, na voljo vsem ženskam brez diskriminacije, ne glede na invalidnost.</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3</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3 b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(3b)</w:t>
            </w:r>
            <w:r w:rsidRPr="00B760BB">
              <w:rPr>
                <w:b/>
                <w:i/>
              </w:rPr>
              <w:tab/>
              <w:t>Mandat za enakost in nediskriminacijo iz 5. člena Konvencije ZN o pravicah invalidov je relevanten, saj naj bi z evropsko kartico ugodnosti za invalide, ki bo vzajemno priznana v EU, pospešili uveljavljanje enakosti invalidov. K mobilnosti in prostemu gibanju je treba pristopiti ob upoštevanju vidika spola, da bi ta zakonodaja prispevala k priznavanju pravic invalidnih žensk in deklic ter mater in oskrbovalk invalidov ter k sprejetju presečnega pristopa pri njihovi zaščiti pred diskriminacijo. Nujno je treba priznati, da so invalidne ženske in deklice diskriminirane na številnih področjih življenja, in sicer so med drugim izolirane iz družbe, nimajo dostopa do storitev v skupnosti in kakovostnih stanovanj ter se spopadajo z institucionalizacijo in neustreznim zdravstvenim varstvom, posledično pa ne morejo dejavno prispevati k družbi in v njej dejavno sodelovati. Pri invalidnih ženskah je v primerjavi z ženskami brez invalidnosti desetkrat večja verjetnost, da bodo žrtev fizičnega ali spolnega napada, zato bi morale biti na voljo informacije o dostopu do specializiranih podpornih storitev za invalidne ženske, ki so bile žrtev kakršne koli oblike nasilja na podlagi spola. Na splošno je položaj invalidnih žensk in deklic slabši od položaja invalidnih moških in dečkov, kar je na primer še bolj izrazito na podeželskih območjih, kjer je dostop do storitev in priložnosti na splošno veliko bolj omejen. Vsaki osebi z dejansko invalidnostjo v skladu s pomenom iz 1. člena Konvencije o pravicah invalidov, kadar prebiva ali se preseli v državo članico EU, ki ni njena matična država članica, bi bilo treba priznati status invalida.</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4</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6</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(6)</w:t>
            </w:r>
            <w:r w:rsidRPr="00B760BB">
              <w:tab/>
              <w:t>Namen Konvencije ZN o pravicah invalidov je spodbujati, varovati in invalidom zagotavljati polno in enakopravno uživanje vseh človekovih pravic in temeljnih svoboščin ter spodbujati spoštovanje njihovega prirojenega dostojanstva, s čimer se zagotovi, da enako kot drugi polno in učinkovito sodelujejo v družbi in so vanjo vključeni. V Konvenciji je priznan tudi pomen potrebe po sprejetju ustreznih ukrepov, da se invalidom zagotovi dostopnost.</w:t>
            </w:r>
          </w:p>
        </w:tc>
        <w:tc>
          <w:tcPr>
            <w:tcW w:w="4876" w:type="dxa"/>
            <w:hideMark/>
          </w:tcPr>
          <w:p w:rsidR="00C11972" w:rsidRPr="00B760BB" w:rsidRDefault="00BF3479" w:rsidP="00096654">
            <w:pPr>
              <w:pStyle w:val="Normal6"/>
              <w:rPr>
                <w:szCs w:val="24"/>
              </w:rPr>
            </w:pPr>
            <w:r w:rsidRPr="00B760BB">
              <w:t>(6)</w:t>
            </w:r>
            <w:r w:rsidRPr="00B760BB">
              <w:tab/>
              <w:t xml:space="preserve">Namen Konvencije ZN o pravicah invalidov je spodbujati, varovati in invalidom zagotavljati polno in enakopravno uživanje vseh človekovih pravic in temeljnih svoboščin ter spodbujati spoštovanje njihovega prirojenega dostojanstva, s čimer se zagotovi, da enako kot drugi polno in učinkovito sodelujejo v družbi in so vanjo vključeni. </w:t>
            </w:r>
            <w:r w:rsidRPr="00B760BB">
              <w:rPr>
                <w:b/>
                <w:i/>
              </w:rPr>
              <w:t>V 6. členu Konvencije je izrecno priznano, da so invalidne ženske in deklice žrtve različnih vrst diskriminacije, ki je v številnih primerih posledica prepletenih vidikov spola in invalidnosti, kar vpliva na vsa področja njihovega življenja, vključno z njihovimi izkušnjami na področju mobilnosti, zato morajo države pogodbenice „sprejeti ukrepe, s katerimi jim zagotovijo polno in enako uživanje vseh človekovih pravic in temeljnih svoboščin“ ter omogočiti popoln razvoj, napredek in opolnomočenje žensk. Invalidne ženske se pogosto soočajo s presečnimi oblikami diskriminacije, zato je treba v zakonodajo EU vključiti presečni pristop, da bi se izključenost in diskriminacija ustrezno obravnavali s celovitega, sistemskega in strukturnega vidika; države članice EU zavezuje Konvencija ZN o pravicah invalidov, vendar so med državami velike razlike pri njenem izvajanju</w:t>
            </w:r>
            <w:r w:rsidRPr="00B760BB">
              <w:rPr>
                <w:b/>
                <w:i/>
                <w:vertAlign w:val="superscript"/>
              </w:rPr>
              <w:t>1a</w:t>
            </w:r>
            <w:r w:rsidRPr="00B760BB">
              <w:rPr>
                <w:b/>
                <w:i/>
              </w:rPr>
              <w:t>. Na področju enakosti invalidov je treba doseči napredek v vseh državah, na primer z naložbami v infrastrukturo, krepitvijo zmogljivosti in kampanjami ozaveščanja.</w:t>
            </w:r>
            <w:r w:rsidRPr="00B760BB">
              <w:t xml:space="preserve"> V Konvenciji je priznan tudi pomen potrebe po sprejetju ustreznih ukrepov, da se invalidom zagotovi </w:t>
            </w:r>
            <w:r w:rsidRPr="00B760BB">
              <w:rPr>
                <w:b/>
                <w:bCs/>
                <w:i/>
                <w:iCs/>
              </w:rPr>
              <w:t>vsesplošna</w:t>
            </w:r>
            <w:r w:rsidRPr="00B760BB">
              <w:t xml:space="preserve"> dostopnost</w:t>
            </w:r>
            <w:r w:rsidRPr="00B760BB">
              <w:rPr>
                <w:b/>
                <w:bCs/>
                <w:i/>
                <w:iCs/>
              </w:rPr>
              <w:t>, na primer tistim s funkcionalno nepismenostjo, ki večinoma prizadene ženske, zlasti glede na veljavno direktivo, in čim bolj neodvisna osebna mobilnost</w:t>
            </w:r>
            <w:r w:rsidRPr="00B760BB">
              <w:t>.</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 xml:space="preserve">(6a) Priznati je treba, da so invalidne ženske in deklice izpostavljene večjemu tveganju nasilja in zlorabe, vključno s spolno zlorabo, ter da so zaradi svojega spola, starosti in invalidnosti še bolj ranljive. </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(6b) Iz številke jasno kažejo, da so oskrbovalci invalidov v veliki večini ženske in da je zato treba pristop, pri katerem se upošteva vidik spola, uporabiti tudi pri obravnavi oskrbovalcev.</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t>__________________</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1a</w:t>
            </w:r>
            <w:r w:rsidRPr="00B760BB">
              <w:t xml:space="preserve"> </w:t>
            </w:r>
            <w:r w:rsidRPr="00B760BB">
              <w:rPr>
                <w:b/>
                <w:i/>
              </w:rPr>
              <w:t>Implementing the UN Convention on the Rights of Persons with Disabilities (Izvajanje Konvencije ZN o pravicah invalidov), https://fra.europa.eu/sites/default/files/fra_uploads/fra-2023-uncrpd-human-rights-indicators_en.pdf.</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5</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6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(6a)</w:t>
            </w:r>
            <w:r w:rsidRPr="00B760BB">
              <w:rPr>
                <w:b/>
                <w:i/>
              </w:rPr>
              <w:tab/>
              <w:t>(6a) Iz podatkov Evropskega inštituta za enakost spolov</w:t>
            </w:r>
            <w:r w:rsidRPr="00B760BB">
              <w:rPr>
                <w:b/>
                <w:i/>
                <w:vertAlign w:val="superscript"/>
              </w:rPr>
              <w:t>1a</w:t>
            </w:r>
            <w:r w:rsidRPr="00B760BB">
              <w:t xml:space="preserve"> </w:t>
            </w:r>
            <w:r w:rsidRPr="00B760BB">
              <w:rPr>
                <w:b/>
                <w:i/>
              </w:rPr>
              <w:t>je razvidno, da je v EU 20 % invalidnih žensk zaposlenih s polnim delovnim časom v primerjavi z 29 % invalidnih moških in 48 % žensk brez invalidnosti. Na pragu revščine je 22 % invalidnih žensk v primerjavi z 20 % invalidnih moških in 16 % žensk brez invalidnosti. Terciarno izobraževanje je zaključilo 17 % invalidnih žensk v primerjavi z 18 % invalidnih moških in 32 % žensk brez invalidnosti. Potrebe po zdravstvenih pregledih niso izpolnjene pri 11 % invalidnih žensk v primerjavi z 10 % invalidnih moških in 3 % žensk brez invalidnosti. V EU je približno 46 milijonov invalidnih žensk in deklic, kar je približno 16 % vseh prebivalk in 60 % vseh invalidov</w:t>
            </w:r>
            <w:r w:rsidRPr="00B760BB">
              <w:rPr>
                <w:b/>
                <w:i/>
                <w:vertAlign w:val="superscript"/>
              </w:rPr>
              <w:t>1b</w:t>
            </w:r>
            <w:r w:rsidRPr="00B760BB">
              <w:rPr>
                <w:b/>
                <w:i/>
              </w:rPr>
              <w:t>, zato je treba pri uvedbi evropske kartice ugodnosti za invalide uporabiti pristop, pri katerem se upošteva vidik spola, in upoštevati posebna priporočila, ki jih je Odbor ZN za pravice invalidov sprejel v zvezi z začetnim poročilom EU leta 2015, zlasti da mora biti vključevanje vidika invalidnih žensk in deklic v središču strategije EU za enakost spolov, in sicer skupaj s politikami in programi ter vidikom spola v strategiji o invalidnosti. Odbor je poleg tega priporočil, naj Evropska unija pripravi ukrepe za spodbujanje pravic invalidnih žensk in deklic z vzpostavitvijo mehanizma za spremljanje napredka ter podporo financiranju zbiranja podatkov in raziskav o invalidnih ženskah in deklicah</w:t>
            </w:r>
            <w:r w:rsidRPr="00B760BB">
              <w:rPr>
                <w:b/>
                <w:i/>
                <w:vertAlign w:val="superscript"/>
              </w:rPr>
              <w:t>1c</w:t>
            </w:r>
            <w:r w:rsidRPr="00B760BB">
              <w:rPr>
                <w:b/>
                <w:i/>
              </w:rPr>
              <w:t>. Evropska komisija in države članice EU poskrbijo, da se zbirajo podatki, razčlenjeni glede na spol, da bi pripravili oceno učinka direktive na enakost spolov in omogočili njeno prihodnjo revizijo, ki bo vključevala vidik spola.</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__________________</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1a</w:t>
            </w:r>
            <w:r w:rsidRPr="00B760BB">
              <w:t xml:space="preserve"> </w:t>
            </w:r>
            <w:r w:rsidRPr="00B760BB">
              <w:rPr>
                <w:b/>
                <w:i/>
              </w:rPr>
              <w:t>Intersecting inequalities in the European Union in the 2023 Gender Equality Index (Presečne neenakosti v Evropski uniji v indeksu enakosti spolov za leto 2023), https://eige.europa.eu/gender-equality-index/2022/domain/intersecting-inequalities/disability/work.</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1b</w:t>
            </w:r>
            <w:r w:rsidRPr="00B760BB">
              <w:t xml:space="preserve"> </w:t>
            </w:r>
            <w:r w:rsidRPr="00B760BB">
              <w:rPr>
                <w:b/>
                <w:i/>
              </w:rPr>
              <w:t>https://www.edf-feph.org/women-and-gender-equality/</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vertAlign w:val="superscript"/>
              </w:rPr>
              <w:t>1c</w:t>
            </w:r>
            <w:r w:rsidRPr="00B760BB">
              <w:t xml:space="preserve"> </w:t>
            </w:r>
            <w:r w:rsidRPr="00B760BB">
              <w:rPr>
                <w:b/>
                <w:i/>
              </w:rPr>
              <w:t>Sklepne pripombe k prvemu poročilu Evropske unije CRPD/C/EU/CO/1, Odbor za pravice invalidov, 2. oktober 2015.</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006D2CA9">
        <w:tab/>
      </w:r>
      <w:bookmarkStart w:id="3" w:name="_GoBack"/>
      <w:bookmarkEnd w:id="3"/>
      <w:r w:rsidRPr="00B760BB">
        <w:tab/>
      </w:r>
      <w:r w:rsidRPr="006D2CA9">
        <w:rPr>
          <w:rStyle w:val="HideTWBExt"/>
          <w:b w:val="0"/>
          <w:szCs w:val="24"/>
        </w:rPr>
        <w:t>&lt;NumAm&gt;</w:t>
      </w:r>
      <w:r w:rsidRPr="00B760BB">
        <w:t>6</w:t>
      </w:r>
      <w:r w:rsidRPr="006D2CA9">
        <w:rPr>
          <w:rStyle w:val="HideTWBExt"/>
          <w:b w:val="0"/>
          <w:szCs w:val="24"/>
        </w:rPr>
        <w:t>&lt;/NumAm&gt;</w:t>
      </w:r>
    </w:p>
    <w:p w:rsidR="00C11972" w:rsidRPr="00B760BB" w:rsidRDefault="00BF3479" w:rsidP="00C11972">
      <w:pPr>
        <w:pStyle w:val="NormalBold12b"/>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7</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trHeight w:hRule="exact" w:val="240"/>
          <w:jc w:val="center"/>
        </w:trPr>
        <w:tc>
          <w:tcPr>
            <w:tcW w:w="9752" w:type="dxa"/>
            <w:gridSpan w:val="2"/>
          </w:tcPr>
          <w:p w:rsidR="00C11972" w:rsidRPr="00B760BB" w:rsidRDefault="00C11972" w:rsidP="00096654"/>
        </w:tc>
      </w:tr>
      <w:tr w:rsidR="00A4728B" w:rsidRPr="00B760BB" w:rsidTr="00096654">
        <w:trPr>
          <w:trHeight w:val="240"/>
          <w:jc w:val="center"/>
        </w:trPr>
        <w:tc>
          <w:tcPr>
            <w:tcW w:w="4876" w:type="dxa"/>
          </w:tcPr>
          <w:p w:rsidR="00C11972" w:rsidRPr="00B760BB" w:rsidRDefault="00BF3479" w:rsidP="00096654">
            <w:pPr>
              <w:pStyle w:val="AmColumnHeading"/>
            </w:pPr>
            <w:r w:rsidRPr="00B760BB">
              <w:t>Besedilo, ki ga predlaga Komisija</w:t>
            </w:r>
          </w:p>
        </w:tc>
        <w:tc>
          <w:tcPr>
            <w:tcW w:w="4876" w:type="dxa"/>
          </w:tcPr>
          <w:p w:rsidR="00C11972" w:rsidRPr="00B760BB" w:rsidRDefault="00BF3479" w:rsidP="00096654">
            <w:pPr>
              <w:pStyle w:val="AmColumnHeading"/>
            </w:pPr>
            <w:r w:rsidRPr="00B760BB">
              <w:t>Predlog spremembe</w:t>
            </w:r>
          </w:p>
        </w:tc>
      </w:tr>
      <w:tr w:rsidR="00A4728B" w:rsidRPr="00B760BB" w:rsidTr="00096654">
        <w:trPr>
          <w:jc w:val="center"/>
        </w:trPr>
        <w:tc>
          <w:tcPr>
            <w:tcW w:w="4876" w:type="dxa"/>
          </w:tcPr>
          <w:p w:rsidR="00C11972" w:rsidRPr="00B760BB" w:rsidRDefault="00BF3479" w:rsidP="00096654">
            <w:pPr>
              <w:pStyle w:val="Normal6a"/>
            </w:pPr>
            <w:r w:rsidRPr="00B760BB">
              <w:t>(7)</w:t>
            </w:r>
            <w:r w:rsidRPr="00B760BB">
              <w:tab/>
              <w:t>Evropski steber socialnih pravic, ki so ga 17. novembra 2017</w:t>
            </w:r>
            <w:r w:rsidRPr="00B760BB">
              <w:rPr>
                <w:vertAlign w:val="superscript"/>
              </w:rPr>
              <w:t>40</w:t>
            </w:r>
            <w:r w:rsidRPr="00B760BB">
              <w:t xml:space="preserve"> v Göteborgu razglasili Evropski parlament, Svet in Evropska komisija, določa, da ima vsakdo, med drugim ne glede na invalidnost, pravico do enakega obravnavanja in enakih možnosti</w:t>
            </w:r>
            <w:r w:rsidRPr="00B760BB">
              <w:rPr>
                <w:b/>
                <w:bCs/>
                <w:i/>
                <w:iCs/>
              </w:rPr>
              <w:t>,</w:t>
            </w:r>
            <w:r w:rsidRPr="00B760BB">
              <w:rPr>
                <w:b/>
                <w:bCs/>
              </w:rPr>
              <w:t xml:space="preserve"> </w:t>
            </w:r>
            <w:r w:rsidRPr="00B760BB">
              <w:rPr>
                <w:b/>
                <w:i/>
              </w:rPr>
              <w:t>tudi</w:t>
            </w:r>
            <w:r w:rsidRPr="00B760BB">
              <w:t xml:space="preserve"> v zvezi z dostopom do blaga in storitev, ki so na voljo javnosti (načelo 3). Poleg tega se v okviru evropskega stebra socialnih pravic invalidom priznava pravica do storitev, ki jim omogočajo udeležbo v družbi (načelo 17).</w:t>
            </w:r>
          </w:p>
        </w:tc>
        <w:tc>
          <w:tcPr>
            <w:tcW w:w="4876" w:type="dxa"/>
          </w:tcPr>
          <w:p w:rsidR="00C11972" w:rsidRPr="00B760BB" w:rsidRDefault="00BF3479" w:rsidP="00096654">
            <w:pPr>
              <w:pStyle w:val="Normal6a"/>
            </w:pPr>
            <w:r w:rsidRPr="00B760BB">
              <w:t>(7)</w:t>
            </w:r>
            <w:r w:rsidRPr="00B760BB">
              <w:tab/>
              <w:t>Evropski steber socialnih pravic, ki so ga 17. novembra 2017</w:t>
            </w:r>
            <w:r w:rsidRPr="00B760BB">
              <w:rPr>
                <w:vertAlign w:val="superscript"/>
              </w:rPr>
              <w:t>40</w:t>
            </w:r>
            <w:r w:rsidRPr="00B760BB">
              <w:t xml:space="preserve"> v Göteborgu razglasili Evropski parlament, Svet in Evropska komisija, določa, da ima vsakdo, med drugim ne glede na invalidnost, pravico do enakega obravnavanja in enakih možnosti v zvezi z </w:t>
            </w:r>
            <w:r w:rsidRPr="00B760BB">
              <w:rPr>
                <w:b/>
                <w:bCs/>
                <w:i/>
                <w:iCs/>
              </w:rPr>
              <w:t>zaposlovanjem, socialno zaščito, izobraževanjem</w:t>
            </w:r>
            <w:r w:rsidRPr="00B760BB">
              <w:t xml:space="preserve"> </w:t>
            </w:r>
            <w:r w:rsidRPr="00B760BB">
              <w:rPr>
                <w:b/>
                <w:bCs/>
                <w:i/>
                <w:iCs/>
              </w:rPr>
              <w:t>ter</w:t>
            </w:r>
            <w:r w:rsidRPr="00B760BB">
              <w:t xml:space="preserve"> dostopom do blaga in storitev, ki so na voljo javnosti (načelo 3)</w:t>
            </w:r>
            <w:r w:rsidRPr="00B760BB">
              <w:rPr>
                <w:b/>
                <w:bCs/>
                <w:i/>
                <w:iCs/>
              </w:rPr>
              <w:t>,</w:t>
            </w:r>
            <w:r w:rsidRPr="00B760BB">
              <w:rPr>
                <w:b/>
                <w:i/>
              </w:rPr>
              <w:t xml:space="preserve"> </w:t>
            </w:r>
            <w:r w:rsidRPr="00B760BB">
              <w:rPr>
                <w:b/>
                <w:bCs/>
                <w:i/>
                <w:iCs/>
              </w:rPr>
              <w:t>ter da je treba na vseh področjih omogočiti in spodbujati enako obravnavanje ter enake možnosti žensk in moških (načelo 2).</w:t>
            </w:r>
            <w:r w:rsidRPr="00B760BB">
              <w:t xml:space="preserve"> Poleg tega se v okviru evropskega stebra socialnih pravic invalidom priznava pravica do storitev, ki jim omogočajo udeležbo </w:t>
            </w:r>
            <w:r w:rsidRPr="00B760BB">
              <w:rPr>
                <w:b/>
                <w:bCs/>
                <w:i/>
                <w:iCs/>
              </w:rPr>
              <w:t>na trgu dela in</w:t>
            </w:r>
            <w:r w:rsidRPr="00B760BB">
              <w:t xml:space="preserve"> v družbi</w:t>
            </w:r>
            <w:r w:rsidRPr="00B760BB">
              <w:rPr>
                <w:b/>
                <w:bCs/>
                <w:i/>
                <w:iCs/>
              </w:rPr>
              <w:t>, ter do delovnega okolja, prilagojenega njihovim potrebam</w:t>
            </w:r>
            <w:r w:rsidRPr="00B760BB">
              <w:t xml:space="preserve"> (načelo 17). </w:t>
            </w:r>
            <w:r w:rsidRPr="00B760BB">
              <w:rPr>
                <w:b/>
                <w:i/>
              </w:rPr>
              <w:t>(1) V evropskem stebru socialnih pravic je priznano tudi, da ima vsakdo pravico do pravočasnega, cenovno dostopnega in kakovostnega preventivnega in kurativnega zdravstvenega varstva (načelo 16).</w:t>
            </w:r>
          </w:p>
        </w:tc>
      </w:tr>
      <w:tr w:rsidR="00A4728B" w:rsidRPr="00B760BB" w:rsidTr="00096654">
        <w:trPr>
          <w:jc w:val="center"/>
        </w:trPr>
        <w:tc>
          <w:tcPr>
            <w:tcW w:w="4876" w:type="dxa"/>
          </w:tcPr>
          <w:p w:rsidR="00C11972" w:rsidRPr="00B760BB" w:rsidRDefault="00BF3479" w:rsidP="00096654">
            <w:pPr>
              <w:pStyle w:val="Normal6a"/>
            </w:pPr>
            <w:r w:rsidRPr="00B760BB">
              <w:rPr>
                <w:b/>
                <w:i/>
              </w:rPr>
              <w:t>_________________</w:t>
            </w:r>
          </w:p>
        </w:tc>
        <w:tc>
          <w:tcPr>
            <w:tcW w:w="4876" w:type="dxa"/>
          </w:tcPr>
          <w:p w:rsidR="00C11972" w:rsidRPr="00B760BB" w:rsidRDefault="00BF3479" w:rsidP="00096654">
            <w:pPr>
              <w:pStyle w:val="Normal6a"/>
            </w:pPr>
            <w:r w:rsidRPr="00B760BB">
              <w:rPr>
                <w:b/>
                <w:i/>
              </w:rPr>
              <w:t>_________________</w:t>
            </w:r>
          </w:p>
        </w:tc>
      </w:tr>
      <w:tr w:rsidR="00A4728B" w:rsidRPr="00B760BB" w:rsidTr="00096654">
        <w:trPr>
          <w:jc w:val="center"/>
        </w:trPr>
        <w:tc>
          <w:tcPr>
            <w:tcW w:w="4876" w:type="dxa"/>
          </w:tcPr>
          <w:p w:rsidR="00C11972" w:rsidRPr="00B760BB" w:rsidRDefault="00BF3479" w:rsidP="00096654">
            <w:pPr>
              <w:pStyle w:val="Normal6a"/>
            </w:pPr>
            <w:r w:rsidRPr="00B760BB">
              <w:rPr>
                <w:vertAlign w:val="superscript"/>
              </w:rPr>
              <w:t>40</w:t>
            </w:r>
            <w:r w:rsidRPr="00B760BB">
              <w:t xml:space="preserve"> Medinstitucionalna razglasitev evropskega stebra socialnih pravic (UL C 428, 13.12.2017, str. 10).</w:t>
            </w:r>
          </w:p>
        </w:tc>
        <w:tc>
          <w:tcPr>
            <w:tcW w:w="4876" w:type="dxa"/>
          </w:tcPr>
          <w:p w:rsidR="00C11972" w:rsidRPr="00B760BB" w:rsidRDefault="00BF3479" w:rsidP="00096654">
            <w:pPr>
              <w:pStyle w:val="Normal6a"/>
            </w:pPr>
            <w:r w:rsidRPr="00B760BB">
              <w:rPr>
                <w:vertAlign w:val="superscript"/>
              </w:rPr>
              <w:t>40</w:t>
            </w:r>
            <w:r w:rsidRPr="00B760BB">
              <w:t xml:space="preserve"> Medinstitucionalna razglasitev evropskega stebra socialnih pravic (UL C 428, 13.12.2017, str. 10).</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rPr>
          <w:rStyle w:val="NormalBoldChar"/>
          <w:b/>
        </w:rPr>
        <w:t>7</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15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(15a)</w:t>
            </w:r>
            <w:r w:rsidRPr="00B760BB">
              <w:rPr>
                <w:b/>
                <w:i/>
              </w:rPr>
              <w:tab/>
              <w:t>Osebni asistent je lahko neformalni oskrbovalec, na primer družinski član, pri čemer je treba upoštevati, da so ženske nesorazmerno odgovorne za neplačano in plačano oskrbo invalidov, vključno z družinskimi članicami.</w:t>
            </w:r>
          </w:p>
        </w:tc>
      </w:tr>
    </w:tbl>
    <w:p w:rsidR="00C11972" w:rsidRPr="00B760BB" w:rsidRDefault="00BF3479" w:rsidP="00C11972">
      <w:r w:rsidRPr="006D2CA9">
        <w:rPr>
          <w:rStyle w:val="HideTWBExt"/>
        </w:rPr>
        <w:t>&lt;/Amend&gt;</w:t>
      </w:r>
    </w:p>
    <w:p w:rsidR="00C11972" w:rsidRPr="00B760BB" w:rsidRDefault="00BF3479" w:rsidP="00C11972">
      <w:pPr>
        <w:pStyle w:val="AMNumberTabs0"/>
        <w:keepNext/>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8</w:t>
      </w:r>
      <w:r w:rsidRPr="006D2CA9">
        <w:rPr>
          <w:rStyle w:val="HideTWBExt"/>
          <w:b w:val="0"/>
          <w:szCs w:val="24"/>
        </w:rPr>
        <w:t>&lt;/NumAm&gt;</w:t>
      </w:r>
    </w:p>
    <w:p w:rsidR="00C11972" w:rsidRPr="00B760BB" w:rsidRDefault="00BF3479" w:rsidP="006D2CA9">
      <w:pPr>
        <w:pStyle w:val="NormalBold"/>
        <w:keepNext/>
        <w:spacing w:before="240"/>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16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(16a)</w:t>
            </w:r>
            <w:r w:rsidRPr="00B760BB">
              <w:rPr>
                <w:b/>
                <w:i/>
              </w:rPr>
              <w:tab/>
              <w:t>Spopasti se je treba z ogromnim neznanjem v zvezi s psihosocialno dostopnostjo – saj je to neznanje razlog, da se ne sprejmejo individualni in strukturni ukrepi za odpravo ovir, ki jo otežujejo ali onemogočajo, vključno z vedenjskimi, upravnimi in sistemskimi ter simboličnimi ovirami –, da bomo tako prispevali k boju proti stigmatizaciji in predsodkom, ki vodijo v diskriminacijo, nasilje, zlorabe, socialno izključenost in segregacijo, ti pa ovirajo učinkovito uveljavljanje pravic invalidov ter ne spodbujajo spoštovanja njihove samostojnosti, volje in želja.</w:t>
            </w:r>
          </w:p>
        </w:tc>
      </w:tr>
    </w:tbl>
    <w:p w:rsidR="00C11972" w:rsidRPr="00B760BB" w:rsidRDefault="00BF3479" w:rsidP="00C11972">
      <w:pPr>
        <w:pStyle w:val="JustificationTitle"/>
        <w:rPr>
          <w:noProof w:val="0"/>
        </w:rPr>
      </w:pPr>
      <w:r w:rsidRPr="006D2CA9">
        <w:rPr>
          <w:rStyle w:val="HideTWBExt"/>
          <w:i w:val="0"/>
          <w:szCs w:val="24"/>
        </w:rPr>
        <w:t>&lt;TitreJust&gt;</w:t>
      </w:r>
      <w:r w:rsidRPr="00B760BB">
        <w:t>Obrazložitev</w:t>
      </w:r>
      <w:r w:rsidRPr="006D2CA9">
        <w:rPr>
          <w:rStyle w:val="HideTWBExt"/>
          <w:i w:val="0"/>
          <w:szCs w:val="24"/>
        </w:rPr>
        <w:t>&lt;/TitreJust&gt;</w:t>
      </w:r>
    </w:p>
    <w:p w:rsidR="00C11972" w:rsidRPr="00B760BB" w:rsidRDefault="00BF3479" w:rsidP="00C11972">
      <w:pPr>
        <w:pStyle w:val="Normal12Italic"/>
        <w:rPr>
          <w:noProof w:val="0"/>
        </w:rPr>
      </w:pPr>
      <w:r w:rsidRPr="00B760BB">
        <w:t>Potreba po večji zaščiti invalidnih žensk. V evropsko kartico ugodnosti za invalide bi bilo treba vključiti ugodnejši status invalidnih žensk in deklic, ki so žrtve nasilja in zlorab, ter jim kot najbolj ogroženim nameniti nujno pozornost, da bi lahko preventivno ukrepali.</w:t>
      </w:r>
    </w:p>
    <w:p w:rsidR="00C11972" w:rsidRPr="00B760BB" w:rsidRDefault="00BF3479" w:rsidP="00C11972">
      <w:r w:rsidRPr="006D2CA9">
        <w:rPr>
          <w:rStyle w:val="HideTWBExt"/>
        </w:rPr>
        <w:t>&lt;/Amend&gt;</w:t>
      </w:r>
    </w:p>
    <w:p w:rsidR="00C11972" w:rsidRPr="00B760BB" w:rsidRDefault="00BF3479" w:rsidP="00C11972">
      <w:pPr>
        <w:pStyle w:val="AMNumberTabs0"/>
        <w:keepNext/>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9</w:t>
      </w:r>
      <w:r w:rsidRPr="006D2CA9">
        <w:rPr>
          <w:rStyle w:val="HideTWBExt"/>
          <w:b w:val="0"/>
          <w:szCs w:val="24"/>
        </w:rPr>
        <w:t>&lt;/NumAm&gt;</w:t>
      </w:r>
    </w:p>
    <w:p w:rsidR="00C11972" w:rsidRPr="00B760BB" w:rsidRDefault="00BF3479" w:rsidP="006D2CA9">
      <w:pPr>
        <w:pStyle w:val="NormalBold"/>
        <w:keepNext/>
        <w:spacing w:before="240"/>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Uvodna izjava 24</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(24)</w:t>
            </w:r>
            <w:r w:rsidRPr="00B760BB">
              <w:tab/>
              <w:t>Primeri posebnih pogojev ali prednostne obravnave vključujejo prost dostop, znižane tarife, znižane pristojbine ali uporabnine za cestninske ceste/mostove/predore, prednostni dostop, rezervirane sedeže v parkih in drugih javnih prostorih, dostopne sedeže na kulturnih ali javnih prireditvah, osebno pomoč, živali vodnice, pomoč na plaži pri vstopu v vodo, podporo (kot je dostop do Braillove pisave, zvočnih vodnikov, tolmačenja znakovnega jezika), zagotavljanje pripomočkov ali pomoči, izposojo invalidskega vozička, izposojo invalidskega vozička za uporabo v vodi, pridobivanje turističnih informacij v dostopnih oblikah, uporabo invalidskega skuterja na cestah ali invalidskega vozička na kolesarskih pasovih brez globe itd. Pogoji parkiranja in parkirna mesta vključujejo razširjena in rezervirana parkirna mesta. Kar zadeva storitve potniškega prevoza, lahko poleg posebnih pogojev ali prednostne obravnave, ki je na voljo invalidom v skladu z nacionalno zakonodajo ali prakso, živali vodnice, osebni pomočniki ali druge osebe, ki spremljajo invalide (ali osebe z omejeno mobilnostjo) ali jim pomagajo, potujejo brezplačno ali po možnosti sedijo poleg invalida.</w:t>
            </w:r>
          </w:p>
        </w:tc>
        <w:tc>
          <w:tcPr>
            <w:tcW w:w="4876" w:type="dxa"/>
            <w:hideMark/>
          </w:tcPr>
          <w:p w:rsidR="00C11972" w:rsidRPr="00B760BB" w:rsidRDefault="00BF3479" w:rsidP="00096654">
            <w:pPr>
              <w:pStyle w:val="Normal6"/>
              <w:rPr>
                <w:szCs w:val="24"/>
              </w:rPr>
            </w:pPr>
            <w:r w:rsidRPr="00B760BB">
              <w:t>(24)</w:t>
            </w:r>
            <w:r w:rsidRPr="00B760BB">
              <w:tab/>
              <w:t xml:space="preserve">Primeri posebnih pogojev ali prednostne obravnave vključujejo prost dostop, znižane tarife, znižane pristojbine ali uporabnine za cestninske ceste/mostove/predore, prednostni dostop, rezervirane sedeže v parkih in drugih javnih prostorih, dostopne sedeže na kulturnih ali javnih prireditvah, osebno pomoč, živali vodnice, pomoč na plaži pri vstopu v vodo, podporo (kot je dostop do Braillove pisave, zvočnih vodnikov, tolmačenja znakovnega jezika), zagotavljanje pripomočkov ali pomoči, izposojo invalidskega vozička, izposojo invalidskega vozička za uporabo v vodi, pridobivanje turističnih informacij v dostopnih oblikah, uporabo invalidskega skuterja na cestah ali invalidskega vozička na kolesarskih pasovih brez globe itd. Pogoji parkiranja in parkirna mesta vključujejo razširjena in rezervirana parkirna mesta. Kar zadeva storitve potniškega prevoza, lahko poleg posebnih pogojev ali prednostne obravnave, ki je na voljo invalidom v skladu z nacionalno zakonodajo ali prakso, živali vodnice, osebni pomočniki ali druge osebe, ki spremljajo invalide (ali osebe z omejeno mobilnostjo) ali jim pomagajo, potujejo brezplačno ali po možnosti sedijo poleg invalida. </w:t>
            </w:r>
            <w:r w:rsidRPr="00B760BB">
              <w:rPr>
                <w:b/>
                <w:i/>
              </w:rPr>
              <w:t>V zvezi s sprejetjem učinkovitih ukrepov za mobilnost je treba razmisliti o dostopnosti za invalide v različnih sredstvih javnega prevoza (vlak, letalo itd.), saj morajo te osebe zaradi posebnih pogojev, potrebnih za zagotavljanje njihove varnosti, uporabljati svoj invalidski voziček.</w:t>
            </w:r>
          </w:p>
        </w:tc>
      </w:tr>
    </w:tbl>
    <w:p w:rsidR="00C11972" w:rsidRPr="00B760BB" w:rsidRDefault="00BF3479" w:rsidP="00C11972">
      <w:pPr>
        <w:pStyle w:val="JustificationTitle"/>
        <w:rPr>
          <w:noProof w:val="0"/>
        </w:rPr>
      </w:pPr>
      <w:r w:rsidRPr="006D2CA9">
        <w:rPr>
          <w:rStyle w:val="HideTWBExt"/>
          <w:i w:val="0"/>
          <w:szCs w:val="24"/>
        </w:rPr>
        <w:t>&lt;TitreJust&gt;</w:t>
      </w:r>
      <w:r w:rsidRPr="00B760BB">
        <w:t>Obrazložitev</w:t>
      </w:r>
      <w:r w:rsidRPr="006D2CA9">
        <w:rPr>
          <w:rStyle w:val="HideTWBExt"/>
          <w:i w:val="0"/>
          <w:szCs w:val="24"/>
        </w:rPr>
        <w:t>&lt;/TitreJust&gt;</w:t>
      </w:r>
    </w:p>
    <w:p w:rsidR="00C11972" w:rsidRPr="00B760BB" w:rsidRDefault="00BF3479" w:rsidP="00C11972">
      <w:pPr>
        <w:pStyle w:val="Normal12Italic"/>
        <w:rPr>
          <w:noProof w:val="0"/>
        </w:rPr>
      </w:pPr>
      <w:r w:rsidRPr="00B760BB">
        <w:t>Nediskriminacija invalidov. Invalidi bi morali uživati vse pravice na enaki podlagi kot drugi. To zajema tudi prosto gibanje oseb, pri katerem ni ovir, in to, da je vsaka oseba deležna individualne podpore, ki jo potrebuje. Zagotovi se splošna dostopnost v skladu z 9. členom Konvencije ZN o pravicah invalidov, kar je usklajeno tudi s prejšnjimi predlogi sprememb.</w:t>
      </w:r>
    </w:p>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10</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2 – odstavek 1 – točki 3a in 3b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(3a) storitev obveščanja in svetovanja za invalidne ženske in deklice,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(3b) specializiranih storitev obveščanja, pomoči in podpore invalidnim ženskam in deklicam, ki so žrtve nasilja.</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11</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5 – odstavek 1 a (novo)</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tcPr>
          <w:p w:rsidR="00C11972" w:rsidRPr="00B760BB" w:rsidRDefault="00C11972" w:rsidP="00096654">
            <w:pPr>
              <w:pStyle w:val="Normal6"/>
            </w:pPr>
          </w:p>
        </w:tc>
        <w:tc>
          <w:tcPr>
            <w:tcW w:w="4876" w:type="dxa"/>
            <w:hideMark/>
          </w:tcPr>
          <w:p w:rsidR="00C11972" w:rsidRPr="00B760BB" w:rsidRDefault="00BF3479" w:rsidP="00096654">
            <w:pPr>
              <w:pStyle w:val="Normal6"/>
              <w:rPr>
                <w:szCs w:val="24"/>
              </w:rPr>
            </w:pPr>
            <w:r w:rsidRPr="00B760BB">
              <w:rPr>
                <w:b/>
                <w:i/>
              </w:rPr>
              <w:t>1a.</w:t>
            </w:r>
            <w:r w:rsidRPr="00B760BB">
              <w:rPr>
                <w:b/>
                <w:i/>
              </w:rPr>
              <w:tab/>
              <w:t>Države članice sprejmejo vse potrebne ukrepe za priznanje vseh invalidov, ki so imetniki evropske kartice ugodnosti za invalide, da bi poskrbele za vzajemno priznavanje kartice kot sredstva za zaščito pred diskriminacijo na podlagi invalidnosti, pri čemer imajo ti invalidi posledično pravico do dostopa do pravnih sredstev in mehanizmov, ki so na voljo proti kršitvam pravic in pomanjkanju učinkovitega enakega obravnavanja po vsej EU. Zlasti poskrbijo, da je evropska kartica ugodnosti za invalide invalidom enako dostopna ne glede na njihov spol, raso, barvo kože, etnično ali socialno poreklo, genetske značilnosti, jezik, vero ali prepričanje, politično ali drugo mnenje, pripadnost narodnostni manjšini, premoženje, rojstvo, invalidnost, starost ali spolno usmerjenost.</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12</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6 – odstavek 5</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5.</w:t>
            </w:r>
            <w:r w:rsidRPr="00B760BB">
              <w:tab/>
              <w:t>Evropska kartica ugodnosti za invalide se izda kot fizična kartica, po sprejetju delegiranih aktov iz odstavka 7 pa se dopolni z digitalno obliko. Invalidi imajo možnost, da uporabljajo digitalno ali fizično kartico ali obe.</w:t>
            </w:r>
          </w:p>
        </w:tc>
        <w:tc>
          <w:tcPr>
            <w:tcW w:w="4876" w:type="dxa"/>
            <w:hideMark/>
          </w:tcPr>
          <w:p w:rsidR="00C11972" w:rsidRPr="00B760BB" w:rsidRDefault="00BF3479" w:rsidP="00096654">
            <w:pPr>
              <w:pStyle w:val="Normal6"/>
              <w:rPr>
                <w:szCs w:val="24"/>
              </w:rPr>
            </w:pPr>
            <w:r w:rsidRPr="00B760BB">
              <w:t>5.</w:t>
            </w:r>
            <w:r w:rsidRPr="00B760BB">
              <w:tab/>
              <w:t xml:space="preserve">Evropska kartica ugodnosti za invalide se izda kot fizična kartica, po sprejetju delegiranih aktov iz odstavka 7 pa se dopolni z digitalno obliko. Invalidi imajo možnost, da uporabljajo digitalno ali fizično kartico ali obe. </w:t>
            </w:r>
            <w:r w:rsidRPr="00B760BB">
              <w:rPr>
                <w:b/>
                <w:i/>
              </w:rPr>
              <w:t>Postopek za vložitev vloge za izdajo evropske kartice ugodnosti za invalide, ki jo izdajo države članice, in njeno pridobitev je zasnovan na enostaven način. Invalidi, ki vložijo vlogo za izdajo kartice, bi lahko na primer imeli možnost, da na hrbtni strani kartice navedejo svoje posebne zahteve. Na ta način ne bi smelo biti nobenih fizičnih ali digitalnih ovir za enak dostop invalidov do brezplačne izdaje kartice ali njenega podaljšanja. Poskrbeti je treba za njeno popolno dostopnost in uporabnost za vse invalide, zlasti za invalidne ženske in deklice, ki so še posebej izpostavljene tveganju digitalne izključenosti.</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13</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9 – odstavek 2</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2.</w:t>
            </w:r>
            <w:r w:rsidRPr="00B760BB">
              <w:tab/>
              <w:t xml:space="preserve">Države članice sprejmejo ustrezne ukrepe za ozaveščanje javnosti </w:t>
            </w:r>
            <w:r w:rsidRPr="00B760BB">
              <w:rPr>
                <w:b/>
                <w:bCs/>
                <w:i/>
                <w:iCs/>
              </w:rPr>
              <w:t>in obveščanje invalidov –</w:t>
            </w:r>
            <w:r w:rsidRPr="00B760BB">
              <w:t xml:space="preserve"> tudi na dostopen način – o obstoju in pogojih za pridobitev, uporabo ali podaljšanje evropske kartice ugodnosti za invalide in evropske parkirne karte.</w:t>
            </w:r>
          </w:p>
        </w:tc>
        <w:tc>
          <w:tcPr>
            <w:tcW w:w="4876" w:type="dxa"/>
            <w:hideMark/>
          </w:tcPr>
          <w:p w:rsidR="00C11972" w:rsidRPr="00B760BB" w:rsidRDefault="00BF3479" w:rsidP="00096654">
            <w:pPr>
              <w:pStyle w:val="Normal6"/>
              <w:rPr>
                <w:szCs w:val="24"/>
              </w:rPr>
            </w:pPr>
            <w:r w:rsidRPr="00B760BB">
              <w:t>2.</w:t>
            </w:r>
            <w:r w:rsidRPr="00B760BB">
              <w:tab/>
              <w:t>Države članice sprejmejo ustrezne ukrepe za ozaveščanje javnosti</w:t>
            </w:r>
            <w:r w:rsidRPr="00B760BB">
              <w:rPr>
                <w:b/>
                <w:bCs/>
                <w:i/>
                <w:iCs/>
              </w:rPr>
              <w:t>, vključno z javnimi organi in zasebnimi ponudniki storitev, ki lahko ponujajo prilagojeno podporo v skladu s členom 5, o obstoju kartice in pogojih v zvezi z njo.</w:t>
            </w:r>
            <w:r w:rsidRPr="00B760BB">
              <w:rPr>
                <w:b/>
                <w:i/>
              </w:rPr>
              <w:t xml:space="preserve"> </w:t>
            </w:r>
            <w:r w:rsidRPr="00B760BB">
              <w:rPr>
                <w:b/>
                <w:bCs/>
                <w:i/>
                <w:iCs/>
              </w:rPr>
              <w:t xml:space="preserve">Poleg tega obveščajo invalide, </w:t>
            </w:r>
            <w:r w:rsidRPr="00B760BB">
              <w:t xml:space="preserve">tudi na dostopen </w:t>
            </w:r>
            <w:r w:rsidRPr="00B760BB">
              <w:rPr>
                <w:b/>
                <w:bCs/>
                <w:i/>
                <w:iCs/>
              </w:rPr>
              <w:t>in spolno vključujoč</w:t>
            </w:r>
            <w:r w:rsidRPr="00B760BB">
              <w:t xml:space="preserve"> način</w:t>
            </w:r>
            <w:r w:rsidRPr="00B760BB">
              <w:rPr>
                <w:b/>
                <w:bCs/>
                <w:i/>
                <w:iCs/>
              </w:rPr>
              <w:t>,</w:t>
            </w:r>
            <w:r w:rsidRPr="00B760BB">
              <w:t xml:space="preserve"> o obstoju in pogojih za pridobitev, uporabo ali podaljšanje evropske kartice ugodnosti za invalide in evropske parkirne karte. </w:t>
            </w:r>
            <w:r w:rsidRPr="00B760BB">
              <w:rPr>
                <w:b/>
                <w:i/>
              </w:rPr>
              <w:t>Usklajevati bi morale tudi celovito usposabljanje za vse zadevne akterje, ki bi vključevalo vidik spola.</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14</w:t>
      </w:r>
      <w:r w:rsidRPr="006D2CA9">
        <w:rPr>
          <w:rStyle w:val="HideTWBExt"/>
          <w:b w:val="0"/>
          <w:szCs w:val="24"/>
        </w:rPr>
        <w:t>&lt;/NumAm&gt;</w:t>
      </w:r>
    </w:p>
    <w:p w:rsidR="00C11972" w:rsidRPr="00B760BB" w:rsidRDefault="00BF3479" w:rsidP="00C11972">
      <w:pPr>
        <w:pStyle w:val="NormalBold12b"/>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11 – odstavek 4</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trHeight w:hRule="exact" w:val="240"/>
          <w:jc w:val="center"/>
        </w:trPr>
        <w:tc>
          <w:tcPr>
            <w:tcW w:w="9752" w:type="dxa"/>
            <w:gridSpan w:val="2"/>
          </w:tcPr>
          <w:p w:rsidR="00C11972" w:rsidRPr="00B760BB" w:rsidRDefault="00C11972" w:rsidP="00096654"/>
        </w:tc>
      </w:tr>
      <w:tr w:rsidR="00A4728B" w:rsidRPr="00B760BB" w:rsidTr="00096654">
        <w:trPr>
          <w:trHeight w:val="240"/>
          <w:jc w:val="center"/>
        </w:trPr>
        <w:tc>
          <w:tcPr>
            <w:tcW w:w="4876" w:type="dxa"/>
          </w:tcPr>
          <w:p w:rsidR="00C11972" w:rsidRPr="00B760BB" w:rsidRDefault="00BF3479" w:rsidP="00096654">
            <w:pPr>
              <w:pStyle w:val="AmColumnHeading"/>
            </w:pPr>
            <w:r w:rsidRPr="00B760BB">
              <w:t>Besedilo, ki ga predlaga Komisija</w:t>
            </w:r>
          </w:p>
        </w:tc>
        <w:tc>
          <w:tcPr>
            <w:tcW w:w="4876" w:type="dxa"/>
          </w:tcPr>
          <w:p w:rsidR="00C11972" w:rsidRPr="00B760BB" w:rsidRDefault="00BF3479" w:rsidP="00096654">
            <w:pPr>
              <w:pStyle w:val="AmColumnHeading"/>
            </w:pPr>
            <w:r w:rsidRPr="00B760BB">
              <w:t>Predlog spremembe</w:t>
            </w:r>
          </w:p>
        </w:tc>
      </w:tr>
      <w:tr w:rsidR="00A4728B" w:rsidRPr="00B760BB" w:rsidTr="00096654">
        <w:trPr>
          <w:jc w:val="center"/>
        </w:trPr>
        <w:tc>
          <w:tcPr>
            <w:tcW w:w="4876" w:type="dxa"/>
          </w:tcPr>
          <w:p w:rsidR="00C11972" w:rsidRPr="00B760BB" w:rsidRDefault="00BF3479" w:rsidP="00096654">
            <w:pPr>
              <w:pStyle w:val="Normal6a"/>
            </w:pPr>
            <w:r w:rsidRPr="00B760BB">
              <w:t>4.</w:t>
            </w:r>
            <w:r w:rsidRPr="00B760BB">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C11972" w:rsidRPr="00B760BB" w:rsidRDefault="00BF3479" w:rsidP="00096654">
            <w:pPr>
              <w:pStyle w:val="Normal6a"/>
            </w:pPr>
            <w:r w:rsidRPr="00B760BB">
              <w:t>4.</w:t>
            </w:r>
            <w:r w:rsidRPr="00B760BB">
              <w:tab/>
              <w:t xml:space="preserve">Komisija se pred sprejetjem delegiranega akta posvetuje s strokovnjaki, ki jih imenujejo države članice, v skladu z načeli, določenimi v Medinstitucionalnem sporazumu z dne 13. aprila 2016 o boljši pripravi zakonodaje. </w:t>
            </w:r>
            <w:r w:rsidRPr="00B760BB">
              <w:rPr>
                <w:b/>
                <w:i/>
              </w:rPr>
              <w:t>Posvetuje se tudi s strokovnjaki za enakost spolov ter od vsake države članice in pristojnih organov EU zahteva podatke, razčlenjene po spolu, da bi po potrebi izboljšala vključevanje vidika spola, tudi v pripravo proračuna.</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15</w:t>
      </w:r>
      <w:r w:rsidRPr="006D2CA9">
        <w:rPr>
          <w:rStyle w:val="HideTWBExt"/>
          <w:b w:val="0"/>
          <w:szCs w:val="24"/>
        </w:rPr>
        <w:t>&lt;/NumAm&gt;</w:t>
      </w:r>
    </w:p>
    <w:p w:rsidR="00C11972" w:rsidRPr="00B760BB" w:rsidRDefault="00BF3479" w:rsidP="00C11972">
      <w:pPr>
        <w:pStyle w:val="NormalBold12b"/>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13 – odstavek 2 – točka b</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trHeight w:hRule="exact" w:val="240"/>
          <w:jc w:val="center"/>
        </w:trPr>
        <w:tc>
          <w:tcPr>
            <w:tcW w:w="9752" w:type="dxa"/>
            <w:gridSpan w:val="2"/>
          </w:tcPr>
          <w:p w:rsidR="00C11972" w:rsidRPr="00B760BB" w:rsidRDefault="00C11972" w:rsidP="00096654"/>
        </w:tc>
      </w:tr>
      <w:tr w:rsidR="00A4728B" w:rsidRPr="00B760BB" w:rsidTr="00096654">
        <w:trPr>
          <w:trHeight w:val="240"/>
          <w:jc w:val="center"/>
        </w:trPr>
        <w:tc>
          <w:tcPr>
            <w:tcW w:w="4876" w:type="dxa"/>
          </w:tcPr>
          <w:p w:rsidR="00C11972" w:rsidRPr="00B760BB" w:rsidRDefault="00BF3479" w:rsidP="00096654">
            <w:pPr>
              <w:pStyle w:val="AmColumnHeading"/>
            </w:pPr>
            <w:r w:rsidRPr="00B760BB">
              <w:t>Besedilo, ki ga predlaga Komisija</w:t>
            </w:r>
          </w:p>
        </w:tc>
        <w:tc>
          <w:tcPr>
            <w:tcW w:w="4876" w:type="dxa"/>
          </w:tcPr>
          <w:p w:rsidR="00C11972" w:rsidRPr="00B760BB" w:rsidRDefault="00BF3479" w:rsidP="00096654">
            <w:pPr>
              <w:pStyle w:val="AmColumnHeading"/>
            </w:pPr>
            <w:r w:rsidRPr="00B760BB">
              <w:t>Predlog spremembe</w:t>
            </w:r>
          </w:p>
        </w:tc>
      </w:tr>
      <w:tr w:rsidR="00A4728B" w:rsidRPr="00B760BB" w:rsidTr="00096654">
        <w:trPr>
          <w:jc w:val="center"/>
        </w:trPr>
        <w:tc>
          <w:tcPr>
            <w:tcW w:w="4876" w:type="dxa"/>
          </w:tcPr>
          <w:p w:rsidR="00C11972" w:rsidRPr="00B760BB" w:rsidRDefault="00BF3479" w:rsidP="00096654">
            <w:pPr>
              <w:pStyle w:val="Normal6a"/>
            </w:pPr>
            <w:r w:rsidRPr="00B760BB">
              <w:t>(b)</w:t>
            </w:r>
            <w:r w:rsidRPr="00B760BB">
              <w:tab/>
              <w:t>določbe, na podlagi katerih lahko javni organi ali zasebna združenja, organizacije ali drugi pravni subjekti, ki imajo pravni interes za zagotavljanje skladnosti z določbami te direktive, v skladu z nacionalno zakonodajo in postopki začnejo postopek pred sodišči ali pristojnimi upravnimi organi v imenu invalida ali v njegovo podporo z njegovim soglasjem v katerem koli sodnem ali upravnem postopku, predvidenem za izvrševanje obveznosti iz te direktive.</w:t>
            </w:r>
          </w:p>
        </w:tc>
        <w:tc>
          <w:tcPr>
            <w:tcW w:w="4876" w:type="dxa"/>
          </w:tcPr>
          <w:p w:rsidR="00C11972" w:rsidRPr="00B760BB" w:rsidRDefault="00BF3479" w:rsidP="00096654">
            <w:pPr>
              <w:pStyle w:val="Normal6a"/>
            </w:pPr>
            <w:r w:rsidRPr="00B760BB">
              <w:t>(b)</w:t>
            </w:r>
            <w:r w:rsidRPr="00B760BB">
              <w:tab/>
              <w:t>določbe, na podlagi katerih lahko javni organi</w:t>
            </w:r>
            <w:r w:rsidRPr="00B760BB">
              <w:rPr>
                <w:b/>
                <w:bCs/>
                <w:i/>
                <w:iCs/>
              </w:rPr>
              <w:t>, kot so organi za enakost,</w:t>
            </w:r>
            <w:r w:rsidRPr="00B760BB">
              <w:t xml:space="preserve"> ali zasebna združenja, organizacije ali drugi pravni subjekti, ki imajo pravni interes za zagotavljanje skladnosti z določbami te direktive, v skladu z nacionalno zakonodajo in postopki začnejo postopek pred sodišči ali pristojnimi upravnimi organi v imenu invalida ali v njegovo podporo z njegovim soglasjem v katerem koli sodnem ali upravnem postopku, predvidenem za izvrševanje obveznosti iz te direktive.</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16</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16 – odstavek 2</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2.</w:t>
            </w:r>
            <w:r w:rsidRPr="00B760BB">
              <w:tab/>
              <w:t>V poročilu se med drugim obravnava uporaba evropske kartice ugodnosti za invalide in evropske parkirne karte za invalide z vidika družbenega in gospodarskega razvoja, da se oceni potreba po pregledu te direktive.</w:t>
            </w:r>
          </w:p>
        </w:tc>
        <w:tc>
          <w:tcPr>
            <w:tcW w:w="4876" w:type="dxa"/>
            <w:hideMark/>
          </w:tcPr>
          <w:p w:rsidR="00C11972" w:rsidRPr="00B760BB" w:rsidRDefault="00BF3479" w:rsidP="00096654">
            <w:pPr>
              <w:pStyle w:val="Normal6"/>
              <w:rPr>
                <w:szCs w:val="24"/>
              </w:rPr>
            </w:pPr>
            <w:r w:rsidRPr="00B760BB">
              <w:t>2.</w:t>
            </w:r>
            <w:r w:rsidRPr="00B760BB">
              <w:tab/>
              <w:t xml:space="preserve">V poročilu se med drugim obravnava uporaba evropske kartice ugodnosti za invalide in evropske parkirne karte za invalide z vidika družbenega in gospodarskega razvoja </w:t>
            </w:r>
            <w:r w:rsidRPr="00B760BB">
              <w:rPr>
                <w:b/>
                <w:bCs/>
                <w:i/>
                <w:iCs/>
              </w:rPr>
              <w:t>v državah članicah in Uniji kot celoti</w:t>
            </w:r>
            <w:r w:rsidRPr="00B760BB">
              <w:t xml:space="preserve">, da se oceni potreba po pregledu te direktive. </w:t>
            </w:r>
            <w:r w:rsidRPr="00B760BB">
              <w:rPr>
                <w:b/>
                <w:i/>
              </w:rPr>
              <w:t>Poročilo vsebuje analizo glede na spol s poudarkom na tem, kako določbe te direktive dejansko in potencialno vplivajo na prosto gibanje invalidnih žensk in deklic. V poročilu se tudi oceni učinkovitost ukrepov držav članic za spodbujanje ponudnikov storitev. V njem se upoštevajo povratne informacije invalidov in ustreznih nevladnih organizacij, zlasti organizacij, ki zastopajo invalide, in organizacij, ki se borijo za enakost spolov, ter gospodarskih akterjev. Komisija vzpostavi digitalni portal z vsemi informacijami o koristih evropske kartice ugodnosti za invalide in evropske parkirne karte v vseh državah članicah na spolno vključujoč način.</w:t>
            </w:r>
          </w:p>
        </w:tc>
      </w:tr>
    </w:tbl>
    <w:p w:rsidR="00C11972" w:rsidRPr="00B760BB" w:rsidRDefault="00BF3479" w:rsidP="00C11972">
      <w:r w:rsidRPr="006D2CA9">
        <w:rPr>
          <w:rStyle w:val="HideTWBExt"/>
        </w:rPr>
        <w:t>&lt;/Amend&gt;</w:t>
      </w:r>
    </w:p>
    <w:p w:rsidR="00C11972" w:rsidRPr="00B760BB" w:rsidRDefault="00BF3479" w:rsidP="00C11972">
      <w:pPr>
        <w:pStyle w:val="AmNumberTabs"/>
      </w:pPr>
      <w:r w:rsidRPr="006D2CA9">
        <w:rPr>
          <w:rStyle w:val="HideTWBExt"/>
          <w:b w:val="0"/>
          <w:szCs w:val="24"/>
        </w:rPr>
        <w:t>&lt;Amend&gt;</w:t>
      </w:r>
      <w:r w:rsidRPr="00B760BB">
        <w:t>Predlog spremembe</w:t>
      </w:r>
      <w:r w:rsidRPr="00B760BB">
        <w:tab/>
      </w:r>
      <w:r w:rsidRPr="00B760BB">
        <w:tab/>
      </w:r>
      <w:r w:rsidRPr="006D2CA9">
        <w:rPr>
          <w:rStyle w:val="HideTWBExt"/>
          <w:b w:val="0"/>
          <w:szCs w:val="24"/>
        </w:rPr>
        <w:t>&lt;NumAm&gt;</w:t>
      </w:r>
      <w:r w:rsidRPr="00B760BB">
        <w:t>17</w:t>
      </w:r>
      <w:r w:rsidRPr="006D2CA9">
        <w:rPr>
          <w:rStyle w:val="HideTWBExt"/>
          <w:b w:val="0"/>
          <w:szCs w:val="24"/>
        </w:rPr>
        <w:t>&lt;/NumAm&gt;</w:t>
      </w:r>
    </w:p>
    <w:p w:rsidR="00C11972" w:rsidRPr="00B760BB" w:rsidRDefault="00C11972" w:rsidP="00C11972"/>
    <w:p w:rsidR="00C11972" w:rsidRPr="00B760BB" w:rsidRDefault="00BF3479" w:rsidP="00C11972">
      <w:pPr>
        <w:pStyle w:val="NormalBold"/>
        <w:keepNext/>
      </w:pPr>
      <w:r w:rsidRPr="006D2CA9">
        <w:rPr>
          <w:rStyle w:val="HideTWBExt"/>
          <w:b w:val="0"/>
          <w:szCs w:val="24"/>
        </w:rPr>
        <w:t>&lt;DocAmend&gt;</w:t>
      </w:r>
      <w:r w:rsidRPr="00B760BB">
        <w:t>Predlog direktive</w:t>
      </w:r>
      <w:r w:rsidRPr="006D2CA9">
        <w:rPr>
          <w:rStyle w:val="HideTWBExt"/>
          <w:b w:val="0"/>
          <w:szCs w:val="24"/>
        </w:rPr>
        <w:t>&lt;/DocAmend&gt;</w:t>
      </w:r>
    </w:p>
    <w:p w:rsidR="00C11972" w:rsidRPr="00B760BB" w:rsidRDefault="00BF3479" w:rsidP="00C11972">
      <w:pPr>
        <w:pStyle w:val="NormalBold"/>
      </w:pPr>
      <w:r w:rsidRPr="006D2CA9">
        <w:rPr>
          <w:rStyle w:val="HideTWBExt"/>
          <w:b w:val="0"/>
          <w:szCs w:val="24"/>
        </w:rPr>
        <w:t>&lt;Article&gt;</w:t>
      </w:r>
      <w:r w:rsidRPr="00B760BB">
        <w:t>Člen 16 – odstavek 3</w:t>
      </w:r>
      <w:r w:rsidRPr="006D2CA9">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728B" w:rsidRPr="00B760BB" w:rsidTr="00096654">
        <w:trPr>
          <w:jc w:val="center"/>
        </w:trPr>
        <w:tc>
          <w:tcPr>
            <w:tcW w:w="9752" w:type="dxa"/>
            <w:gridSpan w:val="2"/>
          </w:tcPr>
          <w:p w:rsidR="00C11972" w:rsidRPr="00B760BB" w:rsidRDefault="00C11972" w:rsidP="00096654">
            <w:pPr>
              <w:keepNext/>
            </w:pPr>
          </w:p>
        </w:tc>
      </w:tr>
      <w:tr w:rsidR="00A4728B" w:rsidRPr="00B760BB" w:rsidTr="00096654">
        <w:trPr>
          <w:jc w:val="center"/>
        </w:trPr>
        <w:tc>
          <w:tcPr>
            <w:tcW w:w="4876" w:type="dxa"/>
            <w:hideMark/>
          </w:tcPr>
          <w:p w:rsidR="00C11972" w:rsidRPr="00B760BB" w:rsidRDefault="00BF3479" w:rsidP="00096654">
            <w:pPr>
              <w:pStyle w:val="ColumnHeading"/>
              <w:keepNext/>
            </w:pPr>
            <w:r w:rsidRPr="00B760BB">
              <w:t>Besedilo, ki ga predlaga Komisija</w:t>
            </w:r>
          </w:p>
        </w:tc>
        <w:tc>
          <w:tcPr>
            <w:tcW w:w="4876" w:type="dxa"/>
            <w:hideMark/>
          </w:tcPr>
          <w:p w:rsidR="00C11972" w:rsidRPr="00B760BB" w:rsidRDefault="00BF3479" w:rsidP="00096654">
            <w:pPr>
              <w:pStyle w:val="ColumnHeading"/>
              <w:keepNext/>
            </w:pPr>
            <w:r w:rsidRPr="00B760BB">
              <w:t>Predlog spremembe</w:t>
            </w:r>
          </w:p>
        </w:tc>
      </w:tr>
      <w:tr w:rsidR="00A4728B" w:rsidRPr="00B760BB" w:rsidTr="00096654">
        <w:trPr>
          <w:jc w:val="center"/>
        </w:trPr>
        <w:tc>
          <w:tcPr>
            <w:tcW w:w="4876" w:type="dxa"/>
            <w:hideMark/>
          </w:tcPr>
          <w:p w:rsidR="00C11972" w:rsidRPr="00B760BB" w:rsidRDefault="00BF3479" w:rsidP="00096654">
            <w:pPr>
              <w:pStyle w:val="Normal6"/>
            </w:pPr>
            <w:r w:rsidRPr="00B760BB">
              <w:t>3.</w:t>
            </w:r>
            <w:r w:rsidRPr="00B760BB">
              <w:tab/>
              <w:t>Države članice Komisiji na njeno zahtevo pravočasno sporočijo vse informacije, ki jih Komisija potrebuje za pripravo takega poročila.</w:t>
            </w:r>
          </w:p>
        </w:tc>
        <w:tc>
          <w:tcPr>
            <w:tcW w:w="4876" w:type="dxa"/>
            <w:hideMark/>
          </w:tcPr>
          <w:p w:rsidR="00C11972" w:rsidRPr="00B760BB" w:rsidRDefault="00BF3479" w:rsidP="00096654">
            <w:pPr>
              <w:pStyle w:val="Normal6"/>
              <w:rPr>
                <w:szCs w:val="24"/>
              </w:rPr>
            </w:pPr>
            <w:r w:rsidRPr="00B760BB">
              <w:t>3.</w:t>
            </w:r>
            <w:r w:rsidRPr="00B760BB">
              <w:tab/>
              <w:t xml:space="preserve">Države članice Komisiji na njeno zahtevo pravočasno sporočijo vse informacije, ki jih Komisija potrebuje za pripravo takega poročila. </w:t>
            </w:r>
            <w:r w:rsidRPr="00B760BB">
              <w:rPr>
                <w:b/>
                <w:i/>
              </w:rPr>
              <w:t>Te informacije med drugim vključujejo jasen vidik spola pri izvajanju kartice ugodnosti za invalide. Države članice zbirajo podatke, razčlenjene po spolu, da bi opredelile oblike večplastne diskriminacije, s katerimi se srečujejo invalidne ženske in deklice pri dostopu do posebnih pogojev ali prednostne obravnave v zvezi s storitvami, dejavnostmi ali objekti ali pogoji parkiranja in zmogljivostmi, ki so na voljo ali rezervirani za invalide ali osebe, ki jih spremljajo ali jim pomagajo, vključno z njihovimi osebnimi asistenti, v skladu z obveznostmi, ki izhajajo iz evropske kartice ugodnosti za invalide in evropske parkirne karte za invalide. Te podatke bi bilo treba uporabiti za oceno učinka Direktive na enakost spolov in pri njeni prihodnji reviziji, ki bo vključevala vidik spola.</w:t>
            </w:r>
          </w:p>
        </w:tc>
      </w:tr>
    </w:tbl>
    <w:p w:rsidR="00C11972" w:rsidRPr="00B760BB" w:rsidRDefault="00BF3479" w:rsidP="00C11972">
      <w:r w:rsidRPr="006D2CA9">
        <w:rPr>
          <w:rStyle w:val="HideTWBExt"/>
        </w:rPr>
        <w:t>&lt;/Amend&gt;</w:t>
      </w:r>
    </w:p>
    <w:p w:rsidR="00C11972" w:rsidRPr="006D2CA9" w:rsidRDefault="00C11972" w:rsidP="00C11972">
      <w:pPr>
        <w:rPr>
          <w:rStyle w:val="HideTWBExt"/>
        </w:rPr>
      </w:pPr>
    </w:p>
    <w:p w:rsidR="00EB2CDF" w:rsidRPr="00B760BB" w:rsidRDefault="00BF3479" w:rsidP="00EB2CDF">
      <w:r w:rsidRPr="006D2CA9">
        <w:rPr>
          <w:rStyle w:val="HideTWBExt"/>
        </w:rPr>
        <w:t>&lt;/RepeatBlock-Amend&gt;</w:t>
      </w:r>
    </w:p>
    <w:p w:rsidR="00EB2CDF" w:rsidRPr="00B760BB" w:rsidRDefault="00EB2CDF" w:rsidP="00EB2CDF"/>
    <w:p w:rsidR="00D36117" w:rsidRPr="00B760BB" w:rsidRDefault="00BF3479" w:rsidP="00D36117">
      <w:r w:rsidRPr="00B760BB">
        <w:br w:type="page"/>
      </w:r>
    </w:p>
    <w:p w:rsidR="00CD1847" w:rsidRPr="00B760BB" w:rsidRDefault="00BF3479" w:rsidP="00CD1847">
      <w:pPr>
        <w:ind w:right="-46"/>
        <w:jc w:val="center"/>
        <w:outlineLvl w:val="0"/>
        <w:rPr>
          <w:rFonts w:ascii="Arial" w:hAnsi="Arial"/>
          <w:b/>
          <w:caps/>
          <w:szCs w:val="20"/>
        </w:rPr>
      </w:pPr>
      <w:r w:rsidRPr="00B760BB">
        <w:br w:type="page"/>
      </w:r>
      <w:r w:rsidRPr="00B760BB">
        <w:rPr>
          <w:rFonts w:ascii="Arial" w:hAnsi="Arial"/>
          <w:b/>
        </w:rPr>
        <w:t xml:space="preserve">PRILOGA: </w:t>
      </w:r>
      <w:r w:rsidRPr="00B760BB">
        <w:rPr>
          <w:rFonts w:ascii="Arial" w:hAnsi="Arial"/>
          <w:b/>
          <w:caps/>
        </w:rPr>
        <w:t>Seznam subjektov ali oseb,</w:t>
      </w:r>
    </w:p>
    <w:p w:rsidR="00CD1847" w:rsidRPr="00B760BB" w:rsidRDefault="00BF3479" w:rsidP="00CD1847">
      <w:pPr>
        <w:ind w:right="-46"/>
        <w:jc w:val="center"/>
        <w:outlineLvl w:val="0"/>
        <w:rPr>
          <w:rFonts w:ascii="Arial" w:hAnsi="Arial"/>
          <w:b/>
        </w:rPr>
      </w:pPr>
      <w:r w:rsidRPr="00B760BB">
        <w:rPr>
          <w:rFonts w:ascii="Arial" w:hAnsi="Arial"/>
          <w:b/>
          <w:caps/>
        </w:rPr>
        <w:t>od katerih je pripravljavka MNENJA prejela prispevek</w:t>
      </w:r>
    </w:p>
    <w:p w:rsidR="00CD1847" w:rsidRPr="00B760BB" w:rsidRDefault="00CD1847" w:rsidP="00CD1847">
      <w:pPr>
        <w:spacing w:before="9" w:line="500" w:lineRule="atLeast"/>
        <w:ind w:left="80" w:right="-46" w:hanging="97"/>
        <w:jc w:val="center"/>
        <w:rPr>
          <w:rFonts w:eastAsia="Calibri"/>
          <w:sz w:val="22"/>
          <w:szCs w:val="22"/>
        </w:rPr>
      </w:pPr>
    </w:p>
    <w:p w:rsidR="00CD1847" w:rsidRPr="00B760BB" w:rsidRDefault="00BF3479" w:rsidP="00CD1847">
      <w:pPr>
        <w:spacing w:before="9" w:line="360" w:lineRule="auto"/>
        <w:ind w:right="-46"/>
        <w:rPr>
          <w:rFonts w:eastAsia="Calibri"/>
          <w:sz w:val="22"/>
          <w:szCs w:val="22"/>
        </w:rPr>
      </w:pPr>
      <w:r w:rsidRPr="00B760BB">
        <w:rPr>
          <w:sz w:val="22"/>
        </w:rPr>
        <w:t>Priprava tega seznama je v izključni pristojnosti pripravljavke mnenja. Pri pripravi [osnutka mnenja / mnenja, do sprejetja v odboru] je prejela prispevke od naslednjih subjektov ali oseb:</w:t>
      </w:r>
    </w:p>
    <w:p w:rsidR="00CD1847" w:rsidRPr="00B760BB" w:rsidRDefault="00CD1847" w:rsidP="00CD1847">
      <w:pPr>
        <w:spacing w:line="200" w:lineRule="exact"/>
        <w:ind w:right="-46"/>
        <w:rPr>
          <w:szCs w:val="20"/>
        </w:rPr>
      </w:pPr>
    </w:p>
    <w:p w:rsidR="00CD1847" w:rsidRPr="00B760BB" w:rsidRDefault="00CD1847" w:rsidP="00CD1847">
      <w:pPr>
        <w:spacing w:line="200" w:lineRule="exact"/>
        <w:ind w:right="-46"/>
      </w:pPr>
    </w:p>
    <w:p w:rsidR="00CD1847" w:rsidRPr="00B760BB"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A4728B" w:rsidRPr="00B760BB"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760BB" w:rsidRDefault="00BF3479">
            <w:pPr>
              <w:spacing w:line="260" w:lineRule="exact"/>
              <w:ind w:left="3567" w:right="3563"/>
              <w:jc w:val="both"/>
              <w:rPr>
                <w:rFonts w:eastAsia="Calibri"/>
                <w:b/>
                <w:sz w:val="22"/>
                <w:szCs w:val="22"/>
              </w:rPr>
            </w:pPr>
            <w:r w:rsidRPr="00B760BB">
              <w:rPr>
                <w:b/>
                <w:sz w:val="22"/>
              </w:rPr>
              <w:t>Subjekt in/ali oseba</w:t>
            </w:r>
          </w:p>
        </w:tc>
      </w:tr>
      <w:tr w:rsidR="00A4728B" w:rsidRPr="00B760BB"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760BB" w:rsidRDefault="00BF3479">
            <w:pPr>
              <w:rPr>
                <w:szCs w:val="20"/>
              </w:rPr>
            </w:pPr>
            <w:r w:rsidRPr="00B760BB">
              <w:t>CERMI- Comité Español de Representantes de Personas con Discapacidad</w:t>
            </w:r>
          </w:p>
        </w:tc>
      </w:tr>
      <w:tr w:rsidR="00A4728B" w:rsidRPr="00B760BB"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760BB" w:rsidRDefault="00BF3479">
            <w:r w:rsidRPr="00B760BB">
              <w:t>ONCE-Organización Nacional de Ciegos Españoles</w:t>
            </w:r>
          </w:p>
        </w:tc>
      </w:tr>
      <w:tr w:rsidR="00A4728B" w:rsidRPr="00B760BB"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760BB" w:rsidRDefault="00BF3479">
            <w:r w:rsidRPr="00B760BB">
              <w:t>Asociación Autismo España</w:t>
            </w:r>
          </w:p>
        </w:tc>
      </w:tr>
    </w:tbl>
    <w:p w:rsidR="00CD1847" w:rsidRPr="00B760BB" w:rsidRDefault="00CD1847" w:rsidP="00CD1847">
      <w:pPr>
        <w:spacing w:line="200" w:lineRule="exact"/>
        <w:rPr>
          <w:szCs w:val="20"/>
          <w:lang w:bidi="en-GB"/>
        </w:rPr>
      </w:pPr>
    </w:p>
    <w:p w:rsidR="00CD1847" w:rsidRPr="00B760BB" w:rsidRDefault="00CD1847" w:rsidP="00CD1847">
      <w:pPr>
        <w:spacing w:line="200" w:lineRule="exact"/>
      </w:pPr>
    </w:p>
    <w:p w:rsidR="00CD1847" w:rsidRPr="00B760BB" w:rsidRDefault="00CD1847" w:rsidP="00CD1847">
      <w:pPr>
        <w:spacing w:line="200" w:lineRule="exact"/>
      </w:pPr>
    </w:p>
    <w:p w:rsidR="00CD1847" w:rsidRPr="00B760BB" w:rsidRDefault="00BF3479">
      <w:pPr>
        <w:widowControl/>
      </w:pPr>
      <w:r w:rsidRPr="00B760BB">
        <w:br w:type="page"/>
      </w:r>
    </w:p>
    <w:p w:rsidR="005B3175" w:rsidRPr="00B760BB" w:rsidRDefault="00BF3479" w:rsidP="00A4306C">
      <w:pPr>
        <w:pStyle w:val="PageHeadingNotTOC"/>
      </w:pPr>
      <w:bookmarkStart w:id="4" w:name="ProcPageAD"/>
      <w:r w:rsidRPr="00B760BB">
        <w:t>POSTOPEK V PRISTOJNEM ODBORU</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Predlog direktive Evropskega parlamenta in Sveta o uvedbi evropske kartice ugodnosti za invalide in evropske parkirne karte za invalide</w:t>
            </w:r>
          </w:p>
        </w:tc>
      </w:tr>
      <w:tr w:rsidR="00A4728B" w:rsidRPr="00B760B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COM(2023)0512 – C9-0328/2023 – 2023/0311(COD)</w:t>
            </w: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Pristojni odbor</w:t>
            </w:r>
          </w:p>
          <w:p w:rsidR="005B3175" w:rsidRPr="00B760BB" w:rsidRDefault="006D2CA9">
            <w:pPr>
              <w:autoSpaceDE w:val="0"/>
              <w:autoSpaceDN w:val="0"/>
              <w:adjustRightInd w:val="0"/>
              <w:rPr>
                <w:color w:val="000000"/>
                <w:sz w:val="20"/>
                <w:szCs w:val="20"/>
              </w:rPr>
            </w:pPr>
            <w:r>
              <w:rPr>
                <w:color w:val="000000"/>
                <w:sz w:val="20"/>
              </w:rPr>
              <w:t xml:space="preserve"> </w:t>
            </w:r>
            <w:r w:rsidR="00BF3479" w:rsidRPr="00B760BB">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EMPL</w:t>
            </w:r>
          </w:p>
          <w:p w:rsidR="005B3175" w:rsidRPr="00B760BB" w:rsidRDefault="00BF3479">
            <w:pPr>
              <w:autoSpaceDE w:val="0"/>
              <w:autoSpaceDN w:val="0"/>
              <w:adjustRightInd w:val="0"/>
              <w:rPr>
                <w:color w:val="000000"/>
                <w:sz w:val="20"/>
                <w:szCs w:val="20"/>
              </w:rPr>
            </w:pPr>
            <w:r w:rsidRPr="00B760BB">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Mnenje pripravil</w:t>
            </w:r>
          </w:p>
          <w:p w:rsidR="005B3175" w:rsidRPr="00B760BB" w:rsidRDefault="006D2CA9">
            <w:pPr>
              <w:autoSpaceDE w:val="0"/>
              <w:autoSpaceDN w:val="0"/>
              <w:adjustRightInd w:val="0"/>
              <w:rPr>
                <w:color w:val="000000"/>
                <w:sz w:val="20"/>
                <w:szCs w:val="20"/>
              </w:rPr>
            </w:pPr>
            <w:r>
              <w:rPr>
                <w:color w:val="000000"/>
                <w:sz w:val="20"/>
              </w:rPr>
              <w:t xml:space="preserve"> </w:t>
            </w:r>
            <w:r w:rsidR="00BF3479" w:rsidRPr="00B760BB">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FEMM</w:t>
            </w:r>
          </w:p>
          <w:p w:rsidR="005B3175" w:rsidRPr="00B760BB" w:rsidRDefault="00BF3479">
            <w:pPr>
              <w:autoSpaceDE w:val="0"/>
              <w:autoSpaceDN w:val="0"/>
              <w:adjustRightInd w:val="0"/>
              <w:rPr>
                <w:color w:val="000000"/>
                <w:sz w:val="20"/>
                <w:szCs w:val="20"/>
              </w:rPr>
            </w:pPr>
            <w:r w:rsidRPr="00B760BB">
              <w:rPr>
                <w:color w:val="000000"/>
                <w:sz w:val="20"/>
              </w:rPr>
              <w:t>19.10.2023</w:t>
            </w: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Pripravljavka mnenja</w:t>
            </w:r>
          </w:p>
          <w:p w:rsidR="005B3175" w:rsidRPr="00B760BB" w:rsidRDefault="006D2CA9">
            <w:pPr>
              <w:autoSpaceDE w:val="0"/>
              <w:autoSpaceDN w:val="0"/>
              <w:adjustRightInd w:val="0"/>
              <w:rPr>
                <w:color w:val="000000"/>
                <w:sz w:val="20"/>
                <w:szCs w:val="20"/>
              </w:rPr>
            </w:pPr>
            <w:r>
              <w:rPr>
                <w:color w:val="000000"/>
                <w:sz w:val="20"/>
              </w:rPr>
              <w:t xml:space="preserve"> </w:t>
            </w:r>
            <w:r w:rsidR="00BF3479" w:rsidRPr="00B760BB">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Rosa Estaràs Ferragut</w:t>
            </w:r>
          </w:p>
          <w:p w:rsidR="005B3175" w:rsidRPr="00B760BB" w:rsidRDefault="00BF3479">
            <w:pPr>
              <w:autoSpaceDE w:val="0"/>
              <w:autoSpaceDN w:val="0"/>
              <w:adjustRightInd w:val="0"/>
              <w:rPr>
                <w:color w:val="000000"/>
                <w:sz w:val="20"/>
                <w:szCs w:val="20"/>
              </w:rPr>
            </w:pPr>
            <w:r w:rsidRPr="00B760BB">
              <w:rPr>
                <w:color w:val="000000"/>
                <w:sz w:val="20"/>
              </w:rPr>
              <w:t>10.10.2023</w:t>
            </w: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5B3175">
            <w:pPr>
              <w:autoSpaceDE w:val="0"/>
              <w:autoSpaceDN w:val="0"/>
              <w:adjustRightInd w:val="0"/>
              <w:rPr>
                <w:rFonts w:ascii="sans-serif" w:hAnsi="sans-serif" w:cs="sans-serif"/>
                <w:color w:val="000000"/>
              </w:rPr>
            </w:pP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w:t>
            </w:r>
          </w:p>
          <w:p w:rsidR="005B3175" w:rsidRPr="00B760BB" w:rsidRDefault="00BF3479">
            <w:pPr>
              <w:autoSpaceDE w:val="0"/>
              <w:autoSpaceDN w:val="0"/>
              <w:adjustRightInd w:val="0"/>
              <w:rPr>
                <w:color w:val="000000"/>
                <w:sz w:val="20"/>
                <w:szCs w:val="20"/>
              </w:rPr>
            </w:pPr>
            <w:r w:rsidRPr="00B760BB">
              <w:rPr>
                <w:color w:val="000000"/>
                <w:sz w:val="20"/>
              </w:rPr>
              <w:t>–:</w:t>
            </w:r>
          </w:p>
          <w:p w:rsidR="005B3175" w:rsidRPr="00B760BB" w:rsidRDefault="00BF3479">
            <w:pPr>
              <w:autoSpaceDE w:val="0"/>
              <w:autoSpaceDN w:val="0"/>
              <w:adjustRightInd w:val="0"/>
              <w:rPr>
                <w:color w:val="000000"/>
                <w:sz w:val="20"/>
                <w:szCs w:val="20"/>
              </w:rPr>
            </w:pPr>
            <w:r w:rsidRPr="00B760B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22</w:t>
            </w:r>
          </w:p>
          <w:p w:rsidR="005B3175" w:rsidRPr="00B760BB" w:rsidRDefault="00BF3479">
            <w:pPr>
              <w:autoSpaceDE w:val="0"/>
              <w:autoSpaceDN w:val="0"/>
              <w:adjustRightInd w:val="0"/>
              <w:rPr>
                <w:color w:val="000000"/>
                <w:sz w:val="20"/>
                <w:szCs w:val="20"/>
              </w:rPr>
            </w:pPr>
            <w:r w:rsidRPr="00B760BB">
              <w:rPr>
                <w:color w:val="000000"/>
                <w:sz w:val="20"/>
              </w:rPr>
              <w:t>1</w:t>
            </w:r>
          </w:p>
          <w:p w:rsidR="005B3175" w:rsidRPr="00B760BB" w:rsidRDefault="00BF3479">
            <w:pPr>
              <w:autoSpaceDE w:val="0"/>
              <w:autoSpaceDN w:val="0"/>
              <w:adjustRightInd w:val="0"/>
              <w:rPr>
                <w:color w:val="000000"/>
                <w:sz w:val="20"/>
                <w:szCs w:val="20"/>
              </w:rPr>
            </w:pPr>
            <w:r w:rsidRPr="00B760BB">
              <w:rPr>
                <w:color w:val="000000"/>
                <w:sz w:val="20"/>
              </w:rPr>
              <w:t>0</w:t>
            </w:r>
          </w:p>
        </w:tc>
      </w:tr>
      <w:tr w:rsidR="00A4728B" w:rsidRPr="00B760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Isabella Adinolfi, Robert Biedroń, Vilija Blinkevičiūtė, Margarita de la Pisa Carrión, Frances Fitzgerald, Radka Maxová, Johan Nissinen, Maria Noichl, Carina Ohlsson, Pina Picierno, Maria Veronica Rossi, Christine Schneider</w:t>
            </w:r>
          </w:p>
        </w:tc>
      </w:tr>
      <w:tr w:rsidR="00A4728B" w:rsidRPr="00B760B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Abir Al-Sahlani, Marina Kaljurand, Aušra Maldeikienė, Silvia Modig, Susana Solís Pérez, Pernille Weiss, Angelika Winzig</w:t>
            </w:r>
          </w:p>
        </w:tc>
      </w:tr>
      <w:tr w:rsidR="00A4728B" w:rsidRPr="00B760B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b/>
                <w:bCs/>
                <w:color w:val="000000"/>
                <w:sz w:val="20"/>
                <w:szCs w:val="20"/>
              </w:rPr>
            </w:pPr>
            <w:r w:rsidRPr="00B760BB">
              <w:rPr>
                <w:b/>
                <w:color w:val="000000"/>
                <w:sz w:val="20"/>
              </w:rPr>
              <w:t>Namestniki (člen 209(7)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760BB" w:rsidRDefault="00BF3479">
            <w:pPr>
              <w:autoSpaceDE w:val="0"/>
              <w:autoSpaceDN w:val="0"/>
              <w:adjustRightInd w:val="0"/>
              <w:rPr>
                <w:color w:val="000000"/>
                <w:sz w:val="20"/>
                <w:szCs w:val="20"/>
              </w:rPr>
            </w:pPr>
            <w:r w:rsidRPr="00B760BB">
              <w:rPr>
                <w:color w:val="000000"/>
                <w:sz w:val="20"/>
              </w:rPr>
              <w:t>Jakop G. Dalunde, France Jamet, Grace O’Sullivan, Tomáš Zdechovský</w:t>
            </w:r>
          </w:p>
        </w:tc>
      </w:tr>
    </w:tbl>
    <w:p w:rsidR="005B3175" w:rsidRPr="00B760BB" w:rsidRDefault="005B3175"/>
    <w:p w:rsidR="00DE2846" w:rsidRPr="00B760BB" w:rsidRDefault="00DE2846" w:rsidP="00D36117"/>
    <w:bookmarkEnd w:id="4"/>
    <w:p w:rsidR="00DE2846" w:rsidRPr="00B760BB" w:rsidRDefault="00DE2846" w:rsidP="00DE2846">
      <w:pPr>
        <w:sectPr w:rsidR="00DE2846" w:rsidRPr="00B760BB" w:rsidSect="00B760B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B760BB" w:rsidRDefault="00DE2846" w:rsidP="00DE2846"/>
    <w:p w:rsidR="00DE2846" w:rsidRPr="00B760BB" w:rsidRDefault="00BF3479" w:rsidP="00C36610">
      <w:pPr>
        <w:pStyle w:val="PageHeadingNotTOC"/>
      </w:pPr>
      <w:bookmarkStart w:id="5" w:name="RollCallPageAD"/>
      <w:r w:rsidRPr="00B760BB">
        <w:t>POIMENSKO GLASOVANJE PRI KONČNEM GLASOVANJU 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728B" w:rsidRPr="00B760BB" w:rsidTr="008920AC">
        <w:trPr>
          <w:cantSplit/>
        </w:trPr>
        <w:tc>
          <w:tcPr>
            <w:tcW w:w="1701" w:type="dxa"/>
            <w:shd w:val="pct10" w:color="000000" w:fill="FFFFFF"/>
            <w:vAlign w:val="center"/>
          </w:tcPr>
          <w:p w:rsidR="00DE2846" w:rsidRPr="00B760BB" w:rsidRDefault="00BF3479" w:rsidP="003858C5">
            <w:pPr>
              <w:pStyle w:val="RollCallVotes"/>
            </w:pPr>
            <w:r w:rsidRPr="00B760BB">
              <w:t>22</w:t>
            </w:r>
          </w:p>
        </w:tc>
        <w:tc>
          <w:tcPr>
            <w:tcW w:w="7371" w:type="dxa"/>
            <w:shd w:val="pct10" w:color="000000" w:fill="FFFFFF"/>
          </w:tcPr>
          <w:p w:rsidR="00DE2846" w:rsidRPr="00B760BB" w:rsidRDefault="00BF3479" w:rsidP="003858C5">
            <w:pPr>
              <w:pStyle w:val="RollCallSymbols14pt"/>
            </w:pPr>
            <w:r w:rsidRPr="00B760BB">
              <w:t>+</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ECR</w:t>
            </w:r>
          </w:p>
        </w:tc>
        <w:tc>
          <w:tcPr>
            <w:tcW w:w="7371" w:type="dxa"/>
            <w:shd w:val="clear" w:color="auto" w:fill="FFFFFF"/>
          </w:tcPr>
          <w:p w:rsidR="00DE2846" w:rsidRPr="00B760BB" w:rsidRDefault="00BF3479" w:rsidP="003858C5">
            <w:pPr>
              <w:pStyle w:val="RollCallTable"/>
            </w:pPr>
            <w:r w:rsidRPr="00B760BB">
              <w:t>Margarita de la Pisa Carrión</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ID</w:t>
            </w:r>
          </w:p>
        </w:tc>
        <w:tc>
          <w:tcPr>
            <w:tcW w:w="7371" w:type="dxa"/>
            <w:shd w:val="clear" w:color="auto" w:fill="FFFFFF"/>
          </w:tcPr>
          <w:p w:rsidR="00DE2846" w:rsidRPr="00B760BB" w:rsidRDefault="00BF3479" w:rsidP="003858C5">
            <w:pPr>
              <w:pStyle w:val="RollCallTable"/>
            </w:pPr>
            <w:r w:rsidRPr="00B760BB">
              <w:t>France Jamet, Maria Veronica Rossi</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PPE</w:t>
            </w:r>
          </w:p>
        </w:tc>
        <w:tc>
          <w:tcPr>
            <w:tcW w:w="7371" w:type="dxa"/>
            <w:shd w:val="clear" w:color="auto" w:fill="FFFFFF"/>
          </w:tcPr>
          <w:p w:rsidR="00DE2846" w:rsidRPr="00B760BB" w:rsidRDefault="00BF3479" w:rsidP="003858C5">
            <w:pPr>
              <w:pStyle w:val="RollCallTable"/>
            </w:pPr>
            <w:r w:rsidRPr="00B760BB">
              <w:t>Isabella Adinolfi, Frances Fitzgerald, Helmut Geuking, Aušra Maldeikienė, Christine Schneider, Pernille Weiss, Angelika Winzig, Tomáš Zdechovský</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Renew</w:t>
            </w:r>
          </w:p>
        </w:tc>
        <w:tc>
          <w:tcPr>
            <w:tcW w:w="7371" w:type="dxa"/>
            <w:shd w:val="clear" w:color="auto" w:fill="FFFFFF"/>
          </w:tcPr>
          <w:p w:rsidR="00DE2846" w:rsidRPr="00B760BB" w:rsidRDefault="00BF3479" w:rsidP="003858C5">
            <w:pPr>
              <w:pStyle w:val="RollCallTable"/>
            </w:pPr>
            <w:r w:rsidRPr="00B760BB">
              <w:t>Abir Al-Sahlani, Susana Solís Pérez</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S&amp;D</w:t>
            </w:r>
          </w:p>
        </w:tc>
        <w:tc>
          <w:tcPr>
            <w:tcW w:w="7371" w:type="dxa"/>
            <w:shd w:val="clear" w:color="auto" w:fill="FFFFFF"/>
          </w:tcPr>
          <w:p w:rsidR="00DE2846" w:rsidRPr="00B760BB" w:rsidRDefault="00BF3479" w:rsidP="003858C5">
            <w:pPr>
              <w:pStyle w:val="RollCallTable"/>
            </w:pPr>
            <w:r w:rsidRPr="00B760BB">
              <w:t>Robert Biedroń, Vilija Blinkevičiūtė, Marina Kaljurand, Radka Maxová, Maria Noichl, Carina Ohlsson, Pina Picierno</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The Left</w:t>
            </w:r>
          </w:p>
        </w:tc>
        <w:tc>
          <w:tcPr>
            <w:tcW w:w="7371" w:type="dxa"/>
            <w:shd w:val="clear" w:color="auto" w:fill="FFFFFF"/>
          </w:tcPr>
          <w:p w:rsidR="00DE2846" w:rsidRPr="00B760BB" w:rsidRDefault="00BF3479" w:rsidP="003858C5">
            <w:pPr>
              <w:pStyle w:val="RollCallTable"/>
            </w:pPr>
            <w:r w:rsidRPr="00B760BB">
              <w:t>Silvia Modig</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Verts/ALE</w:t>
            </w:r>
          </w:p>
        </w:tc>
        <w:tc>
          <w:tcPr>
            <w:tcW w:w="7371" w:type="dxa"/>
            <w:shd w:val="clear" w:color="auto" w:fill="FFFFFF"/>
          </w:tcPr>
          <w:p w:rsidR="00DE2846" w:rsidRPr="00B760BB" w:rsidRDefault="00BF3479" w:rsidP="003858C5">
            <w:pPr>
              <w:pStyle w:val="RollCallTable"/>
            </w:pPr>
            <w:r w:rsidRPr="00B760BB">
              <w:t>Grace O'Sullivan</w:t>
            </w:r>
          </w:p>
        </w:tc>
      </w:tr>
    </w:tbl>
    <w:p w:rsidR="00DE2846" w:rsidRPr="00B760BB"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728B" w:rsidRPr="00B760BB" w:rsidTr="008920AC">
        <w:trPr>
          <w:cantSplit/>
        </w:trPr>
        <w:tc>
          <w:tcPr>
            <w:tcW w:w="1701" w:type="dxa"/>
            <w:shd w:val="pct10" w:color="000000" w:fill="FFFFFF"/>
            <w:vAlign w:val="center"/>
          </w:tcPr>
          <w:p w:rsidR="00DE2846" w:rsidRPr="00B760BB" w:rsidRDefault="00BF3479" w:rsidP="003858C5">
            <w:pPr>
              <w:pStyle w:val="RollCallVotes"/>
            </w:pPr>
            <w:r w:rsidRPr="00B760BB">
              <w:t>1</w:t>
            </w:r>
          </w:p>
        </w:tc>
        <w:tc>
          <w:tcPr>
            <w:tcW w:w="7371" w:type="dxa"/>
            <w:shd w:val="pct10" w:color="000000" w:fill="FFFFFF"/>
          </w:tcPr>
          <w:p w:rsidR="00DE2846" w:rsidRPr="00B760BB" w:rsidRDefault="00BF3479" w:rsidP="003858C5">
            <w:pPr>
              <w:pStyle w:val="RollCallSymbols14pt"/>
            </w:pPr>
            <w:r w:rsidRPr="00B760BB">
              <w:t>-</w:t>
            </w:r>
          </w:p>
        </w:tc>
      </w:tr>
      <w:tr w:rsidR="00A4728B" w:rsidRPr="00B760BB" w:rsidTr="008920AC">
        <w:trPr>
          <w:cantSplit/>
        </w:trPr>
        <w:tc>
          <w:tcPr>
            <w:tcW w:w="1701" w:type="dxa"/>
            <w:shd w:val="clear" w:color="auto" w:fill="FFFFFF"/>
          </w:tcPr>
          <w:p w:rsidR="00DE2846" w:rsidRPr="00B760BB" w:rsidRDefault="00BF3479" w:rsidP="003858C5">
            <w:pPr>
              <w:pStyle w:val="RollCallTable"/>
            </w:pPr>
            <w:r w:rsidRPr="00B760BB">
              <w:t>ECR</w:t>
            </w:r>
          </w:p>
        </w:tc>
        <w:tc>
          <w:tcPr>
            <w:tcW w:w="7371" w:type="dxa"/>
            <w:shd w:val="clear" w:color="auto" w:fill="FFFFFF"/>
          </w:tcPr>
          <w:p w:rsidR="00DE2846" w:rsidRPr="00B760BB" w:rsidRDefault="00BF3479" w:rsidP="003858C5">
            <w:pPr>
              <w:pStyle w:val="RollCallTable"/>
            </w:pPr>
            <w:r w:rsidRPr="00B760BB">
              <w:t>Johan Nissinen</w:t>
            </w:r>
          </w:p>
        </w:tc>
      </w:tr>
    </w:tbl>
    <w:p w:rsidR="00DE2846" w:rsidRPr="00B760BB"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728B" w:rsidRPr="00B760BB" w:rsidTr="008920AC">
        <w:trPr>
          <w:cantSplit/>
        </w:trPr>
        <w:tc>
          <w:tcPr>
            <w:tcW w:w="1701" w:type="dxa"/>
            <w:shd w:val="pct10" w:color="000000" w:fill="FFFFFF"/>
            <w:vAlign w:val="center"/>
          </w:tcPr>
          <w:p w:rsidR="00DE2846" w:rsidRPr="00B760BB" w:rsidRDefault="00BF3479" w:rsidP="003858C5">
            <w:pPr>
              <w:pStyle w:val="RollCallVotes"/>
            </w:pPr>
            <w:r w:rsidRPr="00B760BB">
              <w:t>0</w:t>
            </w:r>
          </w:p>
        </w:tc>
        <w:tc>
          <w:tcPr>
            <w:tcW w:w="7371" w:type="dxa"/>
            <w:shd w:val="pct10" w:color="000000" w:fill="FFFFFF"/>
          </w:tcPr>
          <w:p w:rsidR="00DE2846" w:rsidRPr="00B760BB" w:rsidRDefault="00BF3479" w:rsidP="003858C5">
            <w:pPr>
              <w:pStyle w:val="RollCallSymbols14pt"/>
            </w:pPr>
            <w:r w:rsidRPr="00B760BB">
              <w:t>0</w:t>
            </w:r>
          </w:p>
        </w:tc>
      </w:tr>
      <w:tr w:rsidR="00A4728B" w:rsidRPr="00B760BB" w:rsidTr="008920AC">
        <w:trPr>
          <w:cantSplit/>
        </w:trPr>
        <w:tc>
          <w:tcPr>
            <w:tcW w:w="1701" w:type="dxa"/>
            <w:shd w:val="clear" w:color="auto" w:fill="FFFFFF"/>
          </w:tcPr>
          <w:p w:rsidR="00DE2846" w:rsidRPr="00B760BB" w:rsidRDefault="00DE2846" w:rsidP="003858C5">
            <w:pPr>
              <w:pStyle w:val="RollCallTable"/>
            </w:pPr>
          </w:p>
        </w:tc>
        <w:tc>
          <w:tcPr>
            <w:tcW w:w="7371" w:type="dxa"/>
            <w:shd w:val="clear" w:color="auto" w:fill="FFFFFF"/>
          </w:tcPr>
          <w:p w:rsidR="00DE2846" w:rsidRPr="00B760BB" w:rsidRDefault="00DE2846" w:rsidP="003858C5">
            <w:pPr>
              <w:pStyle w:val="RollCallTable"/>
            </w:pPr>
          </w:p>
        </w:tc>
      </w:tr>
    </w:tbl>
    <w:p w:rsidR="00DE2846" w:rsidRPr="00B760BB" w:rsidRDefault="00DE2846" w:rsidP="00147FBF">
      <w:pPr>
        <w:pStyle w:val="Normal12a"/>
      </w:pPr>
    </w:p>
    <w:p w:rsidR="00DE2846" w:rsidRPr="00B760BB" w:rsidRDefault="00BF3479" w:rsidP="00B735E3">
      <w:r w:rsidRPr="00B760BB">
        <w:t>Uporabljeni znaki:</w:t>
      </w:r>
    </w:p>
    <w:p w:rsidR="00DE2846" w:rsidRPr="00B760BB" w:rsidRDefault="00BF3479" w:rsidP="003858C5">
      <w:pPr>
        <w:pStyle w:val="RollCallTabs"/>
      </w:pPr>
      <w:r w:rsidRPr="00B760BB">
        <w:t>+</w:t>
      </w:r>
      <w:r w:rsidRPr="00B760BB">
        <w:tab/>
        <w:t>:</w:t>
      </w:r>
      <w:r w:rsidRPr="00B760BB">
        <w:tab/>
        <w:t>za</w:t>
      </w:r>
    </w:p>
    <w:p w:rsidR="00DE2846" w:rsidRPr="00B760BB" w:rsidRDefault="00BF3479" w:rsidP="003858C5">
      <w:pPr>
        <w:pStyle w:val="RollCallTabs"/>
      </w:pPr>
      <w:r w:rsidRPr="00B760BB">
        <w:t>-</w:t>
      </w:r>
      <w:r w:rsidRPr="00B760BB">
        <w:tab/>
        <w:t>:</w:t>
      </w:r>
      <w:r w:rsidRPr="00B760BB">
        <w:tab/>
        <w:t>proti</w:t>
      </w:r>
    </w:p>
    <w:p w:rsidR="00DE2846" w:rsidRPr="00B760BB" w:rsidRDefault="00BF3479" w:rsidP="003858C5">
      <w:pPr>
        <w:pStyle w:val="RollCallTabs"/>
      </w:pPr>
      <w:r w:rsidRPr="00B760BB">
        <w:t>0</w:t>
      </w:r>
      <w:r w:rsidRPr="00B760BB">
        <w:tab/>
        <w:t>:</w:t>
      </w:r>
      <w:r w:rsidRPr="00B760BB">
        <w:tab/>
        <w:t>vzdržani</w:t>
      </w:r>
    </w:p>
    <w:p w:rsidR="00DE2846" w:rsidRPr="00B760BB" w:rsidRDefault="00DE2846" w:rsidP="00207509"/>
    <w:bookmarkEnd w:id="5"/>
    <w:p w:rsidR="00DB56E4" w:rsidRPr="00B760BB" w:rsidRDefault="00DB56E4" w:rsidP="00DE2846"/>
    <w:sectPr w:rsidR="00DB56E4" w:rsidRPr="00B760BB"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28E" w:rsidRPr="00B760BB" w:rsidRDefault="00BF3479">
      <w:r w:rsidRPr="00B760BB">
        <w:separator/>
      </w:r>
    </w:p>
  </w:endnote>
  <w:endnote w:type="continuationSeparator" w:id="0">
    <w:p w:rsidR="00EE528E" w:rsidRPr="00B760BB" w:rsidRDefault="00BF3479">
      <w:r w:rsidRPr="00B76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0BB" w:rsidRPr="00B760BB" w:rsidRDefault="00B760BB" w:rsidP="00B760BB">
    <w:pPr>
      <w:pStyle w:val="EPFooter"/>
    </w:pPr>
    <w:r w:rsidRPr="00B760BB">
      <w:t>PE</w:t>
    </w:r>
    <w:r w:rsidRPr="006D2CA9">
      <w:rPr>
        <w:rStyle w:val="HideTWBExt"/>
      </w:rPr>
      <w:t>&lt;NoPE&gt;</w:t>
    </w:r>
    <w:r w:rsidRPr="00B760BB">
      <w:t>754.897</w:t>
    </w:r>
    <w:r w:rsidRPr="006D2CA9">
      <w:rPr>
        <w:rStyle w:val="HideTWBExt"/>
      </w:rPr>
      <w:t>&lt;/NoPE&gt;&lt;Version&gt;</w:t>
    </w:r>
    <w:r w:rsidRPr="00B760BB">
      <w:t>v05-00</w:t>
    </w:r>
    <w:r w:rsidRPr="006D2CA9">
      <w:rPr>
        <w:rStyle w:val="HideTWBExt"/>
      </w:rPr>
      <w:t>&lt;/Version&gt;</w:t>
    </w:r>
    <w:r w:rsidRPr="00B760BB">
      <w:tab/>
    </w:r>
    <w:r w:rsidRPr="00B760BB">
      <w:fldChar w:fldCharType="begin"/>
    </w:r>
    <w:r w:rsidRPr="00B760BB">
      <w:instrText xml:space="preserve"> PAGE  \* MERGEFORMAT </w:instrText>
    </w:r>
    <w:r w:rsidRPr="00B760BB">
      <w:fldChar w:fldCharType="separate"/>
    </w:r>
    <w:r w:rsidR="006D2CA9">
      <w:rPr>
        <w:noProof/>
      </w:rPr>
      <w:t>8</w:t>
    </w:r>
    <w:r w:rsidRPr="00B760BB">
      <w:fldChar w:fldCharType="end"/>
    </w:r>
    <w:r w:rsidRPr="00B760BB">
      <w:t>/</w:t>
    </w:r>
    <w:r w:rsidR="006D2CA9">
      <w:fldChar w:fldCharType="begin"/>
    </w:r>
    <w:r w:rsidR="006D2CA9">
      <w:instrText xml:space="preserve"> NUMPAGES  \* MERGEFORMAT </w:instrText>
    </w:r>
    <w:r w:rsidR="006D2CA9">
      <w:fldChar w:fldCharType="separate"/>
    </w:r>
    <w:r w:rsidR="006D2CA9">
      <w:rPr>
        <w:noProof/>
      </w:rPr>
      <w:t>19</w:t>
    </w:r>
    <w:r w:rsidR="006D2CA9">
      <w:rPr>
        <w:noProof/>
      </w:rPr>
      <w:fldChar w:fldCharType="end"/>
    </w:r>
    <w:r w:rsidRPr="00B760BB">
      <w:tab/>
    </w:r>
    <w:r w:rsidRPr="006D2CA9">
      <w:rPr>
        <w:rStyle w:val="HideTWBExt"/>
      </w:rPr>
      <w:t>&lt;PathFdR&gt;</w:t>
    </w:r>
    <w:r w:rsidRPr="00B760BB">
      <w:t>AD\1292708SL.docx</w:t>
    </w:r>
    <w:r w:rsidRPr="006D2CA9">
      <w:rPr>
        <w:rStyle w:val="HideTWBExt"/>
      </w:rPr>
      <w:t>&lt;/PathFdR&gt;</w:t>
    </w:r>
  </w:p>
  <w:p w:rsidR="009725C8" w:rsidRPr="00B760BB" w:rsidRDefault="00B760BB" w:rsidP="00B760BB">
    <w:pPr>
      <w:pStyle w:val="EPFooter2"/>
    </w:pPr>
    <w:r w:rsidRPr="00B760B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0BB" w:rsidRPr="00B760BB" w:rsidRDefault="00B760BB" w:rsidP="00B760BB">
    <w:pPr>
      <w:pStyle w:val="EPFooter"/>
    </w:pPr>
    <w:r w:rsidRPr="006D2CA9">
      <w:rPr>
        <w:rStyle w:val="HideTWBExt"/>
      </w:rPr>
      <w:t>&lt;PathFdR&gt;</w:t>
    </w:r>
    <w:r w:rsidRPr="00B760BB">
      <w:t>AD\1292708SL.docx</w:t>
    </w:r>
    <w:r w:rsidRPr="006D2CA9">
      <w:rPr>
        <w:rStyle w:val="HideTWBExt"/>
      </w:rPr>
      <w:t>&lt;/PathFdR&gt;</w:t>
    </w:r>
    <w:r w:rsidRPr="00B760BB">
      <w:tab/>
    </w:r>
    <w:r w:rsidRPr="00B760BB">
      <w:fldChar w:fldCharType="begin"/>
    </w:r>
    <w:r w:rsidRPr="00B760BB">
      <w:instrText xml:space="preserve"> PAGE  \* MERGEFORMAT </w:instrText>
    </w:r>
    <w:r w:rsidRPr="00B760BB">
      <w:fldChar w:fldCharType="separate"/>
    </w:r>
    <w:r w:rsidR="006D2CA9">
      <w:rPr>
        <w:noProof/>
      </w:rPr>
      <w:t>9</w:t>
    </w:r>
    <w:r w:rsidRPr="00B760BB">
      <w:fldChar w:fldCharType="end"/>
    </w:r>
    <w:r w:rsidRPr="00B760BB">
      <w:t>/</w:t>
    </w:r>
    <w:r w:rsidR="006D2CA9">
      <w:fldChar w:fldCharType="begin"/>
    </w:r>
    <w:r w:rsidR="006D2CA9">
      <w:instrText xml:space="preserve"> NUMPAGES  \* MERGEFORMAT </w:instrText>
    </w:r>
    <w:r w:rsidR="006D2CA9">
      <w:fldChar w:fldCharType="separate"/>
    </w:r>
    <w:r w:rsidR="006D2CA9">
      <w:rPr>
        <w:noProof/>
      </w:rPr>
      <w:t>19</w:t>
    </w:r>
    <w:r w:rsidR="006D2CA9">
      <w:rPr>
        <w:noProof/>
      </w:rPr>
      <w:fldChar w:fldCharType="end"/>
    </w:r>
    <w:r w:rsidRPr="00B760BB">
      <w:tab/>
      <w:t>PE</w:t>
    </w:r>
    <w:r w:rsidRPr="006D2CA9">
      <w:rPr>
        <w:rStyle w:val="HideTWBExt"/>
      </w:rPr>
      <w:t>&lt;NoPE&gt;</w:t>
    </w:r>
    <w:r w:rsidRPr="00B760BB">
      <w:t>754.897</w:t>
    </w:r>
    <w:r w:rsidRPr="006D2CA9">
      <w:rPr>
        <w:rStyle w:val="HideTWBExt"/>
      </w:rPr>
      <w:t>&lt;/NoPE&gt;&lt;Version&gt;</w:t>
    </w:r>
    <w:r w:rsidRPr="00B760BB">
      <w:t>v05-00</w:t>
    </w:r>
    <w:r w:rsidRPr="006D2CA9">
      <w:rPr>
        <w:rStyle w:val="HideTWBExt"/>
      </w:rPr>
      <w:t>&lt;/Version&gt;</w:t>
    </w:r>
  </w:p>
  <w:p w:rsidR="009725C8" w:rsidRPr="00B760BB" w:rsidRDefault="00B760BB" w:rsidP="00B760BB">
    <w:pPr>
      <w:pStyle w:val="EPFooter2"/>
    </w:pPr>
    <w:r w:rsidRPr="00B760BB">
      <w:tab/>
    </w:r>
    <w:r w:rsidRPr="00B760B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0BB" w:rsidRPr="00B760BB" w:rsidRDefault="00B760BB" w:rsidP="00B760BB">
    <w:pPr>
      <w:pStyle w:val="EPFooter"/>
    </w:pPr>
    <w:r w:rsidRPr="006D2CA9">
      <w:rPr>
        <w:rStyle w:val="HideTWBExt"/>
      </w:rPr>
      <w:t>&lt;PathFdR&gt;</w:t>
    </w:r>
    <w:r w:rsidRPr="00B760BB">
      <w:t>AD\1292708SL.docx</w:t>
    </w:r>
    <w:r w:rsidRPr="006D2CA9">
      <w:rPr>
        <w:rStyle w:val="HideTWBExt"/>
      </w:rPr>
      <w:t>&lt;/PathFdR&gt;</w:t>
    </w:r>
    <w:r w:rsidRPr="00B760BB">
      <w:tab/>
    </w:r>
    <w:r w:rsidRPr="00B760BB">
      <w:tab/>
      <w:t>PE</w:t>
    </w:r>
    <w:r w:rsidRPr="006D2CA9">
      <w:rPr>
        <w:rStyle w:val="HideTWBExt"/>
      </w:rPr>
      <w:t>&lt;NoPE&gt;</w:t>
    </w:r>
    <w:r w:rsidRPr="00B760BB">
      <w:t>754.897</w:t>
    </w:r>
    <w:r w:rsidRPr="006D2CA9">
      <w:rPr>
        <w:rStyle w:val="HideTWBExt"/>
      </w:rPr>
      <w:t>&lt;/NoPE&gt;&lt;Version&gt;</w:t>
    </w:r>
    <w:r w:rsidRPr="00B760BB">
      <w:t>v05-00</w:t>
    </w:r>
    <w:r w:rsidRPr="006D2CA9">
      <w:rPr>
        <w:rStyle w:val="HideTWBExt"/>
      </w:rPr>
      <w:t>&lt;/Version&gt;</w:t>
    </w:r>
  </w:p>
  <w:p w:rsidR="009725C8" w:rsidRPr="00B760BB" w:rsidRDefault="00B760BB" w:rsidP="00B760BB">
    <w:pPr>
      <w:pStyle w:val="EPFooter2"/>
    </w:pPr>
    <w:r w:rsidRPr="00B760BB">
      <w:t>SL</w:t>
    </w:r>
    <w:r w:rsidRPr="00B760BB">
      <w:tab/>
    </w:r>
    <w:r w:rsidRPr="00B760BB">
      <w:rPr>
        <w:b w:val="0"/>
        <w:i/>
        <w:color w:val="C0C0C0"/>
        <w:sz w:val="22"/>
      </w:rPr>
      <w:t>Združena v raznolikosti</w:t>
    </w:r>
    <w:r w:rsidRPr="00B760BB">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28E" w:rsidRPr="00B760BB" w:rsidRDefault="00BF3479">
      <w:r w:rsidRPr="00B760BB">
        <w:separator/>
      </w:r>
    </w:p>
  </w:footnote>
  <w:footnote w:type="continuationSeparator" w:id="0">
    <w:p w:rsidR="00EE528E" w:rsidRPr="00B760BB" w:rsidRDefault="00BF3479">
      <w:r w:rsidRPr="00B760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79" w:rsidRDefault="00BF3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79" w:rsidRDefault="00BF34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479" w:rsidRDefault="00BF34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SL"/>
    <w:docVar w:name="TXTLANGUEMIN" w:val="sl"/>
    <w:docVar w:name="TXTNRC" w:val="0512"/>
    <w:docVar w:name="TXTNRCOM" w:val="2023"/>
    <w:docVar w:name="TXTNRFIRSTAM" w:val="1"/>
    <w:docVar w:name="TXTNRLASTAM" w:val="43"/>
    <w:docVar w:name="TXTNRPE" w:val="754.897"/>
    <w:docVar w:name="TXTNRPROC" w:val="2023/0311"/>
    <w:docVar w:name="TXTPEorAP" w:val="PE"/>
    <w:docVar w:name="TXTROUTE" w:val="AD\1292708SL.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D2CA9"/>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4728B"/>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760BB"/>
    <w:rsid w:val="00B904FA"/>
    <w:rsid w:val="00B91A5E"/>
    <w:rsid w:val="00BA3E40"/>
    <w:rsid w:val="00BC2202"/>
    <w:rsid w:val="00BD1F76"/>
    <w:rsid w:val="00BD6CE9"/>
    <w:rsid w:val="00BD7CF5"/>
    <w:rsid w:val="00BE20CF"/>
    <w:rsid w:val="00BE7313"/>
    <w:rsid w:val="00BF3479"/>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E528E"/>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D8F76"/>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sl-SI"/>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AB73B-EAD3-4D0D-B939-4B0684070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3520</Words>
  <Characters>21185</Characters>
  <Application>Microsoft Office Word</Application>
  <DocSecurity>0</DocSecurity>
  <Lines>812</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2024-01-08T13:23:00Z</dcterms:created>
  <dcterms:modified xsi:type="dcterms:W3CDTF">2024-01-08T13:23:00Z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AD\1292708SL.docx</vt:lpwstr>
  </property>
  <property fmtid="{D5CDD505-2E9C-101B-9397-08002B2CF9AE}" pid="10" name="LastEdited with">
    <vt:lpwstr>9.17.0 Build [20231101]</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- 2024/01/08 14:22</vt:lpwstr>
  </property>
</Properties>
</file>