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37FF" w:rsidRPr="00F40263" w:rsidTr="00C85D0F">
        <w:trPr>
          <w:trHeight w:hRule="exact" w:val="1418"/>
        </w:trPr>
        <w:tc>
          <w:tcPr>
            <w:tcW w:w="6804" w:type="dxa"/>
            <w:shd w:val="clear" w:color="auto" w:fill="auto"/>
            <w:vAlign w:val="center"/>
          </w:tcPr>
          <w:p w:rsidR="00854CAC" w:rsidRPr="00F40263" w:rsidRDefault="00825A0E" w:rsidP="00C85D0F">
            <w:pPr>
              <w:pStyle w:val="EPName"/>
            </w:pPr>
            <w:bookmarkStart w:id="0" w:name="_GoBack"/>
            <w:bookmarkEnd w:id="0"/>
            <w:r w:rsidRPr="00F40263">
              <w:t>Europski parlament</w:t>
            </w:r>
          </w:p>
          <w:p w:rsidR="00854CAC" w:rsidRPr="00F40263" w:rsidRDefault="00825A0E" w:rsidP="00127E74">
            <w:pPr>
              <w:pStyle w:val="EPTerm"/>
            </w:pPr>
            <w:r w:rsidRPr="00F40263">
              <w:t>2024-2029</w:t>
            </w:r>
          </w:p>
        </w:tc>
        <w:tc>
          <w:tcPr>
            <w:tcW w:w="2268" w:type="dxa"/>
            <w:shd w:val="clear" w:color="auto" w:fill="auto"/>
          </w:tcPr>
          <w:p w:rsidR="00854CAC" w:rsidRPr="00F40263" w:rsidRDefault="00825A0E" w:rsidP="00C85D0F">
            <w:pPr>
              <w:pStyle w:val="EPLogo"/>
            </w:pPr>
            <w:r w:rsidRPr="00F4026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F40263" w:rsidRDefault="001746D0" w:rsidP="001746D0">
      <w:pPr>
        <w:pStyle w:val="LineTop"/>
      </w:pPr>
    </w:p>
    <w:p w:rsidR="001746D0" w:rsidRPr="00F40263" w:rsidRDefault="00825A0E" w:rsidP="001746D0">
      <w:pPr>
        <w:pStyle w:val="EPBody"/>
      </w:pPr>
      <w:r w:rsidRPr="00F40263">
        <w:rPr>
          <w:rStyle w:val="HideTWBExt"/>
        </w:rPr>
        <w:t>&lt;</w:t>
      </w:r>
      <w:r w:rsidRPr="00F40263">
        <w:rPr>
          <w:rStyle w:val="HideTWBExt"/>
          <w:i w:val="0"/>
        </w:rPr>
        <w:t>Commission</w:t>
      </w:r>
      <w:r w:rsidRPr="00F40263">
        <w:rPr>
          <w:rStyle w:val="HideTWBExt"/>
        </w:rPr>
        <w:t>&gt;</w:t>
      </w:r>
      <w:r w:rsidRPr="00F40263">
        <w:rPr>
          <w:rStyle w:val="HideTWBInt"/>
          <w:color w:val="auto"/>
        </w:rPr>
        <w:t>{FEMM}</w:t>
      </w:r>
      <w:r w:rsidRPr="00F40263">
        <w:t>Odbor za prava žena i rodnu ravnopravnost</w:t>
      </w:r>
      <w:r w:rsidRPr="00F40263">
        <w:rPr>
          <w:rStyle w:val="HideTWBExt"/>
        </w:rPr>
        <w:t>&lt;/</w:t>
      </w:r>
      <w:r w:rsidRPr="00F40263">
        <w:rPr>
          <w:rStyle w:val="HideTWBExt"/>
          <w:i w:val="0"/>
        </w:rPr>
        <w:t>Commission</w:t>
      </w:r>
      <w:r w:rsidRPr="00F40263">
        <w:rPr>
          <w:rStyle w:val="HideTWBExt"/>
        </w:rPr>
        <w:t>&gt;</w:t>
      </w:r>
    </w:p>
    <w:p w:rsidR="001746D0" w:rsidRPr="00F40263" w:rsidRDefault="001746D0" w:rsidP="001746D0">
      <w:pPr>
        <w:pStyle w:val="LineBottom"/>
      </w:pPr>
    </w:p>
    <w:p w:rsidR="002E2F2E" w:rsidRPr="00F40263" w:rsidRDefault="00825A0E">
      <w:pPr>
        <w:pStyle w:val="CoverReference"/>
      </w:pPr>
      <w:r w:rsidRPr="00F40263">
        <w:rPr>
          <w:rStyle w:val="HideTWBExt"/>
          <w:b w:val="0"/>
        </w:rPr>
        <w:t>&lt;RefProc&gt;</w:t>
      </w:r>
      <w:r w:rsidR="00977598" w:rsidRPr="00F40263">
        <w:t>202</w:t>
      </w:r>
      <w:r w:rsidRPr="00F40263">
        <w:t>4/2081</w:t>
      </w:r>
      <w:r w:rsidRPr="00F40263">
        <w:rPr>
          <w:rStyle w:val="HideTWBExt"/>
          <w:b w:val="0"/>
        </w:rPr>
        <w:t>&lt;/RefProc&gt;&lt;RefTypeProc&gt;</w:t>
      </w:r>
      <w:r w:rsidRPr="00F40263">
        <w:t>(INI)</w:t>
      </w:r>
      <w:r w:rsidRPr="00F40263">
        <w:rPr>
          <w:rStyle w:val="HideTWBExt"/>
          <w:b w:val="0"/>
        </w:rPr>
        <w:t>&lt;/RefTypeProc&gt;</w:t>
      </w:r>
    </w:p>
    <w:p w:rsidR="002E2F2E" w:rsidRPr="00F40263" w:rsidRDefault="00825A0E">
      <w:pPr>
        <w:pStyle w:val="CoverDate"/>
      </w:pPr>
      <w:r w:rsidRPr="00F40263">
        <w:rPr>
          <w:rStyle w:val="HideTWBExt"/>
        </w:rPr>
        <w:t>&lt;Date&gt;</w:t>
      </w:r>
      <w:r w:rsidRPr="00F40263">
        <w:rPr>
          <w:rStyle w:val="HideTWBInt"/>
          <w:color w:val="auto"/>
        </w:rPr>
        <w:t>{16/12/2024}</w:t>
      </w:r>
      <w:r w:rsidRPr="00F40263">
        <w:t>16.12.2024.</w:t>
      </w:r>
      <w:r w:rsidRPr="00F40263">
        <w:rPr>
          <w:rStyle w:val="HideTWBExt"/>
        </w:rPr>
        <w:t>&lt;/Date&gt;</w:t>
      </w:r>
    </w:p>
    <w:p w:rsidR="002E2F2E" w:rsidRPr="00F40263" w:rsidRDefault="00825A0E">
      <w:pPr>
        <w:pStyle w:val="CoverDocType24a"/>
      </w:pPr>
      <w:r w:rsidRPr="00F40263">
        <w:rPr>
          <w:rStyle w:val="HideTWBExt"/>
          <w:b w:val="0"/>
        </w:rPr>
        <w:t>&lt;TitreType&gt;</w:t>
      </w:r>
      <w:r w:rsidRPr="00F40263">
        <w:t>MIŠLJENJE</w:t>
      </w:r>
      <w:r w:rsidRPr="00F40263">
        <w:rPr>
          <w:rStyle w:val="HideTWBExt"/>
          <w:b w:val="0"/>
        </w:rPr>
        <w:t>&lt;/TitreType&gt;</w:t>
      </w:r>
    </w:p>
    <w:p w:rsidR="002E2F2E" w:rsidRPr="00F40263" w:rsidRDefault="00825A0E">
      <w:pPr>
        <w:pStyle w:val="CoverNormal24a"/>
      </w:pPr>
      <w:r w:rsidRPr="00F40263">
        <w:rPr>
          <w:rStyle w:val="HideTWBExt"/>
        </w:rPr>
        <w:t>&lt;CommissionResp&gt;</w:t>
      </w:r>
      <w:r w:rsidRPr="00F40263">
        <w:t>Odbora za prava žena i rodnu ravnopravnost</w:t>
      </w:r>
      <w:r w:rsidRPr="00F40263">
        <w:rPr>
          <w:rStyle w:val="HideTWBExt"/>
        </w:rPr>
        <w:t>&lt;/CommissionResp&gt;</w:t>
      </w:r>
    </w:p>
    <w:p w:rsidR="002E2F2E" w:rsidRPr="00F40263" w:rsidRDefault="00825A0E">
      <w:pPr>
        <w:pStyle w:val="CoverNormal24a"/>
      </w:pPr>
      <w:r w:rsidRPr="00F40263">
        <w:rPr>
          <w:rStyle w:val="HideTWBExt"/>
        </w:rPr>
        <w:t>&lt;CommissionInt&gt;</w:t>
      </w:r>
      <w:r w:rsidRPr="00F40263">
        <w:t>upućeno Odboru za vanjske poslove</w:t>
      </w:r>
      <w:r w:rsidRPr="00F40263">
        <w:rPr>
          <w:rStyle w:val="HideTWBExt"/>
        </w:rPr>
        <w:t>&lt;/CommissionInt&gt;</w:t>
      </w:r>
    </w:p>
    <w:p w:rsidR="00127E74" w:rsidRPr="00F40263" w:rsidRDefault="00825A0E" w:rsidP="00127E74">
      <w:pPr>
        <w:pStyle w:val="CoverNormal"/>
      </w:pPr>
      <w:r w:rsidRPr="00F40263">
        <w:rPr>
          <w:rStyle w:val="HideTWBExt"/>
        </w:rPr>
        <w:t>&lt;Titre&gt;</w:t>
      </w:r>
      <w:r w:rsidRPr="00F40263">
        <w:t xml:space="preserve">o ljudskim pravima i demokraciji u svijetu i politici Europske unije u tom području – godišnje izvješće za 2024. </w:t>
      </w:r>
      <w:r w:rsidRPr="00F40263">
        <w:rPr>
          <w:rStyle w:val="HideTWBExt"/>
        </w:rPr>
        <w:t>&lt;/Titre&gt;</w:t>
      </w:r>
    </w:p>
    <w:p w:rsidR="002E2F2E" w:rsidRPr="00F40263" w:rsidRDefault="00825A0E" w:rsidP="00127E74">
      <w:pPr>
        <w:pStyle w:val="CoverNormal24a"/>
      </w:pPr>
      <w:r w:rsidRPr="00F40263">
        <w:rPr>
          <w:rStyle w:val="HideTWBExt"/>
        </w:rPr>
        <w:t>&lt;DocRef&gt;</w:t>
      </w:r>
      <w:r w:rsidRPr="00F40263">
        <w:t>(2024/2081 (INI))</w:t>
      </w:r>
      <w:r w:rsidRPr="00F40263">
        <w:rPr>
          <w:rStyle w:val="HideTWBExt"/>
        </w:rPr>
        <w:t>&lt;/DocRef&gt;</w:t>
      </w:r>
    </w:p>
    <w:p w:rsidR="002E2F2E" w:rsidRPr="00F40263" w:rsidRDefault="00825A0E">
      <w:pPr>
        <w:pStyle w:val="CoverNormal24a"/>
      </w:pPr>
      <w:r w:rsidRPr="00F40263">
        <w:t xml:space="preserve">Izvjestiteljica za mišljenje: </w:t>
      </w:r>
      <w:r w:rsidRPr="00F40263">
        <w:rPr>
          <w:rStyle w:val="HideTWBExt"/>
        </w:rPr>
        <w:t>&lt;Depute&gt;</w:t>
      </w:r>
      <w:r w:rsidRPr="00F40263">
        <w:t>Abir Al</w:t>
      </w:r>
      <w:r w:rsidRPr="00F40263">
        <w:noBreakHyphen/>
        <w:t>Sahlani</w:t>
      </w:r>
      <w:r w:rsidRPr="00F40263">
        <w:rPr>
          <w:rStyle w:val="HideTWBExt"/>
        </w:rPr>
        <w:t>&lt;/Depute&gt;</w:t>
      </w:r>
    </w:p>
    <w:p w:rsidR="00A72C35" w:rsidRPr="00F40263" w:rsidRDefault="00A72C35" w:rsidP="00A72C35">
      <w:pPr>
        <w:pStyle w:val="CoverNormal"/>
      </w:pPr>
    </w:p>
    <w:p w:rsidR="002E2F2E" w:rsidRPr="00F40263" w:rsidRDefault="00825A0E" w:rsidP="00E856D2">
      <w:pPr>
        <w:widowControl/>
        <w:tabs>
          <w:tab w:val="center" w:pos="4677"/>
        </w:tabs>
      </w:pPr>
      <w:r w:rsidRPr="00F40263">
        <w:br w:type="page"/>
      </w:r>
      <w:r w:rsidRPr="00F40263">
        <w:lastRenderedPageBreak/>
        <w:t>PA_NonLeg</w:t>
      </w:r>
    </w:p>
    <w:p w:rsidR="002E2F2E" w:rsidRPr="00F40263" w:rsidRDefault="00825A0E" w:rsidP="00D318E7">
      <w:pPr>
        <w:pStyle w:val="PageHeadingNotTOC"/>
      </w:pPr>
      <w:r w:rsidRPr="00F40263">
        <w:br w:type="page"/>
      </w:r>
      <w:r w:rsidRPr="00F40263">
        <w:lastRenderedPageBreak/>
        <w:t>AMANDMANI</w:t>
      </w:r>
    </w:p>
    <w:p w:rsidR="002E2F2E" w:rsidRPr="00F40263" w:rsidRDefault="00825A0E" w:rsidP="008313E7">
      <w:pPr>
        <w:pStyle w:val="Normal12a"/>
      </w:pPr>
      <w:r w:rsidRPr="00F40263">
        <w:t>Odbor za prava žena i rodnu ravnopravnost podnosi Odboru za vanjske poslove, kao nadležnom odboru, sljedeće:</w:t>
      </w:r>
    </w:p>
    <w:p w:rsidR="00FB50E9" w:rsidRPr="00F40263" w:rsidRDefault="00825A0E" w:rsidP="00FB50E9">
      <w:pPr>
        <w:pStyle w:val="AmNumberTabs"/>
        <w:keepNext/>
      </w:pPr>
      <w:bookmarkStart w:id="1" w:name="FootprintPageAD"/>
      <w:r w:rsidRPr="00F40263">
        <w:rPr>
          <w:rStyle w:val="HideTWBExt"/>
        </w:rPr>
        <w:t>&lt;RepeatBlock-Amend&gt;</w:t>
      </w:r>
    </w:p>
    <w:p w:rsidR="00FB50E9" w:rsidRPr="00F40263" w:rsidRDefault="00825A0E" w:rsidP="00FB50E9">
      <w:pPr>
        <w:pStyle w:val="AmNumberTabs"/>
      </w:pPr>
      <w:bookmarkStart w:id="2" w:name="DocEPLastVariable"/>
      <w:bookmarkStart w:id="3" w:name="DocEPTmp"/>
      <w:bookmarkEnd w:id="2"/>
      <w:bookmarkEnd w:id="3"/>
      <w:r w:rsidRPr="00F40263">
        <w:rPr>
          <w:rStyle w:val="HideTWBExt"/>
          <w:b w:val="0"/>
        </w:rPr>
        <w:t>&lt;Amend&gt;</w:t>
      </w:r>
      <w:r w:rsidRPr="00F40263">
        <w:t>Amandman</w:t>
      </w:r>
      <w:r w:rsidRPr="00F40263">
        <w:tab/>
      </w:r>
      <w:r w:rsidRPr="00F40263">
        <w:tab/>
      </w:r>
      <w:r w:rsidRPr="00F40263">
        <w:rPr>
          <w:rStyle w:val="HideTWBExt"/>
          <w:b w:val="0"/>
        </w:rPr>
        <w:t>&lt;NumAm&gt;</w:t>
      </w:r>
      <w:r w:rsidRPr="00F40263">
        <w:t>1</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Pozivanje 15.</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rPr>
                <w:b/>
                <w:i/>
              </w:rPr>
            </w:pPr>
            <w:r w:rsidRPr="00F40263">
              <w:t>–</w:t>
            </w:r>
            <w:r w:rsidRPr="00F40263">
              <w:rPr>
                <w:b/>
                <w:i/>
              </w:rPr>
              <w:tab/>
            </w:r>
            <w:r w:rsidRPr="00F40263">
              <w:t>uzimajući u obzir Program održivog razvoja Ujedinjenih naroda do 2030. donesen 25. rujna 2015., a posebno 1., 4., 5., 8., 10. i 16. cilj tog programa,</w:t>
            </w:r>
          </w:p>
        </w:tc>
        <w:tc>
          <w:tcPr>
            <w:tcW w:w="4876" w:type="dxa"/>
            <w:tcBorders>
              <w:top w:val="nil"/>
              <w:left w:val="nil"/>
              <w:bottom w:val="nil"/>
              <w:right w:val="nil"/>
            </w:tcBorders>
          </w:tcPr>
          <w:p w:rsidR="00FB50E9" w:rsidRPr="00F40263" w:rsidRDefault="00825A0E" w:rsidP="004D2E8A">
            <w:pPr>
              <w:pStyle w:val="Normal6a"/>
              <w:rPr>
                <w:b/>
                <w:i/>
              </w:rPr>
            </w:pPr>
            <w:r w:rsidRPr="00F40263">
              <w:t>–</w:t>
            </w:r>
            <w:r w:rsidRPr="00F40263">
              <w:rPr>
                <w:b/>
                <w:i/>
              </w:rPr>
              <w:tab/>
            </w:r>
            <w:r w:rsidRPr="00F40263">
              <w:t xml:space="preserve">uzimajući u obzir Program održivog razvoja Ujedinjenih naroda do 2030. donesen 25. rujna 2015., a posebno 1., </w:t>
            </w:r>
            <w:r w:rsidRPr="00F40263">
              <w:rPr>
                <w:b/>
                <w:bCs/>
                <w:i/>
                <w:iCs/>
              </w:rPr>
              <w:t>3.</w:t>
            </w:r>
            <w:r w:rsidRPr="00F40263">
              <w:t>, 4., 5., 8., 10. i 16. cilj tog programa,</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2</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Pozivanje 24.a (novo)</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w:t>
            </w:r>
            <w:r w:rsidRPr="00F40263">
              <w:tab/>
            </w:r>
            <w:r w:rsidRPr="00F40263">
              <w:rPr>
                <w:b/>
                <w:i/>
              </w:rPr>
              <w:t>uzimajući u obzir Strategiju EU-a o ravnopravnosti LGBTIQ osoba 2020. – 2025.,</w:t>
            </w:r>
          </w:p>
        </w:tc>
      </w:tr>
    </w:tbl>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FB50E9" w:rsidRPr="00F40263" w:rsidRDefault="00FB50E9" w:rsidP="00FB50E9">
      <w:pPr>
        <w:rPr>
          <w:rStyle w:val="HideTWBExt"/>
        </w:rPr>
      </w:pPr>
    </w:p>
    <w:p w:rsidR="00FB50E9" w:rsidRPr="00F40263" w:rsidRDefault="00FB50E9" w:rsidP="00FB50E9"/>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Pozivanje 48.a (novo)</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rPr>
                <w:b/>
                <w:i/>
              </w:rPr>
            </w:pPr>
            <w:r w:rsidRPr="00F40263">
              <w:rPr>
                <w:b/>
                <w:i/>
              </w:rPr>
              <w:t>–</w:t>
            </w:r>
            <w:r w:rsidRPr="00F40263">
              <w:tab/>
            </w:r>
            <w:r w:rsidRPr="00F40263">
              <w:rPr>
                <w:b/>
                <w:i/>
              </w:rPr>
              <w:t>uzimajući u obzir svoju Rezoluciju od 14. ožujka 2024. o represivnom okružju u Afganistanu, uključujući javna pogubljenja i nasilje nad ženama</w:t>
            </w:r>
            <w:r w:rsidRPr="00F40263">
              <w:rPr>
                <w:b/>
                <w:i/>
                <w:vertAlign w:val="superscript"/>
              </w:rPr>
              <w:t>1a</w:t>
            </w:r>
            <w:r w:rsidRPr="00F40263">
              <w:rPr>
                <w:b/>
                <w:i/>
              </w:rPr>
              <w:t xml:space="preserve">,, </w:t>
            </w:r>
          </w:p>
          <w:p w:rsidR="00FB50E9" w:rsidRPr="00F40263" w:rsidRDefault="00FB50E9" w:rsidP="004D2E8A">
            <w:pPr>
              <w:pStyle w:val="Normal6a"/>
              <w:rPr>
                <w:b/>
                <w:i/>
              </w:rPr>
            </w:pPr>
          </w:p>
          <w:p w:rsidR="00FB50E9" w:rsidRPr="00F40263" w:rsidRDefault="00825A0E" w:rsidP="004D2E8A">
            <w:pPr>
              <w:pStyle w:val="Normal6a"/>
              <w:rPr>
                <w:b/>
                <w:i/>
              </w:rPr>
            </w:pPr>
            <w:r w:rsidRPr="00F40263">
              <w:rPr>
                <w:b/>
                <w:i/>
              </w:rPr>
              <w:t>____________________________</w:t>
            </w:r>
          </w:p>
          <w:p w:rsidR="00FB50E9" w:rsidRPr="00F40263" w:rsidRDefault="00825A0E" w:rsidP="004D2E8A">
            <w:pPr>
              <w:pStyle w:val="Normal6a"/>
              <w:rPr>
                <w:szCs w:val="24"/>
              </w:rPr>
            </w:pPr>
            <w:r w:rsidRPr="00F40263">
              <w:rPr>
                <w:b/>
                <w:i/>
                <w:vertAlign w:val="superscript"/>
              </w:rPr>
              <w:lastRenderedPageBreak/>
              <w:t>1a</w:t>
            </w:r>
            <w:r w:rsidRPr="00F40263">
              <w:rPr>
                <w:b/>
                <w:i/>
              </w:rPr>
              <w:t xml:space="preserve"> Usvojeni tekstovi, P9_TA(2024)0160.</w:t>
            </w:r>
          </w:p>
        </w:tc>
      </w:tr>
    </w:tbl>
    <w:p w:rsidR="00FB50E9" w:rsidRPr="00F40263" w:rsidRDefault="00825A0E" w:rsidP="00FB50E9">
      <w:pPr>
        <w:rPr>
          <w:rStyle w:val="HideTWBExt"/>
        </w:rPr>
      </w:pPr>
      <w:r w:rsidRPr="00F40263">
        <w:rPr>
          <w:rStyle w:val="HideTWBExt"/>
        </w:rPr>
        <w:lastRenderedPageBreak/>
        <w:t>&lt;/Amend&gt;</w:t>
      </w:r>
    </w:p>
    <w:p w:rsidR="00FB50E9" w:rsidRPr="00F40263" w:rsidRDefault="00FB50E9" w:rsidP="00FB50E9"/>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Pozivanje 48.b (novo)</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w:t>
            </w:r>
            <w:r w:rsidRPr="00F40263">
              <w:tab/>
            </w:r>
            <w:r w:rsidRPr="00F40263">
              <w:rPr>
                <w:b/>
                <w:i/>
              </w:rPr>
              <w:t>uzimajući u obzir zaključke Odbora za ukidanje diskriminacije žena o poljskom zakonu o pobačaju (2024/2867(RSP)),</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A</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A.</w:t>
            </w:r>
            <w:r w:rsidRPr="00F40263">
              <w:tab/>
              <w:t>budući da se EU temelji na vrijednostima poštovanja ljudskog dostojanstva, slobode, demokracije, jednakosti, vladavine prava i ljudskih prava, kako se navodi u članku 2. UEU-a; budući da je djelovanje EU-a diljem svijeta vođeno univerzalnošću i nedjeljivošću ljudskih prava i činjenicom da je učinkovita zaštita i obrana ljudskih prava i demokracije u središtu vanjskog djelovanja EU-a;</w:t>
            </w:r>
          </w:p>
        </w:tc>
        <w:tc>
          <w:tcPr>
            <w:tcW w:w="4876" w:type="dxa"/>
            <w:tcBorders>
              <w:top w:val="nil"/>
              <w:left w:val="nil"/>
              <w:bottom w:val="nil"/>
              <w:right w:val="nil"/>
            </w:tcBorders>
          </w:tcPr>
          <w:p w:rsidR="00FB50E9" w:rsidRPr="00F40263" w:rsidRDefault="00825A0E" w:rsidP="004D2E8A">
            <w:pPr>
              <w:pStyle w:val="Normal6a"/>
            </w:pPr>
            <w:r w:rsidRPr="00F40263">
              <w:t>A.</w:t>
            </w:r>
            <w:r w:rsidRPr="00F40263">
              <w:tab/>
              <w:t>budući da se EU temelji na vrijednostima poštovanja ljudskog dostojanstva, slobode, demokracije, jednakosti, vladavine prava i ljudskih prava, kako se navodi u članku 2. UEU-a</w:t>
            </w:r>
            <w:r w:rsidRPr="00F40263">
              <w:rPr>
                <w:b/>
                <w:bCs/>
                <w:i/>
                <w:iCs/>
              </w:rPr>
              <w:t>;</w:t>
            </w:r>
            <w:r w:rsidRPr="00F40263">
              <w:rPr>
                <w:b/>
                <w:i/>
              </w:rPr>
              <w:t xml:space="preserve"> </w:t>
            </w:r>
            <w:r w:rsidRPr="00F40263">
              <w:rPr>
                <w:b/>
                <w:bCs/>
                <w:i/>
                <w:iCs/>
              </w:rPr>
              <w:t>budući da se promicanjem rodne ravnopravnosti i podupiranjem prava žena, posebno u ruralnim, nerazvijenim i udaljenim područjima, jača predanost EU-a tim vrijednostima</w:t>
            </w:r>
            <w:r w:rsidRPr="00F40263">
              <w:t>; budući da je djelovanje EU-a diljem svijeta vođeno univerzalnošću i nedjeljivošću ljudskih prava i činjenicom da je učinkovita zaštita i obrana ljudskih prava i demokracije u središtu vanjskog djelovanja EU-a;</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6</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C</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C.</w:t>
            </w:r>
            <w:r w:rsidRPr="00F40263">
              <w:tab/>
              <w:t xml:space="preserve">budući da su demokratski sustavi </w:t>
            </w:r>
            <w:r w:rsidRPr="00F40263">
              <w:rPr>
                <w:b/>
                <w:bCs/>
                <w:i/>
                <w:iCs/>
              </w:rPr>
              <w:t>najprikladniji za jamstvo</w:t>
            </w:r>
            <w:r w:rsidRPr="00F40263">
              <w:t xml:space="preserve"> da svaka osoba </w:t>
            </w:r>
            <w:r w:rsidRPr="00F40263">
              <w:lastRenderedPageBreak/>
              <w:t>može uživati svoja ljudska prava; budući da je multilateralizam utemeljen na pravilima najbolji organizacijski sustav za obranu demokracija;</w:t>
            </w:r>
          </w:p>
        </w:tc>
        <w:tc>
          <w:tcPr>
            <w:tcW w:w="4876" w:type="dxa"/>
            <w:tcBorders>
              <w:top w:val="nil"/>
              <w:left w:val="nil"/>
              <w:bottom w:val="nil"/>
              <w:right w:val="nil"/>
            </w:tcBorders>
          </w:tcPr>
          <w:p w:rsidR="00FB50E9" w:rsidRPr="00F40263" w:rsidRDefault="00825A0E" w:rsidP="004D2E8A">
            <w:pPr>
              <w:pStyle w:val="Normal6a"/>
            </w:pPr>
            <w:r w:rsidRPr="00F40263">
              <w:lastRenderedPageBreak/>
              <w:t>C.</w:t>
            </w:r>
            <w:r w:rsidRPr="00F40263">
              <w:tab/>
              <w:t xml:space="preserve">budući da su demokratski sustavi </w:t>
            </w:r>
            <w:r w:rsidRPr="00F40263">
              <w:rPr>
                <w:b/>
                <w:bCs/>
                <w:i/>
                <w:iCs/>
              </w:rPr>
              <w:t>jedina vrsta sustava koja jamči</w:t>
            </w:r>
            <w:r w:rsidRPr="00F40263">
              <w:t xml:space="preserve"> da svaka </w:t>
            </w:r>
            <w:r w:rsidRPr="00F40263">
              <w:lastRenderedPageBreak/>
              <w:t>osoba može uživati svoja ljudska prava; budući da je multilateralizam utemeljen na pravilima najbolji organizacijski sustav za obranu demokracija;</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7</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Uvodna izjava E</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E.</w:t>
            </w:r>
            <w:r w:rsidRPr="00F40263">
              <w:tab/>
              <w:t>budući da porast autoritarizma, neliberalizma i populizma ugrožava globalni poredak utemeljen na pravilima, zaštitu i promicanje ljudskih prava u svijetu, kao i vrijednosti i načela na kojima se EU temelji;</w:t>
            </w:r>
          </w:p>
        </w:tc>
        <w:tc>
          <w:tcPr>
            <w:tcW w:w="4876" w:type="dxa"/>
            <w:tcBorders>
              <w:top w:val="nil"/>
              <w:left w:val="nil"/>
              <w:bottom w:val="nil"/>
              <w:right w:val="nil"/>
            </w:tcBorders>
          </w:tcPr>
          <w:p w:rsidR="00FB50E9" w:rsidRPr="00F40263" w:rsidRDefault="00825A0E" w:rsidP="004D2E8A">
            <w:pPr>
              <w:pStyle w:val="Normal6a"/>
            </w:pPr>
            <w:r w:rsidRPr="00F40263">
              <w:t>E.</w:t>
            </w:r>
            <w:r w:rsidRPr="00F40263">
              <w:tab/>
              <w:t xml:space="preserve">budući da porast autoritarizma, neliberalizma i populizma </w:t>
            </w:r>
            <w:r w:rsidRPr="00F40263">
              <w:rPr>
                <w:b/>
                <w:bCs/>
                <w:i/>
                <w:iCs/>
              </w:rPr>
              <w:t>te opiranje rodnoj ravnopravnosti i temeljnim pravima, uključujući prava žena te sve izraženiju retoriku usmjerenu na homoseksualne i transseksualne osobe ugrožavaju</w:t>
            </w:r>
            <w:r w:rsidRPr="00F40263">
              <w:t xml:space="preserve"> globalni poredak utemeljen na pravilima, zaštitu i promicanje ljudskih prava u svijetu, </w:t>
            </w:r>
            <w:r w:rsidRPr="00F40263">
              <w:rPr>
                <w:b/>
                <w:bCs/>
                <w:i/>
                <w:iCs/>
              </w:rPr>
              <w:t>obranu jednakih mogućnosti,</w:t>
            </w:r>
            <w:r w:rsidRPr="00F40263">
              <w:t xml:space="preserve"> kao i vrijednosti i načela na kojima se EU temelji;</w:t>
            </w:r>
          </w:p>
        </w:tc>
      </w:tr>
    </w:tbl>
    <w:p w:rsidR="00FB50E9" w:rsidRPr="00F40263" w:rsidRDefault="00FB50E9" w:rsidP="00FB50E9">
      <w:pPr>
        <w:rPr>
          <w:rStyle w:val="HideTWBExt"/>
          <w:vanish w:val="0"/>
        </w:rPr>
      </w:pPr>
    </w:p>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FB50E9" w:rsidRPr="00F40263" w:rsidRDefault="00FB50E9" w:rsidP="00FB50E9"/>
    <w:p w:rsidR="00FB50E9" w:rsidRPr="00F40263" w:rsidRDefault="00825A0E" w:rsidP="00FB50E9">
      <w:pPr>
        <w:pStyle w:val="AmNumberTabs"/>
        <w:keepNext/>
      </w:pPr>
      <w:r w:rsidRPr="00F40263">
        <w:rPr>
          <w:rStyle w:val="HideTWBExt"/>
          <w:b w:val="0"/>
        </w:rPr>
        <w:t>&lt;Amend&gt;</w:t>
      </w:r>
      <w:r w:rsidRPr="00F40263">
        <w:t>Amandman</w:t>
      </w:r>
      <w:r w:rsidRPr="00F40263">
        <w:tab/>
      </w:r>
      <w:r w:rsidRPr="00F40263">
        <w:tab/>
      </w:r>
      <w:r w:rsidRPr="00F40263">
        <w:rPr>
          <w:rStyle w:val="HideTWBExt"/>
          <w:b w:val="0"/>
        </w:rPr>
        <w:t>&lt;NumAm&gt;</w:t>
      </w:r>
      <w:r w:rsidRPr="00F40263">
        <w:t>8</w:t>
      </w:r>
      <w:r w:rsidRPr="00F40263">
        <w:rPr>
          <w:rStyle w:val="HideTWBExt"/>
          <w:b w:val="0"/>
        </w:rPr>
        <w:t>&lt;/NumAm&gt;</w:t>
      </w:r>
    </w:p>
    <w:p w:rsidR="00FB50E9" w:rsidRPr="00F40263" w:rsidRDefault="00825A0E" w:rsidP="00FB50E9">
      <w:pPr>
        <w:pStyle w:val="NormalBold12b"/>
        <w:keepNext/>
      </w:pPr>
      <w:r w:rsidRPr="00F40263">
        <w:rPr>
          <w:rStyle w:val="HideTWBExt"/>
          <w:b w:val="0"/>
        </w:rPr>
        <w:t>&lt;DocAmend&gt;</w:t>
      </w:r>
      <w:r w:rsidRPr="00F40263">
        <w:t>Nacrt prijedloga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Ea (nova)</w:t>
      </w:r>
      <w:r w:rsidRPr="00F4026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37FF" w:rsidRPr="00F40263" w:rsidTr="004D2E8A">
        <w:trPr>
          <w:jc w:val="center"/>
        </w:trPr>
        <w:tc>
          <w:tcPr>
            <w:tcW w:w="9752" w:type="dxa"/>
            <w:gridSpan w:val="2"/>
          </w:tcPr>
          <w:p w:rsidR="00FB50E9" w:rsidRPr="00F40263" w:rsidRDefault="00FB50E9" w:rsidP="004D2E8A">
            <w:pPr>
              <w:keepNext/>
            </w:pPr>
          </w:p>
        </w:tc>
      </w:tr>
      <w:tr w:rsidR="004437FF" w:rsidRPr="00F40263" w:rsidTr="004D2E8A">
        <w:trPr>
          <w:jc w:val="center"/>
        </w:trPr>
        <w:tc>
          <w:tcPr>
            <w:tcW w:w="4876" w:type="dxa"/>
          </w:tcPr>
          <w:p w:rsidR="00FB50E9" w:rsidRPr="00F40263" w:rsidRDefault="00825A0E" w:rsidP="004D2E8A">
            <w:pPr>
              <w:pStyle w:val="AmColumnHeading"/>
              <w:keepNext/>
            </w:pPr>
            <w:r w:rsidRPr="00F40263">
              <w:t>Nacrt prijedloga rezolucije</w:t>
            </w:r>
          </w:p>
        </w:tc>
        <w:tc>
          <w:tcPr>
            <w:tcW w:w="4876" w:type="dxa"/>
          </w:tcPr>
          <w:p w:rsidR="00FB50E9" w:rsidRPr="00F40263" w:rsidRDefault="00825A0E" w:rsidP="004D2E8A">
            <w:pPr>
              <w:pStyle w:val="AmColumnHeading"/>
              <w:keepNext/>
            </w:pPr>
            <w:r w:rsidRPr="00F40263">
              <w:t>Izmjena</w:t>
            </w:r>
          </w:p>
        </w:tc>
      </w:tr>
      <w:tr w:rsidR="004437FF" w:rsidRPr="00F40263" w:rsidTr="004D2E8A">
        <w:trPr>
          <w:jc w:val="center"/>
        </w:trPr>
        <w:tc>
          <w:tcPr>
            <w:tcW w:w="4876" w:type="dxa"/>
          </w:tcPr>
          <w:p w:rsidR="00FB50E9" w:rsidRPr="00F40263" w:rsidRDefault="00FB50E9" w:rsidP="004D2E8A">
            <w:pPr>
              <w:pStyle w:val="Normal6a"/>
            </w:pPr>
          </w:p>
        </w:tc>
        <w:tc>
          <w:tcPr>
            <w:tcW w:w="4876" w:type="dxa"/>
          </w:tcPr>
          <w:p w:rsidR="00FB50E9" w:rsidRPr="00F40263" w:rsidRDefault="00825A0E" w:rsidP="004D2E8A">
            <w:pPr>
              <w:pStyle w:val="Normal6a"/>
              <w:rPr>
                <w:b/>
                <w:i/>
                <w:szCs w:val="24"/>
              </w:rPr>
            </w:pPr>
            <w:r w:rsidRPr="00F40263">
              <w:rPr>
                <w:b/>
                <w:i/>
              </w:rPr>
              <w:t>Ea.</w:t>
            </w:r>
            <w:r w:rsidRPr="00F40263">
              <w:rPr>
                <w:b/>
                <w:i/>
              </w:rPr>
              <w:tab/>
              <w:t>budući da se Pekinška deklaracija i platforma za djelovanje smatraju prekretnicom za globalni program za rodnu ravnopravnost i da će 2025. proslaviti svoju 30. obljetnicu;</w:t>
            </w:r>
          </w:p>
        </w:tc>
      </w:tr>
      <w:tr w:rsidR="004437FF" w:rsidRPr="00F40263" w:rsidTr="004D2E8A">
        <w:trPr>
          <w:jc w:val="center"/>
        </w:trPr>
        <w:tc>
          <w:tcPr>
            <w:tcW w:w="4876" w:type="dxa"/>
          </w:tcPr>
          <w:p w:rsidR="00FB50E9" w:rsidRPr="00F40263" w:rsidRDefault="00FB50E9" w:rsidP="004D2E8A">
            <w:pPr>
              <w:pStyle w:val="Normal6a"/>
            </w:pPr>
          </w:p>
        </w:tc>
        <w:tc>
          <w:tcPr>
            <w:tcW w:w="4876" w:type="dxa"/>
          </w:tcPr>
          <w:p w:rsidR="00FB50E9" w:rsidRPr="00F40263" w:rsidRDefault="00FB50E9" w:rsidP="004D2E8A">
            <w:pPr>
              <w:pStyle w:val="Normal6a"/>
              <w:rPr>
                <w:b/>
                <w:i/>
              </w:rPr>
            </w:pPr>
          </w:p>
        </w:tc>
      </w:tr>
    </w:tbl>
    <w:p w:rsidR="00FB50E9" w:rsidRPr="00F40263" w:rsidRDefault="00FB50E9" w:rsidP="00FB50E9"/>
    <w:p w:rsidR="00FB50E9" w:rsidRPr="00F40263" w:rsidRDefault="00825A0E" w:rsidP="00FB50E9">
      <w:r w:rsidRPr="00F40263">
        <w:rPr>
          <w:rStyle w:val="HideTWBExt"/>
        </w:rPr>
        <w:t>&lt;/Amend&gt;</w:t>
      </w:r>
    </w:p>
    <w:p w:rsidR="00FB50E9" w:rsidRPr="00F40263" w:rsidRDefault="00825A0E" w:rsidP="00FB50E9">
      <w:pPr>
        <w:pStyle w:val="AmNumberTabs"/>
        <w:keepNext/>
      </w:pPr>
      <w:r w:rsidRPr="00F40263">
        <w:rPr>
          <w:rStyle w:val="HideTWBExt"/>
          <w:b w:val="0"/>
        </w:rPr>
        <w:t>&lt;Amend&gt;</w:t>
      </w:r>
      <w:r w:rsidRPr="00F40263">
        <w:t>Amandman</w:t>
      </w:r>
      <w:r w:rsidRPr="00F40263">
        <w:tab/>
      </w:r>
      <w:r w:rsidRPr="00F40263">
        <w:tab/>
      </w:r>
      <w:r w:rsidRPr="00F40263">
        <w:rPr>
          <w:rStyle w:val="HideTWBExt"/>
          <w:b w:val="0"/>
        </w:rPr>
        <w:t>&lt;NumAm&gt;</w:t>
      </w:r>
      <w:r w:rsidRPr="00F40263">
        <w:t>9</w:t>
      </w:r>
      <w:r w:rsidRPr="00F40263">
        <w:rPr>
          <w:rStyle w:val="HideTWBExt"/>
          <w:b w:val="0"/>
        </w:rPr>
        <w:t>&lt;/NumAm&gt;</w:t>
      </w:r>
    </w:p>
    <w:p w:rsidR="00FB50E9" w:rsidRPr="00F40263" w:rsidRDefault="00825A0E" w:rsidP="00FB50E9">
      <w:pPr>
        <w:pStyle w:val="NormalBold12b"/>
        <w:keepNext/>
      </w:pPr>
      <w:r w:rsidRPr="00F40263">
        <w:rPr>
          <w:rStyle w:val="HideTWBExt"/>
          <w:b w:val="0"/>
        </w:rPr>
        <w:t>&lt;DocAmend&gt;</w:t>
      </w:r>
      <w:r w:rsidRPr="00F40263">
        <w:t>Nacrt prijedloga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Eb (nova)</w:t>
      </w:r>
      <w:r w:rsidRPr="00F4026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37FF" w:rsidRPr="00F40263" w:rsidTr="004D2E8A">
        <w:trPr>
          <w:jc w:val="center"/>
        </w:trPr>
        <w:tc>
          <w:tcPr>
            <w:tcW w:w="9752" w:type="dxa"/>
            <w:gridSpan w:val="2"/>
          </w:tcPr>
          <w:p w:rsidR="00FB50E9" w:rsidRPr="00F40263" w:rsidRDefault="00FB50E9" w:rsidP="004D2E8A">
            <w:pPr>
              <w:keepNext/>
            </w:pPr>
          </w:p>
        </w:tc>
      </w:tr>
      <w:tr w:rsidR="004437FF" w:rsidRPr="00F40263" w:rsidTr="004D2E8A">
        <w:trPr>
          <w:jc w:val="center"/>
        </w:trPr>
        <w:tc>
          <w:tcPr>
            <w:tcW w:w="4876" w:type="dxa"/>
          </w:tcPr>
          <w:p w:rsidR="00FB50E9" w:rsidRPr="00F40263" w:rsidRDefault="00825A0E" w:rsidP="004D2E8A">
            <w:pPr>
              <w:pStyle w:val="AmColumnHeading"/>
              <w:keepNext/>
            </w:pPr>
            <w:r w:rsidRPr="00F40263">
              <w:t>Nacrt prijedloga rezolucije</w:t>
            </w:r>
          </w:p>
        </w:tc>
        <w:tc>
          <w:tcPr>
            <w:tcW w:w="4876" w:type="dxa"/>
          </w:tcPr>
          <w:p w:rsidR="00FB50E9" w:rsidRPr="00F40263" w:rsidRDefault="00825A0E" w:rsidP="004D2E8A">
            <w:pPr>
              <w:pStyle w:val="AmColumnHeading"/>
              <w:keepNext/>
            </w:pPr>
            <w:r w:rsidRPr="00F40263">
              <w:t>Izmjena</w:t>
            </w:r>
          </w:p>
        </w:tc>
      </w:tr>
      <w:tr w:rsidR="004437FF" w:rsidRPr="00F40263" w:rsidTr="004D2E8A">
        <w:trPr>
          <w:jc w:val="center"/>
        </w:trPr>
        <w:tc>
          <w:tcPr>
            <w:tcW w:w="4876" w:type="dxa"/>
          </w:tcPr>
          <w:p w:rsidR="00FB50E9" w:rsidRPr="00F40263" w:rsidRDefault="00FB50E9" w:rsidP="004D2E8A">
            <w:pPr>
              <w:pStyle w:val="Normal6a"/>
            </w:pPr>
          </w:p>
        </w:tc>
        <w:tc>
          <w:tcPr>
            <w:tcW w:w="4876" w:type="dxa"/>
          </w:tcPr>
          <w:p w:rsidR="00FB50E9" w:rsidRPr="00F40263" w:rsidRDefault="00825A0E" w:rsidP="004D2E8A">
            <w:pPr>
              <w:pStyle w:val="Normal6a"/>
              <w:rPr>
                <w:b/>
                <w:i/>
                <w:szCs w:val="24"/>
              </w:rPr>
            </w:pPr>
            <w:r w:rsidRPr="00F40263">
              <w:rPr>
                <w:b/>
                <w:i/>
              </w:rPr>
              <w:t>Eb.</w:t>
            </w:r>
            <w:r w:rsidRPr="00F40263">
              <w:rPr>
                <w:b/>
                <w:i/>
              </w:rPr>
              <w:tab/>
              <w:t>budući da je na Međunarodnoj konferenciji o stanovništvu i razvoju održanoj u Kairu 1994. i u okviru naknadne globalne strategije SZO-a za reproduktivno zdravlje naglašeno pravo svih pojedinaca na postizanje najviših standarda u području spolnog i reproduktivnog zdravlja i prava;</w:t>
            </w:r>
          </w:p>
        </w:tc>
      </w:tr>
    </w:tbl>
    <w:p w:rsidR="00FB50E9" w:rsidRPr="00F40263" w:rsidRDefault="00825A0E" w:rsidP="00FB50E9">
      <w:pPr>
        <w:rPr>
          <w:rStyle w:val="HideTWBExt"/>
          <w:rFonts w:eastAsiaTheme="majorEastAsia"/>
        </w:rPr>
      </w:pPr>
      <w:r w:rsidRPr="00F40263">
        <w:rPr>
          <w:rStyle w:val="HideTWBExt"/>
        </w:rPr>
        <w:t>&lt;/Amend&gt;</w:t>
      </w:r>
    </w:p>
    <w:p w:rsidR="00FB50E9" w:rsidRPr="00F40263" w:rsidRDefault="00FB50E9" w:rsidP="00FB50E9">
      <w:pPr>
        <w:rPr>
          <w:rStyle w:val="HideTWBExt"/>
          <w:rFonts w:eastAsiaTheme="majorEastAsia"/>
        </w:rPr>
      </w:pP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10</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Ec (nova)</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Ec.</w:t>
            </w:r>
            <w:r w:rsidRPr="00F40263">
              <w:tab/>
            </w:r>
            <w:r w:rsidRPr="00F40263">
              <w:rPr>
                <w:b/>
                <w:i/>
              </w:rPr>
              <w:t>budući da je rodna ravnopravnost ključna za razvoj slobodnih i ravnopravnih društava; budući da ljudska prava žena, djevojčica i nebinarnih osoba još uvijek nisu zajamčena u cijelom svijetu i da se u brojnim zemljama smanjuje prostor za organizacije civilnog društva, a posebno za organizacije za prava žena i autohtonih naroda te lokalne organizacije;</w:t>
            </w:r>
          </w:p>
        </w:tc>
      </w:tr>
    </w:tbl>
    <w:p w:rsidR="00FB50E9" w:rsidRPr="00F40263" w:rsidRDefault="00825A0E" w:rsidP="00FB50E9">
      <w:r w:rsidRPr="00F40263">
        <w:rPr>
          <w:rStyle w:val="HideTWBExt"/>
        </w:rPr>
        <w:t>&lt;/Amend&gt;</w:t>
      </w:r>
    </w:p>
    <w:p w:rsidR="00FB50E9" w:rsidRPr="00F40263" w:rsidRDefault="00FB50E9" w:rsidP="00FB50E9"/>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11</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Ga (nova)</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Ga.</w:t>
            </w:r>
            <w:r w:rsidRPr="00F40263">
              <w:tab/>
            </w:r>
            <w:r w:rsidRPr="00F40263">
              <w:rPr>
                <w:b/>
                <w:i/>
              </w:rPr>
              <w:t xml:space="preserve">budući da se Istanbulskom konvencijom, kojoj je Europska unija nedavno pristupila, unatoč tome što su je ratificirale samo neke države članice, potvrđuje da oružani sukobi dovode do kontinuiranih kršenja ljudskih prava koja pogađaju civilno stanovništvo, a posebno žene, koje su izložene raširenom ili sustavnom silovanju i seksualnom nasilju, </w:t>
            </w:r>
            <w:r w:rsidRPr="00F40263">
              <w:rPr>
                <w:b/>
                <w:i/>
              </w:rPr>
              <w:lastRenderedPageBreak/>
              <w:t>kao i do mogućeg  intenziviranja rodno uvjetovanog nasilja tijekom i nakon sukoba; budući da se u navedenoj Konvenciji nasilje nad ženama definira kao kršenje ljudskih prava;</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12</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Ha (nova)</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825A0E">
            <w:pPr>
              <w:pStyle w:val="Normal6a"/>
            </w:pPr>
            <w:r w:rsidRPr="00F40263">
              <w:rPr>
                <w:b/>
                <w:i/>
              </w:rPr>
              <w:t>Ha.</w:t>
            </w:r>
            <w:r w:rsidRPr="00F40263">
              <w:tab/>
            </w:r>
            <w:r w:rsidRPr="00F40263">
              <w:rPr>
                <w:b/>
                <w:i/>
              </w:rPr>
              <w:t>budući da su spolna  i reproduktivna prava zaštićena kao ljudska prava u međunarodnom i europskom pravu o ljudskim pravima kao što je Međunarodni pakt o građanskim i političkim pravima i Međunarodni pakt o gospodarskim, socijalnim i kulturnim pravima, Konvencija o uklanjanju svih oblika diskriminacije žena (CEDAW) i Europska konvencija o ljudskim pravima, te su ona temeljni element pružanja sveobuhvatne zdravstvene skrbi; budući da su zdravstvena prava, posebno spolno i reproduktivno zdravlje i prava, temeljna prava žena koja bi trebalo ojačati te ih se nipošto ne smije smanjiti ili ukinuti; budući da je ostvarenje spolnog i reproduktivnog zdravlja i prava ključan element za ljudsko dostojanstvo te je neodvojivo povezano s borbom protiv seksualnog i rodno uvjetovanog nasilja, kao i postizanjem širokog raspona drugih ljudskih prava, kao što su pravo osobe na život, zdravlje, privatnost, sigurnost osobe, nediskriminaciju, jednakost pred zakonom i slobodu od mučenja i drugog okrutnog, nečovječnog ili ponižavajućeg postupanja ili kažnjavanja;</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13</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Uvodna izjava 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lastRenderedPageBreak/>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I</w:t>
            </w:r>
            <w:r w:rsidRPr="00F40263">
              <w:tab/>
              <w:t>budući da su borci za ljudska prava i organizacije civilnog društva ključni partneri u nastojanjima EU-a da zaštiti i promiče ljudska prava, demokraciju i vladavinu prava, kao i da spriječi sukobe u cijelom svijetu; budući da vlade diljem svijeta sve više cenzuriraju, ušutkavaju i uznemiravaju borce za ljudska prava i organizacije civilnog društva u njihovu radu; budući da takvo postupanje uključuje mjere koje obuhvaćaju strateške tužbe protiv javnog sudjelovanja, restriktivne vladine politike, klevetničke kampanje, diskriminaciju, zastrašivanje i nasilje, uključujući izvansudska pogubljenja, otmice te proizvoljna uhićenja i pritvaranja; budući da su napadi na borce za ljudska prava sve više usmjereni i na njihove obitelji i zajednice;</w:t>
            </w:r>
          </w:p>
        </w:tc>
        <w:tc>
          <w:tcPr>
            <w:tcW w:w="4876" w:type="dxa"/>
            <w:tcBorders>
              <w:top w:val="nil"/>
              <w:left w:val="nil"/>
              <w:bottom w:val="nil"/>
              <w:right w:val="nil"/>
            </w:tcBorders>
          </w:tcPr>
          <w:p w:rsidR="00FB50E9" w:rsidRPr="00F40263" w:rsidRDefault="00825A0E" w:rsidP="004D2E8A">
            <w:pPr>
              <w:pStyle w:val="Normal6a"/>
            </w:pPr>
            <w:r w:rsidRPr="00F40263">
              <w:t>I</w:t>
            </w:r>
            <w:r w:rsidRPr="00F40263">
              <w:tab/>
              <w:t>budući da su borci za ljudska prava</w:t>
            </w:r>
            <w:r w:rsidRPr="00F40263">
              <w:rPr>
                <w:b/>
                <w:bCs/>
                <w:i/>
                <w:iCs/>
              </w:rPr>
              <w:t>, aktivisti za prava žena</w:t>
            </w:r>
            <w:r w:rsidRPr="00F40263">
              <w:t xml:space="preserve"> i organizacije civilnog društva ključni partneri u nastojanjima EU-a da zaštiti i promiče ljudska prava, </w:t>
            </w:r>
            <w:r w:rsidRPr="00F40263">
              <w:rPr>
                <w:b/>
                <w:bCs/>
                <w:i/>
                <w:iCs/>
              </w:rPr>
              <w:t>jednake mogućnosti,</w:t>
            </w:r>
            <w:r w:rsidRPr="00F40263">
              <w:t xml:space="preserve"> demokraciju i vladavinu prava, kao i da spriječi sukobe u cijelom svijetu; budući da vlade </w:t>
            </w:r>
            <w:r w:rsidRPr="00F40263">
              <w:rPr>
                <w:b/>
                <w:bCs/>
                <w:i/>
                <w:iCs/>
              </w:rPr>
              <w:t>i nedržavni akteri</w:t>
            </w:r>
            <w:r w:rsidRPr="00F40263">
              <w:t xml:space="preserve"> diljem svijeta sve više cenzuriraju, ušutkavaju i uznemiravaju borce za ljudska prava i organizacije civilnog društva u njihovu radu; budući da takvo postupanje uključuje mjere koje obuhvaćaju strateške tužbe protiv javnog sudjelovanja, restriktivne vladine politike, klevetničke kampanje, diskriminaciju, zastrašivanje i nasilje, uključujući izvansudska pogubljenja, otmice te proizvoljna uhićenja i pritvaranja; budući da su napadi na borce za ljudska prava sve više usmjereni i na njihove obitelji i zajednice; </w:t>
            </w:r>
            <w:r w:rsidRPr="00F40263">
              <w:rPr>
                <w:b/>
                <w:i/>
              </w:rPr>
              <w:t>budući da se i dalje sužava prostor za važan rad boraca za ljudska prava žena i organizacije civilnog društva koje promiču rodnu ravnopravnost, ženska prava te spolno i reproduktivno zdravlje i prava te da se oni suočavaju s prijetnjama nasiljem, uznemiravanjem i zastrašivanjem; budući da su napadi na prava žena, borce za prava žena, aktiviste i novinare uobičajena taktika kojom se antidemokratski akteri koriste za daljnje ugrožavanje prava i sloboda u EU-u i svijetu;</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14</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Uvodna izjava Ia (nova)</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Ia</w:t>
            </w:r>
            <w:r w:rsidRPr="00F40263">
              <w:tab/>
            </w:r>
            <w:r w:rsidRPr="00F40263">
              <w:rPr>
                <w:b/>
                <w:i/>
              </w:rPr>
              <w:t xml:space="preserve">budući da je u zajedničkoj izjavi povodom Međunarodnog dana braniteljica ljudskih prava nekoliko posebnih izvjestitelja Ujedinjenih naroda naglasilo da se „braniteljice ljudskih </w:t>
            </w:r>
            <w:r w:rsidRPr="00F40263">
              <w:rPr>
                <w:b/>
                <w:i/>
              </w:rPr>
              <w:lastRenderedPageBreak/>
              <w:t>prava suočavaju s dodatnim preprekama u vidu ekonomske i strukturne diskriminacije, kao i jedinstvenim izazovima ukorijenjenima u dubokoj diskriminaciji žena i stereotipima povezanima s rodom i seksualnošću integriranima u patrijarhalna društva” te da bi stoga jamčenje njihove sigurnosti trebalo biti prioritet; budući da je u izjavi organizacije UN Women povodom Međunarodnog dana braniteljica ljudskih prava 29. studenoga 2022. navedeno da moramo hitno zaštititi živote i rad braniteljica ljudskih prava, da se o njihovu pravu na sudjelovanje i izražavanje neovisnih mišljenja ne može pregovarati te da je ključno osigurati poticajno okruženje za njihov rad, uključujući zakonodavstvo kojim ih se štiti i podupire te kojim se osigurava da oni koji ih napadaju budu pozvani na odgovornost;</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15</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Uvodna izjava Ja (nova)</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Ja</w:t>
            </w:r>
            <w:r w:rsidRPr="00F40263">
              <w:tab/>
            </w:r>
            <w:r w:rsidRPr="00F40263">
              <w:rPr>
                <w:b/>
                <w:i/>
              </w:rPr>
              <w:t xml:space="preserve">budući da se pokazalo da nove tehnologije, uključujući društvene mreže i umjetnu inteligenciju, negativno utječu na demokraciju, rodnu ravnopravnost i šira ljudska prava, utječući primjerice na ishode demokratskih izbora, one ipak pružaju platformu za aktiviste, posebno aktivistice, koji inače ne bi mogli širiti svoje poruke i poticati građane na djelovanje; budući da je cilj nedavno donesene Okvirne konvencije Vijeća Europe o umjetnoj inteligenciji, ljudskim pravima, demokraciji i vladavini prava osigurati poštovanje ljudskih prava, demokracije, rodne ravnopravnosti i vladavine prava pri primjeni sustava umjetne inteligencije; budući da se tim ugovorom uspostavlja pravni okvir kojim je obuhvaćen cijeli životni ciklus sustava </w:t>
            </w:r>
            <w:r w:rsidRPr="00F40263">
              <w:rPr>
                <w:b/>
                <w:i/>
              </w:rPr>
              <w:lastRenderedPageBreak/>
              <w:t>umjetne inteligencije i razmatraju povezani rizici, kao što je nasilje nad ženama, uz istodobno promicanje odgovornih inovacija;</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16</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Podnaslov 1.</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Globalni izazovi za demokraciju i ljudska prava</w:t>
            </w:r>
          </w:p>
        </w:tc>
        <w:tc>
          <w:tcPr>
            <w:tcW w:w="4876" w:type="dxa"/>
            <w:tcBorders>
              <w:top w:val="nil"/>
              <w:left w:val="nil"/>
              <w:bottom w:val="nil"/>
              <w:right w:val="nil"/>
            </w:tcBorders>
          </w:tcPr>
          <w:p w:rsidR="00FB50E9" w:rsidRPr="00F40263" w:rsidRDefault="00825A0E" w:rsidP="004D2E8A">
            <w:pPr>
              <w:pStyle w:val="Normal6a"/>
            </w:pPr>
            <w:r w:rsidRPr="00F40263">
              <w:t>Globalni izazovi za demokraciju</w:t>
            </w:r>
            <w:r w:rsidRPr="00F40263">
              <w:rPr>
                <w:b/>
                <w:bCs/>
                <w:i/>
                <w:iCs/>
              </w:rPr>
              <w:t>, ljudska</w:t>
            </w:r>
            <w:r w:rsidRPr="00F40263">
              <w:t xml:space="preserve"> prava </w:t>
            </w:r>
            <w:r w:rsidRPr="00F40263">
              <w:rPr>
                <w:b/>
                <w:bCs/>
                <w:i/>
                <w:iCs/>
              </w:rPr>
              <w:t>i rodnu ravnopravnost</w:t>
            </w:r>
          </w:p>
        </w:tc>
      </w:tr>
    </w:tbl>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FB50E9" w:rsidRPr="00F40263" w:rsidRDefault="00825A0E" w:rsidP="00FB50E9">
      <w:pPr>
        <w:pStyle w:val="NormalBold"/>
      </w:pPr>
      <w:r w:rsidRPr="00F40263">
        <w:rPr>
          <w:rStyle w:val="HideTWBExt"/>
          <w:b w:val="0"/>
        </w:rPr>
        <w:t>&lt;Amend&gt;</w:t>
      </w:r>
      <w:r w:rsidRPr="00F40263">
        <w:t>Amandman</w:t>
      </w:r>
      <w:r w:rsidRPr="00F40263">
        <w:tab/>
      </w:r>
      <w:r w:rsidRPr="00F40263">
        <w:tab/>
      </w:r>
      <w:r w:rsidRPr="00F40263">
        <w:rPr>
          <w:rStyle w:val="HideTWBExt"/>
          <w:b w:val="0"/>
        </w:rPr>
        <w:t>&lt;NumAm&gt;</w:t>
      </w:r>
      <w:r w:rsidRPr="00F40263">
        <w:t>17</w:t>
      </w:r>
      <w:r w:rsidRPr="00F40263">
        <w:rPr>
          <w:rStyle w:val="HideTWBExt"/>
          <w:b w:val="0"/>
        </w:rPr>
        <w:t>&lt;/NumAm&gt;&lt;DocAmend&gt;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1.</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1.</w:t>
            </w:r>
            <w:r w:rsidRPr="00F40263">
              <w:tab/>
              <w:t>ponovno ističe univerzalnost i nedjeljivost ljudskih prava te urođeno dostojanstvo svakog ljudskog bića; ponovno potvrđuje dužnost EU-a i njegovih država članica da promiču i štite demokraciju i univerzalnost ljudskih prava diljem svijeta;</w:t>
            </w:r>
          </w:p>
        </w:tc>
        <w:tc>
          <w:tcPr>
            <w:tcW w:w="4876" w:type="dxa"/>
            <w:tcBorders>
              <w:top w:val="nil"/>
              <w:left w:val="nil"/>
              <w:bottom w:val="nil"/>
              <w:right w:val="nil"/>
            </w:tcBorders>
          </w:tcPr>
          <w:p w:rsidR="00FB50E9" w:rsidRPr="00F40263" w:rsidRDefault="00825A0E" w:rsidP="004D2E8A">
            <w:pPr>
              <w:pStyle w:val="Normal6a"/>
            </w:pPr>
            <w:r w:rsidRPr="00F40263">
              <w:t>1.</w:t>
            </w:r>
            <w:r w:rsidRPr="00F40263">
              <w:tab/>
              <w:t xml:space="preserve">ponovno ističe univerzalnost i nedjeljivost ljudskih prava te urođeno dostojanstvo svakog ljudskog bića; ponovno potvrđuje dužnost EU-a i njegovih država članica da promiču i štite demokraciju i univerzalnost ljudskih prava diljem svijeta; </w:t>
            </w:r>
            <w:r w:rsidRPr="00F40263">
              <w:rPr>
                <w:b/>
                <w:i/>
              </w:rPr>
              <w:t>naglašava da je rodna ravnopravnost jedna od temeljnih vrijednosti Unije i jedno od njezinih zajedničkih i temeljnih načela;</w:t>
            </w:r>
          </w:p>
        </w:tc>
      </w:tr>
    </w:tbl>
    <w:p w:rsidR="00FB50E9" w:rsidRPr="00F40263" w:rsidRDefault="00825A0E" w:rsidP="00FB50E9">
      <w:r w:rsidRPr="00F40263">
        <w:rPr>
          <w:rStyle w:val="HideTWBExt"/>
        </w:rPr>
        <w:t>&lt;/Amend&gt;</w:t>
      </w:r>
    </w:p>
    <w:p w:rsidR="00FB50E9" w:rsidRPr="00F40263" w:rsidRDefault="00FB50E9" w:rsidP="00FB50E9"/>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18</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1.a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1.a</w:t>
            </w:r>
            <w:r w:rsidRPr="00F40263">
              <w:tab/>
            </w:r>
            <w:r w:rsidRPr="00F40263">
              <w:rPr>
                <w:b/>
                <w:i/>
              </w:rPr>
              <w:t xml:space="preserve">naglašava važnost promicanja prava žena i jednakih mogućnosti za muškarce i žene u cijelom svijetu, što je ključno za ostvarivanje ljudskih prava; naglašava da su, unatoč napretku, žene i djevojčice i dalje žrtve diskriminacije i nasilja, osobito u zemljama pod strogim </w:t>
            </w:r>
            <w:r w:rsidRPr="00F40263">
              <w:rPr>
                <w:b/>
                <w:i/>
              </w:rPr>
              <w:lastRenderedPageBreak/>
              <w:t>muslimanskim režimima, te da takva društva ženama i djevojčicama ne osiguravaju jednaka zakonska prava, jednak pristup obrazovanju, zdravstvenoj skrbi, dostojanstvenim radnim mjestima niti jednaku političku i ekonomsku zastupljenost;</w:t>
            </w:r>
          </w:p>
        </w:tc>
      </w:tr>
    </w:tbl>
    <w:p w:rsidR="00FB50E9" w:rsidRPr="00F40263" w:rsidRDefault="00825A0E" w:rsidP="00FB50E9">
      <w:pPr>
        <w:rPr>
          <w:rStyle w:val="HideTWBExt"/>
        </w:rPr>
      </w:pPr>
      <w:r w:rsidRPr="00F40263">
        <w:rPr>
          <w:rStyle w:val="HideTWBExt"/>
        </w:rPr>
        <w:lastRenderedPageBreak/>
        <w:t>&lt;/Amend&gt;</w:t>
      </w:r>
    </w:p>
    <w:p w:rsidR="00FB50E9" w:rsidRPr="00F40263" w:rsidRDefault="00FB50E9" w:rsidP="00FB50E9">
      <w:pPr>
        <w:rPr>
          <w:rStyle w:val="HideTWBExt"/>
        </w:rPr>
      </w:pP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19</w:t>
      </w:r>
      <w:r w:rsidRPr="00F40263">
        <w:rPr>
          <w:rStyle w:val="HideTWBExt"/>
          <w:b w:val="0"/>
        </w:rPr>
        <w:t>&lt;/NumAm&gt;</w:t>
      </w:r>
    </w:p>
    <w:p w:rsidR="00FB50E9" w:rsidRPr="00F40263" w:rsidRDefault="00FB50E9" w:rsidP="00FB50E9">
      <w:pPr>
        <w:pStyle w:val="NormalBold"/>
      </w:pPr>
    </w:p>
    <w:p w:rsidR="00FB50E9" w:rsidRPr="00F40263" w:rsidRDefault="00825A0E" w:rsidP="00FB50E9">
      <w:pPr>
        <w:pStyle w:val="NormalBold"/>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1.b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1.b</w:t>
            </w:r>
            <w:r w:rsidRPr="00F40263">
              <w:tab/>
            </w:r>
            <w:r w:rsidRPr="00F40263">
              <w:rPr>
                <w:b/>
                <w:i/>
              </w:rPr>
              <w:t>naglašava važnost jačanja sudjelovanja žena u demokratskim sustavima kako bi se riješio problem razlika u zastupljenosti žena u donošenju odluka; poziva na vanjsko djelovanje EU-a kako bi se olakšalo bolje sudjelovanje žena u politici, poslovanju i civilnom društvu;</w:t>
            </w:r>
          </w:p>
        </w:tc>
      </w:tr>
    </w:tbl>
    <w:p w:rsidR="00FB50E9" w:rsidRPr="00F40263" w:rsidRDefault="00FB50E9" w:rsidP="00FB50E9">
      <w:pPr>
        <w:pStyle w:val="AmOrLang"/>
      </w:pPr>
    </w:p>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20</w:t>
      </w:r>
      <w:r w:rsidRPr="00F40263">
        <w:rPr>
          <w:rStyle w:val="HideTWBExt"/>
        </w:rPr>
        <w:t>&lt;/NumAm&gt;</w:t>
      </w: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2.</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2.</w:t>
            </w:r>
            <w:r w:rsidRPr="00F40263">
              <w:tab/>
              <w:t>insistira na tome da poštovanje, zaštita i ostvarenje ljudskih prava i temeljnih sloboda mora biti temelj vanjske politike Unije; u tu svrhu snažno potiče EU da teži trajnoj ambicioznoj predanosti tome da ljudska prava postanu središnji dio svih politika EU-a na racionalizirani način te da poveća dosljednost između unutarnjih i vanjskih politika EU-a u tom području;</w:t>
            </w:r>
          </w:p>
        </w:tc>
        <w:tc>
          <w:tcPr>
            <w:tcW w:w="4876" w:type="dxa"/>
            <w:tcBorders>
              <w:top w:val="nil"/>
              <w:left w:val="nil"/>
              <w:bottom w:val="nil"/>
              <w:right w:val="nil"/>
            </w:tcBorders>
          </w:tcPr>
          <w:p w:rsidR="00FB50E9" w:rsidRPr="00F40263" w:rsidRDefault="00825A0E" w:rsidP="004D2E8A">
            <w:pPr>
              <w:pStyle w:val="Normal6a"/>
            </w:pPr>
            <w:r w:rsidRPr="00F40263">
              <w:t>2.</w:t>
            </w:r>
            <w:r w:rsidRPr="00F40263">
              <w:tab/>
              <w:t>insistira na tome da poštovanje, zaštita i ostvarenje ljudskih prava i temeljnih sloboda mora biti temelj vanjske politike Unije; u tu svrhu snažno potiče EU da teži trajnoj ambicioznoj predanosti tome da ljudska prava postanu središnji dio svih politika EU-a</w:t>
            </w:r>
            <w:r w:rsidRPr="00F40263">
              <w:rPr>
                <w:b/>
                <w:i/>
              </w:rPr>
              <w:t xml:space="preserve">, </w:t>
            </w:r>
            <w:r w:rsidRPr="00F40263">
              <w:rPr>
                <w:b/>
                <w:bCs/>
                <w:i/>
                <w:iCs/>
              </w:rPr>
              <w:t>uključujući trgovinske sporazume,</w:t>
            </w:r>
            <w:r w:rsidRPr="00F40263">
              <w:t xml:space="preserve"> na racionalizirani način te da poveća dosljednost između unutarnjih i vanjskih politika EU-a u tom području;</w:t>
            </w:r>
          </w:p>
        </w:tc>
      </w:tr>
    </w:tbl>
    <w:p w:rsidR="00FB50E9" w:rsidRPr="00F40263" w:rsidRDefault="00825A0E" w:rsidP="00FB50E9">
      <w:r w:rsidRPr="00F40263">
        <w:rPr>
          <w:rStyle w:val="HideTWBExt"/>
        </w:rPr>
        <w:t>&lt;/Amend&gt;</w:t>
      </w:r>
    </w:p>
    <w:p w:rsidR="00FB50E9" w:rsidRPr="00F40263" w:rsidRDefault="00FB50E9" w:rsidP="00FB50E9"/>
    <w:p w:rsidR="00FB50E9" w:rsidRPr="00F40263" w:rsidRDefault="00825A0E" w:rsidP="00FB50E9">
      <w:pPr>
        <w:pStyle w:val="AmNumberTabs"/>
      </w:pPr>
      <w:r w:rsidRPr="00F40263">
        <w:rPr>
          <w:rStyle w:val="HideTWBExt"/>
        </w:rPr>
        <w:lastRenderedPageBreak/>
        <w:t>&lt;Amend&gt;</w:t>
      </w:r>
      <w:r w:rsidRPr="00F40263">
        <w:t>Amandman</w:t>
      </w:r>
      <w:r w:rsidRPr="00F40263">
        <w:tab/>
      </w:r>
      <w:r w:rsidRPr="00F40263">
        <w:tab/>
      </w:r>
      <w:r w:rsidRPr="00F40263">
        <w:rPr>
          <w:rStyle w:val="HideTWBExt"/>
        </w:rPr>
        <w:t>&lt;NumAm&gt;</w:t>
      </w:r>
      <w:r w:rsidRPr="00F40263">
        <w:t>21</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3.</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3.</w:t>
            </w:r>
            <w:r w:rsidRPr="00F40263">
              <w:tab/>
              <w:t>naglašava da EU mora biti u potpunosti spreman boriti se protiv porasta autoritarizma, neliberalizma i populizma, kao i sve češćih napada na univerzalnost ljudskih prava, demokraciju i međunarodno humanitarno pravo;</w:t>
            </w:r>
          </w:p>
        </w:tc>
        <w:tc>
          <w:tcPr>
            <w:tcW w:w="4876" w:type="dxa"/>
            <w:tcBorders>
              <w:top w:val="nil"/>
              <w:left w:val="nil"/>
              <w:bottom w:val="nil"/>
              <w:right w:val="nil"/>
            </w:tcBorders>
          </w:tcPr>
          <w:p w:rsidR="00FB50E9" w:rsidRPr="00F40263" w:rsidRDefault="00825A0E" w:rsidP="004D2E8A">
            <w:pPr>
              <w:pStyle w:val="Normal6a"/>
            </w:pPr>
            <w:r w:rsidRPr="00F40263">
              <w:t>3.</w:t>
            </w:r>
            <w:r w:rsidRPr="00F40263">
              <w:tab/>
              <w:t xml:space="preserve">naglašava da EU mora biti u potpunosti spreman boriti se protiv </w:t>
            </w:r>
            <w:r w:rsidRPr="00F40263">
              <w:rPr>
                <w:b/>
                <w:bCs/>
                <w:i/>
                <w:iCs/>
              </w:rPr>
              <w:t>zabrinjavajućeg</w:t>
            </w:r>
            <w:r w:rsidRPr="00F40263">
              <w:t xml:space="preserve"> porasta autoritarizma, neliberalizma i populizma</w:t>
            </w:r>
            <w:r w:rsidRPr="00F40263">
              <w:rPr>
                <w:b/>
                <w:bCs/>
                <w:i/>
                <w:iCs/>
              </w:rPr>
              <w:t>, opiranja rodnoj ravnopravnosti i temeljnim pravima na globalnoj razini, uključujući prava žena, te sve izraženije retorike usmjerene na homoseksualne i transseksualne osobe, čime se ugrožavaju prava najranjivijih skupina,</w:t>
            </w:r>
            <w:r w:rsidRPr="00F40263">
              <w:t xml:space="preserve"> kao i sve češćih napada na univerzalnost ljudskih prava, demokraciju i međunarodno humanitarno pravo; </w:t>
            </w:r>
            <w:r w:rsidRPr="00F40263">
              <w:rPr>
                <w:b/>
                <w:i/>
              </w:rPr>
              <w:t>ističe međuovisnost prava žena, demokracije i vladavine prava;</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22</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4.</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4.</w:t>
            </w:r>
            <w:r w:rsidRPr="00F40263">
              <w:tab/>
              <w:t>osuđuje sve veći trend kršenja i povreda ljudskih prava i demokratskih načela i vrijednosti diljem svijeta, kao što su</w:t>
            </w:r>
            <w:r w:rsidRPr="00F40263">
              <w:rPr>
                <w:b/>
                <w:bCs/>
                <w:i/>
                <w:iCs/>
              </w:rPr>
              <w:t>, među ostalim,</w:t>
            </w:r>
            <w:r w:rsidRPr="00F40263">
              <w:t xml:space="preserve"> proizvoljna uhićenja i pritvaranja, mučenje, pritisak na civilno društvo i političke protivnike, prekomjerna upotreba nasilja od strane javnih tijela, cenzura i prijetnje neovisnim medijima, politički napadi na međunarodne institucije te sve veća upotreba nezakonitih ratnih metoda kojima se teško krši međunarodno humanitarno pravo i pravo o ljudskim pravima; žali zbog slabljenja zaštite demokratskih institucija i procesa te zbog smanjenja prostora za djelovanje civilnog društva diljem svijeta;</w:t>
            </w:r>
          </w:p>
        </w:tc>
        <w:tc>
          <w:tcPr>
            <w:tcW w:w="4876" w:type="dxa"/>
            <w:tcBorders>
              <w:top w:val="nil"/>
              <w:left w:val="nil"/>
              <w:bottom w:val="nil"/>
              <w:right w:val="nil"/>
            </w:tcBorders>
          </w:tcPr>
          <w:p w:rsidR="00FB50E9" w:rsidRPr="00F40263" w:rsidRDefault="00825A0E" w:rsidP="004D2E8A">
            <w:pPr>
              <w:pStyle w:val="Normal6a"/>
            </w:pPr>
            <w:r w:rsidRPr="00F40263">
              <w:t>4.</w:t>
            </w:r>
            <w:r w:rsidRPr="00F40263">
              <w:tab/>
              <w:t xml:space="preserve">osuđuje sve veći trend kršenja i povreda ljudskih prava i demokratskih načela i vrijednosti diljem svijeta, kao što su proizvoljna uhićenja i pritvaranja, mučenje, </w:t>
            </w:r>
            <w:r w:rsidRPr="00F40263">
              <w:rPr>
                <w:b/>
                <w:bCs/>
                <w:i/>
                <w:iCs/>
              </w:rPr>
              <w:t>sakaćenje ženskih spolnih organa,</w:t>
            </w:r>
            <w:r w:rsidRPr="00F40263">
              <w:t xml:space="preserve"> pritisak na civilno društvo i političke protivnike, prekomjerna upotreba nasilja od strane javnih tijela, cenzura i prijetnje neovisnim medijima, politički napadi na međunarodne institucije te sve veća upotreba nezakonitih ratnih metoda kojima se teško krši međunarodno humanitarno pravo i pravo o ljudskim pravima; žali zbog slabljenja zaštite demokratskih institucija i procesa te zbog smanjenja prostora za djelovanje civilnog društva diljem svijeta</w:t>
            </w:r>
            <w:r w:rsidRPr="00F40263">
              <w:rPr>
                <w:b/>
                <w:bCs/>
                <w:i/>
                <w:iCs/>
              </w:rPr>
              <w:t>, uključujući borce za spolno i reproduktivno zdravlje i prava te novinare, koji su posebno ugroženi i meta stalnih napada</w:t>
            </w:r>
            <w:r w:rsidRPr="00F40263">
              <w:t xml:space="preserve">; </w:t>
            </w:r>
            <w:r w:rsidRPr="00F40263">
              <w:rPr>
                <w:b/>
                <w:i/>
              </w:rPr>
              <w:t xml:space="preserve">nadalje osuđuje stalno nazadovanje u pogledu ljudskih </w:t>
            </w:r>
            <w:r w:rsidRPr="00F40263">
              <w:rPr>
                <w:b/>
                <w:i/>
              </w:rPr>
              <w:lastRenderedPageBreak/>
              <w:t>prava, posebno prava žena i rodne ravnopravnosti; izražava duboku zabrinutost zbog ciljanog gušenja inicijativa za prava žena i rodnu ravnopravnost u okviru tog trenda;</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23</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4.a (novi)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4.a</w:t>
            </w:r>
            <w:r w:rsidRPr="00F40263">
              <w:tab/>
            </w:r>
            <w:r w:rsidRPr="00F40263">
              <w:rPr>
                <w:b/>
                <w:i/>
              </w:rPr>
              <w:t>žali zbog krize u području rodne ravnopravnosti i aktualne represije nad ženama diljem svijeta; u potpunosti osuđuje kontinuiranu represiju i ozbiljno zlostavljanje žena i djevojčica u Afganistanu koje provode talibani, pri čemu im se uskraćuju temeljna ljudska prava i pristup temeljnim slobodama; posebno ističe nedavni „zakon o moralnosti” u Afganistanu kojim se žene praktički brišu iz javnog života; izražava solidarnost sa ženama i djevojčicama u Afganistanu i drugim zemljama; poziva EU da radi na ponovnoj uspostavi i proširenju prava žena u Afganistanu i diljem svijeta; osuđuje razornu politiku rodnog apartheida koju talibani provode u Afganistanu i apelira na de facto vlasti da odmah ponovno omoguće potpuno, ravnopravno i smisleno sudjelovanje žena i djevojčica u javnom životu, a posebno pristup obrazovanju, zdravstvenoj skrbi i radu; poziva EU i njegove države članice da prepoznaju rodni apartheid kao zločin u skladu s međunarodnim pravom kako bi se Afganistan i svi odgovorni za takve zločine pozvali na odgovornost;</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24</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4.b (novi)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4.b</w:t>
            </w:r>
            <w:r w:rsidRPr="00F40263">
              <w:tab/>
            </w:r>
            <w:r w:rsidRPr="00F40263">
              <w:rPr>
                <w:b/>
                <w:i/>
              </w:rPr>
              <w:t xml:space="preserve">naglašava da su spolno i </w:t>
            </w:r>
            <w:r w:rsidRPr="00F40263">
              <w:rPr>
                <w:b/>
                <w:i/>
              </w:rPr>
              <w:lastRenderedPageBreak/>
              <w:t>reproduktivno zdravlje i prava temeljna ljudska prava koja se moraju poštovati na globalnoj razini i u državama članicama EU-a te izražava duboku zabrinutost zbog globalnih neuspjeha u području rodne ravnopravnosti te spolnog i reproduktivnog zdravlja i prava; ponavlja da je uskraćivanje kvalitetnih sveobuhvatnih usluga u području spolnog i reproduktivnog zdravlja oblik rodno uvjetovanog nasilja; naglašava da je važno biti primjer drugima; potiče EU da u okviru promicanja ljudskih prava i postizanja ciljeva održivog razvoja postavi pristup spolnom i reproduktivnom zdravlju i pravima kao priroritet;</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25</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4.c (novi)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4.c</w:t>
            </w:r>
            <w:r w:rsidRPr="00F40263">
              <w:tab/>
            </w:r>
            <w:r w:rsidRPr="00F40263">
              <w:rPr>
                <w:b/>
                <w:i/>
              </w:rPr>
              <w:t xml:space="preserve">podsjeća da je promicanje spolnog i reproduktivnog zdravlja i prava jedno od ključnih načela Akcijskog plana za rodnu ravnopravnost III; poziva na pružanje potpore borcima za ljudska prava i organizacijama civilnog društva koji se zalažu za promicanje pristupa spolnom i reproduktivnom zdravlju i pravima te njegovo olakšavanje, a čiji je rad sve ugroženiji zbog sužavanja prostora za djelovanje civilnog društva; poziva na izbjegavanje slučajeva kao što je osuđujuća presuda Justyni Wydrzynskoj u Poljskoj u ožujku 2023.; ističe potrebu da humanitarna pomoć bude rodno osjetljiva kako bi se osiguralo da dopre do najugroženijih osoba; zalaže se za univerzalan pristup uslugama povezanima sa spolnim i reproduktivnim zdravljem i pravima, posebno sveobuhvatnom planiranju obitelji, kontracepciji, nepristranim informacijama, prenatalnoj skrbi, skrbi pri porodu i postnatalnoj skrbi, kao i skrbi povezanoj s HIV-om, uključujući terapiju predekspozicijskom i </w:t>
            </w:r>
            <w:r w:rsidRPr="00F40263">
              <w:rPr>
                <w:b/>
                <w:i/>
              </w:rPr>
              <w:lastRenderedPageBreak/>
              <w:t>postekspozicijsku profilaksom; naglašava da žene i djevojčice moraju imati stalan pristup spolnom i reproduktivnom zdravlju i pravima tijekom sukoba i raseljavanja, uključujući siguran porod, usluge planiranja obitelji, zakonite i sigurne pobačaje te kliničke postupke u slučaju silovanja; poziva na to da se dodijele sredstva za osnovne usluge i usluge kojima se spašavaju životi u području spolnog i reproduktivnog zdravlja, u skladu s paketom UN-a o minimalnim početnim uslugama;</w:t>
            </w:r>
          </w:p>
        </w:tc>
      </w:tr>
    </w:tbl>
    <w:p w:rsidR="00FB50E9" w:rsidRPr="00F40263" w:rsidRDefault="00825A0E" w:rsidP="00FB50E9">
      <w:r w:rsidRPr="00F40263">
        <w:rPr>
          <w:rStyle w:val="HideTWBExt"/>
        </w:rPr>
        <w:lastRenderedPageBreak/>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26</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4.d (novi)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4.d</w:t>
            </w:r>
            <w:r w:rsidRPr="00F40263">
              <w:tab/>
            </w:r>
            <w:r w:rsidRPr="00F40263">
              <w:rPr>
                <w:b/>
                <w:i/>
              </w:rPr>
              <w:t xml:space="preserve">izražava zabrinutost zbog globalne raširenosti rodno uvjetovanog nasilja, uključujući sakaćenje ženskih spolnih organa, dječje i prisilne brakove, femicide, nasilje iz časti te trgovanje ženama i djevojčicama; poziva globalne aktere i države članice da se odlučno uhvate u koštac s teškim položajem žena i djevojčica žrtava trgovine ljudima i seksualnog iskorištavanja u cijelom svijetu; podržava trud oko spašavanja i rehabilitacije žrtava te strogi kazneni progon i reformu počinitelja i počiniteljica kaznenih djela; pozdravlja pristupanje EU-a Istanbulskoj konvenciji; žali zbog odluke Turske da se povuče iz Konvencije i ostane izvan nje; potiče preostale države članice EU-a – Bugarsku, Češku, Mađarsku, Litvu i Slovačku – da ratificiraju Konvenciju i provedu njezine odredbe; ističe važnost prepoznavanja rodno uvjetovanog nasilja kao područja kriminaliteta u skladu s člankom 83. stavkom 1. UFEU-a; ponavlja da je silovanje i dalje jedno od najraširenijih kršenja ljudskih prava u svijetu i naglašava važnost zakonodavstva o silovanju koje se temelji na pristanku, </w:t>
            </w:r>
            <w:r w:rsidRPr="00F40263">
              <w:rPr>
                <w:b/>
                <w:i/>
              </w:rPr>
              <w:lastRenderedPageBreak/>
              <w:t>kao i sveobuhvatnog obrazovanja o seksualnosti i odnosima u tom pogledu te ponavlja da silovanje na temelju nedostatka pristanka treba kriminalizirati u skladu s pravom EU-a; potiče na poštovanje preporuke posebne izvjestiteljice UN-a da bi trebalo uspostaviti inicijativu za praćenje femicida</w:t>
            </w:r>
            <w:r w:rsidRPr="00F40263">
              <w:rPr>
                <w:b/>
                <w:i/>
                <w:vertAlign w:val="superscript"/>
              </w:rPr>
              <w:t>1a</w:t>
            </w:r>
            <w:r w:rsidRPr="00F40263">
              <w:rPr>
                <w:b/>
                <w:i/>
              </w:rPr>
              <w:t xml:space="preserve"> (tamo gdje već ne postoji) kako bi se pratili femicidi i istaknuo taj problem u svrhu poboljšanja politika, te kako bi se podigla razina osviještenosti o rodno uvjetovanim ubojstvima žena kao kobnim iskazima kontinuiranog nasilja nad ženama; zahtijeva evidentiranje tih podataka u službenim statističkim podacima o ubojstvima;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tc>
        <w:tc>
          <w:tcPr>
            <w:tcW w:w="4876" w:type="dxa"/>
            <w:tcBorders>
              <w:top w:val="nil"/>
              <w:left w:val="nil"/>
              <w:bottom w:val="nil"/>
              <w:right w:val="nil"/>
            </w:tcBorders>
          </w:tcPr>
          <w:p w:rsidR="00FB50E9" w:rsidRPr="00F40263" w:rsidRDefault="00825A0E" w:rsidP="004D2E8A">
            <w:pPr>
              <w:pStyle w:val="Normal6a"/>
            </w:pPr>
            <w:r w:rsidRPr="00F40263">
              <w:rPr>
                <w:b/>
                <w:i/>
              </w:rPr>
              <w:t>_________________</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tc>
        <w:tc>
          <w:tcPr>
            <w:tcW w:w="4876" w:type="dxa"/>
            <w:tcBorders>
              <w:top w:val="nil"/>
              <w:left w:val="nil"/>
              <w:bottom w:val="nil"/>
              <w:right w:val="nil"/>
            </w:tcBorders>
          </w:tcPr>
          <w:p w:rsidR="00FB50E9" w:rsidRPr="00F40263" w:rsidRDefault="00825A0E" w:rsidP="004D2E8A">
            <w:pPr>
              <w:pStyle w:val="Normal6a"/>
            </w:pPr>
            <w:r w:rsidRPr="00F40263">
              <w:rPr>
                <w:b/>
                <w:i/>
                <w:vertAlign w:val="superscript"/>
              </w:rPr>
              <w:t>1a</w:t>
            </w:r>
            <w:r w:rsidRPr="00F40263">
              <w:t xml:space="preserve"> </w:t>
            </w:r>
            <w:r w:rsidRPr="00F40263">
              <w:rPr>
                <w:b/>
                <w:i/>
              </w:rPr>
              <w:t>WAVE, https://wave-network.org/wp-content/uploads/WAVE_CountryReport2023.pdf, p. 67.</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27</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5.</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5.</w:t>
            </w:r>
            <w:r w:rsidRPr="00F40263">
              <w:tab/>
              <w:t>s dubokom zabrinutošću primjećuje aktualnu međunarodnu krizu odgovornosti i postojanje izazova za okončanje nekažnjavanja kršenja temeljnih normi međunarodnih ljudskih prava i humanitarnog prava u modernim sukobima diljem svijeta;</w:t>
            </w:r>
          </w:p>
        </w:tc>
        <w:tc>
          <w:tcPr>
            <w:tcW w:w="4876" w:type="dxa"/>
            <w:tcBorders>
              <w:top w:val="nil"/>
              <w:left w:val="nil"/>
              <w:bottom w:val="nil"/>
              <w:right w:val="nil"/>
            </w:tcBorders>
          </w:tcPr>
          <w:p w:rsidR="00FB50E9" w:rsidRPr="00F40263" w:rsidRDefault="00825A0E" w:rsidP="004D2E8A">
            <w:pPr>
              <w:pStyle w:val="Normal6a"/>
            </w:pPr>
            <w:r w:rsidRPr="00F40263">
              <w:t>5.</w:t>
            </w:r>
            <w:r w:rsidRPr="00F40263">
              <w:tab/>
            </w:r>
            <w:r w:rsidRPr="00F40263">
              <w:rPr>
                <w:b/>
                <w:i/>
              </w:rPr>
              <w:t xml:space="preserve">naglašava da su žene i djevojčice, uključujući LGBTIQ+ osobe, ranjivije u sukobima; osuđuje ničim izazvan i nezakonit rat Rusije protiv Ukrajine i njegove nerazmjerne posljedice za žene i djevojčice; prepoznaje hrabrost žena na prvoj liniji obrane na terenu; apelira da se Rusija pozove na odgovornost za sva kršenja ljudskih prava žena i djevojčica, uključujući, ali ne ograničavajući se na sve činove rodno uvjetovanog nasilja poput seksualnog nasilja, trgovine ljudima i silovanja; poziva na to da se svim žrtvama zajamči pristup pravosuđu; </w:t>
            </w:r>
            <w:r w:rsidRPr="00F40263">
              <w:t xml:space="preserve">s dubokom zabrinutošću </w:t>
            </w:r>
            <w:r w:rsidRPr="00F40263">
              <w:rPr>
                <w:b/>
                <w:bCs/>
                <w:i/>
                <w:iCs/>
              </w:rPr>
              <w:t>dodatno</w:t>
            </w:r>
            <w:r w:rsidRPr="00F40263">
              <w:t xml:space="preserve"> primjećuje aktualnu međunarodnu krizu odgovornosti i postojanje izazova za okončanje nekažnjavanja kršenja temeljnih </w:t>
            </w:r>
            <w:r w:rsidRPr="00F40263">
              <w:lastRenderedPageBreak/>
              <w:t xml:space="preserve">normi međunarodnih ljudskih prava i humanitarnog prava u modernim sukobima diljem svijeta, </w:t>
            </w:r>
            <w:r w:rsidRPr="00F40263">
              <w:rPr>
                <w:b/>
                <w:bCs/>
                <w:i/>
                <w:iCs/>
              </w:rPr>
              <w:t>koji dovode do kršenja prava žena i djevojčica te kontinuiranog postojanja područja u kojima su djevojčice i žene prisiljene na brak bez njihova pristanka ili su žrtve trgovanja ljudima radi prostitucije ili prisilnog rada</w:t>
            </w:r>
            <w:r w:rsidRPr="00F40263">
              <w:t>;</w:t>
            </w:r>
          </w:p>
        </w:tc>
      </w:tr>
    </w:tbl>
    <w:p w:rsidR="00FB50E9" w:rsidRPr="00F40263" w:rsidRDefault="00825A0E" w:rsidP="00FB50E9">
      <w:pPr>
        <w:rPr>
          <w:rFonts w:ascii="Arial" w:hAnsi="Arial" w:cs="Arial"/>
          <w:noProof/>
          <w:vanish/>
          <w:color w:val="000080"/>
          <w:sz w:val="20"/>
        </w:rPr>
      </w:pPr>
      <w:r w:rsidRPr="00F40263">
        <w:rPr>
          <w:rStyle w:val="HideTWBExt"/>
        </w:rPr>
        <w:lastRenderedPageBreak/>
        <w:t>&lt;/Amend&gt;</w:t>
      </w:r>
    </w:p>
    <w:p w:rsidR="00FB50E9" w:rsidRPr="00F40263" w:rsidRDefault="00FB50E9" w:rsidP="00FB50E9"/>
    <w:p w:rsidR="00FB50E9" w:rsidRPr="00F40263" w:rsidRDefault="00825A0E" w:rsidP="00FB50E9">
      <w:pPr>
        <w:pStyle w:val="AmNumberTabs"/>
      </w:pPr>
      <w:r w:rsidRPr="00F40263">
        <w:rPr>
          <w:rStyle w:val="HideTWBExt"/>
        </w:rPr>
        <w:t>&lt;Amend&gt;</w:t>
      </w:r>
      <w:r w:rsidRPr="00F40263">
        <w:t>Amandman</w:t>
      </w:r>
      <w:r w:rsidRPr="00F40263">
        <w:tab/>
      </w:r>
      <w:r w:rsidRPr="00F40263">
        <w:rPr>
          <w:rStyle w:val="HideTWBExt"/>
        </w:rPr>
        <w:t>&lt;NumAm&gt;</w:t>
      </w:r>
      <w:r w:rsidRPr="00F40263">
        <w:t>28</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6.</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6.</w:t>
            </w:r>
            <w:r w:rsidRPr="00F40263">
              <w:tab/>
              <w:t>sa zadovoljstvom primjećuje da postoje i „svijetle točke ljudskih prava” u tom kontekstu velikih izazova za ljudska prava diljem svijeta; ističe potrebu za više strateškom komunikacijom o ljudskim pravima i demokraciji širenjem vijesti o pozitivnim rezultatima, politikama i najboljim praksama; podupire inicijativu „Dobri primjeri u području ljudskih prava”</w:t>
            </w:r>
            <w:r w:rsidRPr="00F40263">
              <w:rPr>
                <w:vertAlign w:val="superscript"/>
              </w:rPr>
              <w:t>9</w:t>
            </w:r>
            <w:r w:rsidRPr="00F40263">
              <w:t xml:space="preserve"> kao način promicanja pozitivnih priča o ljudskim pravima;</w:t>
            </w:r>
          </w:p>
        </w:tc>
        <w:tc>
          <w:tcPr>
            <w:tcW w:w="4876" w:type="dxa"/>
            <w:tcBorders>
              <w:top w:val="nil"/>
              <w:left w:val="nil"/>
              <w:bottom w:val="nil"/>
              <w:right w:val="nil"/>
            </w:tcBorders>
          </w:tcPr>
          <w:p w:rsidR="00FB50E9" w:rsidRPr="00F40263" w:rsidRDefault="00825A0E" w:rsidP="004D2E8A">
            <w:pPr>
              <w:pStyle w:val="Normal6a"/>
            </w:pPr>
            <w:r w:rsidRPr="00F40263">
              <w:t>6.</w:t>
            </w:r>
            <w:r w:rsidRPr="00F40263">
              <w:tab/>
              <w:t>sa zadovoljstvom primjećuje da postoje i „svijetle točke ljudskih prava” u tom kontekstu velikih izazova za ljudska prava diljem svijeta; ističe potrebu za više strateškom komunikacijom o ljudskim pravima i demokraciji širenjem vijesti o pozitivnim rezultatima, politikama i najboljim praksama; podupire inicijativu „Dobri primjeri u području ljudskih prava”</w:t>
            </w:r>
            <w:r w:rsidRPr="00F40263">
              <w:rPr>
                <w:vertAlign w:val="superscript"/>
              </w:rPr>
              <w:t>9</w:t>
            </w:r>
            <w:r w:rsidRPr="00F40263">
              <w:t xml:space="preserve"> kao način promicanja pozitivnih priča o ljudskim pravima; </w:t>
            </w:r>
            <w:r w:rsidRPr="00F40263">
              <w:rPr>
                <w:b/>
                <w:i/>
              </w:rPr>
              <w:t xml:space="preserve">ističe važnost prepoznavanja, priznavanja i promicanja rada borkinja i aktivistica za ljudska prava; podržava to što je Europski parlament dodijelio Nagradu Saharov za slobodu mišljenja, napominjući da je ona u posljednja dva izdanja dodijeljena aktivisticama za demokraciju i ljudska prava, kao što su Jina Mahsa Amini i iranski prosvjedni pokret „Žena, život, sloboda” 2023. te María Corina Machado, čelnica demokratskih snaga Venezuele 2024.; </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rPr>
                <w:b/>
                <w:i/>
              </w:rPr>
              <w:t>_________________</w:t>
            </w:r>
          </w:p>
        </w:tc>
        <w:tc>
          <w:tcPr>
            <w:tcW w:w="4876" w:type="dxa"/>
            <w:tcBorders>
              <w:top w:val="nil"/>
              <w:left w:val="nil"/>
              <w:bottom w:val="nil"/>
              <w:right w:val="nil"/>
            </w:tcBorders>
          </w:tcPr>
          <w:p w:rsidR="00FB50E9" w:rsidRPr="00F40263" w:rsidRDefault="00825A0E" w:rsidP="004D2E8A">
            <w:pPr>
              <w:pStyle w:val="Normal6a"/>
            </w:pPr>
            <w:r w:rsidRPr="00F40263">
              <w:rPr>
                <w:b/>
                <w:i/>
              </w:rPr>
              <w:t>_________________</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tc>
        <w:tc>
          <w:tcPr>
            <w:tcW w:w="4876" w:type="dxa"/>
            <w:tcBorders>
              <w:top w:val="nil"/>
              <w:left w:val="nil"/>
              <w:bottom w:val="nil"/>
              <w:right w:val="nil"/>
            </w:tcBorders>
          </w:tcPr>
          <w:p w:rsidR="00FB50E9" w:rsidRPr="00F40263" w:rsidRDefault="00825A0E" w:rsidP="004D2E8A">
            <w:pPr>
              <w:pStyle w:val="Normal6a"/>
            </w:pPr>
            <w:r w:rsidRPr="00F40263">
              <w:rPr>
                <w:vertAlign w:val="superscript"/>
              </w:rPr>
              <w:t>9</w:t>
            </w:r>
            <w:r w:rsidRPr="00F40263">
              <w:t xml:space="preserve"> https://goodhumanrightsstories.net/.</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rPr>
                <w:vertAlign w:val="superscript"/>
              </w:rPr>
              <w:t>9</w:t>
            </w:r>
            <w:r w:rsidRPr="00F40263">
              <w:t xml:space="preserve"> https://goodhumanrightsstories.net/.</w:t>
            </w:r>
          </w:p>
        </w:tc>
        <w:tc>
          <w:tcPr>
            <w:tcW w:w="4876" w:type="dxa"/>
            <w:tcBorders>
              <w:top w:val="nil"/>
              <w:left w:val="nil"/>
              <w:bottom w:val="nil"/>
              <w:right w:val="nil"/>
            </w:tcBorders>
          </w:tcPr>
          <w:p w:rsidR="00FB50E9" w:rsidRPr="00F40263" w:rsidRDefault="00FB50E9" w:rsidP="004D2E8A"/>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29</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7.</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7.</w:t>
            </w:r>
            <w:r w:rsidRPr="00F40263">
              <w:tab/>
              <w:t xml:space="preserve">sa zabrinutošću primjećuje povećanje </w:t>
            </w:r>
            <w:r w:rsidRPr="00F40263">
              <w:rPr>
                <w:b/>
                <w:bCs/>
                <w:i/>
                <w:iCs/>
              </w:rPr>
              <w:t>globalne podjele</w:t>
            </w:r>
            <w:r w:rsidRPr="00F40263">
              <w:t>; naglašava odgovornost EU-a da nastavi braniti demokratske vrijednosti i načela te ljudska prava, mir i dostojanstvo diljem svijeta, koje je u trenutačnom nestabilnom stanju globalne politike još važnije braniti; poziva EU da održava otvorene komunikacijske kanale s različitim dionicima i da nastavi razvijati sveobuhvatan paket instrumenata za jačanje ljudskih prava i demokracije na globalnoj razini;</w:t>
            </w:r>
          </w:p>
        </w:tc>
        <w:tc>
          <w:tcPr>
            <w:tcW w:w="4876" w:type="dxa"/>
            <w:tcBorders>
              <w:top w:val="nil"/>
              <w:left w:val="nil"/>
              <w:bottom w:val="nil"/>
              <w:right w:val="nil"/>
            </w:tcBorders>
          </w:tcPr>
          <w:p w:rsidR="00FB50E9" w:rsidRPr="00F40263" w:rsidRDefault="00825A0E" w:rsidP="004D2E8A">
            <w:pPr>
              <w:pStyle w:val="Normal6a"/>
            </w:pPr>
            <w:r w:rsidRPr="00F40263">
              <w:t>7.</w:t>
            </w:r>
            <w:r w:rsidRPr="00F40263">
              <w:tab/>
              <w:t xml:space="preserve">sa zabrinutošću primjećuje povećanje </w:t>
            </w:r>
            <w:r w:rsidRPr="00F40263">
              <w:rPr>
                <w:b/>
                <w:bCs/>
                <w:i/>
                <w:iCs/>
              </w:rPr>
              <w:t>globalnih</w:t>
            </w:r>
            <w:r w:rsidRPr="00F40263">
              <w:t xml:space="preserve"> </w:t>
            </w:r>
            <w:r w:rsidRPr="00F40263">
              <w:rPr>
                <w:b/>
                <w:bCs/>
                <w:i/>
                <w:iCs/>
              </w:rPr>
              <w:t>gospodarskih, obrazovnih, kulturnih, društvenih i tehnoloških podjela</w:t>
            </w:r>
            <w:r w:rsidRPr="00F40263">
              <w:t xml:space="preserve">; naglašava odgovornost EU-a da nastavi braniti demokratske vrijednosti i načela te ljudska prava, mir i dostojanstvo diljem svijeta, koje je u trenutačnom nestabilnom stanju globalne politike još važnije braniti; poziva EU da održava otvorene komunikacijske </w:t>
            </w:r>
            <w:r w:rsidRPr="00F40263">
              <w:rPr>
                <w:b/>
                <w:bCs/>
                <w:i/>
                <w:iCs/>
              </w:rPr>
              <w:t>i, prema potrebi, pregovaračke</w:t>
            </w:r>
            <w:r w:rsidRPr="00F40263">
              <w:t xml:space="preserve"> kanale s različitim dionicima i da nastavi razvijati sveobuhvatan paket instrumenata za jačanje ljudskih prava i demokracije na globalnoj razini;</w:t>
            </w:r>
          </w:p>
        </w:tc>
      </w:tr>
    </w:tbl>
    <w:p w:rsidR="00FB50E9" w:rsidRPr="00F40263" w:rsidRDefault="00825A0E" w:rsidP="00FB50E9">
      <w:pPr>
        <w:rPr>
          <w:rStyle w:val="HideTWBExt"/>
        </w:rPr>
      </w:pPr>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30</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27.</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27.</w:t>
            </w:r>
            <w:r w:rsidRPr="00F40263">
              <w:tab/>
              <w:t xml:space="preserve">naglašava da su prava žena i rodna ravnopravnost nužna i nedjeljiva ljudska prava, </w:t>
            </w:r>
            <w:r w:rsidRPr="00F40263">
              <w:rPr>
                <w:b/>
                <w:bCs/>
                <w:i/>
                <w:iCs/>
              </w:rPr>
              <w:t xml:space="preserve">kao i </w:t>
            </w:r>
            <w:r w:rsidRPr="00F40263">
              <w:t xml:space="preserve">osnova za vladavinu prava te uključive i otporne demokracije; žali zbog činjenice da se milijuni žena i djevojčica i dalje suočavaju s diskriminacijom i nasiljem, posebno u kontekstu sukoba, te da im se uskraćuje dostojanstvo, autonomija, pa čak i život; traži da EU, njegove države članice i partneri sličnih stavova pojačaju napore kako bi osigurali potpuno uživanje i zaštitu ljudskih prava žena i djevojčica; najoštrije osuđuje sve </w:t>
            </w:r>
            <w:r w:rsidRPr="00F40263">
              <w:rPr>
                <w:b/>
                <w:bCs/>
                <w:i/>
                <w:iCs/>
              </w:rPr>
              <w:t>češće napade</w:t>
            </w:r>
            <w:r w:rsidRPr="00F40263">
              <w:t xml:space="preserve"> na spolno i reproduktivno zdravlje i prava diljem svijeta, kao i rodno uvjetovano nasilje; pozdravlja pristupanje EU-a Istanbulskoj konvenciji; poziva EU i njegove međunarodne partnere da pojačaju svoje napore kako bi se osiguralo da žene u potpunosti uživaju svoja ljudska prava</w:t>
            </w:r>
            <w:r w:rsidRPr="00F40263">
              <w:rPr>
                <w:b/>
                <w:bCs/>
                <w:i/>
                <w:iCs/>
              </w:rPr>
              <w:t xml:space="preserve"> i da su ravnopravne s muškarcima</w:t>
            </w:r>
            <w:r w:rsidRPr="00F40263">
              <w:t xml:space="preserve">; ističe da je potrebno ulagati napore u potpuno iskorjenjivanje </w:t>
            </w:r>
            <w:r w:rsidRPr="00F40263">
              <w:rPr>
                <w:b/>
                <w:bCs/>
                <w:i/>
                <w:iCs/>
              </w:rPr>
              <w:t>prakse</w:t>
            </w:r>
            <w:r w:rsidRPr="00F40263">
              <w:t xml:space="preserve"> sakaćenja ženskih spolnih organa;</w:t>
            </w:r>
          </w:p>
        </w:tc>
        <w:tc>
          <w:tcPr>
            <w:tcW w:w="4876" w:type="dxa"/>
            <w:tcBorders>
              <w:top w:val="nil"/>
              <w:left w:val="nil"/>
              <w:bottom w:val="nil"/>
              <w:right w:val="nil"/>
            </w:tcBorders>
          </w:tcPr>
          <w:p w:rsidR="00FB50E9" w:rsidRPr="00F40263" w:rsidRDefault="00825A0E" w:rsidP="004D2E8A">
            <w:pPr>
              <w:pStyle w:val="Normal6a"/>
            </w:pPr>
            <w:r w:rsidRPr="00F40263">
              <w:t>27.</w:t>
            </w:r>
            <w:r w:rsidRPr="00F40263">
              <w:tab/>
              <w:t>naglašava da su prava žena i rodna ravnopravnost nužna i nedjeljiva ljudska prava, osnova za vladavinu prava te uključive i otporne demokracije</w:t>
            </w:r>
            <w:r w:rsidRPr="00F40263">
              <w:rPr>
                <w:b/>
                <w:bCs/>
                <w:i/>
                <w:iCs/>
              </w:rPr>
              <w:t>, kao i temeljna vrijednost EU-a i jedno od njegovih zajedničkih i temeljnih načela</w:t>
            </w:r>
            <w:r w:rsidRPr="00F40263">
              <w:t>; žali zbog činjenice da se milijuni žena i djevojčica i dalje suočavaju s diskriminacijom i nasiljem, posebno u kontekstu sukoba</w:t>
            </w:r>
            <w:r w:rsidRPr="00F40263">
              <w:rPr>
                <w:b/>
                <w:bCs/>
                <w:i/>
                <w:iCs/>
              </w:rPr>
              <w:t>, situacija nakon sukoba i raseljavanja</w:t>
            </w:r>
            <w:r w:rsidRPr="00F40263">
              <w:t>, te da im se uskraćuje dostojanstvo, autonomija</w:t>
            </w:r>
            <w:r w:rsidRPr="00F40263">
              <w:rPr>
                <w:b/>
                <w:bCs/>
                <w:i/>
                <w:iCs/>
              </w:rPr>
              <w:t>, pravo glasa, moć djelovanja</w:t>
            </w:r>
            <w:r w:rsidRPr="00F40263">
              <w:t xml:space="preserve">, pa čak i život; </w:t>
            </w:r>
            <w:r w:rsidRPr="00F40263">
              <w:rPr>
                <w:b/>
                <w:i/>
              </w:rPr>
              <w:t>s posebnom zabrinutošću napominje da su žene iz marginaliziranih zajednica, ruralnih i nerazvijenih područja te one koje se suočavaju s višestrukim i isprepletenim oblicima diskriminacije posebno ranjive;</w:t>
            </w:r>
            <w:r w:rsidRPr="00F40263">
              <w:t xml:space="preserve"> traži da EU, njegove države članice i partneri sličnih stavova pojačaju napore kako bi osigurali potpuno uživanje i zaštitu ljudskih prava žena i djevojčica; najoštrije osuđuje </w:t>
            </w:r>
            <w:r w:rsidRPr="00F40263">
              <w:rPr>
                <w:b/>
                <w:bCs/>
                <w:i/>
                <w:iCs/>
              </w:rPr>
              <w:t>sve oblike napada</w:t>
            </w:r>
            <w:r w:rsidRPr="00F40263">
              <w:t xml:space="preserve"> na spolno i reproduktivno zdravlje i prava diljem svijeta, kao i rodno uvjetovano nasilje</w:t>
            </w:r>
            <w:r w:rsidRPr="00F40263">
              <w:rPr>
                <w:b/>
                <w:bCs/>
                <w:i/>
                <w:iCs/>
              </w:rPr>
              <w:t>, uključujući upotrebu seksualnog nasilja kao ratnog oružja</w:t>
            </w:r>
            <w:r w:rsidRPr="00F40263">
              <w:t>;</w:t>
            </w:r>
            <w:r w:rsidRPr="00F40263">
              <w:rPr>
                <w:b/>
                <w:i/>
              </w:rPr>
              <w:t xml:space="preserve"> poziva EU i države članice da poštuju spolno i reproduktivno zdravlje i prava kao ljudska prava, da pravo na zakonit i siguran pobačaj unesu u Povelju EU-a o temeljnim pravima te da pristup spolnom i reproduktivnom zdravlju i pravima postave kao prioritet kako bi se unaprijedila ljudska prava i ciljevi održivog razvoja;</w:t>
            </w:r>
            <w:r w:rsidRPr="00F40263">
              <w:t xml:space="preserve"> pozdravlja pristupanje EU-a Istanbulskoj konvenciji </w:t>
            </w:r>
            <w:r w:rsidRPr="00F40263">
              <w:rPr>
                <w:b/>
                <w:bCs/>
                <w:i/>
                <w:iCs/>
              </w:rPr>
              <w:t>i poziva države članice i članice Vijeća Europe koje to još nisu učinile da ratificiraju Konvenciju;</w:t>
            </w:r>
            <w:r w:rsidRPr="00F40263">
              <w:rPr>
                <w:b/>
                <w:i/>
              </w:rPr>
              <w:t xml:space="preserve"> </w:t>
            </w:r>
            <w:r w:rsidRPr="00F40263">
              <w:rPr>
                <w:b/>
                <w:bCs/>
                <w:i/>
                <w:iCs/>
              </w:rPr>
              <w:t>naglašava potrebu za njezinom potpunom i brzom provedbom</w:t>
            </w:r>
            <w:r w:rsidRPr="00F40263">
              <w:t xml:space="preserve">; poziva EU i njegove međunarodne partnere da pojačaju svoje napore </w:t>
            </w:r>
            <w:r w:rsidRPr="00F40263">
              <w:rPr>
                <w:b/>
                <w:bCs/>
                <w:i/>
                <w:iCs/>
              </w:rPr>
              <w:t>kako bi se standardi Istanbulske konvencije proširili diljem svijeta i</w:t>
            </w:r>
            <w:r w:rsidRPr="00F40263">
              <w:t xml:space="preserve"> kako bi se osiguralo da žene u potpunosti uživaju svoja ljudska prava </w:t>
            </w:r>
            <w:r w:rsidRPr="00F40263">
              <w:rPr>
                <w:b/>
                <w:bCs/>
                <w:i/>
                <w:iCs/>
              </w:rPr>
              <w:t>i da promiču rodnu ravnopravnost u svim svojim djelovanjima</w:t>
            </w:r>
            <w:r w:rsidRPr="00F40263">
              <w:t xml:space="preserve">; ističe da je potrebno ulagati napore u potpuno iskorjenjivanje sakaćenja ženskih spolnih organa; </w:t>
            </w:r>
            <w:r w:rsidRPr="00F40263">
              <w:rPr>
                <w:b/>
                <w:i/>
              </w:rPr>
              <w:t>naglašava da su postizanje rodne ravnopravnosti te ostvarivanje spolnog i reproduktivnog zdravlja i prava sastavni dio vanjskog djelovanja EU-a; poziva na stalno zagovaranje na multilateralnim i bilateralnim forumima kako bi se osigurala jednaka prava i zaštita žena i djevojčica na globalnoj razini;</w:t>
            </w:r>
          </w:p>
        </w:tc>
      </w:tr>
    </w:tbl>
    <w:p w:rsidR="00FB50E9" w:rsidRPr="00F40263" w:rsidRDefault="00825A0E" w:rsidP="00FB50E9">
      <w:r w:rsidRPr="00F40263">
        <w:rPr>
          <w:rStyle w:val="HideTWBExt"/>
        </w:rPr>
        <w:t>&lt;/Amend&gt;</w:t>
      </w:r>
    </w:p>
    <w:p w:rsidR="00FB50E9" w:rsidRPr="00F40263" w:rsidRDefault="00FB50E9" w:rsidP="00FB50E9"/>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31</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7.a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FB50E9" w:rsidP="004D2E8A">
            <w:pPr>
              <w:pStyle w:val="Normal6a"/>
            </w:pPr>
          </w:p>
        </w:tc>
        <w:tc>
          <w:tcPr>
            <w:tcW w:w="4876" w:type="dxa"/>
            <w:tcBorders>
              <w:top w:val="nil"/>
              <w:left w:val="nil"/>
              <w:bottom w:val="nil"/>
              <w:right w:val="nil"/>
            </w:tcBorders>
          </w:tcPr>
          <w:p w:rsidR="00FB50E9" w:rsidRPr="00F40263" w:rsidRDefault="00825A0E" w:rsidP="004D2E8A">
            <w:pPr>
              <w:pStyle w:val="Normal6a"/>
            </w:pPr>
            <w:r w:rsidRPr="00F40263">
              <w:rPr>
                <w:b/>
                <w:i/>
              </w:rPr>
              <w:t>7.a</w:t>
            </w:r>
            <w:r w:rsidRPr="00F40263">
              <w:tab/>
            </w:r>
            <w:r w:rsidRPr="00F40263">
              <w:rPr>
                <w:b/>
                <w:i/>
              </w:rPr>
              <w:t>naglašava da je obrazovanje polazište za njegovanje načela i vrijednosti koji doprinose osobnom razvoju djece, kao i socijalnoj koheziji i demokraciji te vladavini prava u cijelom svijetu; u tu svrhu poziva EU da promiče svoje vrijednosti podupiranjem pristupa obrazovanju i učenju za žene i djevojčice;</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32</w:t>
      </w:r>
      <w:r w:rsidRPr="00F40263">
        <w:rPr>
          <w:rStyle w:val="HideTWBExt"/>
          <w:b w:val="0"/>
        </w:rPr>
        <w:t>&lt;/NumAm&gt;</w:t>
      </w:r>
    </w:p>
    <w:p w:rsidR="00FB50E9" w:rsidRPr="00F40263" w:rsidRDefault="00825A0E" w:rsidP="00FB50E9">
      <w:pPr>
        <w:pStyle w:val="NormalBold12b"/>
      </w:pPr>
      <w:r w:rsidRPr="00F40263">
        <w:rPr>
          <w:rStyle w:val="HideTWBExt"/>
          <w:b w:val="0"/>
        </w:rPr>
        <w:t>&lt;DocAmend&gt;</w:t>
      </w:r>
      <w:r w:rsidRPr="00F40263">
        <w:t>Prijedlog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8.</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8.</w:t>
            </w:r>
            <w:r w:rsidRPr="00F40263">
              <w:tab/>
              <w:t>primjećuje da su EU i njegove države članice ostvarili znatan napredak u provedbi Akcijskog plana EU-a za ljudska prava i demokraciju, iako nisu ostvarili sve njegove ciljeve, posebno zbog dosad nezabilježenih izazova s kojima se svijet suočava od trenutka kada je taj plan donesen; u tom smislu pozdravlja produljenje trajanja akcijskog plana do 2027. radi maksimiziranja sinergija i komplementarnosti između ljudskih prava i demokracije na lokalnoj, nacionalnoj i globalnoj razini;</w:t>
            </w:r>
          </w:p>
        </w:tc>
        <w:tc>
          <w:tcPr>
            <w:tcW w:w="4876" w:type="dxa"/>
            <w:tcBorders>
              <w:top w:val="nil"/>
              <w:left w:val="nil"/>
              <w:bottom w:val="nil"/>
              <w:right w:val="nil"/>
            </w:tcBorders>
          </w:tcPr>
          <w:p w:rsidR="00FB50E9" w:rsidRPr="00F40263" w:rsidRDefault="00825A0E" w:rsidP="004D2E8A">
            <w:pPr>
              <w:pStyle w:val="Normal6a"/>
            </w:pPr>
            <w:r w:rsidRPr="00F40263">
              <w:t>8.</w:t>
            </w:r>
            <w:r w:rsidRPr="00F40263">
              <w:tab/>
              <w:t>primjećuje da su EU i njegove države članice ostvarili znatan napredak u provedbi Akcijskog plana EU-a za ljudska prava i demokraciju, iako nisu ostvarili sve njegove ciljeve, posebno zbog dosad nezabilježenih izazova s kojima se svijet suočava od trenutka kada je taj plan donesen</w:t>
            </w:r>
            <w:r w:rsidRPr="00F40263">
              <w:rPr>
                <w:b/>
                <w:bCs/>
                <w:i/>
                <w:iCs/>
              </w:rPr>
              <w:t>, stoga prima na znanje da preostaje još mnogo posla u tom pogledu</w:t>
            </w:r>
            <w:r w:rsidRPr="00F40263">
              <w:t>; u tom smislu pozdravlja produljenje trajanja akcijskog plana do 2027. radi maksimiziranja sinergija i komplementarnosti između ljudskih prava i demokracije na lokalnoj, nacionalnoj i globalnoj razini;</w:t>
            </w: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33</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10.</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10.</w:t>
            </w:r>
            <w:r w:rsidRPr="00F40263">
              <w:tab/>
              <w:t>podsjeća na temeljnu ulogu Instrumenta za susjedstvo, razvoj i međunarodnu suradnju – Globalna Europa, uključujući njegov tematski program o ljudskim pravima i demokraciji, kao vodećeg instrumenta EU-a u promicanju</w:t>
            </w:r>
            <w:r w:rsidRPr="00F40263">
              <w:rPr>
                <w:b/>
                <w:i/>
              </w:rPr>
              <w:t xml:space="preserve"> i</w:t>
            </w:r>
            <w:r w:rsidRPr="00F40263">
              <w:t xml:space="preserve"> zaštiti ljudskih prava i demokracije diljem svijeta; ističe potrebu za suradnjom s civilnim društvom u svim relevantnim vanjskim aktivnostima EU-a; ponovno ističe važnost racionalizacije pristupa koji se temelji na ljudskim pravima u instrumentima EU-a za vanjsko djelovanje; ističe ulogu Parlamenta u postupku programiranja tog instrumenta te poziva Komisiju i Europsku službu za vanjsko djelovanje (ESVD) da pravodobno dijele sve relevantne informacije kako bi se Parlamentu omogućilo da u skladu s time ispuni svoju ulogu, posebno tijekom geopolitičkih dijaloga na visokoj razini s Komisijom;</w:t>
            </w:r>
          </w:p>
        </w:tc>
        <w:tc>
          <w:tcPr>
            <w:tcW w:w="4876" w:type="dxa"/>
            <w:tcBorders>
              <w:top w:val="nil"/>
              <w:left w:val="nil"/>
              <w:bottom w:val="nil"/>
              <w:right w:val="nil"/>
            </w:tcBorders>
          </w:tcPr>
          <w:p w:rsidR="00FB50E9" w:rsidRPr="00F40263" w:rsidRDefault="00825A0E" w:rsidP="004D2E8A">
            <w:pPr>
              <w:pStyle w:val="Normal6a"/>
            </w:pPr>
            <w:r w:rsidRPr="00F40263">
              <w:t>10.</w:t>
            </w:r>
            <w:r w:rsidRPr="00F40263">
              <w:tab/>
              <w:t>podsjeća na temeljnu ulogu Instrumenta za susjedstvo, razvoj i međunarodnu suradnju</w:t>
            </w:r>
            <w:r w:rsidRPr="00F40263">
              <w:rPr>
                <w:b/>
                <w:bCs/>
                <w:i/>
                <w:iCs/>
              </w:rPr>
              <w:t xml:space="preserve"> (NDICI) </w:t>
            </w:r>
            <w:r w:rsidRPr="00F40263">
              <w:t xml:space="preserve"> – Globalna  Europa, uključujući njegov tematski program o ljudskim pravima i demokraciji, kao vodećeg instrumenta EU-a u promicanju </w:t>
            </w:r>
            <w:r w:rsidRPr="00F40263">
              <w:rPr>
                <w:b/>
                <w:bCs/>
                <w:i/>
                <w:iCs/>
              </w:rPr>
              <w:t>rodne ravnopravnosti i</w:t>
            </w:r>
            <w:r w:rsidRPr="00F40263">
              <w:t xml:space="preserve"> </w:t>
            </w:r>
            <w:r w:rsidRPr="00F40263">
              <w:rPr>
                <w:b/>
                <w:i/>
              </w:rPr>
              <w:t>osnaživanja žena i djevojčica</w:t>
            </w:r>
            <w:r w:rsidRPr="00F40263">
              <w:t xml:space="preserve"> </w:t>
            </w:r>
            <w:r w:rsidRPr="00F40263">
              <w:rPr>
                <w:b/>
                <w:i/>
              </w:rPr>
              <w:t>te</w:t>
            </w:r>
            <w:r w:rsidRPr="00F40263">
              <w:t xml:space="preserve"> zaštiti ljudskih prava i demokracije diljem svijeta; ističe potrebu za suradnjom s civilnim društvom u svim relevantnim vanjskim aktivnostima EU-a; ponovno ističe važnost racionalizacije pristupa koji se temelji na ljudskim pravima u instrumentima EU-a za vanjsko djelovanje; ističe ulogu Parlamenta u postupku programiranja tog instrumenta te poziva Komisiju i Europsku službu za vanjsko djelovanje (ESVD) da pravodobno dijele sve relevantne informacije kako bi se Parlamentu omogućilo da u skladu s time ispuni svoju ulogu, posebno tijekom geopolitičkih dijaloga na visokoj razini s Komisijom; </w:t>
            </w:r>
            <w:r w:rsidRPr="00F40263">
              <w:rPr>
                <w:b/>
                <w:i/>
              </w:rPr>
              <w:t>podsjeća da se Instrumentom NDICI – Globalna Europa promiču rodna ravnopravnost, prava i osnaživanje žena i djevojčica te nediskriminacija na bilo kojoj osnovi ciljanim i integriranim djelovanjem, od kojeg bi najmanje 85 % trebalo imati rodnu ravnopravnost kao primarni ili važan cilj, kako je definirano pokazateljem politike rodne ravnopravnosti Odbora za razvojnu pomoć OECD-a;</w:t>
            </w:r>
          </w:p>
        </w:tc>
      </w:tr>
    </w:tbl>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FB50E9" w:rsidRPr="00F40263" w:rsidRDefault="00FB50E9" w:rsidP="00FB50E9"/>
    <w:p w:rsidR="00FB50E9" w:rsidRPr="00F40263" w:rsidRDefault="00825A0E" w:rsidP="00FB50E9">
      <w:pPr>
        <w:pStyle w:val="AmNumberTabs"/>
        <w:keepNext/>
      </w:pPr>
      <w:r w:rsidRPr="00F40263">
        <w:rPr>
          <w:rStyle w:val="HideTWBExt"/>
          <w:b w:val="0"/>
        </w:rPr>
        <w:t>&lt;Amend&gt;</w:t>
      </w:r>
      <w:r w:rsidRPr="00F40263">
        <w:t>Amandman</w:t>
      </w:r>
      <w:r w:rsidRPr="00F40263">
        <w:tab/>
      </w:r>
      <w:r w:rsidRPr="00F40263">
        <w:tab/>
      </w:r>
      <w:r w:rsidRPr="00F40263">
        <w:rPr>
          <w:rStyle w:val="HideTWBExt"/>
          <w:b w:val="0"/>
        </w:rPr>
        <w:t>&lt;NumAm&gt;</w:t>
      </w:r>
      <w:r w:rsidRPr="00F40263">
        <w:t>34</w:t>
      </w:r>
      <w:r w:rsidRPr="00F40263">
        <w:rPr>
          <w:rStyle w:val="HideTWBExt"/>
          <w:b w:val="0"/>
        </w:rPr>
        <w:t>&lt;/NumAm&gt;</w:t>
      </w:r>
    </w:p>
    <w:p w:rsidR="00FB50E9" w:rsidRPr="00F40263" w:rsidRDefault="00825A0E" w:rsidP="00FB50E9">
      <w:pPr>
        <w:pStyle w:val="NormalBold12b"/>
        <w:keepNext/>
      </w:pPr>
      <w:r w:rsidRPr="00F40263">
        <w:rPr>
          <w:rStyle w:val="HideTWBExt"/>
          <w:b w:val="0"/>
        </w:rPr>
        <w:t>&lt;DocAmend&gt;</w:t>
      </w:r>
      <w:r w:rsidRPr="00F40263">
        <w:t>Nacrt prijedloga rezolucije</w:t>
      </w:r>
      <w:r w:rsidRPr="00F40263">
        <w:rPr>
          <w:rStyle w:val="HideTWBExt"/>
          <w:b w:val="0"/>
        </w:rPr>
        <w:t>&lt;/DocAmend&gt;</w:t>
      </w:r>
    </w:p>
    <w:p w:rsidR="00FB50E9" w:rsidRPr="00F40263" w:rsidRDefault="00825A0E" w:rsidP="00FB50E9">
      <w:pPr>
        <w:pStyle w:val="NormalBold"/>
      </w:pPr>
      <w:r w:rsidRPr="00F40263">
        <w:rPr>
          <w:rStyle w:val="HideTWBExt"/>
          <w:b w:val="0"/>
        </w:rPr>
        <w:t>&lt;Article&gt;</w:t>
      </w:r>
      <w:r w:rsidRPr="00F40263">
        <w:t>Stavak 13.</w:t>
      </w:r>
      <w:r w:rsidRPr="00F4026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37FF" w:rsidRPr="00F40263" w:rsidTr="004D2E8A">
        <w:trPr>
          <w:jc w:val="center"/>
        </w:trPr>
        <w:tc>
          <w:tcPr>
            <w:tcW w:w="9752" w:type="dxa"/>
            <w:gridSpan w:val="2"/>
          </w:tcPr>
          <w:p w:rsidR="00FB50E9" w:rsidRPr="00F40263" w:rsidRDefault="00FB50E9" w:rsidP="004D2E8A">
            <w:pPr>
              <w:keepNext/>
            </w:pPr>
          </w:p>
        </w:tc>
      </w:tr>
      <w:tr w:rsidR="004437FF" w:rsidRPr="00F40263" w:rsidTr="004D2E8A">
        <w:trPr>
          <w:jc w:val="center"/>
        </w:trPr>
        <w:tc>
          <w:tcPr>
            <w:tcW w:w="4876" w:type="dxa"/>
          </w:tcPr>
          <w:p w:rsidR="00FB50E9" w:rsidRPr="00F40263" w:rsidRDefault="00825A0E" w:rsidP="004D2E8A">
            <w:pPr>
              <w:pStyle w:val="AmColumnHeading"/>
              <w:keepNext/>
            </w:pPr>
            <w:r w:rsidRPr="00F40263">
              <w:t>Nacrt prijedloga rezolucije</w:t>
            </w:r>
          </w:p>
        </w:tc>
        <w:tc>
          <w:tcPr>
            <w:tcW w:w="4876" w:type="dxa"/>
          </w:tcPr>
          <w:p w:rsidR="00FB50E9" w:rsidRPr="00F40263" w:rsidRDefault="00825A0E" w:rsidP="004D2E8A">
            <w:pPr>
              <w:pStyle w:val="AmColumnHeading"/>
              <w:keepNext/>
            </w:pPr>
            <w:r w:rsidRPr="00F40263">
              <w:t>Izmjena</w:t>
            </w:r>
          </w:p>
        </w:tc>
      </w:tr>
      <w:tr w:rsidR="004437FF" w:rsidRPr="00F40263" w:rsidTr="004D2E8A">
        <w:trPr>
          <w:jc w:val="center"/>
        </w:trPr>
        <w:tc>
          <w:tcPr>
            <w:tcW w:w="4876" w:type="dxa"/>
          </w:tcPr>
          <w:p w:rsidR="00FB50E9" w:rsidRPr="00F40263" w:rsidRDefault="00825A0E" w:rsidP="004D2E8A">
            <w:pPr>
              <w:pStyle w:val="Normal6a"/>
            </w:pPr>
            <w:r w:rsidRPr="00F40263">
              <w:rPr>
                <w:snapToGrid w:val="0"/>
              </w:rPr>
              <w:t>13.</w:t>
            </w:r>
            <w:r w:rsidRPr="00F40263">
              <w:rPr>
                <w:snapToGrid w:val="0"/>
              </w:rPr>
              <w:tab/>
              <w:t>pozdravlja sve veću primjenu globalnog režima sankcija EU-a u području ljudskih prava kao ključnog političkog alata u obrani ljudskih prava i demokracije EU-a diljem svijeta; međutim, prima na znanje izazove koje zahtjev za jednoglasnošću predstavlja u donošenju sankcija i ponavlja svoj poziv na uvođenje glasovanja kvalificiranom većinom za odluke o globalnom režimu sankcija u području ljudskih prava; u potpunosti podupire mogućnost nametanja ciljanih antikorupcijskih sankcija u okviru EU-a u tom pogledu, što je dugogodišnji prioritet Parlamenta, bilo njezinim uključivanjem u globalni režim sankcija u području ljudskih prava bilo u drugi režim; ističe potrebu za potpunom provedbom sankcija i poziva na rješavanje zaobilaženja;</w:t>
            </w:r>
          </w:p>
        </w:tc>
        <w:tc>
          <w:tcPr>
            <w:tcW w:w="4876" w:type="dxa"/>
          </w:tcPr>
          <w:p w:rsidR="00FB50E9" w:rsidRPr="00F40263" w:rsidRDefault="00825A0E" w:rsidP="004D2E8A">
            <w:pPr>
              <w:pStyle w:val="Normal6a"/>
              <w:rPr>
                <w:szCs w:val="24"/>
              </w:rPr>
            </w:pPr>
            <w:r w:rsidRPr="00F40263">
              <w:rPr>
                <w:snapToGrid w:val="0"/>
              </w:rPr>
              <w:t>13.</w:t>
            </w:r>
            <w:r w:rsidRPr="00F40263">
              <w:rPr>
                <w:snapToGrid w:val="0"/>
              </w:rPr>
              <w:tab/>
              <w:t>pozdravlja sve veću primjenu globalnog režima sankcija EU-a u području ljudskih prava kao ključnog političkog alata u obrani ljudskih prava i demokracije EU-a diljem svijeta</w:t>
            </w:r>
            <w:r w:rsidRPr="00F40263">
              <w:rPr>
                <w:b/>
                <w:bCs/>
                <w:i/>
                <w:iCs/>
                <w:snapToGrid w:val="0"/>
              </w:rPr>
              <w:t>, uključujući nedavne sankcije nametnute pojedincima odgovornima za sustavno i rasprostranjeno seksualno i rodno uvjetovano nasilje</w:t>
            </w:r>
            <w:r w:rsidRPr="00F40263">
              <w:rPr>
                <w:snapToGrid w:val="0"/>
              </w:rPr>
              <w:t>; međutim, prima na znanje izazove koje zahtjev za jednoglasnošću predstavlja u donošenju sankcija i ponavlja svoj poziv na uvođenje glasovanja kvalificiranom većinom za odluke o globalnom režimu sankcija u području ljudskih prava; u potpunosti podupire mogućnost nametanja ciljanih antikorupcijskih sankcija u okviru EU-a u tom pogledu, što je dugogodišnji prioritet Parlamenta, bilo njezinim uključivanjem u globalni režim sankcija u području ljudskih prava bilo u drugi režim; ističe potrebu za potpunom provedbom sankcija i poziva na rješavanje zaobilaženja;</w:t>
            </w:r>
          </w:p>
        </w:tc>
      </w:tr>
      <w:tr w:rsidR="004437FF" w:rsidRPr="00F40263" w:rsidTr="004D2E8A">
        <w:trPr>
          <w:jc w:val="center"/>
        </w:trPr>
        <w:tc>
          <w:tcPr>
            <w:tcW w:w="4876" w:type="dxa"/>
          </w:tcPr>
          <w:p w:rsidR="00FB50E9" w:rsidRPr="00F40263" w:rsidRDefault="00FB50E9" w:rsidP="004D2E8A">
            <w:pPr>
              <w:pStyle w:val="Normal6a"/>
              <w:rPr>
                <w:snapToGrid w:val="0"/>
              </w:rPr>
            </w:pPr>
          </w:p>
        </w:tc>
        <w:tc>
          <w:tcPr>
            <w:tcW w:w="4876" w:type="dxa"/>
          </w:tcPr>
          <w:p w:rsidR="00FB50E9" w:rsidRPr="00F40263" w:rsidRDefault="00FB50E9" w:rsidP="004D2E8A">
            <w:pPr>
              <w:pStyle w:val="Normal6a"/>
              <w:rPr>
                <w:snapToGrid w:val="0"/>
              </w:rPr>
            </w:pPr>
          </w:p>
        </w:tc>
      </w:tr>
    </w:tbl>
    <w:p w:rsidR="00FB50E9" w:rsidRPr="00F40263" w:rsidRDefault="00825A0E" w:rsidP="00FB50E9">
      <w:r w:rsidRPr="00F40263">
        <w:rPr>
          <w:rStyle w:val="HideTWBExt"/>
        </w:rPr>
        <w:t>&lt;/Amend&gt;</w:t>
      </w:r>
    </w:p>
    <w:p w:rsidR="00FB50E9" w:rsidRPr="00F40263" w:rsidRDefault="00825A0E" w:rsidP="00FB50E9">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35</w:t>
      </w:r>
      <w:r w:rsidRPr="00F40263">
        <w:rPr>
          <w:rStyle w:val="HideTWBExt"/>
        </w:rPr>
        <w:t>&lt;/NumAm&gt;</w:t>
      </w:r>
    </w:p>
    <w:p w:rsidR="00FB50E9" w:rsidRPr="00F40263" w:rsidRDefault="00825A0E" w:rsidP="00FB50E9">
      <w:pPr>
        <w:pStyle w:val="NormalBold"/>
      </w:pPr>
      <w:r w:rsidRPr="00F40263">
        <w:rPr>
          <w:rStyle w:val="HideTWBExt"/>
        </w:rPr>
        <w:t>&lt;DocAmend&gt;</w:t>
      </w:r>
      <w:r w:rsidRPr="00F40263">
        <w:t>Prijedlog rezolucije</w:t>
      </w:r>
      <w:r w:rsidRPr="00F40263">
        <w:rPr>
          <w:rStyle w:val="HideTWBExt"/>
        </w:rPr>
        <w:t>&lt;/DocAmend&gt;</w:t>
      </w:r>
    </w:p>
    <w:p w:rsidR="00FB50E9" w:rsidRPr="00F40263" w:rsidRDefault="00825A0E" w:rsidP="00FB50E9">
      <w:pPr>
        <w:pStyle w:val="NormalBold"/>
      </w:pPr>
      <w:r w:rsidRPr="00F40263">
        <w:rPr>
          <w:rStyle w:val="HideTWBExt"/>
        </w:rPr>
        <w:t>&lt;Article&gt;</w:t>
      </w:r>
      <w:r w:rsidRPr="00F40263">
        <w:t>Stavak 14.</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37FF" w:rsidRPr="00F40263" w:rsidTr="004D2E8A">
        <w:trPr>
          <w:trHeight w:hRule="exact" w:val="240"/>
          <w:jc w:val="center"/>
        </w:trPr>
        <w:tc>
          <w:tcPr>
            <w:tcW w:w="9752" w:type="dxa"/>
            <w:gridSpan w:val="2"/>
            <w:tcBorders>
              <w:top w:val="nil"/>
              <w:left w:val="nil"/>
              <w:bottom w:val="nil"/>
              <w:right w:val="nil"/>
            </w:tcBorders>
          </w:tcPr>
          <w:p w:rsidR="00FB50E9" w:rsidRPr="00F40263" w:rsidRDefault="00FB50E9" w:rsidP="004D2E8A"/>
        </w:tc>
      </w:tr>
      <w:tr w:rsidR="004437FF" w:rsidRPr="00F40263" w:rsidTr="004D2E8A">
        <w:trPr>
          <w:trHeight w:val="240"/>
          <w:jc w:val="center"/>
        </w:trPr>
        <w:tc>
          <w:tcPr>
            <w:tcW w:w="4876" w:type="dxa"/>
            <w:tcBorders>
              <w:top w:val="nil"/>
              <w:left w:val="nil"/>
              <w:bottom w:val="nil"/>
              <w:right w:val="nil"/>
            </w:tcBorders>
          </w:tcPr>
          <w:p w:rsidR="00FB50E9" w:rsidRPr="00F40263" w:rsidRDefault="00825A0E" w:rsidP="004D2E8A">
            <w:pPr>
              <w:pStyle w:val="AmColumnHeading"/>
            </w:pPr>
            <w:r w:rsidRPr="00F40263">
              <w:t>Prijedlog rezolucije</w:t>
            </w:r>
          </w:p>
        </w:tc>
        <w:tc>
          <w:tcPr>
            <w:tcW w:w="4876" w:type="dxa"/>
            <w:tcBorders>
              <w:top w:val="nil"/>
              <w:left w:val="nil"/>
              <w:bottom w:val="nil"/>
              <w:right w:val="nil"/>
            </w:tcBorders>
          </w:tcPr>
          <w:p w:rsidR="00FB50E9" w:rsidRPr="00F40263" w:rsidRDefault="00825A0E" w:rsidP="004D2E8A">
            <w:pPr>
              <w:pStyle w:val="AmColumnHeading"/>
            </w:pPr>
            <w:r w:rsidRPr="00F40263">
              <w:t>Izmjena</w:t>
            </w:r>
          </w:p>
        </w:tc>
      </w:tr>
      <w:tr w:rsidR="004437FF" w:rsidRPr="00F40263" w:rsidTr="004D2E8A">
        <w:trPr>
          <w:jc w:val="center"/>
        </w:trPr>
        <w:tc>
          <w:tcPr>
            <w:tcW w:w="4876" w:type="dxa"/>
            <w:tcBorders>
              <w:top w:val="nil"/>
              <w:left w:val="nil"/>
              <w:bottom w:val="nil"/>
              <w:right w:val="nil"/>
            </w:tcBorders>
          </w:tcPr>
          <w:p w:rsidR="00FB50E9" w:rsidRPr="00F40263" w:rsidRDefault="00825A0E" w:rsidP="004D2E8A">
            <w:pPr>
              <w:pStyle w:val="Normal6a"/>
            </w:pPr>
            <w:r w:rsidRPr="00F40263">
              <w:t>14.</w:t>
            </w:r>
            <w:r w:rsidRPr="00F40263">
              <w:tab/>
              <w:t>ponovno izražava zabrinutost zbog sve češćih napada autoritarnih i neliberalnih režima na demokratska načela i vrijednosti; naglašava da obrana i potpora demokraciji diljem svijeta sve više postaju od geopolitičkog i strateškog interesa; naglašava važnost napora Parlamenta u izgradnji kapaciteta za partnerske parlamente, promicanju posredovanja i poticanju kulture dijaloga i kompromisa, posebno među mladim političkim vođama, te osnaživanju zastupnica u parlamentu, boraca za ljudska prava i predstavnika civilnog društva i neovisnih medija; ponavlja svoj poziv Komisiji da nastavi i proširi svoje aktivnosti u tim područjima povećanjem financiranja i potpore tijelima i agencijama EU-a i drugim organizacijama koje se temelje na bespovratnim sredstvima; naglašava ključnu važnost izravne potpore civilnom društvu i osobama koje izražavaju nesuglasna stajališta, posebno u trenutačnom ozračju sve većih globalnih napetosti i represije u sve većem broju zemalja; ponovno ističe važnost misija EU-a za promatranje izbora te doprinos Parlamenta razvoju i poboljšanju njihove metodologije; poziva na pojačanu suradnju između Skupine Parlamenta za podršku demokraciji i koordinaciju izbora, relevantnih glavnih uprava Komisije i ESVD-a;</w:t>
            </w:r>
          </w:p>
        </w:tc>
        <w:tc>
          <w:tcPr>
            <w:tcW w:w="4876" w:type="dxa"/>
            <w:tcBorders>
              <w:top w:val="nil"/>
              <w:left w:val="nil"/>
              <w:bottom w:val="nil"/>
              <w:right w:val="nil"/>
            </w:tcBorders>
          </w:tcPr>
          <w:p w:rsidR="00FB50E9" w:rsidRPr="00F40263" w:rsidRDefault="00825A0E" w:rsidP="004D2E8A">
            <w:pPr>
              <w:pStyle w:val="Normal6a"/>
            </w:pPr>
            <w:r w:rsidRPr="00F40263">
              <w:t>14.</w:t>
            </w:r>
            <w:r w:rsidRPr="00F40263">
              <w:tab/>
              <w:t>ponovno izražava zabrinutost zbog sve češćih napada autoritarnih i neliberalnih režima na demokratska načela i vrijednosti; naglašava da obrana i potpora demokraciji diljem svijeta sve više postaju od geopolitičkog i strateškog interesa; naglašava važnost napora Parlamenta</w:t>
            </w:r>
            <w:r w:rsidRPr="00F40263">
              <w:rPr>
                <w:b/>
                <w:i/>
              </w:rPr>
              <w:t>,</w:t>
            </w:r>
            <w:r w:rsidRPr="00F40263">
              <w:t xml:space="preserve"> </w:t>
            </w:r>
            <w:r w:rsidRPr="00F40263">
              <w:rPr>
                <w:b/>
                <w:bCs/>
                <w:i/>
                <w:iCs/>
              </w:rPr>
              <w:t>kao i ulogu</w:t>
            </w:r>
            <w:r w:rsidRPr="00F40263">
              <w:t xml:space="preserve"> </w:t>
            </w:r>
            <w:r w:rsidRPr="00F40263">
              <w:rPr>
                <w:b/>
                <w:i/>
              </w:rPr>
              <w:t>njegovih izaslanstava</w:t>
            </w:r>
            <w:r w:rsidRPr="00F40263">
              <w:t xml:space="preserve"> </w:t>
            </w:r>
            <w:r w:rsidRPr="00F40263">
              <w:rPr>
                <w:b/>
                <w:bCs/>
                <w:i/>
                <w:iCs/>
              </w:rPr>
              <w:t>i drugih izaslanstava EU-a,</w:t>
            </w:r>
            <w:r w:rsidRPr="00F40263">
              <w:t xml:space="preserve"> u izgradnji kapaciteta za partnerske parlamente, promicanju posredovanja i poticanju kulture dijaloga i kompromisa, posebno među mladim političkim vođama, </w:t>
            </w:r>
            <w:r w:rsidRPr="00F40263">
              <w:rPr>
                <w:b/>
                <w:bCs/>
                <w:i/>
                <w:iCs/>
              </w:rPr>
              <w:t>promicanju pristupa žena sudjelovanju u politici, kako unutar institucija tako i u javnosti, u okviru udruga te u građanskim sferama,</w:t>
            </w:r>
            <w:r w:rsidRPr="00F40263">
              <w:t xml:space="preserve"> te osnaživanju zastupnica u parlamentu, boraca za ljudska prava i predstavnika civilnog društva i neovisnih medija</w:t>
            </w:r>
            <w:r w:rsidRPr="00F40263">
              <w:rPr>
                <w:b/>
                <w:bCs/>
                <w:i/>
                <w:iCs/>
              </w:rPr>
              <w:t>;</w:t>
            </w:r>
            <w:r w:rsidRPr="00F40263">
              <w:rPr>
                <w:b/>
                <w:i/>
              </w:rPr>
              <w:t xml:space="preserve"> </w:t>
            </w:r>
            <w:r w:rsidRPr="00F40263">
              <w:rPr>
                <w:b/>
                <w:bCs/>
                <w:i/>
                <w:iCs/>
              </w:rPr>
              <w:t>podsjeća na važnost rada aktivista, posebno u obrani temeljnih prava, a konkretnije onih koja se najviše napadaju, kao što su prava žena, manjina i pripadnika zajednice LGBTQIA+</w:t>
            </w:r>
            <w:r w:rsidRPr="00F40263">
              <w:t xml:space="preserve">; ponavlja svoj poziv Komisiji da nastavi i proširi svoje aktivnosti u tim područjima povećanjem financiranja i potpore tijelima i agencijama EU-a i drugim organizacijama koje se temelje na bespovratnim sredstvima; naglašava ključnu važnost izravne potpore civilnom društvu i osobama koje izražavaju nesuglasna stajališta, posebno u trenutačnom ozračju sve većih globalnih napetosti i represije u sve većem broju zemalja; ponovno ističe važnost misija EU-a za promatranje izbora te doprinos Parlamenta razvoju i poboljšanju njihove metodologije; poziva na pojačanu suradnju između Skupine Parlamenta za podršku demokraciji i koordinaciju izbora, relevantnih glavnih uprava Komisije i ESVD-a; </w:t>
            </w:r>
            <w:r w:rsidRPr="00F40263">
              <w:rPr>
                <w:b/>
                <w:i/>
              </w:rPr>
              <w:t>poziva EU da raspravlja s trećim zemljama o pitanjima rodne ravnopravnosti, uključujući spolno i reproduktivno zdravlje i prava; poziva na povećanje vidljivosti dijaloga o ljudskim pravima, uz istodobno osiguravanje njihove usmjerenosti na rezultate i utemeljenosti na jasnom skupu mjerila kojima se omogućuje učinkovito praćenje, među ostalim učinkovitim ex ante i ex post savjetovanjem s civilnim društvom te objavljivanjem zajedničkih izjava za medije, kao i na poduzimanje odgovarajućih daljnjih mjera;</w:t>
            </w:r>
          </w:p>
        </w:tc>
      </w:tr>
    </w:tbl>
    <w:p w:rsidR="00FB50E9" w:rsidRPr="00F40263" w:rsidRDefault="00825A0E" w:rsidP="00FB50E9">
      <w:pPr>
        <w:rPr>
          <w:rStyle w:val="HideTWBExt"/>
        </w:rPr>
      </w:pPr>
      <w:r w:rsidRPr="00F40263">
        <w:rPr>
          <w:rStyle w:val="HideTWBExt"/>
        </w:rPr>
        <w:t>&lt;/Amend&gt;</w:t>
      </w:r>
    </w:p>
    <w:p w:rsidR="00FB50E9" w:rsidRPr="00F40263" w:rsidRDefault="00FB50E9" w:rsidP="00FB50E9">
      <w:pPr>
        <w:rPr>
          <w:rStyle w:val="HideTWBExt"/>
        </w:rPr>
      </w:pP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36</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Podnaslov 10.</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Podrška EU-a borcima za ljudska prava</w:t>
            </w:r>
          </w:p>
        </w:tc>
        <w:tc>
          <w:tcPr>
            <w:tcW w:w="4876" w:type="dxa"/>
            <w:tcBorders>
              <w:top w:val="nil"/>
              <w:left w:val="nil"/>
              <w:bottom w:val="nil"/>
              <w:right w:val="nil"/>
            </w:tcBorders>
          </w:tcPr>
          <w:p w:rsidR="00977598" w:rsidRPr="00F40263" w:rsidRDefault="00977598" w:rsidP="004F4736">
            <w:pPr>
              <w:pStyle w:val="Normal6a"/>
            </w:pPr>
            <w:r w:rsidRPr="00F40263">
              <w:t>Podrška EU-a borcima za ljudska prava</w:t>
            </w:r>
            <w:r w:rsidRPr="00F40263">
              <w:rPr>
                <w:b/>
                <w:i/>
              </w:rPr>
              <w:t xml:space="preserve"> i braniteljima spolnog i reproduktivnog zdravlja i prava</w:t>
            </w:r>
          </w:p>
        </w:tc>
      </w:tr>
    </w:tbl>
    <w:p w:rsidR="00977598" w:rsidRPr="00F40263" w:rsidRDefault="00977598" w:rsidP="00977598">
      <w:r w:rsidRPr="00F40263">
        <w:rPr>
          <w:rStyle w:val="HideTWBExt"/>
        </w:rPr>
        <w:t>&lt;/Amend&gt;</w:t>
      </w:r>
    </w:p>
    <w:p w:rsidR="00977598" w:rsidRPr="00F40263" w:rsidRDefault="00977598" w:rsidP="00977598"/>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37</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15.</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15.</w:t>
            </w:r>
            <w:r w:rsidRPr="00F40263">
              <w:tab/>
              <w:t>iznimno je zabrinut zbog kontinuiranih ograničavanja prostora u građanskom društvu i sve većih prijetnji radu boraca za ljudska prava, njihovim obiteljima, zajednicama i odvjetnicima, te smatra posebno zabrinjavajućim što se za njihov progon upotrebljavaju sve sofisticiranija sredstva</w:t>
            </w:r>
            <w:r w:rsidRPr="00F40263">
              <w:rPr>
                <w:b/>
                <w:i/>
              </w:rPr>
              <w:t xml:space="preserve"> </w:t>
            </w:r>
            <w:r w:rsidRPr="00F40263">
              <w:t>; svesrdno podupire rad boraca za ljudska prava i djelovanje EU-a kako bi se osigurala njihova zaštita diljem svijeta; poziva EU i njegove države članice na potpunu i dosljednu primjenu smjernica EU-a o borcima za ljudska prava; poziva na ulaganje napora u jačanje vidljivosti djelovanja i kanala EU-a za zaštitu i potporu boraca za ljudska prava;</w:t>
            </w:r>
          </w:p>
        </w:tc>
        <w:tc>
          <w:tcPr>
            <w:tcW w:w="4876" w:type="dxa"/>
            <w:tcBorders>
              <w:top w:val="nil"/>
              <w:left w:val="nil"/>
              <w:bottom w:val="nil"/>
              <w:right w:val="nil"/>
            </w:tcBorders>
          </w:tcPr>
          <w:p w:rsidR="00977598" w:rsidRPr="00F40263" w:rsidRDefault="00977598" w:rsidP="004F4736">
            <w:pPr>
              <w:pStyle w:val="Normal6a"/>
            </w:pPr>
            <w:r w:rsidRPr="00F40263">
              <w:t>15.</w:t>
            </w:r>
            <w:r w:rsidRPr="00F40263">
              <w:tab/>
              <w:t xml:space="preserve">iznimno je zabrinut zbog kontinuiranih ograničavanja prostora u građanskom društvu i sve većih prijetnji radu boraca za ljudska prava, </w:t>
            </w:r>
            <w:r w:rsidRPr="00F40263">
              <w:rPr>
                <w:b/>
                <w:i/>
              </w:rPr>
              <w:t xml:space="preserve">branitelja spolnog i reproduktivnog zdravlja i prava, posebno žena, </w:t>
            </w:r>
            <w:r w:rsidRPr="00F40263">
              <w:t xml:space="preserve">njihovim obiteljima, zajednicama i odvjetnicima, te smatra posebno zabrinjavajućim što se za njihov progon upotrebljavaju sve sofisticiranija sredstva; svesrdno podupire rad boraca za ljudska prava i </w:t>
            </w:r>
            <w:r w:rsidRPr="00F40263">
              <w:rPr>
                <w:b/>
                <w:i/>
              </w:rPr>
              <w:t xml:space="preserve">branitelja spolnog i reproduktivnog zdravlja i prava te </w:t>
            </w:r>
            <w:r w:rsidRPr="00F40263">
              <w:t xml:space="preserve">djelovanje EU-a kako bi se osigurala njihova zaštita diljem svijeta; </w:t>
            </w:r>
            <w:r w:rsidRPr="00F40263">
              <w:rPr>
                <w:b/>
                <w:i/>
              </w:rPr>
              <w:t>ponavlja svoje prethodne pozive EU-u da vodi računa o rodno specifičnim prijetnjama, potrebama i izazovima s kojima se suočavaju borci za ljudska prava žena i potiče institucije EU-a da im zajamče pristup posebnim mehanizmima zaštite te da im pruže političku potporu i veću izravnu financijsku potporu; žali zbog činjenice da se borci za ljudska prava i dalje suočavaju s neumornim i sve sofisticiranijim napadima; osuđuje nekažnjavanje počinitelja koji krše prava boraca za ljudska prava žena, kako u javnoj tako i u privatnoj sferi; žali zbog činjenice da politički vođe često ne štite borce za ljudska prava žena od snažnih i opasnih pokreta protiv rodne ravnopravnosti;</w:t>
            </w:r>
            <w:r w:rsidRPr="00F40263">
              <w:t xml:space="preserve"> poziva EU i njegove države članice na potpunu i dosljednu primjenu smjernica EU-a o borcima za ljudska prava; poziva na ulaganje napora u jačanje vidljivosti djelovanja i kanala EU-a za zaštitu i potporu boraca za ljudska prava</w:t>
            </w:r>
            <w:r w:rsidRPr="00F40263">
              <w:rPr>
                <w:b/>
                <w:i/>
              </w:rPr>
              <w:t xml:space="preserve"> te branitelja spolnog i reproduktivnog zdravlja i prava;</w:t>
            </w:r>
            <w:r w:rsidRPr="00F40263">
              <w:t xml:space="preserve"> </w:t>
            </w:r>
            <w:r w:rsidRPr="00F40263">
              <w:rPr>
                <w:b/>
                <w:i/>
              </w:rPr>
              <w:t>poziva na pružanje potpore borcima za ljudska prava i organizacijama civilnog društva koji se bave promicanjem i olakšavanjem pristupa spolnom i reproduktivnom zdravlju i pravima, a čiji je rad ugrožen sužavanjem prostora za djelovanje civilnog društva; poziva EU da se obveže na povećano i kontinuirano financiranje pokreta za prava žena, među ostalim u okviru Akcijskog plana za rodnu ravnopravnost za razdoblje nakon 2027.;</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38</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17.</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17.</w:t>
            </w:r>
            <w:r w:rsidRPr="00F40263">
              <w:tab/>
              <w:t>ponovno potvrđuje da promicanje poštovanja, zaštite i ostvarivanja ljudskih prava diljem svijeta iziskuje snažnu međunarodnu suradnju na multilateralnoj razini; ističe posebno važnu ulogu UN-a i njegovih tijela kao glavnog foruma koji mora biti u stanju učinkovito promicati napore za mir i sigurnost, održivi razvoj te poštovanje ljudskih prava i međunarodnog prava; poziva EU i njegove države članice da nastave podupirati rad UN-a, kako politički tako i financijski; ponovno ističe da EU i njegove države članice trebaju nastupati jedinstveno u UN-u i na drugim multilateralnim forumima; traži da delegacije EU-a preuzmu snažniju ulogu u multilateralnim forumima, za koje bi na raspolaganju trebale imati odgovarajuća sredstva;</w:t>
            </w:r>
          </w:p>
        </w:tc>
        <w:tc>
          <w:tcPr>
            <w:tcW w:w="4876" w:type="dxa"/>
            <w:tcBorders>
              <w:top w:val="nil"/>
              <w:left w:val="nil"/>
              <w:bottom w:val="nil"/>
              <w:right w:val="nil"/>
            </w:tcBorders>
          </w:tcPr>
          <w:p w:rsidR="00977598" w:rsidRPr="00F40263" w:rsidRDefault="00977598" w:rsidP="004F4736">
            <w:pPr>
              <w:pStyle w:val="Normal6a"/>
            </w:pPr>
            <w:r w:rsidRPr="00F40263">
              <w:t>17.</w:t>
            </w:r>
            <w:r w:rsidRPr="00F40263">
              <w:tab/>
              <w:t>ponovno potvrđuje da promicanje poštovanja, zaštite i ostvarivanja ljudskih prava diljem svijeta iziskuje snažnu međunarodnu suradnju na multilateralnoj razini;</w:t>
            </w:r>
            <w:r w:rsidRPr="00F40263">
              <w:rPr>
                <w:b/>
                <w:i/>
              </w:rPr>
              <w:t xml:space="preserve"> naglašava da je područje EU-a i dalje pod nezakonitom okupacijom, s katastrofalnim posljedicama za ljudska prava, uključujući prava žena</w:t>
            </w:r>
            <w:r w:rsidRPr="00F40263">
              <w:t>; ističe posebno važnu ulogu UN-a i njegovih tijela kao glavnog foruma koji mora biti u stanju učinkovito promicati napore za mir i sigurnost, održivi razvoj te poštovanje ljudskih prava i međunarodnog prava; poziva EU i njegove države članice da nastave podupirati rad UN-a, kako politički tako i financijski; ponovno ističe da EU i njegove države članice trebaju nastupati jedinstveno u UN-u i na drugim multilateralnim forumima; traži da delegacije EU-a preuzmu snažniju ulogu u multilateralnim forumima, za koje bi na raspolaganju trebale imati odgovarajuća sredstva;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39</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21.a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21.a</w:t>
            </w:r>
            <w:r w:rsidRPr="00F40263">
              <w:tab/>
            </w:r>
            <w:r w:rsidRPr="00F40263">
              <w:rPr>
                <w:b/>
                <w:i/>
              </w:rPr>
              <w:t>žali, s obzirom na rodno uvjetovane učinke oružanih sukoba, zbog toga što se spolno i rodno uvjetovano nasilje te spolno i reproduktivno zdravlje i prava nedovoljno prioritiziraju i naglašavaju u cijelom humanitarnom odgovoru i odgovoru na izbjeglice EU-a; ponavlja da humanitarne krize pojačavaju izazove u pogledu spolnog i reproduktivnog zdravlja i prava i rodno uvjetovane probleme te podsjeća na to da su u kriznim zonama, posebno među ranjivim skupinama kao što su izbjeglice i migranti, žene i djevojčice posebno izložene seksualnom nasilju, spolno prenosivim bolestima, seksualnom iskorištavanju, korištenju silovanja kao ratnog oružja i neželjenim trudnoćama; poziva Komisiju i države članice da u okviru humanitarne pomoći glavni prioritet daju rodnoj ravnopravnosti te spolnom i reproduktivnom zdravlju i pravima, kao i preuzimanju odgovornosti te pristupu pravosuđu i pravnoj zaštiti u slučajevima kršenja spolnih i reproduktivnih prava te rodno uvjetovanog nasilja, među ostalim u pogledu osposobljavanja humanitarnih aktera te postojećeg i budućeg financiranja;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40</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21.b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21.b</w:t>
            </w:r>
            <w:r w:rsidRPr="00F40263">
              <w:tab/>
            </w:r>
            <w:r w:rsidRPr="00F40263">
              <w:rPr>
                <w:b/>
                <w:i/>
              </w:rPr>
              <w:t>osuđuje ciljano nasilje nad ženama i djevojčicama u oružanim sukobima; poziva na odlučno djelovanje kako bi se zaustavila upotreba seksualnog nasilja kao ratnog oružja i okončalo nekažnjavanje krivaca za ta kršenja ljudskih prava; poziva EU da osigura da se humanitarna pomoć temelji na rodno osjetljivim procjenama potreba koje se provode uz savjetovanje sa specijaliziranim organizacijama za prava žena i drugim organizacijama civilnog društva koje rade sa ženama, djecom i drugim marginaliziranim skupinama, uključujući interno raseljene osobe;</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41</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22.</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22.</w:t>
            </w:r>
            <w:r w:rsidRPr="00F40263">
              <w:tab/>
              <w:t>prepoznaje potencijal za snažnije usklađivanje pristupa zaštiti i promicanju ljudskih prava između veleposlanstava država članica i delegacija EU-a u zemljama koje nisu članice EU-a; naglašava priliku da veleposlanstva država članica preuzmu sve aktivniju ulogu u promicanju i zaštiti ljudskih prava, uz istodobno podupiranje civilnog društva u tim zemljama; naglašava važnost zajedničke odgovornosti između država članica i delegacija EU-a u tim naporima; poziva EU i njegove države članice da pojačaju svoje kolektivne napore u promicanju poštovanja, zaštite i ostvarivanja ljudskih prava i potpori demokracije diljem svijeta;</w:t>
            </w:r>
          </w:p>
        </w:tc>
        <w:tc>
          <w:tcPr>
            <w:tcW w:w="4876" w:type="dxa"/>
            <w:tcBorders>
              <w:top w:val="nil"/>
              <w:left w:val="nil"/>
              <w:bottom w:val="nil"/>
              <w:right w:val="nil"/>
            </w:tcBorders>
          </w:tcPr>
          <w:p w:rsidR="00977598" w:rsidRPr="00F40263" w:rsidRDefault="00977598" w:rsidP="004F4736">
            <w:pPr>
              <w:pStyle w:val="Normal6a"/>
            </w:pPr>
            <w:r w:rsidRPr="00F40263">
              <w:t>22.</w:t>
            </w:r>
            <w:r w:rsidRPr="00F40263">
              <w:tab/>
              <w:t xml:space="preserve">prepoznaje potencijal za snažnije usklađivanje pristupa zaštiti i promicanju ljudskih prava između veleposlanstava država članica i delegacija EU-a u zemljama koje nisu članice EU-a; naglašava priliku da veleposlanstva država članica preuzmu sve aktivniju ulogu u promicanju i zaštiti ljudskih prava, uz istodobno podupiranje civilnog društva u tim zemljama; naglašava važnost zajedničke odgovornosti između država članica i delegacija EU-a u tim naporima, </w:t>
            </w:r>
            <w:r w:rsidRPr="00F40263">
              <w:rPr>
                <w:b/>
                <w:i/>
              </w:rPr>
              <w:t>uz potporu delegacija Europskog parlamenta</w:t>
            </w:r>
            <w:r w:rsidRPr="00F40263">
              <w:t>; poziva EU i njegove države članice da pojačaju svoje kolektivne napore u promicanju poštovanja, zaštite i ostvarivanja ljudskih prava i potpori demokracije diljem svijeta;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42</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23.</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23.</w:t>
            </w:r>
            <w:r w:rsidRPr="00F40263">
              <w:tab/>
              <w:t>osuđuje svako djelovanje ili pokušaj legalizacije, poticanja, odobravanja, pristanka ili prihvaćanja mučenja i drugog okrutnog, nečovječnog ili ponižavajućeg postupanja ili metoda kažnjavanja pod bilo kojim okolnostima; osuđuje postojanje sve većeg broja izvješća o tome da se državni akteri koriste mučenjem u konfliktnim situacijama diljem svijeta te ponavlja apsolutnu prirodu prava na slobodu od mučenja ili drugih oblika nečovječnog ili ponižavajućeg postupanja;</w:t>
            </w:r>
          </w:p>
        </w:tc>
        <w:tc>
          <w:tcPr>
            <w:tcW w:w="4876" w:type="dxa"/>
            <w:tcBorders>
              <w:top w:val="nil"/>
              <w:left w:val="nil"/>
              <w:bottom w:val="nil"/>
              <w:right w:val="nil"/>
            </w:tcBorders>
          </w:tcPr>
          <w:p w:rsidR="00977598" w:rsidRPr="00F40263" w:rsidRDefault="00977598" w:rsidP="004F4736">
            <w:pPr>
              <w:pStyle w:val="Normal6a"/>
            </w:pPr>
            <w:r w:rsidRPr="00F40263">
              <w:t>23.</w:t>
            </w:r>
            <w:r w:rsidRPr="00F40263">
              <w:tab/>
              <w:t>osuđuje svako djelovanje ili pokušaj legalizacije, poticanja, odobravanja, pristanka ili prihvaćanja mučenja i drugog okrutnog, nečovječnog ili ponižavajućeg postupanja ili metoda kažnjavanja pod bilo kojim okolnostima</w:t>
            </w:r>
            <w:r w:rsidRPr="00F40263">
              <w:rPr>
                <w:b/>
                <w:i/>
              </w:rPr>
              <w:t>, uključujući mučenje posebno usmjereno na žene i djevojčice; u tom kontekstu naglašava da je sprečavanje pristupa skrbi povezanoj s pobačajem izbjeglicama pogođenima sukobima koje su žrtve seksualnog nasilja teško kršenje njihovih ljudskih prava te može predstavljati mučenje ili okrutno nečovječno ili ponižavajuće postupanje; poziva na reformu restriktivnih zakona o pobačaju</w:t>
            </w:r>
            <w:r w:rsidRPr="00F40263">
              <w:t xml:space="preserve">; osuđuje postojanje sve većeg broja izvješća o tome da se državni akteri koriste mučenjem u konfliktnim situacijama diljem svijeta te ponavlja apsolutnu prirodu prava na slobodu od mučenja ili drugih oblika nečovječnog ili ponižavajućeg postupanja; </w:t>
            </w:r>
            <w:r w:rsidRPr="00F40263">
              <w:rPr>
                <w:b/>
                <w:i/>
              </w:rPr>
              <w:t>ponovno poziva na univerzalnu ratifikaciju Konvencije protiv mučenja i drugih okrutnih, neljudskih ili ponižavajućih postupaka ili kažnjavanja i njezina Fakultativnog protokola te na potrebu da države usklade svoje nacionalne odredbe sa svojim međunarodnim obvezama;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43</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24.</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24.</w:t>
            </w:r>
            <w:r w:rsidRPr="00F40263">
              <w:tab/>
              <w:t>podsjeća da je pravo na hranu, uključujući fizički i ekonomski pristup odgovarajućoj hrani ili sredstvima za njezinu nabavu, ljudsko pravo; iznimno je zabrinut zbog izazova povezanih s pravom na hranu diljem svijeta, posebno u ratnim situacijama i sukobima; sa zabrinutošću primjećuje da je sve više izvješća o korištenju hrane kao oružja u situacijama oružanog sukoba; traži da EU i njegove države članice promiču obvezne smjernice o pravu na hranu bez diskriminacije u okviru sustava UN-a;</w:t>
            </w:r>
          </w:p>
        </w:tc>
        <w:tc>
          <w:tcPr>
            <w:tcW w:w="4876" w:type="dxa"/>
            <w:tcBorders>
              <w:top w:val="nil"/>
              <w:left w:val="nil"/>
              <w:bottom w:val="nil"/>
              <w:right w:val="nil"/>
            </w:tcBorders>
          </w:tcPr>
          <w:p w:rsidR="00977598" w:rsidRPr="00F40263" w:rsidRDefault="00977598" w:rsidP="004F4736">
            <w:pPr>
              <w:pStyle w:val="Normal6a"/>
            </w:pPr>
            <w:r w:rsidRPr="00F40263">
              <w:t>24.</w:t>
            </w:r>
            <w:r w:rsidRPr="00F40263">
              <w:tab/>
              <w:t xml:space="preserve">podsjeća da je pravo na hranu, uključujući fizički i ekonomski pristup odgovarajućoj hrani ili sredstvima za njezinu nabavu, ljudsko pravo; iznimno je zabrinut zbog izazova povezanih s pravom na hranu diljem svijeta, posebno u ratnim situacijama i sukobima; </w:t>
            </w:r>
            <w:r w:rsidRPr="00F40263">
              <w:rPr>
                <w:b/>
                <w:i/>
              </w:rPr>
              <w:t>naglašava da se žene i djevojčice suočavaju s nerazmjernim učincima nestašice hrane zbog već postojećih rodnih neravnopravnosti, zbog čega njihov pristup resursima i pomoći može biti ograničen; naglašava da su djeca i dojilje izloženi povećanom riziku od gladi i pothranjenosti;</w:t>
            </w:r>
            <w:r w:rsidRPr="00F40263">
              <w:t xml:space="preserve"> sa zabrinutošću primjećuje da je sve više izvješća o korištenju hrane kao oružja u situacijama oružanog sukoba; traži da EU i njegove države članice promiču obvezne smjernice o pravu na hranu bez diskriminacije u okviru sustava UN-a;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44</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25.</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25.</w:t>
            </w:r>
            <w:r w:rsidRPr="00F40263">
              <w:tab/>
              <w:t>ističe da klimatske promjene i njihov učinak na okoliš izravno utječu na stvarno uživanje svih ljudskih prava; uvažava bitan rad organizacija civilnog društva, autohtonih naroda, boraca za ljudska prava u području zaštite zemlje i okoliša i aktivista autohtonih naroda za zaštitu čistog, zdravog i održivog okoliša; žali zbog rizika s kojima se suočavaju borci za ljudska prava u području okoliša i aktivisti autohtonih naroda te poziva na to da se osigura njihova učinkovita zaštita; s dubokom zabrinutošću primjećuje sve veću prijetnju čistom, zdravom i održivom okolišu koju predstavljaju uporaba oružja za masovno uništenje i drugi oblici ratovanja koji negativno i nerazmjerno utječu na okoliš;</w:t>
            </w:r>
          </w:p>
        </w:tc>
        <w:tc>
          <w:tcPr>
            <w:tcW w:w="4876" w:type="dxa"/>
            <w:tcBorders>
              <w:top w:val="nil"/>
              <w:left w:val="nil"/>
              <w:bottom w:val="nil"/>
              <w:right w:val="nil"/>
            </w:tcBorders>
          </w:tcPr>
          <w:p w:rsidR="00977598" w:rsidRPr="00F40263" w:rsidRDefault="00977598" w:rsidP="004F4736">
            <w:pPr>
              <w:pStyle w:val="Normal6a"/>
            </w:pPr>
            <w:r w:rsidRPr="00F40263">
              <w:t>25.</w:t>
            </w:r>
            <w:r w:rsidRPr="00F40263">
              <w:tab/>
              <w:t xml:space="preserve">ističe da klimatske promjene i njihov učinak na okoliš izravno utječu na stvarno uživanje svih ljudskih prava; uvažava bitan rad organizacija civilnog društva, autohtonih naroda, boraca za ljudska prava u području zaštite zemlje i okoliša i aktivista autohtonih naroda za zaštitu čistog, zdravog i održivog okoliša; žali zbog rizika s kojima se suočavaju borci za ljudska prava u području okoliša i aktivisti autohtonih naroda te poziva na to da se osigura njihova učinkovita zaštita; s dubokom zabrinutošću primjećuje sve veću prijetnju čistom, zdravom i održivom okolišu koju predstavljaju uporaba oružja za masovno uništenje i drugi oblici ratovanja koji negativno i nerazmjerno utječu na okoliš; </w:t>
            </w:r>
            <w:r w:rsidRPr="00F40263">
              <w:rPr>
                <w:b/>
                <w:i/>
              </w:rPr>
              <w:t>naglašava da štetne učinke klimatskih promjena i degradacije ekosustava nerazmjerno snose siromašni, posebno žene, mladi, osobe s invaliditetom i druge manjine te autohtoni narodi, kao i druge zajednice koje ovise o prirodnim resursima; uvažava bitan rad organizacija civilnog društva, autohtonih naroda, boraca za ljudska prava u području zaštite zemlje i okoliša i aktivista autohtonih naroda za zaštitu čistog, zdravog i održivog okoliša; žali zbog rizika s kojima se suočavaju borci za ljudska prava u području okoliša i aktivisti autohtonih naroda te poziva na to da se osigura njihova učinkovita zaštita; naglašava da klimatske promjene nerazmjerno utječu na žene zbog postojećih rodnih neravnopravnosti koje pogoršavaju njihovu ranjivost u socioekonomskom i okolišnom kontekstu; ponovno ističe ključnu potrebu za djelovanjem u području klime, uključujući zelenu tranziciju, kako bi se uklonile postojeće rodne nejednakosti, među ostalim promicanjem ravnopravnog i smislenog sudjelovanja i zastupljenosti žena u djelovanju u području klime, donošenju politika te zelenim i čistim inovativnim tehnologijama;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45</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26.</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26.</w:t>
            </w:r>
            <w:r w:rsidRPr="00F40263">
              <w:tab/>
              <w:t>poziva na zauzimanje sustavnog i dosljednog pristupa promicanju i obrani prava djece u svim vanjskim politikama EU-a; poziva na usklađenije napore za promicanje poštovanja, zaštite i ostvarivanja prava djece u kriznim ili izvanrednim situacijama; osuđuje pad poštovanja prava djeteta i sve veća kršenja i povrede tih prava, među ostalim nasiljem, ranim i prisilnim brakovima, seksualnim zlostavljanjem uključujući genitalno sakaćenje, trgovanjem ljudima, dječjim radom, novačenjem djece vojnika, nedostatkom pristupa obrazovanju i zdravstvenoj skrbi, pothranjenošću i ekstremnim siromaštvom; također osuđuje porast broja smrti djece u oružanim sukobima i naglašava potrebu za učinkovitom zaštitom prava djece u aktivnom ratovanju; ponavlja svoj poziv na zauzimanje sustavnog i dosljednog pristupa promicanju i obrani prava djece u svim vanjskim politikama EU-a;</w:t>
            </w:r>
          </w:p>
        </w:tc>
        <w:tc>
          <w:tcPr>
            <w:tcW w:w="4876" w:type="dxa"/>
            <w:tcBorders>
              <w:top w:val="nil"/>
              <w:left w:val="nil"/>
              <w:bottom w:val="nil"/>
              <w:right w:val="nil"/>
            </w:tcBorders>
          </w:tcPr>
          <w:p w:rsidR="00977598" w:rsidRPr="00F40263" w:rsidRDefault="00977598" w:rsidP="004F4736">
            <w:pPr>
              <w:pStyle w:val="Normal6a"/>
            </w:pPr>
            <w:r w:rsidRPr="00F40263">
              <w:t>26.</w:t>
            </w:r>
            <w:r w:rsidRPr="00F40263">
              <w:tab/>
              <w:t xml:space="preserve">poziva na zauzimanje sustavnog i dosljednog pristupa promicanju i obrani prava djece u svim vanjskim politikama EU-a; poziva na usklađenije napore za promicanje poštovanja, zaštite i ostvarivanja prava djece u kriznim ili izvanrednim situacijama; osuđuje pad poštovanja prava djeteta i sve veća kršenja i povrede tih prava, </w:t>
            </w:r>
            <w:r w:rsidRPr="00F40263">
              <w:rPr>
                <w:b/>
                <w:i/>
              </w:rPr>
              <w:t xml:space="preserve">što statistički češće pogađa djevojčice i djevojke, </w:t>
            </w:r>
            <w:r w:rsidRPr="00F40263">
              <w:t>među ostalim nasiljem</w:t>
            </w:r>
            <w:r w:rsidRPr="00F40263">
              <w:rPr>
                <w:b/>
                <w:i/>
              </w:rPr>
              <w:t>, uključujući rodno uvjetovano nasilje</w:t>
            </w:r>
            <w:r w:rsidRPr="00F40263">
              <w:t xml:space="preserve">, ranim i prisilnim brakovima, seksualnim zlostavljanjem uključujući genitalno sakaćenje, trgovanjem ljudima, dječjim radom, novačenjem djece vojnika, nedostatkom pristupa obrazovanju i zdravstvenoj skrbi, pothranjenošću i ekstremnim siromaštvom; također osuđuje porast broja smrti djece u oružanim sukobima i naglašava potrebu za učinkovitom zaštitom prava djece u aktivnom ratovanju; ponavlja svoj poziv na zauzimanje sustavnog i dosljednog pristupa promicanju i obrani prava djece u svim vanjskim politikama EU-a; </w:t>
            </w:r>
            <w:r w:rsidRPr="00F40263">
              <w:rPr>
                <w:b/>
                <w:i/>
              </w:rPr>
              <w:t>ističe ulogu obrazovanja u razvoju djece i mladih diljem svijeta; naglašava da je pristup sveobuhvatnom i dobno primjerenom spolnom odgoju ljudsko pravo i ključan alat za sprečavanje rodno uvjetovane diskriminacije, nasilja i iskorištavanja, kao i za pružanje znanja mladima kako bi se zaštitilo njihovo zdravlje i ojačao njihov položaj;</w:t>
            </w:r>
          </w:p>
        </w:tc>
      </w:tr>
    </w:tbl>
    <w:p w:rsidR="00977598" w:rsidRPr="00F40263" w:rsidRDefault="00977598" w:rsidP="00977598">
      <w:pPr>
        <w:rPr>
          <w:rStyle w:val="HideTWBExt"/>
        </w:rPr>
      </w:pPr>
      <w:r w:rsidRPr="00F40263">
        <w:rPr>
          <w:rStyle w:val="HideTWBExt"/>
        </w:rPr>
        <w:t>&lt;/Amend&gt;</w:t>
      </w:r>
    </w:p>
    <w:p w:rsidR="00977598" w:rsidRPr="00F40263" w:rsidRDefault="00977598" w:rsidP="00977598">
      <w:pPr>
        <w:rPr>
          <w:rStyle w:val="HideTWBExt"/>
        </w:rPr>
      </w:pP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46</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Podnaslov 20.</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Prava žena i rodna ravnopravnost</w:t>
            </w:r>
          </w:p>
        </w:tc>
        <w:tc>
          <w:tcPr>
            <w:tcW w:w="4876" w:type="dxa"/>
            <w:tcBorders>
              <w:top w:val="nil"/>
              <w:left w:val="nil"/>
              <w:bottom w:val="nil"/>
              <w:right w:val="nil"/>
            </w:tcBorders>
          </w:tcPr>
          <w:p w:rsidR="00977598" w:rsidRPr="00F40263" w:rsidRDefault="00977598" w:rsidP="004F4736">
            <w:pPr>
              <w:pStyle w:val="Normal6a"/>
            </w:pPr>
            <w:r w:rsidRPr="00F40263">
              <w:t>Prava žena</w:t>
            </w:r>
            <w:r w:rsidRPr="00F40263">
              <w:rPr>
                <w:b/>
                <w:i/>
              </w:rPr>
              <w:t>, uključujući seksualno</w:t>
            </w:r>
            <w:r w:rsidRPr="00F40263">
              <w:t xml:space="preserve"> i</w:t>
            </w:r>
            <w:r w:rsidRPr="00F40263">
              <w:rPr>
                <w:b/>
                <w:i/>
              </w:rPr>
              <w:t xml:space="preserve"> reproduktivno zdravlje i prava, te</w:t>
            </w:r>
            <w:r w:rsidRPr="00F40263">
              <w:t xml:space="preserve"> rodna ravnopravnost</w:t>
            </w:r>
          </w:p>
        </w:tc>
      </w:tr>
    </w:tbl>
    <w:p w:rsidR="00977598" w:rsidRPr="00F40263" w:rsidRDefault="00977598" w:rsidP="00977598">
      <w:r w:rsidRPr="00F40263">
        <w:rPr>
          <w:rStyle w:val="HideTWBExt"/>
        </w:rPr>
        <w:t>&lt;/Amend&gt;</w:t>
      </w:r>
    </w:p>
    <w:p w:rsidR="00977598" w:rsidRPr="00F40263" w:rsidRDefault="00977598" w:rsidP="00977598"/>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47</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27.a (novi)</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27.a</w:t>
            </w:r>
            <w:r w:rsidRPr="00F40263">
              <w:tab/>
            </w:r>
            <w:r w:rsidRPr="00F40263">
              <w:rPr>
                <w:b/>
                <w:i/>
              </w:rPr>
              <w:t>naglašava da su obrazovanje i informiranje o spolnom i reproduktivnom zdravlju i pravima neki od glavnih instrumenata za ispunjavanje obveza preuzetih na 25. obljetnici Međunarodne konferencije o stanovništvu i razvoju; naglašava da obrazovanje i informiranje o spolnom i reproduktivnom zdravlju i pravima mogu znatno doprinijeti smanjenju rodno uvjetovanog nasilja i seksualnog uznemiravanja; naglašava da su sveobuhvatan i dobno primjeren spolni odgoj, obrazovanje o odnosima i informiranje o seksualnosti ključni za izgradnju vještina djece i mladih za gradnju zdravih, ravnopravnih i sigurnih odnosa, posebno rješavanjem pitanja rodnih normi, rodne ravnopravnosti, dinamike moći u odnosima, pristanka i poštovanja granica, te da doprinose postizanju rodne ravnopravnosti; poziva EU, države članice i njihove međunarodne partnere da ulože napore kako bi se osigurao pristup dobno primjerenom i sveobuhvatnom spolnom i reproduktivnom odgoju, uz istodobno ukidanje rodnih stereotipa i štetnih društvenih normi, kao i da osiguraju pristup sveobuhvatnoj skrbi za planiranje obitelji, uključujući kontracepciju, hitnu kontracepciju, nepristrane informacije, prenatalnu, porodnu i postnatalnu skrb, usluge povezane s plodnošću, siguran i zakonit pobačaj i liječenje te preventivno liječenje, za sva pitanja povezana sa spolnim zdravljem, uključujući HIV, te informacijama za djecu diljem svijeta, promičući zajedničku odgovornost u planiranju obitelji i podupirući prava i dobrobit žena;</w:t>
            </w:r>
          </w:p>
        </w:tc>
      </w:tr>
    </w:tbl>
    <w:p w:rsidR="00977598" w:rsidRPr="00F40263" w:rsidRDefault="00977598" w:rsidP="00977598">
      <w:r w:rsidRPr="00F40263">
        <w:rPr>
          <w:rStyle w:val="HideTWBExt"/>
        </w:rPr>
        <w:t>&lt;/Amend&gt;</w:t>
      </w:r>
    </w:p>
    <w:p w:rsidR="00977598" w:rsidRPr="00F40263" w:rsidRDefault="00977598" w:rsidP="00977598"/>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48</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27.d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rPr>
                <w:b/>
                <w:i/>
              </w:rPr>
            </w:pPr>
            <w:r w:rsidRPr="00F40263">
              <w:rPr>
                <w:b/>
                <w:i/>
              </w:rPr>
              <w:t>27.b</w:t>
            </w:r>
            <w:r w:rsidRPr="00F40263">
              <w:tab/>
            </w:r>
            <w:r w:rsidRPr="00F40263">
              <w:rPr>
                <w:b/>
                <w:i/>
              </w:rPr>
              <w:t>ističe da je jednaka plaća priznato ljudsko pravo; podsjeća da je jamčenje poštenog vrednovanja rada žena i muškaraca te okončanje diskriminacije u plaćama ključno za postizanje rodne ravnopravnosti; poziva države članice da brzo provedu Direktivu o transparentnosti plaća</w:t>
            </w:r>
            <w:r w:rsidRPr="00F40263">
              <w:rPr>
                <w:b/>
                <w:i/>
                <w:vertAlign w:val="superscript"/>
              </w:rPr>
              <w:t>1a</w:t>
            </w:r>
            <w:r w:rsidRPr="00F40263">
              <w:rPr>
                <w:b/>
                <w:i/>
              </w:rPr>
              <w:t xml:space="preserve"> i da promiču načelo jednake plaće za jednak rad na međunarodnoj razini;</w:t>
            </w:r>
          </w:p>
          <w:p w:rsidR="00977598" w:rsidRPr="00F40263" w:rsidRDefault="00977598" w:rsidP="004F4736">
            <w:pPr>
              <w:pStyle w:val="Normal6a"/>
              <w:rPr>
                <w:b/>
                <w:i/>
              </w:rPr>
            </w:pPr>
          </w:p>
          <w:p w:rsidR="00977598" w:rsidRPr="00F40263" w:rsidRDefault="00977598" w:rsidP="004F4736">
            <w:pPr>
              <w:pStyle w:val="Normal6a"/>
              <w:rPr>
                <w:b/>
                <w:i/>
              </w:rPr>
            </w:pPr>
            <w:r w:rsidRPr="00F40263">
              <w:rPr>
                <w:b/>
                <w:i/>
              </w:rPr>
              <w:t>______________</w:t>
            </w:r>
          </w:p>
          <w:p w:rsidR="00977598" w:rsidRPr="00F40263" w:rsidRDefault="00977598" w:rsidP="004F4736">
            <w:pPr>
              <w:pStyle w:val="Normal6a"/>
              <w:rPr>
                <w:b/>
                <w:i/>
                <w:szCs w:val="24"/>
              </w:rPr>
            </w:pPr>
            <w:r w:rsidRPr="00F40263">
              <w:rPr>
                <w:b/>
                <w:vertAlign w:val="superscript"/>
              </w:rPr>
              <w:t>1a</w:t>
            </w:r>
            <w:r w:rsidRPr="00F40263">
              <w:rPr>
                <w:b/>
              </w:rPr>
              <w:t xml:space="preserve"> </w:t>
            </w:r>
            <w:r w:rsidRPr="00F40263">
              <w:rPr>
                <w:b/>
                <w:i/>
                <w:shd w:val="clear" w:color="auto" w:fill="FFFFFF"/>
              </w:rPr>
              <w:t xml:space="preserve">Direktiva (EU) 2023/970 Europskog parlamenta i Vijeća od 10. svibnja 2023. o jačanju primjene načela jednakih plaća muškaraca i žena za jednak rad ili rad jednake vrijednosti putem transparentnosti plaća i mehanizama izvršenja, </w:t>
            </w:r>
            <w:r w:rsidRPr="00F40263">
              <w:rPr>
                <w:rStyle w:val="Emphasis"/>
                <w:b/>
                <w:shd w:val="clear" w:color="auto" w:fill="FFFFFF"/>
              </w:rPr>
              <w:t xml:space="preserve">OJ L 132, 17.5.2023, str. 21, </w:t>
            </w:r>
            <w:r w:rsidRPr="00F40263">
              <w:rPr>
                <w:b/>
                <w:i/>
                <w:shd w:val="clear" w:color="auto" w:fill="FFFFFF"/>
              </w:rPr>
              <w:t>ELI: </w:t>
            </w:r>
            <w:hyperlink r:id="rId8" w:tooltip="Dokument je dostupan na temelju identifikatora ELI URI." w:history="1">
              <w:r w:rsidRPr="00F40263">
                <w:rPr>
                  <w:b/>
                  <w:i/>
                  <w:u w:val="single"/>
                  <w:shd w:val="clear" w:color="auto" w:fill="FFFFFF"/>
                </w:rPr>
                <w:t>http://data.europa.eu/eli/dir/2023/970/oj</w:t>
              </w:r>
            </w:hyperlink>
            <w:r w:rsidRPr="00F40263">
              <w:rPr>
                <w:b/>
                <w:i/>
              </w:rPr>
              <w:t>.</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49</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27.c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27.c</w:t>
            </w:r>
            <w:r w:rsidRPr="00F40263">
              <w:tab/>
            </w:r>
            <w:r w:rsidRPr="00F40263">
              <w:rPr>
                <w:b/>
                <w:i/>
              </w:rPr>
              <w:t xml:space="preserve">oštro osuđuje činjenicu da su, na temelju izjava UN-a, oni koji najviše pate u bilo kojem oružanom sukobu žene i djeca; </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50</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28.</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28.</w:t>
            </w:r>
            <w:r w:rsidRPr="00F40263">
              <w:tab/>
              <w:t xml:space="preserve">osuđuje podrivanje ljudskih prava i sigurnosti izbjeglica, tražitelja azila i prisilno raseljenih osoba; ponovno potvrđuje njihova neotuđiva ljudska prava i temeljno pravo na traženje azila; podsjeća na obvezu država da ih štite u skladu s međunarodnim pravom; poziva EU i njegove države članice da učinkovito poštuju njihova prava u politici EU-a u području azila i migracija i u njegovoj suradnji s partnerskim zemljama u tom pogledu; naglašava da bi EU trebao ulagati veće napore kako bi prepoznao i razvio načine za rješavanje temeljnih uzroka nezakonite migracije i prisilnog raseljavanja, jačajući otpornost zajednica iz kojih migranti potječu i pomažući im da svojim članovima ponude pristojan život u matičnoj zemlji; poziva EU i njegove države članice da nastave pružati i, gdje je to moguće, povećaju svoju potporu zemljama koje primaju većinu izbjeglica, kao i tranzitnim zemljama; ponavlja da su bliska suradnja i angažman s zemljama koje nisu članice EU-a i dalje ključni za sprečavanje krijumčarenja migranata; u tom pogledu naglašava da je ključno širenje informacija i provođenje kampanja za podizanje razine osviještenosti o rizicima krijumčarenja; poziva na to da se pri humanitarnim operacijama koje financira EU uzmu u obzir posebne potrebe i ranjivost djece te da se zajamči njihova zaštita dok su </w:t>
            </w:r>
            <w:r w:rsidRPr="00F40263">
              <w:rPr>
                <w:b/>
                <w:i/>
              </w:rPr>
              <w:t>raseljena</w:t>
            </w:r>
            <w:r w:rsidRPr="00F40263">
              <w:t>; ističe da je važno razviti učinkovit okvir za sigurne i zakonite putove prema EU-u i u tom pogledu pozdravlja komunikaciju Komisije o privlačenju vještina i talenata u EU</w:t>
            </w:r>
            <w:r w:rsidRPr="00F40263">
              <w:rPr>
                <w:vertAlign w:val="superscript"/>
              </w:rPr>
              <w:t>10</w:t>
            </w:r>
            <w:r w:rsidRPr="00F40263">
              <w:t>, uključujući razvoj partnerstava za talente s partnerskim zemljama;</w:t>
            </w:r>
          </w:p>
        </w:tc>
        <w:tc>
          <w:tcPr>
            <w:tcW w:w="4876" w:type="dxa"/>
            <w:tcBorders>
              <w:top w:val="nil"/>
              <w:left w:val="nil"/>
              <w:bottom w:val="nil"/>
              <w:right w:val="nil"/>
            </w:tcBorders>
          </w:tcPr>
          <w:p w:rsidR="00977598" w:rsidRPr="00F40263" w:rsidRDefault="00977598" w:rsidP="004F4736">
            <w:pPr>
              <w:pStyle w:val="Normal6a"/>
            </w:pPr>
            <w:r w:rsidRPr="00F40263">
              <w:t>28.</w:t>
            </w:r>
            <w:r w:rsidRPr="00F40263">
              <w:tab/>
              <w:t xml:space="preserve">osuđuje podrivanje ljudskih prava i sigurnosti izbjeglica, tražitelja azila i prisilno raseljenih osoba; ponovno potvrđuje njihova neotuđiva ljudska prava i temeljno pravo na traženje azila; podsjeća na obvezu država da ih štite u skladu s međunarodnim pravom; poziva EU i njegove države članice da učinkovito poštuju njihova prava u politici EU-a u području azila i migracija i u njegovoj suradnji s partnerskim zemljama u tom pogledu; naglašava da bi EU trebao ulagati veće napore kako bi prepoznao i razvio načine za rješavanje temeljnih uzroka nezakonite migracije i prisilnog raseljavanja, jačajući otpornost zajednica iz kojih migranti potječu i pomažući im da svojim članovima ponude pristojan život u matičnoj zemlji; poziva EU i njegove države članice da nastave pružati i, gdje je to moguće, povećaju svoju potporu zemljama koje primaju većinu izbjeglica, kao i tranzitnim zemljama; ponavlja da su bliska suradnja i angažman s zemljama koje nisu članice EU-a i dalje ključni za sprečavanje krijumčarenja migranata; u tom pogledu naglašava da je ključno širenje informacija i provođenje kampanja za podizanje razine osviještenosti o rizicima krijumčarenja; poziva na to da se pri humanitarnim operacijama koje financira EU uzmu u obzir posebne potrebe i ranjivost djece </w:t>
            </w:r>
            <w:r w:rsidRPr="00F40263">
              <w:rPr>
                <w:b/>
                <w:i/>
              </w:rPr>
              <w:t xml:space="preserve">i žena </w:t>
            </w:r>
            <w:r w:rsidRPr="00F40263">
              <w:t xml:space="preserve">te da se zajamči njihova zaštita dok su </w:t>
            </w:r>
            <w:r w:rsidRPr="00F40263">
              <w:rPr>
                <w:b/>
                <w:i/>
              </w:rPr>
              <w:t>raseljeni</w:t>
            </w:r>
            <w:r w:rsidRPr="00F40263">
              <w:t>; ističe da je važno razviti učinkovit okvir za sigurne i zakonite putove prema EU-u i u tom pogledu pozdravlja komunikaciju Komisije o privlačenju vještina i talenata u EU</w:t>
            </w:r>
            <w:r w:rsidRPr="00F40263">
              <w:rPr>
                <w:vertAlign w:val="superscript"/>
              </w:rPr>
              <w:t>10</w:t>
            </w:r>
            <w:r w:rsidRPr="00F40263">
              <w:t>, uključujući razvoj partnerstava za talente s partnerskim zemljama;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rPr>
                <w:b/>
                <w:i/>
              </w:rPr>
              <w:t>_________________</w:t>
            </w:r>
          </w:p>
        </w:tc>
        <w:tc>
          <w:tcPr>
            <w:tcW w:w="4876" w:type="dxa"/>
            <w:tcBorders>
              <w:top w:val="nil"/>
              <w:left w:val="nil"/>
              <w:bottom w:val="nil"/>
              <w:right w:val="nil"/>
            </w:tcBorders>
          </w:tcPr>
          <w:p w:rsidR="00977598" w:rsidRPr="00F40263" w:rsidRDefault="00977598" w:rsidP="004F4736">
            <w:pPr>
              <w:pStyle w:val="Normal6a"/>
            </w:pPr>
            <w:r w:rsidRPr="00F40263">
              <w:rPr>
                <w:b/>
                <w:i/>
              </w:rPr>
              <w:t>_________________</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rPr>
                <w:vertAlign w:val="superscript"/>
              </w:rPr>
              <w:t>10</w:t>
            </w:r>
            <w:r w:rsidRPr="00F40263">
              <w:t xml:space="preserve"> Komunikacija Komisije od 27. travnja 2022. naslovljena „Privlačenje vještina i talenata u EU” (COM(2022)0657).</w:t>
            </w:r>
          </w:p>
        </w:tc>
        <w:tc>
          <w:tcPr>
            <w:tcW w:w="4876" w:type="dxa"/>
            <w:tcBorders>
              <w:top w:val="nil"/>
              <w:left w:val="nil"/>
              <w:bottom w:val="nil"/>
              <w:right w:val="nil"/>
            </w:tcBorders>
          </w:tcPr>
          <w:p w:rsidR="00977598" w:rsidRPr="00F40263" w:rsidRDefault="00977598" w:rsidP="004F4736">
            <w:pPr>
              <w:pStyle w:val="Normal6a"/>
            </w:pPr>
            <w:r w:rsidRPr="00F40263">
              <w:rPr>
                <w:vertAlign w:val="superscript"/>
              </w:rPr>
              <w:t>10</w:t>
            </w:r>
            <w:r w:rsidRPr="00F40263">
              <w:t xml:space="preserve"> Komunikacija Komisije od 27. travnja 2022. naslovljena „Privlačenje vještina i talenata u EU” (COM(2022)0657).</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51</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29.</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29.</w:t>
            </w:r>
            <w:r w:rsidRPr="00F40263">
              <w:tab/>
              <w:t>žali zbog kršenja ljudskih prava,</w:t>
            </w:r>
            <w:r w:rsidRPr="00F40263">
              <w:rPr>
                <w:b/>
                <w:i/>
              </w:rPr>
              <w:t xml:space="preserve"> </w:t>
            </w:r>
            <w:r w:rsidRPr="00F40263">
              <w:t xml:space="preserve">uključujući diskriminaciju, progonjenje, nasilje i ubojstva lezbijki, homoseksualaca, biseksualnih, transseksualnih, nebinarnih, interseksualnih i queer osoba (LGBTIQ+) diljem svijeta; iznimno je zabrinut zbog </w:t>
            </w:r>
            <w:r w:rsidRPr="00F40263">
              <w:rPr>
                <w:b/>
                <w:i/>
              </w:rPr>
              <w:t>širenja</w:t>
            </w:r>
            <w:r w:rsidRPr="00F40263">
              <w:t xml:space="preserve"> mržnje i diskursa i zakonodavstva </w:t>
            </w:r>
            <w:r w:rsidRPr="00F40263">
              <w:rPr>
                <w:b/>
                <w:i/>
              </w:rPr>
              <w:t xml:space="preserve">usmjerenih </w:t>
            </w:r>
            <w:r w:rsidRPr="00F40263">
              <w:t>protiv</w:t>
            </w:r>
            <w:r w:rsidRPr="00F40263">
              <w:rPr>
                <w:b/>
                <w:i/>
              </w:rPr>
              <w:t xml:space="preserve"> pripadnika zajednice</w:t>
            </w:r>
            <w:r w:rsidRPr="00F40263">
              <w:t xml:space="preserve"> LGBTIQ+ i boraca za ljudska prava; ponavlja svoj poziv na potpunu provedbu Strategije o ravnopravnosti LGBTIQ osoba 2020. 2025. kao alata EU-a za poboljšanje položaja pripadnika zajednice LGBTIQ+ diljem svijeta;</w:t>
            </w:r>
          </w:p>
        </w:tc>
        <w:tc>
          <w:tcPr>
            <w:tcW w:w="4876" w:type="dxa"/>
            <w:tcBorders>
              <w:top w:val="nil"/>
              <w:left w:val="nil"/>
              <w:bottom w:val="nil"/>
              <w:right w:val="nil"/>
            </w:tcBorders>
          </w:tcPr>
          <w:p w:rsidR="00977598" w:rsidRPr="00F40263" w:rsidRDefault="00977598" w:rsidP="004F4736">
            <w:pPr>
              <w:pStyle w:val="Normal6a"/>
            </w:pPr>
            <w:r w:rsidRPr="00F40263">
              <w:t>29.</w:t>
            </w:r>
            <w:r w:rsidRPr="00F40263">
              <w:tab/>
              <w:t xml:space="preserve">žali zbog </w:t>
            </w:r>
            <w:r w:rsidRPr="00F40263">
              <w:rPr>
                <w:b/>
                <w:i/>
              </w:rPr>
              <w:t xml:space="preserve">tekućeg </w:t>
            </w:r>
            <w:r w:rsidRPr="00F40263">
              <w:t xml:space="preserve">kršenja ljudskih prava, uključujući diskriminaciju, progonjenje, nasilje i ubojstva lezbijki, homoseksualaca, biseksualnih, transseksualnih, nebinarnih, interseksualnih i queer osoba (LGBTIQ+) diljem svijeta; iznimno je zabrinut zbog </w:t>
            </w:r>
            <w:r w:rsidRPr="00F40263">
              <w:rPr>
                <w:b/>
                <w:i/>
              </w:rPr>
              <w:t>sve veće</w:t>
            </w:r>
            <w:r w:rsidRPr="00F40263">
              <w:t xml:space="preserve"> mržnje i diskursa i zakonodavstva protiv LGBTIQ+ </w:t>
            </w:r>
            <w:r w:rsidRPr="00F40263">
              <w:rPr>
                <w:b/>
                <w:i/>
              </w:rPr>
              <w:t xml:space="preserve">osoba </w:t>
            </w:r>
            <w:r w:rsidRPr="00F40263">
              <w:t>i boraca za ljudska prava</w:t>
            </w:r>
            <w:r w:rsidRPr="00F40263">
              <w:rPr>
                <w:b/>
                <w:i/>
              </w:rPr>
              <w:t xml:space="preserve"> kojima se ograničava njihovo uživanje temeljnih prava i sloboda u EU-u i izvan njega, posebno zbog nazadovanja u nekim državama članicama, kao što je Mađarska, u kojoj zakoni protiv LGBTIQ+ osoba, kao što je Zakon LXXIX. iz 2021., ugrožavaju prava i sigurnost LGBTIQ+ osoba</w:t>
            </w:r>
            <w:r w:rsidRPr="00F40263">
              <w:t xml:space="preserve">; ponavlja svoj poziv na potpunu provedbu Strategije o ravnopravnosti LGBTIQ osoba 2020. 2025. kao alata EU-a za poboljšanje položaja pripadnika zajednice LGBTIQ+ diljem svijeta; </w:t>
            </w:r>
            <w:r w:rsidRPr="00F40263">
              <w:rPr>
                <w:b/>
                <w:i/>
              </w:rPr>
              <w:t>osuđuje sve oblike nasilja, diskriminacije, stigmatizacije, progona, zločina iz mržnje, govora mržnje, terapija za promjenu seksualnih sklonosti, genitalnog sakaćenja interseksualnih osoba i seksualnog nasilja nad LGBTIQ+ osobama u EU-u i svijetu; poziva EU i njegove države članice da osude te nepravde i obvežu se na zaštitu prava, dostojanstva i sigurnosti LGBTIQ+ osoba; u vezi s time odbacuje prakse konverzije usmjerene na LGBTIQ+ osobe kojima je cilj izmijeniti, potisnuti ili iskorijeniti seksualnu orijentaciju, rodni identitet i/ili rodno izražavanje žrtava; poziva na provedbu politike pravne zabrane takvih praksi na razini EU-a; naglašava sve veću zabrinutost i strah unutar LGBTIQ+ zajednica i potiče EU da zauzme čvrst stav protiv svih zakonodavnih ili socijalnih mjera kojima se ugrožavaju LGBTIQ+ osobe;</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52</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29.a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29.a</w:t>
            </w:r>
            <w:r w:rsidRPr="00F40263">
              <w:tab/>
            </w:r>
            <w:r w:rsidRPr="00F40263">
              <w:rPr>
                <w:b/>
                <w:i/>
              </w:rPr>
              <w:t>zahtijeva, u pogledu povećanja restriktivnog zakonodavstva o pravima pripadnika LGTBIQ+, unutar i izvan EU-a, zajamčene sigurne putove za pružanje azila LGTBIQ+ osobama koje se progoni, diskriminira ili su ugrožene u svojim zemljama podrijetla;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53</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30.</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30.</w:t>
            </w:r>
            <w:r w:rsidRPr="00F40263">
              <w:tab/>
              <w:t>zabrinut je zbog izazova u pogledu potpunog ostvarivanja prava osoba s invaliditetom; ponovno poziva EU da pomogne partnerskim zemljama u razvoju politika za potporu njegovateljima za osobe s invaliditetom; poziva EU da u svojoj vanjskoj politici iskoristi strategiju za prava osoba s invaliditetom za razdoblje 2021.‑ 2030. kao alata za poboljšanje položaja osoba s invaliditetom, posebno kad je riječ o siromaštvu i diskriminaciji, ali i za rješavanje problema s pristupom obrazovanju, zdravstvenoj skrbi i zapošljavanju te sa sudjelovanjem u političkom životu</w:t>
            </w:r>
            <w:r w:rsidRPr="00F40263">
              <w:rPr>
                <w:b/>
                <w:i/>
              </w:rPr>
              <w:t>;</w:t>
            </w:r>
          </w:p>
        </w:tc>
        <w:tc>
          <w:tcPr>
            <w:tcW w:w="4876" w:type="dxa"/>
            <w:tcBorders>
              <w:top w:val="nil"/>
              <w:left w:val="nil"/>
              <w:bottom w:val="nil"/>
              <w:right w:val="nil"/>
            </w:tcBorders>
          </w:tcPr>
          <w:p w:rsidR="00977598" w:rsidRPr="00F40263" w:rsidRDefault="00977598" w:rsidP="004F4736">
            <w:pPr>
              <w:pStyle w:val="Normal6a"/>
            </w:pPr>
            <w:r w:rsidRPr="00F40263">
              <w:t>30.</w:t>
            </w:r>
            <w:r w:rsidRPr="00F40263">
              <w:tab/>
              <w:t xml:space="preserve">zabrinut je zbog izazova u pogledu potpunog ostvarivanja prava osoba s invaliditetom; ponovno poziva EU da pomogne partnerskim zemljama u razvoju politika za potporu njegovateljima za osobe s invaliditetom; </w:t>
            </w:r>
            <w:r w:rsidRPr="00F40263">
              <w:rPr>
                <w:b/>
                <w:i/>
              </w:rPr>
              <w:t>ističe posebne potrebe djevojčica i druge djece s invaliditetom diljem svijeta, oslanjajući se na nedavne zakonodavne inicijative kao što je europska iskaznica za osobe s invaliditetom za građane EU-a i osobe s boravištem iz trećih zemalja</w:t>
            </w:r>
            <w:r w:rsidRPr="00F40263">
              <w:t>; poziva EU da u svojoj vanjskoj politici iskoristi strategiju za prava osoba s invaliditetom za razdoblje 2021. 2030. kao alata za poboljšanje položaja osoba s invaliditetom, posebno kad je riječ o siromaštvu i diskriminaciji, ali i za rješavanje problema s pristupom obrazovanju, zdravstvenoj skrbi i zapošljavanju te sa sudjelovanjem u političkom životu</w:t>
            </w:r>
            <w:r w:rsidRPr="00F40263">
              <w:rPr>
                <w:b/>
                <w:i/>
              </w:rPr>
              <w:t>, što su problemi koji, u slučaju žena s invaliditetom, dovode do ekstremnih slučajeva višestruke diskriminacije;</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54</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31.</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31.</w:t>
            </w:r>
            <w:r w:rsidRPr="00F40263">
              <w:tab/>
              <w:t xml:space="preserve">ponavlja svoj poziv EU-u i državama članicama da razviju nove načine za jačanje prava starijih osoba uzimajući u obzir višestruke izazove s kojima se suočavaju, kao što su, među ostalim, diskriminacija na temelju dobi, siromaštvo, nasilje i nedostatak socijalne zaštite, </w:t>
            </w:r>
            <w:r w:rsidRPr="00F40263">
              <w:rPr>
                <w:b/>
                <w:i/>
              </w:rPr>
              <w:t>zdravstvene</w:t>
            </w:r>
            <w:r w:rsidRPr="00F40263">
              <w:t xml:space="preserve"> skrbi i </w:t>
            </w:r>
            <w:r w:rsidRPr="00F40263">
              <w:rPr>
                <w:b/>
                <w:i/>
              </w:rPr>
              <w:t>ključnih usluga</w:t>
            </w:r>
            <w:r w:rsidRPr="00F40263">
              <w:t>, kao i prepreke za zapošljavanje; ističe rad otvorene radne skupine UN-a o starenju na pravno obvezujućem instrumentu za jačanje zaštite ljudskih prava starijih osoba te poziva EU i njegove države članice da razmotre pružanje aktivne podrške tom radu;</w:t>
            </w:r>
          </w:p>
        </w:tc>
        <w:tc>
          <w:tcPr>
            <w:tcW w:w="4876" w:type="dxa"/>
            <w:tcBorders>
              <w:top w:val="nil"/>
              <w:left w:val="nil"/>
              <w:bottom w:val="nil"/>
              <w:right w:val="nil"/>
            </w:tcBorders>
          </w:tcPr>
          <w:p w:rsidR="00977598" w:rsidRPr="00F40263" w:rsidRDefault="00977598" w:rsidP="004F4736">
            <w:pPr>
              <w:pStyle w:val="Normal6a"/>
            </w:pPr>
            <w:r w:rsidRPr="00F40263">
              <w:t>31.</w:t>
            </w:r>
            <w:r w:rsidRPr="00F40263">
              <w:tab/>
              <w:t xml:space="preserve">ponavlja svoj poziv EU-u i državama članicama da razviju nove načine </w:t>
            </w:r>
            <w:r w:rsidRPr="00F40263">
              <w:rPr>
                <w:b/>
                <w:i/>
              </w:rPr>
              <w:t xml:space="preserve">i programe </w:t>
            </w:r>
            <w:r w:rsidRPr="00F40263">
              <w:t xml:space="preserve">za jačanje prava starijih osoba uzimajući u obzir višestruke izazove s kojima se suočavaju, kao što su, među ostalim, diskriminacija na temelju dobi, siromaštvo, nasilje i nedostatak socijalne zaštite, </w:t>
            </w:r>
            <w:r w:rsidRPr="00F40263">
              <w:rPr>
                <w:b/>
                <w:i/>
              </w:rPr>
              <w:t>ograničeni pristup besplatnoj zdravstvenoj</w:t>
            </w:r>
            <w:r w:rsidRPr="00F40263">
              <w:t xml:space="preserve"> skrbi i </w:t>
            </w:r>
            <w:r w:rsidRPr="00F40263">
              <w:rPr>
                <w:b/>
                <w:i/>
              </w:rPr>
              <w:t>ključnim uslugama, posebno u ruralnim i izoliranim ili zapostavljenim područjima</w:t>
            </w:r>
            <w:r w:rsidRPr="00F40263">
              <w:t>, kao i prepreke za zapošljavanje</w:t>
            </w:r>
            <w:r w:rsidRPr="00F40263">
              <w:rPr>
                <w:b/>
                <w:i/>
              </w:rPr>
              <w:t>, koje dovode do gubitka bogatog iskustva koje može biti korisno za mlade na početku njihove karijere</w:t>
            </w:r>
            <w:r w:rsidRPr="00F40263">
              <w:t>; ističe rad otvorene radne skupine UN-a o starenju na pravno obvezujućem instrumentu za jačanje zaštite ljudskih prava starijih osoba te poziva EU i njegove države članice da razmotre pružanje aktivne podrške tom radu</w:t>
            </w:r>
            <w:r w:rsidRPr="00F40263">
              <w:rPr>
                <w:b/>
                <w:i/>
              </w:rPr>
              <w:t>, kao i stvarnoj provedbi u zakonodavstvu i u stvarnom životu</w:t>
            </w:r>
            <w:r w:rsidRPr="00F40263">
              <w:t>;</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55</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32.</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32.</w:t>
            </w:r>
            <w:r w:rsidRPr="00F40263">
              <w:tab/>
              <w:t xml:space="preserve">ponovno osuđuje sve oblike rasizma, netolerancije, ksenofobije i diskriminacije na temelju rase, etničke pripadnosti, nacionalnosti, </w:t>
            </w:r>
            <w:r w:rsidRPr="00F40263">
              <w:rPr>
                <w:b/>
                <w:i/>
              </w:rPr>
              <w:t>društvene klase</w:t>
            </w:r>
            <w:r w:rsidRPr="00F40263">
              <w:t xml:space="preserve">, </w:t>
            </w:r>
            <w:r w:rsidRPr="00F40263">
              <w:rPr>
                <w:b/>
                <w:i/>
              </w:rPr>
              <w:t>invaliditeta</w:t>
            </w:r>
            <w:r w:rsidRPr="00F40263">
              <w:t xml:space="preserve">, </w:t>
            </w:r>
            <w:r w:rsidRPr="00F40263">
              <w:rPr>
                <w:b/>
                <w:i/>
              </w:rPr>
              <w:t>kaste</w:t>
            </w:r>
            <w:r w:rsidRPr="00F40263">
              <w:t>, vjere, uvjerenja, dobi, seksualne orijentacije ili rodnog identiteta; osuđuje sve veću međunarodnu prijetnju govora mržnje, među ostalim na internetu; ponovno ističe ključnu ulogu obrazovanja i dijaloga u promicanju tolerancije, razumijevanja i raznolikosti; poziva EU i njegove države članice da predvode globalnu borbu protiv svih oblika ekstremizma i pozdravlja donošenje strategije EU-a u tu svrhu;</w:t>
            </w:r>
          </w:p>
        </w:tc>
        <w:tc>
          <w:tcPr>
            <w:tcW w:w="4876" w:type="dxa"/>
            <w:tcBorders>
              <w:top w:val="nil"/>
              <w:left w:val="nil"/>
              <w:bottom w:val="nil"/>
              <w:right w:val="nil"/>
            </w:tcBorders>
          </w:tcPr>
          <w:p w:rsidR="00977598" w:rsidRPr="00F40263" w:rsidRDefault="00977598" w:rsidP="004F4736">
            <w:pPr>
              <w:pStyle w:val="Normal6a"/>
            </w:pPr>
            <w:r w:rsidRPr="00F40263">
              <w:t>32.</w:t>
            </w:r>
            <w:r w:rsidRPr="00F40263">
              <w:tab/>
              <w:t xml:space="preserve">ponovno osuđuje sve oblike rasizma, netolerancije, ksenofobije i diskriminacije na temelju </w:t>
            </w:r>
            <w:r w:rsidRPr="00F40263">
              <w:rPr>
                <w:b/>
                <w:i/>
              </w:rPr>
              <w:t xml:space="preserve">spola, </w:t>
            </w:r>
            <w:r w:rsidRPr="00F40263">
              <w:t xml:space="preserve">rase, </w:t>
            </w:r>
            <w:r w:rsidRPr="00F40263">
              <w:rPr>
                <w:b/>
                <w:i/>
              </w:rPr>
              <w:t xml:space="preserve">boje kože, </w:t>
            </w:r>
            <w:r w:rsidRPr="00F40263">
              <w:t xml:space="preserve">etničke pripadnosti, nacionalnosti, </w:t>
            </w:r>
            <w:r w:rsidRPr="00F40263">
              <w:rPr>
                <w:b/>
                <w:i/>
              </w:rPr>
              <w:t>socijalnog podrijetla, genetskih osobina</w:t>
            </w:r>
            <w:r w:rsidRPr="00F40263">
              <w:t xml:space="preserve">, </w:t>
            </w:r>
            <w:r w:rsidRPr="00F40263">
              <w:rPr>
                <w:b/>
                <w:i/>
              </w:rPr>
              <w:t>jezika</w:t>
            </w:r>
            <w:r w:rsidRPr="00F40263">
              <w:t xml:space="preserve">, </w:t>
            </w:r>
            <w:r w:rsidRPr="00F40263">
              <w:rPr>
                <w:b/>
                <w:i/>
              </w:rPr>
              <w:t>invaliditeta</w:t>
            </w:r>
            <w:r w:rsidRPr="00F40263">
              <w:t xml:space="preserve">, vjere, uvjerenja, </w:t>
            </w:r>
            <w:r w:rsidRPr="00F40263">
              <w:rPr>
                <w:b/>
                <w:i/>
              </w:rPr>
              <w:t xml:space="preserve">pripadnosti nacionalnoj manjini, imovine, rođenja, </w:t>
            </w:r>
            <w:r w:rsidRPr="00F40263">
              <w:t>dobi, seksualne orijentacije ili rodnog identiteta</w:t>
            </w:r>
            <w:r w:rsidRPr="00F40263">
              <w:rPr>
                <w:b/>
                <w:i/>
              </w:rPr>
              <w:t>;</w:t>
            </w:r>
            <w:r w:rsidRPr="00F40263">
              <w:t xml:space="preserve"> </w:t>
            </w:r>
            <w:r w:rsidRPr="00F40263">
              <w:rPr>
                <w:b/>
                <w:i/>
              </w:rPr>
              <w:t>ističe da diskriminacija na bilo kojoj osnovi dovodi do kršenja prava u svim sferama života, uključujući pristup obrazovanju, zdravstvenoj skrbi, a posebno spolnoj i reproduktivnoj zdravstvenoj skrbi, radu i pristupu pravosuđu; ponavlja svoj poziv državama članicama da donesu i provedu strategije, politike i programe za unapređenje spolnog i reproduktivnog zdravlja i prava marginaliziranih skupina žena te za iskorjenjivanje financijskih, pravnih, praktičnih i društvenih prepreka s kojima se suočavaju; naglašava da se žene i djevojčice koje se suočavaju s isprepletenim oblicima diskriminacije nalaze u posebno ugroženom položaju</w:t>
            </w:r>
            <w:r w:rsidRPr="00F40263">
              <w:t>; osuđuje sve veću međunarodnu prijetnju govora mržnje, među ostalim na internetu; ponovno ističe ključnu ulogu obrazovanja i dijaloga u promicanju tolerancije, razumijevanja i raznolikosti; poziva EU i njegove države članice da predvode globalnu borbu protiv svih oblika ekstremizma i pozdravlja donošenje strategije EU-a u tu svrhu;</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56</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33.</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33.</w:t>
            </w:r>
            <w:r w:rsidRPr="00F40263">
              <w:tab/>
              <w:t>ponavlja svoje principijelno protivljenje smrtnoj kazni, koja nije u skladu s pravom na život te je okrutna, nečovječna i ponižavajuća kazna s nepovratnim učinkom; naglašava da EU mora neumorno ulagati napore u ukidanje smrtne kazne u cijelom svijetu, kao jedan od glavnih ciljeva njegove vanjske politike u području ljudskih prava; napominje da unatoč trendu poduzimanja koraka prema ukidanju smrtne kazne u nekim zemljama izvan EU-a, i dalje postoje znatni izazovi u tom pogledu; žali zbog činjenice da je u drugim zemljama izvan EU-a broj izvršenih smrtnih kazni dosegnuo najvišu razinu u posljednjih pet godina; ponavlja svoj poziv da sve zemlje u potpunosti ukinu smrtnu kaznu ili smjesta uvedu moratorij na nju kao prvi korak prema njezinu ukidanju;</w:t>
            </w:r>
          </w:p>
        </w:tc>
        <w:tc>
          <w:tcPr>
            <w:tcW w:w="4876" w:type="dxa"/>
            <w:tcBorders>
              <w:top w:val="nil"/>
              <w:left w:val="nil"/>
              <w:bottom w:val="nil"/>
              <w:right w:val="nil"/>
            </w:tcBorders>
          </w:tcPr>
          <w:p w:rsidR="00977598" w:rsidRPr="00F40263" w:rsidRDefault="00977598" w:rsidP="004F4736">
            <w:pPr>
              <w:pStyle w:val="Normal6a"/>
            </w:pPr>
            <w:r w:rsidRPr="00F40263">
              <w:t>33.</w:t>
            </w:r>
            <w:r w:rsidRPr="00F40263">
              <w:tab/>
              <w:t xml:space="preserve">ponavlja svoje principijelno protivljenje smrtnoj kazni, koja nije u skladu s pravom na život te je okrutna, nečovječna i ponižavajuća kazna s nepovratnim učinkom; naglašava da EU mora neumorno ulagati napore u ukidanje smrtne kazne u cijelom svijetu, kao jedan od glavnih ciljeva njegove vanjske politike u području ljudskih prava; napominje da unatoč trendu poduzimanja koraka prema ukidanju smrtne kazne u nekim zemljama izvan EU-a, i dalje postoje znatni izazovi u tom pogledu; </w:t>
            </w:r>
            <w:r w:rsidRPr="00F40263">
              <w:rPr>
                <w:b/>
                <w:i/>
              </w:rPr>
              <w:t>naglašava da je cilj kaznenog pravosuđa i dalje socijalna rehabilitacija osuđene osobe, naknada štete žrtvama i sprečavanje ponavljanja kaznenog djela;</w:t>
            </w:r>
            <w:r w:rsidRPr="00F40263">
              <w:t xml:space="preserve"> žali zbog činjenice da je u drugim zemljama izvan EU-a broj izvršenih smrtnih kazni dosegnuo najvišu razinu u posljednjih pet godina; ponavlja svoj poziv da sve zemlje u potpunosti ukinu smrtnu kaznu ili smjesta uvedu moratorij na nju kao prvi korak prema njezinu ukidanju;</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57</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34.</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34.</w:t>
            </w:r>
            <w:r w:rsidRPr="00F40263">
              <w:tab/>
              <w:t>ponovno izražava zabrinutost zbog kršenja prava na slobodu mišljenja, savjesti, vjeroispovijesti i uvjerenja; žali zbog instrumentalizacije vjerskih identiteta ili identiteta uvjerenja u političke svrhe i isključivanja osoba koje spadaju u manjine na temelju vjeroispovijesti i uvjerenja te vjerskih zajednica u određenim zemljama izvan EU-a; preporučuje da se posebnom izaslaniku za promicanje i zaštitu slobode vjeroispovijesti ili uvjerenja izvan EU-a dodijele veća sredstva kako bi bez teškoća mogao izvršavati svoj mandat; ističe potrebu da posebni izaslanik nastavi blisko i komplementarno surađivati s PPEU-om za ljudska prava i Radnom skupinom Vijeća za ljudska prava; poziva EU i njegove države članice da pojačaju napore za zaštitu prava na slobodu mišljenja, savjesti, vjeroispovijesti ili uvjerenja, da skreću pozornost na ta pitanja na forumima UN-a za ljudska prava te da nastave surađivati s relevantnim mehanizmima i odborima UN-a;</w:t>
            </w:r>
          </w:p>
        </w:tc>
        <w:tc>
          <w:tcPr>
            <w:tcW w:w="4876" w:type="dxa"/>
            <w:tcBorders>
              <w:top w:val="nil"/>
              <w:left w:val="nil"/>
              <w:bottom w:val="nil"/>
              <w:right w:val="nil"/>
            </w:tcBorders>
          </w:tcPr>
          <w:p w:rsidR="00977598" w:rsidRPr="00F40263" w:rsidRDefault="00977598" w:rsidP="004F4736">
            <w:pPr>
              <w:pStyle w:val="Normal6a"/>
            </w:pPr>
            <w:r w:rsidRPr="00F40263">
              <w:t>34.</w:t>
            </w:r>
            <w:r w:rsidRPr="00F40263">
              <w:tab/>
              <w:t>ponovno izražava zabrinutost zbog kršenja prava na slobodu mišljenja, savjesti, vjeroispovijesti i uvjerenja; žali zbog instrumentalizacije vjerskih identiteta ili identiteta uvjerenja u političke svrhe i isključivanja osoba koje spadaju u manjine na temelju vjeroispovijesti i uvjerenja te vjerskih zajednica u određenim zemljama izvan EU-a;</w:t>
            </w:r>
            <w:r w:rsidRPr="00F40263">
              <w:rPr>
                <w:b/>
                <w:i/>
              </w:rPr>
              <w:t xml:space="preserve"> sa zabrinutošću napominje da zlouporaba vjerskih uvjerenja može dovesti do rodno uvjetovanog nasilja i diskriminacije, što nerazmjerno utječe na žene i djevojčice praksama kao što su prisilni brakovi, sakaćenje ženskih spolnih organa, ograničenja povezana s obrazovanjem i ograničenja osobnih sloboda;</w:t>
            </w:r>
            <w:r w:rsidRPr="00F40263">
              <w:t xml:space="preserve"> preporučuje da se posebnom izaslaniku za promicanje i zaštitu slobode vjeroispovijesti ili uvjerenja izvan EU-a dodijele veća sredstva kako bi bez teškoća mogao izvršavati svoj mandat; ističe potrebu da posebni izaslanik nastavi blisko i komplementarno surađivati s PPEU-om za ljudska prava i Radnom skupinom Vijeća za ljudska prava; poziva EU i njegove države članice da pojačaju napore za zaštitu prava na slobodu mišljenja, savjesti, vjeroispovijesti ili uvjerenja, da skreću pozornost na ta pitanja na forumima UN-a za ljudska prava te da nastave surađivati s relevantnim mehanizmima i odborima UN-a;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58</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35.</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35.</w:t>
            </w:r>
            <w:r w:rsidRPr="00F40263">
              <w:tab/>
              <w:t>naglašava ključnu važnost slobode izražavanja i pristupa pouzdanim informacijama za održavanje demokracije i prostora za uspješno građansko djelovanje; duboko je zabrinut zbog sve većih ograničenja slobode izražavanja u mnogim zemljama širom svijeta, posebno za novinare, cenzurom, nametnutom autocenzurom i zlouporabom zakona za suzbijanje terorizma ili korupcije kako bi se ograničili novinari</w:t>
            </w:r>
            <w:r w:rsidRPr="00F40263">
              <w:rPr>
                <w:b/>
                <w:i/>
              </w:rPr>
              <w:t xml:space="preserve"> i</w:t>
            </w:r>
            <w:r w:rsidRPr="00F40263">
              <w:t xml:space="preserve"> organizacije civilnog društva; osim toga, izražava zabrinutost zbog fizičke sigurnosti novinara i medijskih djelatnika i zbog toga što su oni mete u područjima sukoba;</w:t>
            </w:r>
          </w:p>
        </w:tc>
        <w:tc>
          <w:tcPr>
            <w:tcW w:w="4876" w:type="dxa"/>
            <w:tcBorders>
              <w:top w:val="nil"/>
              <w:left w:val="nil"/>
              <w:bottom w:val="nil"/>
              <w:right w:val="nil"/>
            </w:tcBorders>
          </w:tcPr>
          <w:p w:rsidR="00977598" w:rsidRPr="00F40263" w:rsidRDefault="00977598" w:rsidP="004F4736">
            <w:pPr>
              <w:pStyle w:val="Normal6a"/>
            </w:pPr>
            <w:r w:rsidRPr="00F40263">
              <w:t>35.</w:t>
            </w:r>
            <w:r w:rsidRPr="00F40263">
              <w:tab/>
              <w:t xml:space="preserve">naglašava ključnu važnost slobode izražavanja i </w:t>
            </w:r>
            <w:r w:rsidRPr="00F40263">
              <w:rPr>
                <w:b/>
                <w:i/>
              </w:rPr>
              <w:t xml:space="preserve">neograničenog </w:t>
            </w:r>
            <w:r w:rsidRPr="00F40263">
              <w:t>pristupa pouzdanim</w:t>
            </w:r>
            <w:r w:rsidRPr="00F40263">
              <w:rPr>
                <w:b/>
                <w:i/>
              </w:rPr>
              <w:t>, neovisnim</w:t>
            </w:r>
            <w:r w:rsidRPr="00F40263">
              <w:t xml:space="preserve"> informacijama za održavanje demokracije i prostora za uspješno </w:t>
            </w:r>
            <w:r w:rsidRPr="00F40263">
              <w:rPr>
                <w:b/>
                <w:i/>
              </w:rPr>
              <w:t xml:space="preserve">i slobodno </w:t>
            </w:r>
            <w:r w:rsidRPr="00F40263">
              <w:t>građansko djelovanje</w:t>
            </w:r>
            <w:r w:rsidRPr="00F40263">
              <w:rPr>
                <w:b/>
                <w:i/>
              </w:rPr>
              <w:t xml:space="preserve"> bez manipulacije ili ograničenja</w:t>
            </w:r>
            <w:r w:rsidRPr="00F40263">
              <w:t>; duboko je zabrinut zbog sve većih ograničenja slobode izražavanja</w:t>
            </w:r>
            <w:r w:rsidRPr="00F40263">
              <w:rPr>
                <w:b/>
                <w:i/>
              </w:rPr>
              <w:t xml:space="preserve"> i slobode okupljanja</w:t>
            </w:r>
            <w:r w:rsidRPr="00F40263">
              <w:t xml:space="preserve"> u mnogim zemljama širom svijeta, posebno za novinare, cenzurom, nametnutom autocenzurom i zlouporabom zakona za suzbijanje terorizma ili korupcije kako bi se ograničili novinari</w:t>
            </w:r>
            <w:r w:rsidRPr="00F40263">
              <w:rPr>
                <w:b/>
                <w:i/>
              </w:rPr>
              <w:t>,</w:t>
            </w:r>
            <w:r w:rsidRPr="00F40263">
              <w:t xml:space="preserve"> organizacije civilnog društva</w:t>
            </w:r>
            <w:r w:rsidRPr="00F40263">
              <w:rPr>
                <w:b/>
                <w:i/>
              </w:rPr>
              <w:t>, oporbeni političari i, u najgorim slučajevima, odvjetnici</w:t>
            </w:r>
            <w:r w:rsidRPr="00F40263">
              <w:t>; osim toga, izražava zabrinutost zbog fizičke sigurnosti</w:t>
            </w:r>
            <w:r w:rsidRPr="00F40263">
              <w:rPr>
                <w:b/>
                <w:i/>
              </w:rPr>
              <w:t xml:space="preserve"> oporbenih političara, disidenata, odvjetnika,</w:t>
            </w:r>
            <w:r w:rsidRPr="00F40263">
              <w:t xml:space="preserve"> novinara i medijskih djelatnika i zbog toga što su oni mete u područjima sukoba;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59</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39.</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39.</w:t>
            </w:r>
            <w:r w:rsidRPr="00F40263">
              <w:tab/>
              <w:t>žali zbog toga što se pravo na sudjelovanje na slobodnim i poštenim izborima ne poštuje u autoritarnim i neliberalnim režimima; ističe da ti režimi provode lažne izbore radi učvršćivanja svoje moći jer u njima nema stvarnog političkog osporavanja i pluralizma;</w:t>
            </w:r>
          </w:p>
        </w:tc>
        <w:tc>
          <w:tcPr>
            <w:tcW w:w="4876" w:type="dxa"/>
            <w:tcBorders>
              <w:top w:val="nil"/>
              <w:left w:val="nil"/>
              <w:bottom w:val="nil"/>
              <w:right w:val="nil"/>
            </w:tcBorders>
          </w:tcPr>
          <w:p w:rsidR="00977598" w:rsidRPr="00F40263" w:rsidRDefault="00977598" w:rsidP="004F4736">
            <w:pPr>
              <w:pStyle w:val="Normal6a"/>
            </w:pPr>
            <w:r w:rsidRPr="00F40263">
              <w:t>39.</w:t>
            </w:r>
            <w:r w:rsidRPr="00F40263">
              <w:tab/>
              <w:t xml:space="preserve">žali zbog toga što se pravo na sudjelovanje na slobodnim i poštenim izborima ne poštuje u autoritarnim i neliberalnim režimima; ističe da ti režimi provode lažne izbore radi učvršćivanja svoje moći jer u njima nema stvarnog političkog osporavanja i pluralizma; </w:t>
            </w:r>
            <w:r w:rsidRPr="00F40263">
              <w:rPr>
                <w:b/>
                <w:i/>
              </w:rPr>
              <w:t>naglašava važnost promicanja ženskog političkog vodstva i sudjelovanja kako bi se ojačali demokratski procesi i osigurala raznolika zastupljenost;</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60</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41.</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41.</w:t>
            </w:r>
            <w:r w:rsidRPr="00F40263">
              <w:tab/>
              <w:t>ističe da su mikropoduzeća te mala i srednja poduzeća (MMSP) u mnogim dijelovima svijeta često pokretačka snaga lokalnih gospodarstava; ističe da MMSP-ovi diljem svijeta čine 90 % poduzeća, kao i udio od 60 do 70 % radnih mjesta i 50 % bruto domaćeg proizvoda; ističe važnost MMSP-ova u njihovu doprinosu Programu održivog razvoja do 2030. i postizanju ciljeva održivog razvoja, posebno onih koji se odnose na iskorjenjivanje siromaštva i dostojanstvenog rada za sve;</w:t>
            </w:r>
          </w:p>
        </w:tc>
        <w:tc>
          <w:tcPr>
            <w:tcW w:w="4876" w:type="dxa"/>
            <w:tcBorders>
              <w:top w:val="nil"/>
              <w:left w:val="nil"/>
              <w:bottom w:val="nil"/>
              <w:right w:val="nil"/>
            </w:tcBorders>
          </w:tcPr>
          <w:p w:rsidR="00977598" w:rsidRPr="00F40263" w:rsidRDefault="00977598" w:rsidP="004F4736">
            <w:pPr>
              <w:pStyle w:val="Normal6a"/>
            </w:pPr>
            <w:r w:rsidRPr="00F40263">
              <w:t>41.</w:t>
            </w:r>
            <w:r w:rsidRPr="00F40263">
              <w:tab/>
              <w:t xml:space="preserve">ističe da su mikropoduzeća te mala i srednja poduzeća (MMSP) u mnogim dijelovima svijeta često pokretačka snaga lokalnih gospodarstava; ističe da MMSP-ovi diljem svijeta čine 90 % poduzeća, kao i udio od 60 do 70 % radnih mjesta i 50 % bruto domaćeg proizvoda; </w:t>
            </w:r>
            <w:r w:rsidRPr="00F40263">
              <w:rPr>
                <w:b/>
                <w:i/>
              </w:rPr>
              <w:t>uzima u obzir da se MMSP-ovi kojima su na čelu žene mogu suočavati s jedinstvenim izazovima u pristupu resursima i mogućnostima, djelomično zbog sustavne rodne diskriminacije; naglašava potrebu za podupiranje njihova rasta i inkluzije kako bi se održala konkurentnost na globalnom tržištu i osigurao primjeren pristup zajmovima i kreditima, poslovnim anđelima, fondovima poduzetničkog kapitala što bi trebalo promicati u okviru programa i fondova EU-a, kao i putem Europske investicijske banke za pristup mikrofinanciranju; naglašava da EU i države članice moraju ukloniti prepreke koje sprečavaju žene da osnivaju i posjeduju poduzeća kako bi se premostio rodni jaz u poduzetništvu;</w:t>
            </w:r>
            <w:r w:rsidRPr="00F40263">
              <w:t xml:space="preserve"> ističe važnost MMSP-ova u njihovu doprinosu Programu održivog razvoja do 2030. i postizanju ciljeva održivog razvoja, posebno onih koji se odnose na iskorjenjivanje siromaštva i dostojanstvenog rada za sve;</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61</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42.</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42.</w:t>
            </w:r>
            <w:r w:rsidRPr="00F40263">
              <w:tab/>
              <w:t xml:space="preserve">zabrinut je zbog prijetnje koju umjetna inteligencija može predstavljati za demokraciju i ljudska prava, </w:t>
            </w:r>
            <w:r w:rsidRPr="00F40263">
              <w:rPr>
                <w:b/>
                <w:i/>
              </w:rPr>
              <w:t>posebno</w:t>
            </w:r>
            <w:r w:rsidRPr="00F40263">
              <w:t xml:space="preserve"> ako </w:t>
            </w:r>
            <w:r w:rsidRPr="00F40263">
              <w:rPr>
                <w:b/>
                <w:i/>
              </w:rPr>
              <w:t>nije propisno regulirana</w:t>
            </w:r>
            <w:r w:rsidRPr="00F40263">
              <w:t>; pozdravlja zaključke Vijeća o digitalnoj diplomaciji od 26. lipnja 2023. o jačanju uloge i vodstva EU-a u globalnom digitalnom upravljanju, posebno njegov položaj oblikovatelja globalnih digitalnih pravila; u tom pogledu pozdravlja donošenje Akta EU-a o umjetnoj inteligenciji čiji je cilj usklađivanje pravila o umjetnoj inteligenciji radi zaštite ljudskih prava i prednosti koje umjetna inteligencija može donijeti dobrobiti ljudi; sa zabrinutošću primjećuje negativne učinke „industrije lažnog sadržaja” na pravo na informacije i slobodu tiska, uključujući brz razvoj umjetne inteligencije i posljedično osnaživanje industrije dezinformiranja</w:t>
            </w:r>
            <w:r w:rsidRPr="00F40263">
              <w:rPr>
                <w:b/>
                <w:i/>
              </w:rPr>
              <w:t>12</w:t>
            </w:r>
            <w:r w:rsidRPr="00F40263">
              <w:t>;</w:t>
            </w:r>
          </w:p>
        </w:tc>
        <w:tc>
          <w:tcPr>
            <w:tcW w:w="4876" w:type="dxa"/>
            <w:tcBorders>
              <w:top w:val="nil"/>
              <w:left w:val="nil"/>
              <w:bottom w:val="nil"/>
              <w:right w:val="nil"/>
            </w:tcBorders>
          </w:tcPr>
          <w:p w:rsidR="00977598" w:rsidRPr="00F40263" w:rsidRDefault="00977598" w:rsidP="004F4736">
            <w:pPr>
              <w:pStyle w:val="Normal6a"/>
            </w:pPr>
            <w:r w:rsidRPr="00F40263">
              <w:t>42.</w:t>
            </w:r>
            <w:r w:rsidRPr="00F40263">
              <w:tab/>
              <w:t xml:space="preserve">zabrinut je zbog prijetnje koju umjetna inteligencija može predstavljati za demokraciju i ljudska prava, </w:t>
            </w:r>
            <w:r w:rsidRPr="00F40263">
              <w:rPr>
                <w:b/>
                <w:i/>
              </w:rPr>
              <w:t xml:space="preserve">istodobno uviđajući prednosti umjetne inteligencije i novih tehnologija; ponavlja da je potrebno posvetiti veću političku pozornost korjenitim promjenama povezanima sa sustavima umjetne inteligencije, koji imaju potencijal za promicanje, među ostalim, rodne ravnopravnosti i osnaživanja svih žena i djevojčica; ističe rizik od stvaranja ili nastavka rodnih nejednakosti i pristranosti u našim društvima upotrebom umjetne inteligencije te rizik od poticanja nasilja nad ženama na internetu i fizičkog nasilja ako se ne poduzmu odgovarajuće mjere; pozdravlja donošenje Akta EU-a o umjetnoj inteligenciji, koji će sadržavati visoku razinu zaštite temeljnih prava i rodne ravnopravnosti, čiji je cilj usklađivanje pravila o umjetnoj inteligenciji radi zaštite ljudskih prava, i prednosti koje umjetna inteligencija može donijeti dobrobiti ljudi; pozdravlja donošenje prve Okvirne konvencije Vijeća Europe o umjetnoj inteligenciji, ljudskim pravima, demokraciji i vladavini prava; naglašava važnost obrazovanja u području znanosti, tehnologije, inženjerstva i matematike </w:t>
            </w:r>
            <w:r w:rsidRPr="00F40263">
              <w:rPr>
                <w:rFonts w:ascii="Arial" w:hAnsi="Arial"/>
                <w:b/>
                <w:i/>
                <w:sz w:val="21"/>
                <w:shd w:val="clear" w:color="auto" w:fill="FFFFFF"/>
              </w:rPr>
              <w:t xml:space="preserve"> (</w:t>
            </w:r>
            <w:r w:rsidRPr="00F40263">
              <w:rPr>
                <w:b/>
                <w:i/>
              </w:rPr>
              <w:t>STEM) kako bi se ženama i djevojčicama pružile vještine usmjerene na budućnost, omogućio pristup zapošljavanju i suzbili rodni stereotipi prema kojima se tradicionalno ta područaja tradicionalno kategoriziraju kao ona u kojima dominiraju muškarci; poziva EU, države članice i međunarodne partnere da pojačaju globalne napore za promicanje i poticanje učenja u području STEM-a od rane dobi kako bi se osiguralo da djevojčice i žene ne budu u nepravedno nepovoljnom položaju pri kasnijem traženju zaposlenja u znanstvenom i tehnološkom sektoru, povećavajući pristup djevojčica i žena obrazovanju i karijerama u području STEM-a i informacijskih i komunikacijskih tehnologija te njihovo vodstvo u tom području; naglašava da rodna ravnopravnost mora biti prioritet u procesu konceptualizacije i izgradnje sustava umjetne inteligencije</w:t>
            </w:r>
            <w:r w:rsidRPr="00F40263">
              <w:t>; pozdravlja zaključke Vijeća o digitalnoj diplomaciji od 26. lipnja 2023. o jačanju uloge i vodstva EU-a u globalnom digitalnom upravljanju, posebno njegov položaj oblikovatelja globalnih digitalnih pravila; u tom pogledu pozdravlja donošenje Akta EU-a o umjetnoj inteligenciji čiji je cilj usklađivanje pravila o umjetnoj inteligenciji radi zaštite ljudskih prava i prednosti koje umjetna inteligencija može donijeti dobrobiti ljudi; sa zabrinutošću primjećuje negativne učinke „industrije lažnog sadržaja” na pravo na informacije i slobodu tiska, uključujući brz razvoj umjetne inteligencije i posljedično osnaživanje industrije dezinformiranja</w:t>
            </w:r>
            <w:r w:rsidRPr="00F40263">
              <w:rPr>
                <w:b/>
                <w:i/>
                <w:vertAlign w:val="superscript"/>
              </w:rPr>
              <w:t>1a</w:t>
            </w:r>
            <w:r w:rsidRPr="00F40263">
              <w:rPr>
                <w:b/>
                <w:i/>
              </w:rPr>
              <w:t>.</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rPr>
                <w:b/>
                <w:i/>
              </w:rPr>
              <w:t>_________________</w:t>
            </w:r>
          </w:p>
        </w:tc>
        <w:tc>
          <w:tcPr>
            <w:tcW w:w="4876" w:type="dxa"/>
            <w:tcBorders>
              <w:top w:val="nil"/>
              <w:left w:val="nil"/>
              <w:bottom w:val="nil"/>
              <w:right w:val="nil"/>
            </w:tcBorders>
          </w:tcPr>
          <w:p w:rsidR="00977598" w:rsidRPr="00F40263" w:rsidRDefault="00977598" w:rsidP="004F4736">
            <w:pPr>
              <w:pStyle w:val="Normal6a"/>
            </w:pPr>
            <w:r w:rsidRPr="00F40263">
              <w:rPr>
                <w:b/>
                <w:i/>
              </w:rPr>
              <w:t>_________________</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tc>
        <w:tc>
          <w:tcPr>
            <w:tcW w:w="4876" w:type="dxa"/>
            <w:tcBorders>
              <w:top w:val="nil"/>
              <w:left w:val="nil"/>
              <w:bottom w:val="nil"/>
              <w:right w:val="nil"/>
            </w:tcBorders>
          </w:tcPr>
          <w:p w:rsidR="00977598" w:rsidRPr="00F40263" w:rsidRDefault="00977598" w:rsidP="004F4736">
            <w:pPr>
              <w:pStyle w:val="Normal6a"/>
            </w:pPr>
            <w:r w:rsidRPr="00F40263">
              <w:rPr>
                <w:b/>
                <w:i/>
                <w:vertAlign w:val="superscript"/>
              </w:rPr>
              <w:t>1a</w:t>
            </w:r>
            <w:r w:rsidRPr="00F40263">
              <w:rPr>
                <w:b/>
                <w:i/>
              </w:rPr>
              <w:t xml:space="preserve"> Reporteri bez granica, „Svjetski indeks slobode medija za 2023. – novinarstvo kojem prijeti industrija lažnog sadržaja” https://rsf.org/en/2023-world-press-freedom-index-journalism-threatened-fake-content-industry.</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rPr>
                <w:b/>
                <w:i/>
                <w:vertAlign w:val="superscript"/>
              </w:rPr>
              <w:t>1a</w:t>
            </w:r>
            <w:r w:rsidRPr="00F40263">
              <w:rPr>
                <w:b/>
                <w:i/>
              </w:rPr>
              <w:t xml:space="preserve"> Reporteri bez granica, „Svjetski indeks slobode medija za 2023. – novinarstvo kojem prijeti industrija lažnog sadržaja” https://rsf.org/en/2023-world-press-freedom-index-journalism-threatened-fake-content-industry.</w:t>
            </w:r>
          </w:p>
        </w:tc>
        <w:tc>
          <w:tcPr>
            <w:tcW w:w="4876" w:type="dxa"/>
            <w:tcBorders>
              <w:top w:val="nil"/>
              <w:left w:val="nil"/>
              <w:bottom w:val="nil"/>
              <w:right w:val="nil"/>
            </w:tcBorders>
          </w:tcPr>
          <w:p w:rsidR="00977598" w:rsidRPr="00F40263" w:rsidRDefault="00977598" w:rsidP="004F4736"/>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62</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42.a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42.a</w:t>
            </w:r>
            <w:r w:rsidRPr="00F40263">
              <w:tab/>
            </w:r>
            <w:r w:rsidRPr="00F40263">
              <w:rPr>
                <w:b/>
                <w:i/>
              </w:rPr>
              <w:t>pozdravlja činjenicu da je Vijeće Europe u svibnju 2024. donijelo Okvirnu konvenciju o umjetnoj inteligenciji i ljudskim pravima, demokraciji i vladavini prava, čiji je cilj osigurati da aktivnosti u cijelom životnom ciklusu sustava umjetne inteligencije budu u potpunosti usklađene s ljudskim pravima, demokracijom i vladavinom prava; ponavlja da je potrebno posvetiti veću zakonodavnu pozornost dubokim promjenama koje proizlaze iz aktivnosti u životnom ciklusu sustava umjetne inteligencije, koji imaju potencijal za promicanje ljudskog napretka, individualne i društvene dobrobiti, održivog razvoja, rodne ravnopravnosti i osnaživanja svih žena i djevojčica, ali i donose rizik od stvaranja ili pogoršanja nejednakosti te poticanja nasilja na internetu i fizičkog nasilja, uključujući nasilje nad ženama i pojedincima u ranjivom položaju;</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b w:val="0"/>
        </w:rPr>
        <w:t>&lt;Amend&gt;</w:t>
      </w:r>
      <w:r w:rsidRPr="00F40263">
        <w:t>Amandman</w:t>
      </w:r>
      <w:r w:rsidRPr="00F40263">
        <w:tab/>
      </w:r>
      <w:r w:rsidRPr="00F40263">
        <w:tab/>
      </w:r>
      <w:r w:rsidRPr="00F40263">
        <w:rPr>
          <w:rStyle w:val="HideTWBExt"/>
          <w:b w:val="0"/>
        </w:rPr>
        <w:t>&lt;NumAm&gt;</w:t>
      </w:r>
      <w:r w:rsidRPr="00F40263">
        <w:t>63</w:t>
      </w:r>
      <w:r w:rsidRPr="00F40263">
        <w:rPr>
          <w:rStyle w:val="HideTWBExt"/>
          <w:b w:val="0"/>
        </w:rPr>
        <w:t>&lt;/NumAm&gt;</w:t>
      </w:r>
    </w:p>
    <w:p w:rsidR="00977598" w:rsidRPr="00F40263" w:rsidRDefault="00977598" w:rsidP="00977598">
      <w:pPr>
        <w:pStyle w:val="NormalBold12b"/>
      </w:pPr>
      <w:r w:rsidRPr="00F40263">
        <w:rPr>
          <w:rStyle w:val="HideTWBExt"/>
          <w:b w:val="0"/>
        </w:rPr>
        <w:t>&lt;DocAmend&gt;</w:t>
      </w:r>
      <w:r w:rsidRPr="00F40263">
        <w:t>Prijedlog rezolucije</w:t>
      </w:r>
      <w:r w:rsidRPr="00F40263">
        <w:rPr>
          <w:rStyle w:val="HideTWBExt"/>
          <w:b w:val="0"/>
        </w:rPr>
        <w:t>&lt;/DocAmend&gt;</w:t>
      </w:r>
    </w:p>
    <w:p w:rsidR="00977598" w:rsidRPr="00F40263" w:rsidRDefault="00977598" w:rsidP="00977598">
      <w:pPr>
        <w:pStyle w:val="NormalBold"/>
      </w:pPr>
      <w:r w:rsidRPr="00F40263">
        <w:rPr>
          <w:rStyle w:val="HideTWBExt"/>
          <w:b w:val="0"/>
        </w:rPr>
        <w:t>&lt;Article&gt;</w:t>
      </w:r>
      <w:r w:rsidRPr="00F40263">
        <w:t>Stavak 42.b (novi)</w:t>
      </w:r>
      <w:r w:rsidRPr="00F402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p>
        </w:tc>
        <w:tc>
          <w:tcPr>
            <w:tcW w:w="4876" w:type="dxa"/>
            <w:tcBorders>
              <w:top w:val="nil"/>
              <w:left w:val="nil"/>
              <w:bottom w:val="nil"/>
              <w:right w:val="nil"/>
            </w:tcBorders>
          </w:tcPr>
          <w:p w:rsidR="00977598" w:rsidRPr="00F40263" w:rsidRDefault="00977598" w:rsidP="004F4736">
            <w:pPr>
              <w:pStyle w:val="Normal6a"/>
            </w:pPr>
            <w:r w:rsidRPr="00F40263">
              <w:rPr>
                <w:b/>
                <w:i/>
              </w:rPr>
              <w:t>42.b</w:t>
            </w:r>
            <w:r w:rsidRPr="00F40263">
              <w:tab/>
            </w:r>
            <w:r w:rsidRPr="00F40263">
              <w:rPr>
                <w:b/>
                <w:i/>
              </w:rPr>
              <w:t>ponavlja da je potrebno uspostaviti globalno primjenjiv pravni okvir kojim se utvrđuju opća načela i zajednička pravila za upravljanje aktivnostima tijekom cijelog životnog ciklusa sustava umjetne inteligencije, uz učinkovito očuvanje zajedničkih vrijednosti i iskorištavanje prednosti umjetne inteligencije za promicanje takvih vrijednosti na način koji pogoduje odgovornim inovacijama; potiče EU da se zalaže za takve zakonodavne inovacije te stoga poziva Komisiju da se više usredotoči na rizike i mogućnosti takvih sustava strojnog učenja u području ljudskih prava, demokracije, kao i jednakih mogućnosti te sprječavanja nasilja nad ženama;</w:t>
            </w:r>
          </w:p>
        </w:tc>
      </w:tr>
    </w:tbl>
    <w:p w:rsidR="00977598" w:rsidRPr="00F40263" w:rsidRDefault="00977598" w:rsidP="00977598">
      <w:r w:rsidRPr="00F40263">
        <w:rPr>
          <w:rStyle w:val="HideTWBExt"/>
        </w:rPr>
        <w:t>&lt;/Amend&gt;</w:t>
      </w:r>
    </w:p>
    <w:p w:rsidR="00977598" w:rsidRPr="00F40263" w:rsidRDefault="00977598" w:rsidP="00977598">
      <w:pPr>
        <w:pStyle w:val="AmNumberTabs"/>
      </w:pPr>
      <w:r w:rsidRPr="00F40263">
        <w:rPr>
          <w:rStyle w:val="HideTWBExt"/>
        </w:rPr>
        <w:t>&lt;Amend&gt;</w:t>
      </w:r>
      <w:r w:rsidRPr="00F40263">
        <w:t>Amandman</w:t>
      </w:r>
      <w:r w:rsidRPr="00F40263">
        <w:tab/>
      </w:r>
      <w:r w:rsidRPr="00F40263">
        <w:tab/>
      </w:r>
      <w:r w:rsidRPr="00F40263">
        <w:rPr>
          <w:rStyle w:val="HideTWBExt"/>
        </w:rPr>
        <w:t>&lt;NumAm&gt;</w:t>
      </w:r>
      <w:r w:rsidRPr="00F40263">
        <w:t>64</w:t>
      </w:r>
      <w:r w:rsidRPr="00F40263">
        <w:rPr>
          <w:rStyle w:val="HideTWBExt"/>
        </w:rPr>
        <w:t>&lt;/NumAm&gt;</w:t>
      </w:r>
    </w:p>
    <w:p w:rsidR="00977598" w:rsidRPr="00F40263" w:rsidRDefault="00977598" w:rsidP="00977598">
      <w:pPr>
        <w:pStyle w:val="NormalBold"/>
      </w:pPr>
      <w:r w:rsidRPr="00F40263">
        <w:rPr>
          <w:rStyle w:val="HideTWBExt"/>
        </w:rPr>
        <w:t>&lt;DocAmend&gt;</w:t>
      </w:r>
      <w:r w:rsidRPr="00F40263">
        <w:t>Prijedlog rezolucije</w:t>
      </w:r>
      <w:r w:rsidRPr="00F40263">
        <w:rPr>
          <w:rStyle w:val="HideTWBExt"/>
        </w:rPr>
        <w:t>&lt;/DocAmend&gt;</w:t>
      </w:r>
    </w:p>
    <w:p w:rsidR="00977598" w:rsidRPr="00F40263" w:rsidRDefault="00977598" w:rsidP="00977598">
      <w:pPr>
        <w:pStyle w:val="NormalBold"/>
      </w:pPr>
      <w:r w:rsidRPr="00F40263">
        <w:rPr>
          <w:rStyle w:val="HideTWBExt"/>
        </w:rPr>
        <w:t>&lt;Article&gt;</w:t>
      </w:r>
      <w:r w:rsidRPr="00F40263">
        <w:t>Stavak 43.</w:t>
      </w:r>
      <w:r w:rsidRPr="00F402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598" w:rsidRPr="00F40263" w:rsidTr="004F4736">
        <w:trPr>
          <w:trHeight w:hRule="exact" w:val="240"/>
          <w:jc w:val="center"/>
        </w:trPr>
        <w:tc>
          <w:tcPr>
            <w:tcW w:w="9752" w:type="dxa"/>
            <w:gridSpan w:val="2"/>
            <w:tcBorders>
              <w:top w:val="nil"/>
              <w:left w:val="nil"/>
              <w:bottom w:val="nil"/>
              <w:right w:val="nil"/>
            </w:tcBorders>
          </w:tcPr>
          <w:p w:rsidR="00977598" w:rsidRPr="00F40263" w:rsidRDefault="00977598" w:rsidP="004F4736"/>
        </w:tc>
      </w:tr>
      <w:tr w:rsidR="00977598" w:rsidRPr="00F40263" w:rsidTr="004F4736">
        <w:trPr>
          <w:trHeight w:val="240"/>
          <w:jc w:val="center"/>
        </w:trPr>
        <w:tc>
          <w:tcPr>
            <w:tcW w:w="4876" w:type="dxa"/>
            <w:tcBorders>
              <w:top w:val="nil"/>
              <w:left w:val="nil"/>
              <w:bottom w:val="nil"/>
              <w:right w:val="nil"/>
            </w:tcBorders>
          </w:tcPr>
          <w:p w:rsidR="00977598" w:rsidRPr="00F40263" w:rsidRDefault="00977598" w:rsidP="004F4736">
            <w:pPr>
              <w:pStyle w:val="AmColumnHeading"/>
            </w:pPr>
            <w:r w:rsidRPr="00F40263">
              <w:t>Prijedlog rezolucije</w:t>
            </w:r>
          </w:p>
        </w:tc>
        <w:tc>
          <w:tcPr>
            <w:tcW w:w="4876" w:type="dxa"/>
            <w:tcBorders>
              <w:top w:val="nil"/>
              <w:left w:val="nil"/>
              <w:bottom w:val="nil"/>
              <w:right w:val="nil"/>
            </w:tcBorders>
          </w:tcPr>
          <w:p w:rsidR="00977598" w:rsidRPr="00F40263" w:rsidRDefault="00977598" w:rsidP="004F4736">
            <w:pPr>
              <w:pStyle w:val="AmColumnHeading"/>
            </w:pPr>
            <w:r w:rsidRPr="00F40263">
              <w:t>Izmjena</w:t>
            </w:r>
          </w:p>
        </w:tc>
      </w:tr>
      <w:tr w:rsidR="00977598" w:rsidRPr="00F40263" w:rsidTr="004F4736">
        <w:trPr>
          <w:jc w:val="center"/>
        </w:trPr>
        <w:tc>
          <w:tcPr>
            <w:tcW w:w="4876" w:type="dxa"/>
            <w:tcBorders>
              <w:top w:val="nil"/>
              <w:left w:val="nil"/>
              <w:bottom w:val="nil"/>
              <w:right w:val="nil"/>
            </w:tcBorders>
          </w:tcPr>
          <w:p w:rsidR="00977598" w:rsidRPr="00F40263" w:rsidRDefault="00977598" w:rsidP="004F4736">
            <w:pPr>
              <w:pStyle w:val="Normal6a"/>
            </w:pPr>
            <w:r w:rsidRPr="00F40263">
              <w:t>43.</w:t>
            </w:r>
            <w:r w:rsidRPr="00F40263">
              <w:tab/>
              <w:t xml:space="preserve">naglašava da bi internet trebao biti mjesto na kojem prevladava sloboda izražavanja; </w:t>
            </w:r>
            <w:r w:rsidRPr="00F40263">
              <w:rPr>
                <w:b/>
                <w:i/>
              </w:rPr>
              <w:t>međutim, smatra da je potrebno poštovati prava pojedinaca</w:t>
            </w:r>
            <w:r w:rsidRPr="00F40263">
              <w:t>; smatra da bi se ono što se smatra nezakonitim izvan interneta trebalo smatrati nezakonitim na internetu, kada je to primjenjivo; izražava zabrinutost zbog sve većeg broja slučajeva blokiranja interneta; ističe da autoritarni režimi često blokiraju internet kako bi, među ostalim, ušutkali političke neistomišljenike i ograničili političku slobodu; hitno poziva EU da se bori protiv te zabrinjavajuće pojave;</w:t>
            </w:r>
          </w:p>
        </w:tc>
        <w:tc>
          <w:tcPr>
            <w:tcW w:w="4876" w:type="dxa"/>
            <w:tcBorders>
              <w:top w:val="nil"/>
              <w:left w:val="nil"/>
              <w:bottom w:val="nil"/>
              <w:right w:val="nil"/>
            </w:tcBorders>
          </w:tcPr>
          <w:p w:rsidR="00977598" w:rsidRPr="00F40263" w:rsidRDefault="00977598" w:rsidP="004F4736">
            <w:pPr>
              <w:pStyle w:val="Normal6a"/>
            </w:pPr>
            <w:r w:rsidRPr="00F40263">
              <w:t>43.</w:t>
            </w:r>
            <w:r w:rsidRPr="00F40263">
              <w:tab/>
              <w:t xml:space="preserve">naglašava da </w:t>
            </w:r>
            <w:r w:rsidRPr="00F40263">
              <w:rPr>
                <w:b/>
                <w:i/>
              </w:rPr>
              <w:t xml:space="preserve">je potrebno poštovati prava svih pojedinaca; naglašava svejedno da </w:t>
            </w:r>
            <w:r w:rsidRPr="00F40263">
              <w:t xml:space="preserve">bi internet trebao biti mjesto na kojem prevladava sloboda izražavanja; </w:t>
            </w:r>
            <w:r w:rsidRPr="00F40263">
              <w:rPr>
                <w:b/>
                <w:i/>
              </w:rPr>
              <w:t>naglašava nerazmjerno uznemiravanje i (seksualno) zlostavljanje s kojim se suočavaju žene i djevojčice na internetu</w:t>
            </w:r>
            <w:r w:rsidRPr="00F40263">
              <w:t>; smatra da bi se ono što se smatra nezakonitim izvan interneta trebalo smatrati nezakonitim na internetu, kada je to primjenjivo</w:t>
            </w:r>
            <w:r w:rsidRPr="00F40263">
              <w:rPr>
                <w:b/>
                <w:i/>
              </w:rPr>
              <w:t>;</w:t>
            </w:r>
            <w:r w:rsidRPr="00F40263">
              <w:t xml:space="preserve"> </w:t>
            </w:r>
            <w:r w:rsidRPr="00F40263">
              <w:rPr>
                <w:b/>
                <w:i/>
              </w:rPr>
              <w:t>ne odobrava nikakvu upotrebu uvjerljivog krivotvorenog sadržaja (tzv. deep fake) ni drugih zlonamjernih radnji u kojima se upotrebljavaju slike protiv žena i djevojčica, koje mogu imati razorne posljedice za fizičko i mentalno zdravlje žena; potiče EU da u propisima o umjetnoj inteligenciji primijeni zaštitne mjere za otkrivanje i sprečavanje štetnog uvjerljivog krivotvorenog sadržaja te da se uhvati u koštac s rodno specifičnim digitalnim prijetnjama</w:t>
            </w:r>
            <w:r w:rsidRPr="00F40263">
              <w:t>; izražava zabrinutost zbog sve većeg broja slučajeva blokiranja interneta; ističe da autoritarni režimi često blokiraju internet kako bi, među ostalim, ušutkali političke neistomišljenike i ograničili političku slobodu; hitno poziva EU da se bori protiv te zabrinjavajuće pojave;</w:t>
            </w:r>
          </w:p>
        </w:tc>
      </w:tr>
    </w:tbl>
    <w:p w:rsidR="00977598" w:rsidRPr="00F40263" w:rsidRDefault="00977598" w:rsidP="00977598">
      <w:r w:rsidRPr="00F40263">
        <w:rPr>
          <w:rStyle w:val="HideTWBExt"/>
        </w:rPr>
        <w:t>&lt;/Amend&gt;</w:t>
      </w:r>
    </w:p>
    <w:p w:rsidR="00977598" w:rsidRPr="00F40263" w:rsidRDefault="00977598" w:rsidP="00977598"/>
    <w:p w:rsidR="00977598" w:rsidRPr="00F40263" w:rsidRDefault="00977598" w:rsidP="00977598"/>
    <w:p w:rsidR="00977598" w:rsidRPr="00F40263" w:rsidRDefault="00977598" w:rsidP="00977598">
      <w:pPr>
        <w:rPr>
          <w:rStyle w:val="HideTWBExt"/>
        </w:rPr>
      </w:pPr>
      <w:r w:rsidRPr="00F40263">
        <w:rPr>
          <w:rStyle w:val="HideTWBExt"/>
        </w:rPr>
        <w:t>&lt;/RepeatBlock-Amend&gt;</w:t>
      </w:r>
    </w:p>
    <w:p w:rsidR="00977598" w:rsidRPr="00F40263" w:rsidRDefault="00977598" w:rsidP="00977598">
      <w:pPr>
        <w:widowControl/>
        <w:rPr>
          <w:rStyle w:val="HideTWBExt"/>
        </w:rPr>
      </w:pPr>
      <w:r w:rsidRPr="00F40263">
        <w:rPr>
          <w:rStyle w:val="HideTWBExt"/>
        </w:rPr>
        <w:br w:type="page"/>
      </w:r>
    </w:p>
    <w:p w:rsidR="00977598" w:rsidRPr="00F40263" w:rsidRDefault="00977598" w:rsidP="00977598">
      <w:pPr>
        <w:widowControl/>
      </w:pPr>
    </w:p>
    <w:p w:rsidR="00977598" w:rsidRPr="00F40263" w:rsidRDefault="00977598" w:rsidP="00977598">
      <w:pPr>
        <w:pStyle w:val="PageHeadingNotTOC"/>
      </w:pPr>
      <w:r w:rsidRPr="00F40263">
        <w:t>PRILOG: SUBJEKTI ILI OSOBE</w:t>
      </w:r>
      <w:r w:rsidRPr="00F40263">
        <w:br/>
        <w:t>OD KOJIH JE IZVJESTITELJICA ZA MIŠLJENJE PRIMILA INFORMACIJE</w:t>
      </w:r>
    </w:p>
    <w:p w:rsidR="00977598" w:rsidRPr="00F40263" w:rsidRDefault="00977598" w:rsidP="00977598">
      <w:pPr>
        <w:pStyle w:val="Normal24a"/>
      </w:pPr>
      <w:r w:rsidRPr="00F40263">
        <w:rPr>
          <w:rStyle w:val="HideTWBExt"/>
        </w:rPr>
        <w:t>&lt;FootprintIntro&gt;</w:t>
      </w:r>
      <w:bookmarkStart w:id="4" w:name="iStart"/>
      <w:bookmarkStart w:id="5" w:name="iEnd"/>
      <w:bookmarkEnd w:id="4"/>
      <w:bookmarkEnd w:id="5"/>
      <w:r w:rsidRPr="00F40263">
        <w:t>Predsjednica u svojstvu izvjestiteljice za mišljenje izjavljuje, pod svojom isključivom odgovornošću, da nije primila nikakve informacije ni od jednog subjekta ili osobe koje bi u skladu s člankom 8. Priloga I. Poslovniku trebalo navesti u ovom Prilogu.</w:t>
      </w:r>
      <w:r w:rsidRPr="00F40263">
        <w:rPr>
          <w:rStyle w:val="HideTWBExt"/>
        </w:rPr>
        <w:t>&lt;/FootprintIntro&gt;</w:t>
      </w:r>
    </w:p>
    <w:p w:rsidR="00977598" w:rsidRPr="00F40263" w:rsidRDefault="00977598" w:rsidP="00977598"/>
    <w:p w:rsidR="00977598" w:rsidRPr="00F40263" w:rsidRDefault="00977598" w:rsidP="00977598">
      <w:r w:rsidRPr="00F40263">
        <w:br w:type="page"/>
      </w:r>
    </w:p>
    <w:p w:rsidR="00977598" w:rsidRPr="00F40263" w:rsidRDefault="00977598" w:rsidP="00977598">
      <w:pPr>
        <w:pStyle w:val="PageHeadingNotTOC"/>
      </w:pPr>
      <w:bookmarkStart w:id="6" w:name="ProcPageAD"/>
      <w:r w:rsidRPr="00F40263">
        <w:t>INFORMACIJE O USVAJANJU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77598" w:rsidRPr="00F40263" w:rsidTr="004F47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b/>
                <w:bCs/>
                <w:color w:val="000000"/>
                <w:sz w:val="20"/>
              </w:rPr>
            </w:pPr>
            <w:r w:rsidRPr="00F40263">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77598" w:rsidRPr="00F40263" w:rsidRDefault="00977598" w:rsidP="004F473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77598" w:rsidRPr="00F40263" w:rsidRDefault="00977598" w:rsidP="004F473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rFonts w:ascii="sans-serif" w:hAnsi="sans-serif" w:cs="sans-serif"/>
                <w:color w:val="000000"/>
                <w:szCs w:val="24"/>
              </w:rPr>
            </w:pPr>
          </w:p>
        </w:tc>
      </w:tr>
      <w:tr w:rsidR="00977598" w:rsidRPr="00F40263" w:rsidTr="004F47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b/>
                <w:bCs/>
                <w:color w:val="000000"/>
                <w:sz w:val="20"/>
              </w:rPr>
            </w:pPr>
            <w:r w:rsidRPr="00F40263">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w:t>
            </w:r>
          </w:p>
          <w:p w:rsidR="00977598" w:rsidRPr="00F40263" w:rsidRDefault="00977598" w:rsidP="004F4736">
            <w:pPr>
              <w:autoSpaceDE w:val="0"/>
              <w:autoSpaceDN w:val="0"/>
              <w:adjustRightInd w:val="0"/>
              <w:rPr>
                <w:color w:val="000000"/>
                <w:sz w:val="20"/>
              </w:rPr>
            </w:pPr>
            <w:r w:rsidRPr="00F40263">
              <w:rPr>
                <w:color w:val="000000"/>
                <w:sz w:val="20"/>
              </w:rPr>
              <w:t>–:</w:t>
            </w:r>
          </w:p>
          <w:p w:rsidR="00977598" w:rsidRPr="00F40263" w:rsidRDefault="00977598" w:rsidP="004F4736">
            <w:pPr>
              <w:autoSpaceDE w:val="0"/>
              <w:autoSpaceDN w:val="0"/>
              <w:adjustRightInd w:val="0"/>
              <w:rPr>
                <w:color w:val="000000"/>
                <w:sz w:val="20"/>
              </w:rPr>
            </w:pPr>
            <w:r w:rsidRPr="00F4026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24</w:t>
            </w:r>
          </w:p>
          <w:p w:rsidR="00977598" w:rsidRPr="00F40263" w:rsidRDefault="00977598" w:rsidP="004F4736">
            <w:pPr>
              <w:autoSpaceDE w:val="0"/>
              <w:autoSpaceDN w:val="0"/>
              <w:adjustRightInd w:val="0"/>
              <w:rPr>
                <w:color w:val="000000"/>
                <w:sz w:val="20"/>
              </w:rPr>
            </w:pPr>
            <w:r w:rsidRPr="00F40263">
              <w:rPr>
                <w:color w:val="000000"/>
                <w:sz w:val="20"/>
              </w:rPr>
              <w:t>10</w:t>
            </w:r>
          </w:p>
          <w:p w:rsidR="00977598" w:rsidRPr="00F40263" w:rsidRDefault="00977598" w:rsidP="004F4736">
            <w:pPr>
              <w:autoSpaceDE w:val="0"/>
              <w:autoSpaceDN w:val="0"/>
              <w:adjustRightInd w:val="0"/>
              <w:rPr>
                <w:color w:val="000000"/>
                <w:sz w:val="20"/>
              </w:rPr>
            </w:pPr>
            <w:r w:rsidRPr="00F40263">
              <w:rPr>
                <w:color w:val="000000"/>
                <w:sz w:val="20"/>
              </w:rPr>
              <w:t>0</w:t>
            </w:r>
          </w:p>
        </w:tc>
      </w:tr>
      <w:tr w:rsidR="00977598" w:rsidRPr="00F40263" w:rsidTr="004F47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b/>
                <w:bCs/>
                <w:color w:val="000000"/>
                <w:sz w:val="20"/>
              </w:rPr>
            </w:pPr>
            <w:r w:rsidRPr="00F40263">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Irmhild Boßdorf, Mélissa Camara, Margarita de la Pisa Carrión, Valérie Devaux, Elisabeth Dieringer, Viktória Ferenc, Heléne Fritzon, Lina Gálvez, Alexandra Geese, Arba Kokalari, Sebastian Kruis, Judita Laššáková, Eleonora Meleti, Irene Montero, Carolina Morace, Alessandra Moretti, Mirosława Nykiel, Giusi Princi, Emma Rafowicz, Joanna Scheuring-Wielgus, Benedetta Scuderi, Laurence Trochu, Maria Walsh, Lucia Yar, Dainius Žalimas</w:t>
            </w:r>
          </w:p>
        </w:tc>
      </w:tr>
      <w:tr w:rsidR="00977598" w:rsidRPr="00F40263" w:rsidTr="004F47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b/>
                <w:bCs/>
                <w:color w:val="000000"/>
                <w:sz w:val="20"/>
              </w:rPr>
            </w:pPr>
            <w:r w:rsidRPr="00F40263">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Kathleen Funchion, Elisabeth Grossmann, Billy Kelleher</w:t>
            </w:r>
          </w:p>
        </w:tc>
      </w:tr>
      <w:tr w:rsidR="00977598" w:rsidRPr="00F40263" w:rsidTr="004F47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b/>
                <w:bCs/>
                <w:color w:val="000000"/>
                <w:sz w:val="20"/>
              </w:rPr>
            </w:pPr>
            <w:r w:rsidRPr="00F40263">
              <w:rPr>
                <w:b/>
                <w:color w:val="000000"/>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77598" w:rsidRPr="00F40263" w:rsidRDefault="00977598" w:rsidP="004F4736">
            <w:pPr>
              <w:autoSpaceDE w:val="0"/>
              <w:autoSpaceDN w:val="0"/>
              <w:adjustRightInd w:val="0"/>
              <w:rPr>
                <w:color w:val="000000"/>
                <w:sz w:val="20"/>
              </w:rPr>
            </w:pPr>
            <w:r w:rsidRPr="00F40263">
              <w:rPr>
                <w:color w:val="000000"/>
                <w:sz w:val="20"/>
              </w:rPr>
              <w:t>Fredis Beleris, Jorge Buxadé Villalba, Mélanie Disdier, Geadis Geadi, Lukas Mandl, Alexandra Mehnert</w:t>
            </w:r>
          </w:p>
        </w:tc>
      </w:tr>
    </w:tbl>
    <w:p w:rsidR="00977598" w:rsidRPr="00F40263" w:rsidRDefault="00977598" w:rsidP="00977598"/>
    <w:bookmarkEnd w:id="6"/>
    <w:p w:rsidR="00977598" w:rsidRPr="00F40263" w:rsidRDefault="00977598" w:rsidP="00977598"/>
    <w:p w:rsidR="00977598" w:rsidRPr="00F40263" w:rsidRDefault="00977598" w:rsidP="00977598">
      <w:pPr>
        <w:sectPr w:rsidR="00977598" w:rsidRPr="00F40263" w:rsidSect="009775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977598" w:rsidRPr="00F40263" w:rsidRDefault="00977598" w:rsidP="00977598"/>
    <w:p w:rsidR="00977598" w:rsidRPr="00F40263" w:rsidRDefault="00977598" w:rsidP="00977598">
      <w:pPr>
        <w:pStyle w:val="PageHeadingNotTOC"/>
      </w:pPr>
      <w:r w:rsidRPr="00F40263">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7598" w:rsidRPr="00F40263" w:rsidTr="004F4736">
        <w:trPr>
          <w:cantSplit/>
        </w:trPr>
        <w:tc>
          <w:tcPr>
            <w:tcW w:w="1701" w:type="dxa"/>
            <w:shd w:val="pct10" w:color="000000" w:fill="FFFFFF"/>
            <w:vAlign w:val="center"/>
          </w:tcPr>
          <w:p w:rsidR="00977598" w:rsidRPr="00F40263" w:rsidRDefault="00977598" w:rsidP="004F4736">
            <w:pPr>
              <w:pStyle w:val="RollCallVotes"/>
            </w:pPr>
            <w:r w:rsidRPr="00F40263">
              <w:t>24</w:t>
            </w:r>
          </w:p>
        </w:tc>
        <w:tc>
          <w:tcPr>
            <w:tcW w:w="7371" w:type="dxa"/>
            <w:shd w:val="pct10" w:color="000000" w:fill="FFFFFF"/>
          </w:tcPr>
          <w:p w:rsidR="00977598" w:rsidRPr="00F40263" w:rsidRDefault="00977598" w:rsidP="004F4736">
            <w:pPr>
              <w:pStyle w:val="RollCallSymbols14pt"/>
            </w:pPr>
            <w:r w:rsidRPr="00F40263">
              <w:t>+</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PPE</w:t>
            </w:r>
          </w:p>
        </w:tc>
        <w:tc>
          <w:tcPr>
            <w:tcW w:w="7371" w:type="dxa"/>
            <w:shd w:val="clear" w:color="auto" w:fill="FFFFFF"/>
          </w:tcPr>
          <w:p w:rsidR="00977598" w:rsidRPr="00F40263" w:rsidRDefault="00977598" w:rsidP="004F4736">
            <w:pPr>
              <w:pStyle w:val="RollCallTable"/>
            </w:pPr>
            <w:r w:rsidRPr="00F40263">
              <w:t>Fredis Beleris, Arba Kokalari, Lukas Mandl, Alexandra Mehnert, Eleonora Meleti, Mirosława Nykiel, Giusi Princi, Maria Walsh</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Renew</w:t>
            </w:r>
          </w:p>
        </w:tc>
        <w:tc>
          <w:tcPr>
            <w:tcW w:w="7371" w:type="dxa"/>
            <w:shd w:val="clear" w:color="auto" w:fill="FFFFFF"/>
          </w:tcPr>
          <w:p w:rsidR="00977598" w:rsidRPr="00F40263" w:rsidRDefault="00977598" w:rsidP="004F4736">
            <w:pPr>
              <w:pStyle w:val="RollCallTable"/>
            </w:pPr>
            <w:r w:rsidRPr="00F40263">
              <w:t>Valérie Devaux, Billy Kelleher, Lucia Yar, Dainius Žalimas</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S&amp;D</w:t>
            </w:r>
          </w:p>
        </w:tc>
        <w:tc>
          <w:tcPr>
            <w:tcW w:w="7371" w:type="dxa"/>
            <w:shd w:val="clear" w:color="auto" w:fill="FFFFFF"/>
          </w:tcPr>
          <w:p w:rsidR="00977598" w:rsidRPr="00F40263" w:rsidRDefault="00977598" w:rsidP="004F4736">
            <w:pPr>
              <w:pStyle w:val="RollCallTable"/>
            </w:pPr>
            <w:r w:rsidRPr="00F40263">
              <w:t>Heléne Fritzon, Lina Gálvez, Elisabeth Grossmann, Alessandra Moretti, Emma Rafowicz, Joanna Scheuring-Wielgus</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The Left</w:t>
            </w:r>
          </w:p>
        </w:tc>
        <w:tc>
          <w:tcPr>
            <w:tcW w:w="7371" w:type="dxa"/>
            <w:shd w:val="clear" w:color="auto" w:fill="FFFFFF"/>
          </w:tcPr>
          <w:p w:rsidR="00977598" w:rsidRPr="00F40263" w:rsidRDefault="00977598" w:rsidP="004F4736">
            <w:pPr>
              <w:pStyle w:val="RollCallTable"/>
            </w:pPr>
            <w:r w:rsidRPr="00F40263">
              <w:t>Kathleen Funchion, Irene Montero, Carolina Morace</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Verts/ALE</w:t>
            </w:r>
          </w:p>
        </w:tc>
        <w:tc>
          <w:tcPr>
            <w:tcW w:w="7371" w:type="dxa"/>
            <w:shd w:val="clear" w:color="auto" w:fill="FFFFFF"/>
          </w:tcPr>
          <w:p w:rsidR="00977598" w:rsidRPr="00F40263" w:rsidRDefault="00977598" w:rsidP="004F4736">
            <w:pPr>
              <w:pStyle w:val="RollCallTable"/>
            </w:pPr>
            <w:r w:rsidRPr="00F40263">
              <w:t>Mélissa Camara, Alexandra Geese, Benedetta Scuderi</w:t>
            </w:r>
          </w:p>
        </w:tc>
      </w:tr>
    </w:tbl>
    <w:p w:rsidR="00977598" w:rsidRPr="00F40263" w:rsidRDefault="00977598" w:rsidP="009775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7598" w:rsidRPr="00F40263" w:rsidTr="004F4736">
        <w:trPr>
          <w:cantSplit/>
        </w:trPr>
        <w:tc>
          <w:tcPr>
            <w:tcW w:w="1701" w:type="dxa"/>
            <w:shd w:val="pct10" w:color="000000" w:fill="FFFFFF"/>
            <w:vAlign w:val="center"/>
          </w:tcPr>
          <w:p w:rsidR="00977598" w:rsidRPr="00F40263" w:rsidRDefault="00977598" w:rsidP="004F4736">
            <w:pPr>
              <w:pStyle w:val="RollCallVotes"/>
            </w:pPr>
            <w:r w:rsidRPr="00F40263">
              <w:t>10</w:t>
            </w:r>
          </w:p>
        </w:tc>
        <w:tc>
          <w:tcPr>
            <w:tcW w:w="7371" w:type="dxa"/>
            <w:shd w:val="pct10" w:color="000000" w:fill="FFFFFF"/>
          </w:tcPr>
          <w:p w:rsidR="00977598" w:rsidRPr="00F40263" w:rsidRDefault="00977598" w:rsidP="004F4736">
            <w:pPr>
              <w:pStyle w:val="RollCallSymbols14pt"/>
            </w:pPr>
            <w:r w:rsidRPr="00F40263">
              <w:t>-</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ECR</w:t>
            </w:r>
          </w:p>
        </w:tc>
        <w:tc>
          <w:tcPr>
            <w:tcW w:w="7371" w:type="dxa"/>
            <w:shd w:val="clear" w:color="auto" w:fill="FFFFFF"/>
          </w:tcPr>
          <w:p w:rsidR="00977598" w:rsidRPr="00F40263" w:rsidRDefault="00977598" w:rsidP="004F4736">
            <w:pPr>
              <w:pStyle w:val="RollCallTable"/>
            </w:pPr>
            <w:r w:rsidRPr="00F40263">
              <w:t>Geadis Geadi, Laurence Trochu</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ESN</w:t>
            </w:r>
          </w:p>
        </w:tc>
        <w:tc>
          <w:tcPr>
            <w:tcW w:w="7371" w:type="dxa"/>
            <w:shd w:val="clear" w:color="auto" w:fill="FFFFFF"/>
          </w:tcPr>
          <w:p w:rsidR="00977598" w:rsidRPr="00F40263" w:rsidRDefault="00977598" w:rsidP="004F4736">
            <w:pPr>
              <w:pStyle w:val="RollCallTable"/>
            </w:pPr>
            <w:r w:rsidRPr="00F40263">
              <w:t>Irmhild Boßdorf</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NI</w:t>
            </w:r>
          </w:p>
        </w:tc>
        <w:tc>
          <w:tcPr>
            <w:tcW w:w="7371" w:type="dxa"/>
            <w:shd w:val="clear" w:color="auto" w:fill="FFFFFF"/>
          </w:tcPr>
          <w:p w:rsidR="00977598" w:rsidRPr="00F40263" w:rsidRDefault="00977598" w:rsidP="004F4736">
            <w:pPr>
              <w:pStyle w:val="RollCallTable"/>
            </w:pPr>
            <w:r w:rsidRPr="00F40263">
              <w:t>Judita Laššáková</w:t>
            </w:r>
          </w:p>
        </w:tc>
      </w:tr>
      <w:tr w:rsidR="00977598" w:rsidRPr="00F40263" w:rsidTr="004F4736">
        <w:trPr>
          <w:cantSplit/>
        </w:trPr>
        <w:tc>
          <w:tcPr>
            <w:tcW w:w="1701" w:type="dxa"/>
            <w:shd w:val="clear" w:color="auto" w:fill="FFFFFF"/>
          </w:tcPr>
          <w:p w:rsidR="00977598" w:rsidRPr="00F40263" w:rsidRDefault="00977598" w:rsidP="004F4736">
            <w:pPr>
              <w:pStyle w:val="RollCallTable"/>
            </w:pPr>
            <w:r w:rsidRPr="00F40263">
              <w:t>PfE</w:t>
            </w:r>
          </w:p>
        </w:tc>
        <w:tc>
          <w:tcPr>
            <w:tcW w:w="7371" w:type="dxa"/>
            <w:shd w:val="clear" w:color="auto" w:fill="FFFFFF"/>
          </w:tcPr>
          <w:p w:rsidR="00977598" w:rsidRPr="00F40263" w:rsidRDefault="00977598" w:rsidP="004F4736">
            <w:pPr>
              <w:pStyle w:val="RollCallTable"/>
            </w:pPr>
            <w:r w:rsidRPr="00F40263">
              <w:t>Jorge Buxadé Villalba, Elisabeth Dieringer, Mélanie Disdier, Viktória Ferenc, Sebastian Kruis, Margarita de la Pisa Carrión</w:t>
            </w:r>
          </w:p>
        </w:tc>
      </w:tr>
    </w:tbl>
    <w:p w:rsidR="00977598" w:rsidRPr="00F40263" w:rsidRDefault="00977598" w:rsidP="009775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77598" w:rsidRPr="00F40263" w:rsidTr="004F4736">
        <w:trPr>
          <w:cantSplit/>
        </w:trPr>
        <w:tc>
          <w:tcPr>
            <w:tcW w:w="1701" w:type="dxa"/>
            <w:shd w:val="pct10" w:color="000000" w:fill="FFFFFF"/>
            <w:vAlign w:val="center"/>
          </w:tcPr>
          <w:p w:rsidR="00977598" w:rsidRPr="00F40263" w:rsidRDefault="00977598" w:rsidP="004F4736">
            <w:pPr>
              <w:pStyle w:val="RollCallVotes"/>
            </w:pPr>
            <w:r w:rsidRPr="00F40263">
              <w:t>0</w:t>
            </w:r>
          </w:p>
        </w:tc>
        <w:tc>
          <w:tcPr>
            <w:tcW w:w="7371" w:type="dxa"/>
            <w:shd w:val="pct10" w:color="000000" w:fill="FFFFFF"/>
          </w:tcPr>
          <w:p w:rsidR="00977598" w:rsidRPr="00F40263" w:rsidRDefault="00977598" w:rsidP="004F4736">
            <w:pPr>
              <w:pStyle w:val="RollCallSymbols14pt"/>
            </w:pPr>
            <w:r w:rsidRPr="00F40263">
              <w:t>0</w:t>
            </w:r>
          </w:p>
        </w:tc>
      </w:tr>
      <w:tr w:rsidR="00977598" w:rsidRPr="00F40263" w:rsidTr="004F4736">
        <w:trPr>
          <w:cantSplit/>
        </w:trPr>
        <w:tc>
          <w:tcPr>
            <w:tcW w:w="1701" w:type="dxa"/>
            <w:shd w:val="clear" w:color="auto" w:fill="FFFFFF"/>
          </w:tcPr>
          <w:p w:rsidR="00977598" w:rsidRPr="00F40263" w:rsidRDefault="00977598" w:rsidP="004F4736">
            <w:pPr>
              <w:pStyle w:val="RollCallTable"/>
            </w:pPr>
          </w:p>
        </w:tc>
        <w:tc>
          <w:tcPr>
            <w:tcW w:w="7371" w:type="dxa"/>
            <w:shd w:val="clear" w:color="auto" w:fill="FFFFFF"/>
          </w:tcPr>
          <w:p w:rsidR="00977598" w:rsidRPr="00F40263" w:rsidRDefault="00977598" w:rsidP="004F4736">
            <w:pPr>
              <w:pStyle w:val="RollCallTable"/>
            </w:pPr>
          </w:p>
        </w:tc>
      </w:tr>
    </w:tbl>
    <w:p w:rsidR="00977598" w:rsidRPr="00F40263" w:rsidRDefault="00977598" w:rsidP="00977598">
      <w:pPr>
        <w:pStyle w:val="Normal12a"/>
      </w:pPr>
    </w:p>
    <w:p w:rsidR="00977598" w:rsidRPr="00F40263" w:rsidRDefault="00977598" w:rsidP="00977598">
      <w:pPr>
        <w:tabs>
          <w:tab w:val="center" w:pos="284"/>
          <w:tab w:val="left" w:pos="426"/>
        </w:tabs>
        <w:rPr>
          <w:szCs w:val="24"/>
        </w:rPr>
      </w:pPr>
      <w:r w:rsidRPr="00F40263">
        <w:t>Korišteni znakovi:</w:t>
      </w:r>
    </w:p>
    <w:p w:rsidR="00977598" w:rsidRPr="00F40263" w:rsidRDefault="00977598" w:rsidP="00977598">
      <w:pPr>
        <w:tabs>
          <w:tab w:val="center" w:pos="284"/>
          <w:tab w:val="left" w:pos="426"/>
        </w:tabs>
        <w:rPr>
          <w:szCs w:val="24"/>
        </w:rPr>
      </w:pPr>
      <w:r w:rsidRPr="00F40263">
        <w:t>+</w:t>
      </w:r>
      <w:r w:rsidRPr="00F40263">
        <w:tab/>
        <w:t>:</w:t>
      </w:r>
      <w:r w:rsidRPr="00F40263">
        <w:tab/>
        <w:t>za</w:t>
      </w:r>
    </w:p>
    <w:p w:rsidR="00977598" w:rsidRPr="00F40263" w:rsidRDefault="00977598" w:rsidP="00977598">
      <w:pPr>
        <w:tabs>
          <w:tab w:val="center" w:pos="284"/>
          <w:tab w:val="left" w:pos="426"/>
        </w:tabs>
        <w:rPr>
          <w:szCs w:val="24"/>
        </w:rPr>
      </w:pPr>
      <w:r w:rsidRPr="00F40263">
        <w:t>-</w:t>
      </w:r>
      <w:r w:rsidRPr="00F40263">
        <w:tab/>
        <w:t>:</w:t>
      </w:r>
      <w:r w:rsidRPr="00F40263">
        <w:tab/>
        <w:t>protiv</w:t>
      </w:r>
    </w:p>
    <w:p w:rsidR="00977598" w:rsidRPr="00F40263" w:rsidRDefault="00977598" w:rsidP="00977598">
      <w:pPr>
        <w:pStyle w:val="RollCallTabs"/>
      </w:pPr>
      <w:r w:rsidRPr="00F40263">
        <w:t>0</w:t>
      </w:r>
      <w:r w:rsidRPr="00F40263">
        <w:tab/>
        <w:t>:</w:t>
      </w:r>
      <w:r w:rsidRPr="00F40263">
        <w:tab/>
        <w:t>suzdržani</w:t>
      </w:r>
    </w:p>
    <w:p w:rsidR="00977598" w:rsidRPr="00F40263" w:rsidRDefault="00977598" w:rsidP="00977598"/>
    <w:p w:rsidR="00977598" w:rsidRPr="00F40263" w:rsidRDefault="00977598" w:rsidP="00977598"/>
    <w:p w:rsidR="00977598" w:rsidRPr="00F40263" w:rsidRDefault="00977598" w:rsidP="00977598"/>
    <w:p w:rsidR="00977598" w:rsidRPr="00F40263" w:rsidRDefault="00977598" w:rsidP="00977598"/>
    <w:p w:rsidR="00977598" w:rsidRPr="00F40263" w:rsidRDefault="00977598" w:rsidP="00977598"/>
    <w:p w:rsidR="00977598" w:rsidRPr="00F40263" w:rsidRDefault="00977598" w:rsidP="00977598">
      <w:pPr>
        <w:rPr>
          <w:rStyle w:val="HideTWBExt"/>
          <w:rFonts w:ascii="Times New Roman" w:hAnsi="Times New Roman" w:cs="Times New Roman"/>
          <w:noProof w:val="0"/>
          <w:vanish w:val="0"/>
          <w:color w:val="auto"/>
          <w:sz w:val="24"/>
        </w:rPr>
      </w:pPr>
    </w:p>
    <w:p w:rsidR="00FB50E9" w:rsidRPr="00F40263" w:rsidRDefault="00FB50E9" w:rsidP="00FB50E9">
      <w:pPr>
        <w:rPr>
          <w:rStyle w:val="HideTWBExt"/>
        </w:rPr>
      </w:pPr>
    </w:p>
    <w:bookmarkEnd w:id="1"/>
    <w:sectPr w:rsidR="00FB50E9" w:rsidRPr="00F40263" w:rsidSect="0097759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D15" w:rsidRPr="00F40263" w:rsidRDefault="00825A0E">
      <w:r w:rsidRPr="00F40263">
        <w:separator/>
      </w:r>
    </w:p>
  </w:endnote>
  <w:endnote w:type="continuationSeparator" w:id="0">
    <w:p w:rsidR="008D6D15" w:rsidRPr="00F40263" w:rsidRDefault="00825A0E">
      <w:r w:rsidRPr="00F40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598" w:rsidRPr="00F40263" w:rsidRDefault="00977598" w:rsidP="00977598">
    <w:pPr>
      <w:pStyle w:val="EPFooter"/>
    </w:pPr>
    <w:r w:rsidRPr="00F40263">
      <w:t>PE</w:t>
    </w:r>
    <w:r w:rsidRPr="00F40263">
      <w:rPr>
        <w:rStyle w:val="HideTWBExt"/>
      </w:rPr>
      <w:t>&lt;NoPE&gt;</w:t>
    </w:r>
    <w:r w:rsidRPr="00F40263">
      <w:t>765.160</w:t>
    </w:r>
    <w:r w:rsidRPr="00F40263">
      <w:rPr>
        <w:rStyle w:val="HideTWBExt"/>
      </w:rPr>
      <w:t>&lt;/NoPE&gt;&lt;Version&gt;</w:t>
    </w:r>
    <w:r w:rsidRPr="00F40263">
      <w:t>v03-00</w:t>
    </w:r>
    <w:r w:rsidRPr="00F40263">
      <w:rPr>
        <w:rStyle w:val="HideTWBExt"/>
      </w:rPr>
      <w:t>&lt;/Version&gt;</w:t>
    </w:r>
    <w:r w:rsidRPr="00F40263">
      <w:tab/>
    </w:r>
    <w:r w:rsidRPr="00F40263">
      <w:fldChar w:fldCharType="begin"/>
    </w:r>
    <w:r w:rsidRPr="00F40263">
      <w:instrText xml:space="preserve"> PAGE  \* MERGEFORMAT </w:instrText>
    </w:r>
    <w:r w:rsidRPr="00F40263">
      <w:fldChar w:fldCharType="separate"/>
    </w:r>
    <w:r w:rsidR="00E13661">
      <w:rPr>
        <w:noProof/>
      </w:rPr>
      <w:t>44</w:t>
    </w:r>
    <w:r w:rsidRPr="00F40263">
      <w:fldChar w:fldCharType="end"/>
    </w:r>
    <w:r w:rsidRPr="00F40263">
      <w:t>/</w:t>
    </w:r>
    <w:fldSimple w:instr=" NUMPAGES  \* MERGEFORMAT ">
      <w:r w:rsidR="00E13661">
        <w:rPr>
          <w:noProof/>
        </w:rPr>
        <w:t>48</w:t>
      </w:r>
    </w:fldSimple>
    <w:r w:rsidRPr="00F40263">
      <w:tab/>
    </w:r>
    <w:r w:rsidRPr="00F40263">
      <w:rPr>
        <w:rStyle w:val="HideTWBExt"/>
      </w:rPr>
      <w:t>&lt;PathFdR&gt;</w:t>
    </w:r>
    <w:r w:rsidRPr="00F40263">
      <w:t>AD\1312983HR.docx</w:t>
    </w:r>
    <w:r w:rsidRPr="00F40263">
      <w:rPr>
        <w:rStyle w:val="HideTWBExt"/>
      </w:rPr>
      <w:t>&lt;/PathFdR&gt;</w:t>
    </w:r>
  </w:p>
  <w:p w:rsidR="00977598" w:rsidRPr="00F40263" w:rsidRDefault="00977598" w:rsidP="00977598">
    <w:pPr>
      <w:pStyle w:val="EPFooter2"/>
    </w:pPr>
    <w:r w:rsidRPr="00F4026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598" w:rsidRPr="00F40263" w:rsidRDefault="00977598" w:rsidP="00977598">
    <w:pPr>
      <w:pStyle w:val="EPFooter"/>
    </w:pPr>
    <w:r w:rsidRPr="00F40263">
      <w:rPr>
        <w:rStyle w:val="HideTWBExt"/>
      </w:rPr>
      <w:t>&lt;PathFdR&gt;</w:t>
    </w:r>
    <w:r w:rsidRPr="00F40263">
      <w:t>AD\1312983HR.docx</w:t>
    </w:r>
    <w:r w:rsidRPr="00F40263">
      <w:rPr>
        <w:rStyle w:val="HideTWBExt"/>
      </w:rPr>
      <w:t>&lt;/PathFdR&gt;</w:t>
    </w:r>
    <w:r w:rsidRPr="00F40263">
      <w:tab/>
    </w:r>
    <w:r w:rsidRPr="00F40263">
      <w:fldChar w:fldCharType="begin"/>
    </w:r>
    <w:r w:rsidRPr="00F40263">
      <w:instrText xml:space="preserve"> PAGE  \* MERGEFORMAT </w:instrText>
    </w:r>
    <w:r w:rsidRPr="00F40263">
      <w:fldChar w:fldCharType="separate"/>
    </w:r>
    <w:r w:rsidR="00E13661">
      <w:rPr>
        <w:noProof/>
      </w:rPr>
      <w:t>45</w:t>
    </w:r>
    <w:r w:rsidRPr="00F40263">
      <w:fldChar w:fldCharType="end"/>
    </w:r>
    <w:r w:rsidRPr="00F40263">
      <w:t>/</w:t>
    </w:r>
    <w:fldSimple w:instr=" NUMPAGES  \* MERGEFORMAT ">
      <w:r w:rsidR="00E13661">
        <w:rPr>
          <w:noProof/>
        </w:rPr>
        <w:t>48</w:t>
      </w:r>
    </w:fldSimple>
    <w:r w:rsidRPr="00F40263">
      <w:tab/>
      <w:t>PE</w:t>
    </w:r>
    <w:r w:rsidRPr="00F40263">
      <w:rPr>
        <w:rStyle w:val="HideTWBExt"/>
      </w:rPr>
      <w:t>&lt;NoPE&gt;</w:t>
    </w:r>
    <w:r w:rsidRPr="00F40263">
      <w:t>765.160</w:t>
    </w:r>
    <w:r w:rsidRPr="00F40263">
      <w:rPr>
        <w:rStyle w:val="HideTWBExt"/>
      </w:rPr>
      <w:t>&lt;/NoPE&gt;&lt;Version&gt;</w:t>
    </w:r>
    <w:r w:rsidRPr="00F40263">
      <w:t>v03-00</w:t>
    </w:r>
    <w:r w:rsidRPr="00F40263">
      <w:rPr>
        <w:rStyle w:val="HideTWBExt"/>
      </w:rPr>
      <w:t>&lt;/Version&gt;</w:t>
    </w:r>
  </w:p>
  <w:p w:rsidR="00977598" w:rsidRPr="00F40263" w:rsidRDefault="00977598" w:rsidP="00977598">
    <w:pPr>
      <w:pStyle w:val="EPFooter2"/>
    </w:pPr>
    <w:r w:rsidRPr="00F40263">
      <w:tab/>
    </w:r>
    <w:r w:rsidRPr="00F40263">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598" w:rsidRPr="00F40263" w:rsidRDefault="00977598" w:rsidP="00977598">
    <w:pPr>
      <w:pStyle w:val="EPFooter"/>
    </w:pPr>
    <w:r w:rsidRPr="00F40263">
      <w:rPr>
        <w:rStyle w:val="HideTWBExt"/>
      </w:rPr>
      <w:t>&lt;PathFdR&gt;</w:t>
    </w:r>
    <w:r w:rsidRPr="00F40263">
      <w:t>AD\1312983HR.docx</w:t>
    </w:r>
    <w:r w:rsidRPr="00F40263">
      <w:rPr>
        <w:rStyle w:val="HideTWBExt"/>
      </w:rPr>
      <w:t>&lt;/PathFdR&gt;</w:t>
    </w:r>
    <w:r w:rsidRPr="00F40263">
      <w:tab/>
    </w:r>
    <w:r w:rsidRPr="00F40263">
      <w:tab/>
      <w:t>PE</w:t>
    </w:r>
    <w:r w:rsidRPr="00F40263">
      <w:rPr>
        <w:rStyle w:val="HideTWBExt"/>
      </w:rPr>
      <w:t>&lt;NoPE&gt;</w:t>
    </w:r>
    <w:r w:rsidRPr="00F40263">
      <w:t>765.160</w:t>
    </w:r>
    <w:r w:rsidRPr="00F40263">
      <w:rPr>
        <w:rStyle w:val="HideTWBExt"/>
      </w:rPr>
      <w:t>&lt;/NoPE&gt;&lt;Version&gt;</w:t>
    </w:r>
    <w:r w:rsidRPr="00F40263">
      <w:t>v03-00</w:t>
    </w:r>
    <w:r w:rsidRPr="00F40263">
      <w:rPr>
        <w:rStyle w:val="HideTWBExt"/>
      </w:rPr>
      <w:t>&lt;/Version&gt;</w:t>
    </w:r>
  </w:p>
  <w:p w:rsidR="00977598" w:rsidRPr="00F40263" w:rsidRDefault="00977598" w:rsidP="00977598">
    <w:pPr>
      <w:pStyle w:val="EPFooter2"/>
    </w:pPr>
    <w:r w:rsidRPr="00F40263">
      <w:t>HR</w:t>
    </w:r>
    <w:r w:rsidRPr="00F40263">
      <w:tab/>
    </w:r>
    <w:r w:rsidRPr="00F40263">
      <w:rPr>
        <w:b w:val="0"/>
        <w:i/>
        <w:color w:val="C0C0C0"/>
        <w:sz w:val="22"/>
      </w:rPr>
      <w:t>Ujedinjena u raznolikosti</w:t>
    </w:r>
    <w:r w:rsidRPr="00F40263">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F75" w:rsidRPr="00F40263" w:rsidRDefault="00825A0E" w:rsidP="00B80F75">
    <w:pPr>
      <w:pStyle w:val="EPFooter"/>
    </w:pPr>
    <w:r w:rsidRPr="00F40263">
      <w:rPr>
        <w:rStyle w:val="HideTWBExt"/>
      </w:rPr>
      <w:t>&lt;PathFdR&gt;</w:t>
    </w:r>
    <w:r w:rsidR="00F40263" w:rsidRPr="00F40263">
      <w:t>AD\1312983HR.docx</w:t>
    </w:r>
    <w:r w:rsidRPr="00F40263">
      <w:rPr>
        <w:rStyle w:val="HideTWBExt"/>
      </w:rPr>
      <w:t>&lt;/PathFdR&gt;</w:t>
    </w:r>
    <w:r w:rsidRPr="00F40263">
      <w:tab/>
    </w:r>
    <w:r w:rsidRPr="00F40263">
      <w:tab/>
      <w:t>PE</w:t>
    </w:r>
    <w:r w:rsidRPr="00F40263">
      <w:rPr>
        <w:rStyle w:val="HideTWBExt"/>
      </w:rPr>
      <w:t>&lt;NoPE&gt;</w:t>
    </w:r>
    <w:r w:rsidRPr="00F40263">
      <w:t>765.160</w:t>
    </w:r>
    <w:r w:rsidRPr="00F40263">
      <w:rPr>
        <w:rStyle w:val="HideTWBExt"/>
      </w:rPr>
      <w:t>&lt;/NoPE&gt;&lt;Version&gt;</w:t>
    </w:r>
    <w:r w:rsidRPr="00F40263">
      <w:t>v02-00</w:t>
    </w:r>
    <w:r w:rsidRPr="00F40263">
      <w:rPr>
        <w:rStyle w:val="HideTWBExt"/>
      </w:rPr>
      <w:t>&lt;/Version&gt;</w:t>
    </w:r>
  </w:p>
  <w:p w:rsidR="002E2F2E" w:rsidRPr="00F40263" w:rsidRDefault="00825A0E" w:rsidP="00B80F75">
    <w:pPr>
      <w:pStyle w:val="EPFooter2"/>
    </w:pPr>
    <w:r w:rsidRPr="00F40263">
      <w:t>HR</w:t>
    </w:r>
    <w:r w:rsidRPr="00F40263">
      <w:tab/>
    </w:r>
    <w:r w:rsidRPr="00F40263">
      <w:rPr>
        <w:b w:val="0"/>
        <w:i/>
        <w:color w:val="C0C0C0"/>
        <w:sz w:val="22"/>
      </w:rPr>
      <w:t>Ujedinjena u raznolikosti</w:t>
    </w:r>
    <w:r w:rsidRPr="00F40263">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D15" w:rsidRPr="00F40263" w:rsidRDefault="00825A0E">
      <w:r w:rsidRPr="00F40263">
        <w:separator/>
      </w:r>
    </w:p>
  </w:footnote>
  <w:footnote w:type="continuationSeparator" w:id="0">
    <w:p w:rsidR="008D6D15" w:rsidRPr="00F40263" w:rsidRDefault="00825A0E">
      <w:r w:rsidRPr="00F402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661" w:rsidRDefault="00E13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661" w:rsidRDefault="00E13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661" w:rsidRDefault="00E136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A0E" w:rsidRDefault="00825A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A0E" w:rsidRDefault="00825A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A0E" w:rsidRDefault="00825A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AUTHORMNU" w:val=" 1"/>
    <w:docVar w:name="CJMNU" w:val="1"/>
    <w:docVar w:name="CODEMNU" w:val=" 1"/>
    <w:docVar w:name="COM2KEY" w:val="AFET"/>
    <w:docVar w:name="COMKEY" w:val="FEMM"/>
    <w:docVar w:name="CONTRIBUTIONMNU" w:val=" 2"/>
    <w:docVar w:name="DDATE" w:val="29/10/2024"/>
    <w:docVar w:name="FONCTIONMNU" w:val=" 4"/>
    <w:docVar w:name="LastEditedSection"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86181 HideTWBExt;}{\*\cs18 \additive \v\f1\fs20\cf15 _x000d__x000a_\spriority0 \styrsid14186181 HideTWBInt;}{\s19\ql \li0\ri0\nowidctlpar\wrapdefault\aspalpha\aspnum\faauto\adjustright\rin0\lin0\itap0 \rtlch\fcs1 \af0\afs20\alang1025 \ltrch\fcs0 \b\fs24\lang1050\langfe2057\cgrid\langnp1050\langfenp2057 _x000d__x000a_\sbasedon0 \snext19 \spriority0 \styrsid14186181 NormalBold;}{\s20\ql \li0\ri0\sa120\nowidctlpar\wrapdefault\aspalpha\aspnum\faauto\adjustright\rin0\lin0\itap0 \rtlch\fcs1 \af0\afs20\alang1025 \ltrch\fcs0 _x000d__x000a_\fs24\lang1050\langfe2057\cgrid\langnp1050\langfenp2057 \sbasedon0 \snext20 \spriority0 \styrsid14186181 Normal6a;}{\s21\qc \li0\ri0\sa240\nowidctlpar\wrapdefault\aspalpha\aspnum\faauto\adjustright\rin0\lin0\itap0 \rtlch\fcs1 \af0\afs20\alang1025 _x000d__x000a_\ltrch\fcs0 \i\fs24\lang1050\langfe2057\cgrid\langnp1050\langfenp2057 \sbasedon0 \snext21 \spriority0 \styrsid1418618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14186181 AmNumberTabs;}{\s23\ql \li0\ri0\sb240\nowidctlpar\wrapdefault\aspalpha\aspnum\faauto\adjustright\rin0\lin0\itap0 \rtlch\fcs1 _x000d__x000a_\af0\afs20\alang1025 \ltrch\fcs0 \b\fs24\lang1050\langfe2057\cgrid\langnp1050\langfenp2057 \sbasedon0 \snext23 \spriority0 \styrsid14186181 NormalBold12b;}}{\*\rsidtbl \rsid24658\rsid223860\rsid735077\rsid1718133\rsid2892074\rsid3565327\rsid4666813_x000d__x000a_\rsid6641733\rsid7823322\rsid9636012\rsid10377208\rsid11215221\rsid11549030\rsid12154954\rsid13597821\rsid14186181\rsid14382809\rsid14424199\rsid15204470\rsid15285974\rsid15950462\rsid16324206\rsid16662270}{\mmathPr\mmathFont34\mbrkBin0\mbrkBinSub0_x000d__x000a_\msmallFrac0\mdispDef1\mlMargin0\mrMargin0\mdefJc1\mwrapIndent1440\mintLim0\mnaryLim1}{\info{\author ZAJEC Morana}{\operator ZAJEC Morana}{\creatim\yr2025\mo1\dy13\hr13\min38}{\revtim\yr2025\mo1\dy13\hr13\min38}{\version1}{\edmins0}{\nofpages1}_x000d__x000a_{\nofwords36}{\nofchars208}{\nofcharsws24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86181\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13597821 \chftnsep _x000d__x000a_\par }}{\*\ftnsepc \ltrpar \pard\plain \ltrpar\ql \li0\ri0\widctlpar\wrapdefault\aspalpha\aspnum\faauto\adjustright\rin0\lin0\itap0 \rtlch\fcs1 \af0\afs20\alang1025 \ltrch\fcs0 \fs24\lang2057\langfe2057\cgrid\langnp2057\langfenp2057 {\rtlch\fcs1 \af0 _x000d__x000a_\ltrch\fcs0 \insrsid13597821 \chftnsepc _x000d__x000a_\par }}{\*\aftnsep \ltrpar \pard\plain \ltrpar\ql \li0\ri0\widctlpar\wrapdefault\aspalpha\aspnum\faauto\adjustright\rin0\lin0\itap0 \rtlch\fcs1 \af0\afs20\alang1025 \ltrch\fcs0 \fs24\lang2057\langfe2057\cgrid\langnp2057\langfenp2057 {\rtlch\fcs1 \af0 _x000d__x000a_\ltrch\fcs0 \insrsid13597821 \chftnsep _x000d__x000a_\par }}{\*\aftnsepc \ltrpar \pard\plain \ltrpar\ql \li0\ri0\widctlpar\wrapdefault\aspalpha\aspnum\faauto\adjustright\rin0\lin0\itap0 \rtlch\fcs1 \af0\afs20\alang1025 \ltrch\fcs0 \fs24\lang2057\langfe2057\cgrid\langnp2057\langfenp2057 {\rtlch\fcs1 \af0 _x000d__x000a_\ltrch\fcs0 \insrsid135978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186181 \rtlch\fcs1 _x000d__x000a_\af0\afs20\alang1025 \ltrch\fcs0 \b\fs24\lang1050\langfe2057\cgrid\langnp1050\langfenp2057 {\rtlch\fcs1 \af0 \ltrch\fcs0 \cs17\b0\v\fs20\cf9\lang1024\langfe1024\loch\af1\hich\af1\dbch\af31501\noproof\insrsid14186181\charrsid8416547 {\*\bkmkstart restart}_x000d__x000a_\hich\af1\dbch\af31501\loch\f1 &lt;Amend&gt;}{\rtlch\fcs1 \af0 \ltrch\fcs0 \insrsid14186181\charrsid8416547 Amandman\tab \tab }{\rtlch\fcs1 \af0 \ltrch\fcs0 _x000d__x000a_\cs17\b0\v\fs20\cf9\lang1024\langfe1024\loch\af1\hich\af1\dbch\af31501\noproof\insrsid14186181\charrsid8416547 \hich\af1\dbch\af31501\loch\f1 &lt;NumAm&gt;}{\rtlch\fcs1 \af0 \ltrch\fcs0 \insrsid14186181\charrsid8416547 #}{\rtlch\fcs1 \af1 \ltrch\fcs0 _x000d__x000a_\cs18\v\f1\fs20\cf15\insrsid14186181\charrsid8416547 ENMIENDA@NRAM@}{\rtlch\fcs1 \af0 \ltrch\fcs0 \insrsid14186181\charrsid8416547 #}{\rtlch\fcs1 \af0 \ltrch\fcs0 _x000d__x000a_\cs17\b0\v\fs20\cf9\lang1024\langfe1024\loch\af1\hich\af1\dbch\af31501\noproof\insrsid14186181\charrsid8416547 \hich\af1\dbch\af31501\loch\f1 &lt;/NumAm&gt;}{\rtlch\fcs1 \af0 \ltrch\fcs0 \insrsid14186181\charrsid8416547 _x000d__x000a_\par }\pard\plain \ltrpar\s23\ql \li0\ri0\sb240\keepn\nowidctlpar\wrapdefault\aspalpha\aspnum\faauto\adjustright\rin0\lin0\itap0\pararsid14186181 \rtlch\fcs1 \af0\afs20\alang1025 \ltrch\fcs0 \b\fs24\lang1050\langfe2057\cgrid\langnp1050\langfenp2057 {_x000d__x000a_\rtlch\fcs1 \af0 \ltrch\fcs0 \cs17\b0\v\fs20\cf9\lang1024\langfe1024\loch\af1\hich\af1\dbch\af31501\noproof\insrsid14186181\charrsid8416547 \hich\af1\dbch\af31501\loch\f1 &lt;DocAmend&gt;}{\rtlch\fcs1 \af0 \ltrch\fcs0 \insrsid14186181\charrsid8416547 #}{_x000d__x000a_\rtlch\fcs1 \af1 \ltrch\fcs0 \cs18\v\f1\fs20\cf15\insrsid14186181\charrsid8416547 MNU[DOC1][DOC2][DOC3][DOC4]@CHOICE@DOCMNU}{\rtlch\fcs1 \af0 \ltrch\fcs0 \insrsid14186181\charrsid8416547 #}{\rtlch\fcs1 \af0 \ltrch\fcs0 _x000d__x000a_\cs17\b0\v\fs20\cf9\lang1024\langfe1024\loch\af1\hich\af1\dbch\af31501\noproof\insrsid14186181\charrsid8416547 \hich\af1\dbch\af31501\loch\f1 &lt;/DocAmend&gt;}{\rtlch\fcs1 \af0 \ltrch\fcs0 \insrsid14186181\charrsid8416547 _x000d__x000a_\par }\pard\plain \ltrpar\s19\ql \li0\ri0\nowidctlpar\wrapdefault\aspalpha\aspnum\faauto\adjustright\rin0\lin0\itap0\pararsid14186181 \rtlch\fcs1 \af0\afs20\alang1025 \ltrch\fcs0 \b\fs24\lang1050\langfe2057\cgrid\langnp1050\langfenp2057 {\rtlch\fcs1 \af0 _x000d__x000a_\ltrch\fcs0 \cs17\b0\v\fs20\cf9\lang1024\langfe1024\loch\af1\hich\af1\dbch\af31501\noproof\insrsid14186181\charrsid8416547 \hich\af1\dbch\af31501\loch\f1 &lt;Article&gt;}{\rtlch\fcs1 \af0 \ltrch\fcs0 \cf10\insrsid14186181\charrsid16395310 \u9668\'3f}{_x000d__x000a_\rtlch\fcs1 \af0 \ltrch\fcs0 \insrsid14186181\charrsid8416547 #}{\rtlch\fcs1 \af1 \ltrch\fcs0 \cs18\v\f1\fs20\cf15\insrsid14186181\charrsid8416547 TVTAMACTPART@AMPART@}{\rtlch\fcs1 \af0 \ltrch\fcs0 \insrsid14186181\charrsid8416547 #}{\rtlch\fcs1 \af0 _x000d__x000a_\ltrch\fcs0 \cf10\insrsid14186181\charrsid16395310 \u9658\'3f}{\rtlch\fcs1 \af0 \ltrch\fcs0 \cs17\b0\v\fs20\cf9\lang1024\langfe1024\loch\af1\hich\af1\dbch\af31501\noproof\insrsid14186181\charrsid8416547 \hich\af1\dbch\af31501\loch\f1 &lt;/Article&gt;}{_x000d__x000a_\rtlch\fcs1 \af0 \ltrch\fcs0 \insrsid14186181\charrsid8416547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50\langfe2057\langnp1050\insrsid14186181\charrsid8416547 \cell }\pard \ltrpar_x000d__x000a_\ql \li0\ri0\widctlpar\intbl\wrapdefault\aspalpha\aspnum\faauto\adjustright\rin0\lin0 {\rtlch\fcs1 \af0 \ltrch\fcs0 \lang1050\langfe2057\langnp1050\insrsid14186181\charrsid8416547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1050\langfe2057\cgrid\langnp1050\langfenp2057 {\rtlch\fcs1 \af0 \ltrch\fcs0 _x000d__x000a_\insrsid14186181\charrsid8416547 #}{\rtlch\fcs1 \af1 \ltrch\fcs0 \cs18\v\f1\fs20\cf15\insrsid14186181\charrsid8416547 MNU[DOC1][DOC2][DOC3][DOC4]@CHOICE@DOCMNU}{\rtlch\fcs1 \af0 \ltrch\fcs0 \insrsid14186181\charrsid8416547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4186181\charrsid8416547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9505846 \rtlch\fcs1 \af0\afs20\alang1025 \ltrch\fcs0 \fs24\lang1050\langfe2057\cgrid\langnp1050\langfenp2057 {\rtlch\fcs1 \af0 \ltrch\fcs0 _x000d__x000a_\insrsid14186181\charrsid8416547 #}{\rtlch\fcs1 \af1 \ltrch\fcs0 \cs18\v\f1\fs20\cf15\insrsid14186181\charrsid8416547 TEXTMSG}{\rtlch\fcs1 \af0 \ltrch\fcs0 \insrsid14186181\charrsid8416547 #\cell #}{\rtlch\fcs1 \af1 \ltrch\fcs0 _x000d__x000a_\cs18\v\f1\fs20\cf15\insrsid14186181\charrsid8416547 TEXTMSG}{\rtlch\fcs1 \af0 \ltrch\fcs0 \insrsid14186181\charrsid8416547 #}{\rtlch\fcs1 \af0\afs24 \ltrch\fcs0 \insrsid14186181\charrsid8416547 \cell }\pard\plain \ltrpar_x000d__x000a_\ql \li0\ri0\widctlpar\intbl\wrapdefault\aspalpha\aspnum\faauto\adjustright\rin0\lin0 \rtlch\fcs1 \af0\afs20\alang1025 \ltrch\fcs0 \fs24\lang2057\langfe2057\cgrid\langnp2057\langfenp2057 {\rtlch\fcs1 \af0 \ltrch\fcs0 _x000d__x000a_\lang1050\langfe2057\langnp1050\insrsid14186181\charrsid8416547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186181 {\rtlch\fcs1 \af0 \ltrch\fcs0 \cs17\v\fs20\cf9\lang1024\langfe1024\loch\af1\hich\af1\dbch\af31501\noproof\langnp1050\insrsid14186181\charrsid8416547 _x000d__x000a_\hich\af1\dbch\af31501\loch\f1 &lt;/Amend&gt;}{\rtlch\fcs1 \af0 \ltrch\fcs0 \insrsid1418618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9_x000d__x000a_5b0eb86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0785 HideTWBExt;}{_x000d__x000a_\s18\ql \li0\ri0\nowidctlpar\wrapdefault\aspalpha\aspnum\faauto\adjustright\rin0\lin0\itap0 \rtlch\fcs1 \af0\afs20\alang1025 \ltrch\fcs0 \b\fs24\lang2057\langfe2057\cgrid\langnp2057\langfenp2057 \sbasedon0 \snext18 \spriority0 \styrsid4270785 NormalBold;}_x000d__x000a_{\s19\ql \li0\ri0\sa120\nowidctlpar\wrapdefault\aspalpha\aspnum\faauto\adjustright\rin0\lin0\itap0 \rtlch\fcs1 \af0\afs20\alang1025 \ltrch\fcs0 \fs24\lang2057\langfe2057\cgrid\langnp2057\langfenp2057 \sbasedon0 \snext19 \spriority0 \styrsid4270785 _x000d__x000a_Normal6a;}{\s20\qc \li0\ri0\sa240\nowidctlpar\wrapdefault\aspalpha\aspnum\faauto\adjustright\rin0\lin0\itap0 \rtlch\fcs1 \af0\afs20\alang1025 \ltrch\fcs0 \i\fs24\lang2057\langfe2057\cgrid\langnp2057\langfenp2057 _x000d__x000a_\sbasedon0 \snext20 \spriority0 \styrsid427078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270785 AmNumberTabs;}{\s22\ql \li0\ri0\sb240\nowidctlpar\wrapdefault\aspalpha\aspnum\faauto\adjustright\rin0\lin0\itap0 \rtlch\fcs1 _x000d__x000a_\af0\afs20\alang1025 \ltrch\fcs0 \b\fs24\lang2057\langfe2057\cgrid\langnp2057\langfenp2057 \sbasedon0 \snext22 \spriority0 \styrsid4270785 NormalBold12b;}}{\*\rsidtbl \rsid24658\rsid223860\rsid735077\rsid1718133\rsid2892074\rsid3565327\rsid4270785_x000d__x000a_\rsid4666813\rsid585085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ZAJEC Morana}{\operator ZAJEC Morana}{\creatim\yr2025\mo1\dy13\hr13\min38}{\revtim\yr2025\mo1\dy13\hr13\min38}{\version1}{\edmins0}{\nofpages1}_x000d__x000a_{\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0785\newtblstyruls\nogrowautofit\usenormstyforlist\noindnmbrts\felnbrelev\nocxsptable\indrlsweleven\noafcnsttbl\afelev\utinl\hwelev\spltpgpar\notcvasp\notbrkcnstfrctbl\notvatxbx\krnprsnet\cachedcolbal _x000d__x000a_\nouicompat \fet0{\*\wgrffmtfilter 013f}\nofeaturethrottle1\ilfomacatclnup0{\*\template C:\\Users\\mzajec\\AppData\\Local\\Temp\\Blank1.dotx}{\*\ftnsep \ltrpar \pard\plain \ltrpar_x000d__x000a_\ql \li0\ri0\widctlpar\wrapdefault\aspalpha\aspnum\faauto\adjustright\rin0\lin0\itap0 \rtlch\fcs1 \af0\afs20\alang1025 \ltrch\fcs0 \fs24\lang2057\langfe2057\cgrid\langnp2057\langfenp2057 {\rtlch\fcs1 \af0 \ltrch\fcs0 \insrsid5850859 \chftnsep _x000d__x000a_\par }}{\*\ftnsepc \ltrpar \pard\plain \ltrpar\ql \li0\ri0\widctlpar\wrapdefault\aspalpha\aspnum\faauto\adjustright\rin0\lin0\itap0 \rtlch\fcs1 \af0\afs20\alang1025 \ltrch\fcs0 \fs24\lang2057\langfe2057\cgrid\langnp2057\langfenp2057 {\rtlch\fcs1 \af0 _x000d__x000a_\ltrch\fcs0 \insrsid5850859 \chftnsepc _x000d__x000a_\par }}{\*\aftnsep \ltrpar \pard\plain \ltrpar\ql \li0\ri0\widctlpar\wrapdefault\aspalpha\aspnum\faauto\adjustright\rin0\lin0\itap0 \rtlch\fcs1 \af0\afs20\alang1025 \ltrch\fcs0 \fs24\lang2057\langfe2057\cgrid\langnp2057\langfenp2057 {\rtlch\fcs1 \af0 _x000d__x000a_\ltrch\fcs0 \insrsid5850859 \chftnsep _x000d__x000a_\par }}{\*\aftnsepc \ltrpar \pard\plain \ltrpar\ql \li0\ri0\widctlpar\wrapdefault\aspalpha\aspnum\faauto\adjustright\rin0\lin0\itap0 \rtlch\fcs1 \af0\afs20\alang1025 \ltrch\fcs0 \fs24\lang2057\langfe2057\cgrid\langnp2057\langfenp2057 {\rtlch\fcs1 \af0 _x000d__x000a_\ltrch\fcs0 \insrsid58508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270785 \rtlch\fcs1 _x000d__x000a_\af0\afs20\alang1025 \ltrch\fcs0 \b\fs24\lang2057\langfe2057\cgrid\langnp2057\langfenp2057 {\rtlch\fcs1 \af0 \ltrch\fcs0 \cs17\b0\v\fs20\cf9\lang1024\langfe1024\loch\af1\hich\af1\dbch\af31501\noproof\langnp1036\insrsid4270785\charrsid4291528 _x000d__x000a_{\*\bkmkstart restart}\hich\af1\dbch\af31501\loch\f1 &lt;Amend&gt;}{\rtlch\fcs1 \af0 \ltrch\fcs0 \lang1036\langfe2057\langnp1036\insrsid4270785\charrsid4291528 [ZAMENDMENT]\tab \tab }{\rtlch\fcs1 \af0 \ltrch\fcs0 _x000d__x000a_\cs17\b0\v\fs20\cf9\lang1024\langfe1024\loch\af1\hich\af1\dbch\af31501\noproof\langnp1036\insrsid4270785\charrsid4291528 \hich\af1\dbch\af31501\loch\f1 &lt;NumAm&gt;}{\rtlch\fcs1 \af0 \ltrch\fcs0 \lang1036\langfe2057\langnp1036\insrsid4270785\charrsid4291528 _x000d__x000a_[ZNRAM]}{\rtlch\fcs1 \af0 \ltrch\fcs0 \cs17\b0\v\fs20\cf9\lang1024\langfe1024\loch\af1\hich\af1\dbch\af31501\noproof\langnp1036\insrsid4270785\charrsid4291528 \hich\af1\dbch\af31501\loch\f1 &lt;/NumAm&gt;}{\rtlch\fcs1 \af0 \ltrch\fcs0 _x000d__x000a_\lang1036\langfe2057\langnp1036\insrsid4270785\charrsid4291528 _x000d__x000a_\par }\pard\plain \ltrpar\s22\ql \li0\ri0\sb240\keepn\nowidctlpar\wrapdefault\aspalpha\aspnum\faauto\adjustright\rin0\lin0\itap0\pararsid4270785 \rtlch\fcs1 \af0\afs20\alang1025 \ltrch\fcs0 \b\fs24\lang2057\langfe2057\cgrid\langnp2057\langfenp2057 {_x000d__x000a_\rtlch\fcs1 \af0 \ltrch\fcs0 \cs17\b0\v\fs20\cf9\lang1024\langfe1024\loch\af1\hich\af1\dbch\af31501\noproof\langnp1036\insrsid4270785\charrsid4291528 \hich\af1\dbch\af31501\loch\f1 &lt;DocAmend&gt;}{\rtlch\fcs1 \af0 \ltrch\fcs0 _x000d__x000a_\lang1036\langfe2057\langnp1036\insrsid4270785\charrsid4291528 [}{\rtlch\fcs1 \af0 \ltrch\fcs0 \lang1036\langfe2057\langnp1036\insrsid4270785\charrsid3548259 ZPROPOSAL}{\rtlch\fcs1 \af0 \ltrch\fcs0 _x000d__x000a_\lang1036\langfe2057\langnp1036\insrsid4270785\charrsid4291528 ]}{\rtlch\fcs1 \af0 \ltrch\fcs0 \cs17\b0\v\fs20\cf9\lang1024\langfe1024\loch\af1\hich\af1\dbch\af31501\noproof\langnp1036\insrsid4270785\charrsid4291528 \hich\af1\dbch\af31501\loch\f1 _x000d__x000a_&lt;/DocAmend&gt;}{\rtlch\fcs1 \af0 \ltrch\fcs0 \lang1036\langfe2057\langnp1036\insrsid4270785\charrsid4291528 _x000d__x000a_\par }\pard\plain \ltrpar\s18\ql \li0\ri0\nowidctlpar\wrapdefault\aspalpha\aspnum\faauto\adjustright\rin0\lin0\itap0\pararsid4270785 \rtlch\fcs1 \af0\afs20\alang1025 \ltrch\fcs0 \b\fs24\lang2057\langfe2057\cgrid\langnp2057\langfenp2057 {\rtlch\fcs1 \af0 _x000d__x000a_\ltrch\fcs0 \cs17\b0\v\fs20\cf9\lang1024\langfe1024\loch\af1\hich\af1\dbch\af31501\noproof\langnp1036\insrsid4270785\charrsid4291528 \hich\af1\dbch\af31501\loch\f1 &lt;Article&gt;}{\rtlch\fcs1 \af0 \ltrch\fcs0 _x000d__x000a_\lang1036\langfe2057\langnp1036\insrsid4270785\charrsid4291528 [ZAMPART]}{\rtlch\fcs1 \af0 \ltrch\fcs0 \cs17\b0\v\fs20\cf9\lang1024\langfe1024\loch\af1\hich\af1\dbch\af31501\noproof\langnp1036\insrsid4270785\charrsid4291528 \hich\af1\dbch\af31501\loch\f1 _x000d__x000a_&lt;/Article&gt;}{\rtlch\fcs1 \af0 \ltrch\fcs0 \lang1036\langfe2057\langnp1036\insrsid4270785\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4270785\charrsid4291528 \cell }\pard \ltrpar_x000d__x000a_\ql \li0\ri0\widctlpar\intbl\wrapdefault\aspalpha\aspnum\faauto\adjustright\rin0\lin0 {\rtlch\fcs1 \af0 \ltrch\fcs0 \insrsid4270785\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4270785\charrsid6708014 [ZLEFT]\cell [ZRIGHT]\cell }\pard\plain \ltrpar\ql \li0\ri0\widctlpar\intbl\wrapdefault\aspalpha\aspnum\faauto\adjustright\rin0\lin0 \rtlch\fcs1 \af0\afs20\alang1025 \ltrch\fcs0 _x000d__x000a_\fs24\lang2057\langfe2057\cgrid\langnp2057\langfenp2057 {\rtlch\fcs1 \af0 \ltrch\fcs0 \insrsid4270785\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4270785\charrsid6708014 [ZTEXTL]\cell [ZTEXTR]}{\rtlch\fcs1 \af0\afs24 \ltrch\fcs0 \insrsid4270785\charrsid6708014 \cell }\pard\plain \ltrpar\ql \li0\ri0\widctlpar\intbl\wrapdefault\aspalpha\aspnum\faauto\adjustright\rin0\lin0 \rtlch\fcs1 _x000d__x000a_\af0\afs20\alang1025 \ltrch\fcs0 \fs24\lang2057\langfe2057\cgrid\langnp2057\langfenp2057 {\rtlch\fcs1 \af0 \ltrch\fcs0 \insrsid4270785\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270785 {\rtlch\fcs1 \af0 \ltrch\fcs0 \cs17\v\fs20\cf9\lang1024\langfe1024\loch\af1\hich\af1\dbch\af31501\noproof\insrsid4270785\charrsid6708014 _x000d__x000a_\hich\af1\dbch\af31501\loch\f1 &lt;/Amend&gt;}{\rtlch\fcs1 \af0 \ltrch\fcs0 \insrsid427078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1_x000d__x000a_b910b86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XTAUTHOR" w:val="Abir Al_x001e_Sahlani"/>
    <w:docVar w:name="TXTLANGUE" w:val="HR"/>
    <w:docVar w:name="TXTLANGUEMIN" w:val="hr"/>
    <w:docVar w:name="TXTNRPE" w:val="765.160"/>
    <w:docVar w:name="TXTNRPROC" w:val="2014/...."/>
    <w:docVar w:name="TXTPEorAP" w:val="PE"/>
    <w:docVar w:name="TXTROUTE" w:val="AD\1312983HR.docx"/>
    <w:docVar w:name="TXTVERSION" w:val="03-00"/>
  </w:docVars>
  <w:rsids>
    <w:rsidRoot w:val="00806D23"/>
    <w:rsid w:val="00037518"/>
    <w:rsid w:val="000E7EBF"/>
    <w:rsid w:val="00124F60"/>
    <w:rsid w:val="00127E74"/>
    <w:rsid w:val="00135121"/>
    <w:rsid w:val="00140BE6"/>
    <w:rsid w:val="00147F4E"/>
    <w:rsid w:val="00160A53"/>
    <w:rsid w:val="0016635E"/>
    <w:rsid w:val="001746D0"/>
    <w:rsid w:val="001B7393"/>
    <w:rsid w:val="001D2ED9"/>
    <w:rsid w:val="001F21C1"/>
    <w:rsid w:val="00285ACE"/>
    <w:rsid w:val="002B2C72"/>
    <w:rsid w:val="002D28A7"/>
    <w:rsid w:val="002E2F2E"/>
    <w:rsid w:val="002E4AA3"/>
    <w:rsid w:val="002E6F98"/>
    <w:rsid w:val="00325BCB"/>
    <w:rsid w:val="00331944"/>
    <w:rsid w:val="00332AD9"/>
    <w:rsid w:val="003402B9"/>
    <w:rsid w:val="00347D2C"/>
    <w:rsid w:val="00362463"/>
    <w:rsid w:val="0037356F"/>
    <w:rsid w:val="00390EB2"/>
    <w:rsid w:val="00396A0E"/>
    <w:rsid w:val="003E2402"/>
    <w:rsid w:val="004361B6"/>
    <w:rsid w:val="004437FF"/>
    <w:rsid w:val="004667D1"/>
    <w:rsid w:val="00485C5C"/>
    <w:rsid w:val="004C28FB"/>
    <w:rsid w:val="004C44C0"/>
    <w:rsid w:val="004D2E8A"/>
    <w:rsid w:val="0052544E"/>
    <w:rsid w:val="005940C3"/>
    <w:rsid w:val="00594C48"/>
    <w:rsid w:val="005B2F11"/>
    <w:rsid w:val="005C0BDF"/>
    <w:rsid w:val="005D60C6"/>
    <w:rsid w:val="006102E7"/>
    <w:rsid w:val="00640C1B"/>
    <w:rsid w:val="00657AFB"/>
    <w:rsid w:val="006D5BF7"/>
    <w:rsid w:val="00795F27"/>
    <w:rsid w:val="007D3234"/>
    <w:rsid w:val="00806D23"/>
    <w:rsid w:val="0081516B"/>
    <w:rsid w:val="00825A0E"/>
    <w:rsid w:val="008313E7"/>
    <w:rsid w:val="00854CAC"/>
    <w:rsid w:val="008A32C5"/>
    <w:rsid w:val="008C6203"/>
    <w:rsid w:val="008D61E7"/>
    <w:rsid w:val="008D6D15"/>
    <w:rsid w:val="008F7002"/>
    <w:rsid w:val="00977598"/>
    <w:rsid w:val="0099178F"/>
    <w:rsid w:val="0099493F"/>
    <w:rsid w:val="00A16BEA"/>
    <w:rsid w:val="00A312B3"/>
    <w:rsid w:val="00A47E2F"/>
    <w:rsid w:val="00A72C35"/>
    <w:rsid w:val="00A93737"/>
    <w:rsid w:val="00AE180F"/>
    <w:rsid w:val="00B362F7"/>
    <w:rsid w:val="00B5456B"/>
    <w:rsid w:val="00B74B53"/>
    <w:rsid w:val="00B80F75"/>
    <w:rsid w:val="00BC26E4"/>
    <w:rsid w:val="00BD1EAA"/>
    <w:rsid w:val="00BF0AFC"/>
    <w:rsid w:val="00BF34FF"/>
    <w:rsid w:val="00C52739"/>
    <w:rsid w:val="00C827FF"/>
    <w:rsid w:val="00C85D0F"/>
    <w:rsid w:val="00CD34AC"/>
    <w:rsid w:val="00D318E7"/>
    <w:rsid w:val="00D7202C"/>
    <w:rsid w:val="00D7238E"/>
    <w:rsid w:val="00DE19FF"/>
    <w:rsid w:val="00E13661"/>
    <w:rsid w:val="00E1470B"/>
    <w:rsid w:val="00E43461"/>
    <w:rsid w:val="00E81BA6"/>
    <w:rsid w:val="00E856D2"/>
    <w:rsid w:val="00E929A7"/>
    <w:rsid w:val="00F40263"/>
    <w:rsid w:val="00FB50E9"/>
    <w:rsid w:val="00FC6460"/>
    <w:rsid w:val="00FD0D14"/>
    <w:rsid w:val="00FD4BC4"/>
    <w:rsid w:val="00FE761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BAB0A"/>
  <w15:chartTrackingRefBased/>
  <w15:docId w15:val="{CEDF5E76-3461-4287-94BE-614802F4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127E74"/>
    <w:rPr>
      <w:sz w:val="20"/>
    </w:rPr>
  </w:style>
  <w:style w:type="character" w:customStyle="1" w:styleId="FootnoteTextChar">
    <w:name w:val="Footnote Text Char"/>
    <w:basedOn w:val="DefaultParagraphFont"/>
    <w:link w:val="FootnoteText"/>
    <w:rsid w:val="00127E74"/>
  </w:style>
  <w:style w:type="character" w:styleId="FootnoteReference">
    <w:name w:val="footnote reference"/>
    <w:basedOn w:val="DefaultParagraphFont"/>
    <w:unhideWhenUsed/>
    <w:rsid w:val="00127E74"/>
    <w:rPr>
      <w:vertAlign w:val="superscript"/>
    </w:rPr>
  </w:style>
  <w:style w:type="paragraph" w:customStyle="1" w:styleId="Normal24a">
    <w:name w:val="Normal24a"/>
    <w:basedOn w:val="Normal"/>
    <w:rsid w:val="00127E74"/>
    <w:pPr>
      <w:spacing w:after="480"/>
    </w:pPr>
    <w:rPr>
      <w:szCs w:val="24"/>
    </w:rPr>
  </w:style>
  <w:style w:type="paragraph" w:customStyle="1" w:styleId="NormalBoldCenter">
    <w:name w:val="NormalBoldCenter"/>
    <w:basedOn w:val="Normal"/>
    <w:rsid w:val="00127E74"/>
    <w:pPr>
      <w:jc w:val="center"/>
    </w:pPr>
    <w:rPr>
      <w:b/>
      <w:szCs w:val="24"/>
    </w:rPr>
  </w:style>
  <w:style w:type="paragraph" w:customStyle="1" w:styleId="Footprint12b">
    <w:name w:val="Footprint12b"/>
    <w:basedOn w:val="Normal"/>
    <w:rsid w:val="00127E74"/>
    <w:pPr>
      <w:spacing w:before="240"/>
    </w:pPr>
    <w:rPr>
      <w:szCs w:val="24"/>
    </w:rPr>
  </w:style>
  <w:style w:type="paragraph" w:customStyle="1" w:styleId="NormalSingle">
    <w:name w:val="NormalSingle"/>
    <w:basedOn w:val="Normal"/>
    <w:qFormat/>
    <w:rsid w:val="00127E74"/>
    <w:rPr>
      <w:szCs w:val="24"/>
    </w:rPr>
  </w:style>
  <w:style w:type="paragraph" w:styleId="Footer">
    <w:name w:val="footer"/>
    <w:basedOn w:val="Normal"/>
    <w:link w:val="FooterChar"/>
    <w:rsid w:val="00127E74"/>
    <w:pPr>
      <w:tabs>
        <w:tab w:val="center" w:pos="4513"/>
        <w:tab w:val="right" w:pos="9026"/>
      </w:tabs>
    </w:pPr>
  </w:style>
  <w:style w:type="character" w:customStyle="1" w:styleId="FooterChar">
    <w:name w:val="Footer Char"/>
    <w:basedOn w:val="DefaultParagraphFont"/>
    <w:link w:val="Footer"/>
    <w:rsid w:val="00127E74"/>
    <w:rPr>
      <w:sz w:val="24"/>
      <w:lang w:val="hr-HR"/>
    </w:rPr>
  </w:style>
  <w:style w:type="character" w:styleId="Hyperlink">
    <w:name w:val="Hyperlink"/>
    <w:basedOn w:val="DefaultParagraphFont"/>
    <w:uiPriority w:val="99"/>
    <w:unhideWhenUsed/>
    <w:rsid w:val="00FB50E9"/>
    <w:rPr>
      <w:color w:val="0563C1" w:themeColor="hyperlink"/>
      <w:u w:val="single"/>
    </w:rPr>
  </w:style>
  <w:style w:type="paragraph" w:styleId="Index1">
    <w:name w:val="index 1"/>
    <w:basedOn w:val="Normal"/>
    <w:next w:val="Normal"/>
    <w:autoRedefine/>
    <w:unhideWhenUsed/>
    <w:rsid w:val="00FB50E9"/>
    <w:pPr>
      <w:tabs>
        <w:tab w:val="right" w:leader="dot" w:pos="9360"/>
      </w:tabs>
      <w:suppressAutoHyphens/>
      <w:ind w:left="1440" w:right="720" w:hanging="1440"/>
    </w:pPr>
    <w:rPr>
      <w:sz w:val="20"/>
    </w:rPr>
  </w:style>
  <w:style w:type="paragraph" w:styleId="EndnoteText">
    <w:name w:val="endnote text"/>
    <w:basedOn w:val="Normal"/>
    <w:link w:val="EndnoteTextChar"/>
    <w:unhideWhenUsed/>
    <w:rsid w:val="00FB50E9"/>
  </w:style>
  <w:style w:type="character" w:customStyle="1" w:styleId="EndnoteTextChar">
    <w:name w:val="Endnote Text Char"/>
    <w:basedOn w:val="DefaultParagraphFont"/>
    <w:link w:val="EndnoteText"/>
    <w:rsid w:val="00FB50E9"/>
    <w:rPr>
      <w:sz w:val="24"/>
      <w:lang w:val="hr-HR"/>
    </w:rPr>
  </w:style>
  <w:style w:type="paragraph" w:customStyle="1" w:styleId="Normal12">
    <w:name w:val="Normal12"/>
    <w:basedOn w:val="Normal"/>
    <w:qFormat/>
    <w:rsid w:val="00FB50E9"/>
    <w:pPr>
      <w:snapToGrid w:val="0"/>
      <w:spacing w:after="240"/>
    </w:pPr>
    <w:rPr>
      <w:lang w:bidi="en-GB"/>
    </w:rPr>
  </w:style>
  <w:style w:type="character" w:styleId="CommentReference">
    <w:name w:val="annotation reference"/>
    <w:basedOn w:val="DefaultParagraphFont"/>
    <w:rsid w:val="00FB50E9"/>
    <w:rPr>
      <w:sz w:val="16"/>
      <w:szCs w:val="16"/>
    </w:rPr>
  </w:style>
  <w:style w:type="paragraph" w:styleId="CommentText">
    <w:name w:val="annotation text"/>
    <w:basedOn w:val="Normal"/>
    <w:link w:val="CommentTextChar"/>
    <w:rsid w:val="00FB50E9"/>
    <w:rPr>
      <w:sz w:val="20"/>
    </w:rPr>
  </w:style>
  <w:style w:type="character" w:customStyle="1" w:styleId="CommentTextChar">
    <w:name w:val="Comment Text Char"/>
    <w:basedOn w:val="DefaultParagraphFont"/>
    <w:link w:val="CommentText"/>
    <w:rsid w:val="00FB50E9"/>
    <w:rPr>
      <w:lang w:val="hr-HR"/>
    </w:rPr>
  </w:style>
  <w:style w:type="paragraph" w:styleId="CommentSubject">
    <w:name w:val="annotation subject"/>
    <w:basedOn w:val="CommentText"/>
    <w:next w:val="CommentText"/>
    <w:link w:val="CommentSubjectChar"/>
    <w:semiHidden/>
    <w:unhideWhenUsed/>
    <w:rsid w:val="00FB50E9"/>
    <w:rPr>
      <w:b/>
      <w:bCs/>
    </w:rPr>
  </w:style>
  <w:style w:type="character" w:customStyle="1" w:styleId="CommentSubjectChar">
    <w:name w:val="Comment Subject Char"/>
    <w:basedOn w:val="CommentTextChar"/>
    <w:link w:val="CommentSubject"/>
    <w:semiHidden/>
    <w:rsid w:val="00FB50E9"/>
    <w:rPr>
      <w:b/>
      <w:bCs/>
      <w:lang w:val="hr-HR"/>
    </w:rPr>
  </w:style>
  <w:style w:type="paragraph" w:styleId="BalloonText">
    <w:name w:val="Balloon Text"/>
    <w:basedOn w:val="Normal"/>
    <w:link w:val="BalloonTextChar"/>
    <w:semiHidden/>
    <w:unhideWhenUsed/>
    <w:rsid w:val="00FB50E9"/>
    <w:rPr>
      <w:rFonts w:ascii="Segoe UI" w:hAnsi="Segoe UI" w:cs="Segoe UI"/>
      <w:sz w:val="18"/>
      <w:szCs w:val="18"/>
    </w:rPr>
  </w:style>
  <w:style w:type="character" w:customStyle="1" w:styleId="BalloonTextChar">
    <w:name w:val="Balloon Text Char"/>
    <w:basedOn w:val="DefaultParagraphFont"/>
    <w:link w:val="BalloonText"/>
    <w:semiHidden/>
    <w:rsid w:val="00FB50E9"/>
    <w:rPr>
      <w:rFonts w:ascii="Segoe UI" w:hAnsi="Segoe UI" w:cs="Segoe UI"/>
      <w:sz w:val="18"/>
      <w:szCs w:val="18"/>
      <w:lang w:val="hr-HR"/>
    </w:rPr>
  </w:style>
  <w:style w:type="character" w:customStyle="1" w:styleId="AmNumberTabsChar">
    <w:name w:val="AmNumberTabs Char"/>
    <w:basedOn w:val="DefaultParagraphFont"/>
    <w:link w:val="AmNumberTabs"/>
    <w:rsid w:val="00FB50E9"/>
    <w:rPr>
      <w:b/>
      <w:sz w:val="24"/>
    </w:rPr>
  </w:style>
  <w:style w:type="character" w:customStyle="1" w:styleId="NormalBold12bChar">
    <w:name w:val="NormalBold12b Char"/>
    <w:basedOn w:val="AmNumberTabsChar"/>
    <w:link w:val="NormalBold12b"/>
    <w:rsid w:val="00FB50E9"/>
    <w:rPr>
      <w:b/>
      <w:sz w:val="24"/>
    </w:rPr>
  </w:style>
  <w:style w:type="paragraph" w:customStyle="1" w:styleId="RollCallSymbols14pt">
    <w:name w:val="RollCallSymbols14pt"/>
    <w:basedOn w:val="Normal"/>
    <w:rsid w:val="00FB50E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50E9"/>
    <w:pPr>
      <w:tabs>
        <w:tab w:val="center" w:pos="284"/>
        <w:tab w:val="left" w:pos="426"/>
      </w:tabs>
    </w:pPr>
    <w:rPr>
      <w:snapToGrid w:val="0"/>
      <w:lang w:eastAsia="en-US"/>
    </w:rPr>
  </w:style>
  <w:style w:type="paragraph" w:customStyle="1" w:styleId="RollCallVotes">
    <w:name w:val="RollCallVotes"/>
    <w:basedOn w:val="Normal"/>
    <w:rsid w:val="00FB50E9"/>
    <w:pPr>
      <w:spacing w:before="120" w:after="120"/>
      <w:jc w:val="center"/>
    </w:pPr>
    <w:rPr>
      <w:b/>
      <w:bCs/>
      <w:snapToGrid w:val="0"/>
      <w:sz w:val="16"/>
      <w:lang w:eastAsia="en-US"/>
    </w:rPr>
  </w:style>
  <w:style w:type="paragraph" w:customStyle="1" w:styleId="RollCallTable">
    <w:name w:val="RollCallTable"/>
    <w:basedOn w:val="Normal"/>
    <w:rsid w:val="00FB50E9"/>
    <w:pPr>
      <w:spacing w:before="120" w:after="120"/>
    </w:pPr>
    <w:rPr>
      <w:snapToGrid w:val="0"/>
      <w:sz w:val="16"/>
      <w:lang w:eastAsia="en-US"/>
    </w:rPr>
  </w:style>
  <w:style w:type="character" w:customStyle="1" w:styleId="Italic">
    <w:name w:val="Italic"/>
    <w:uiPriority w:val="1"/>
    <w:rsid w:val="00FB50E9"/>
    <w:rPr>
      <w:i/>
      <w:iCs w:val="0"/>
    </w:rPr>
  </w:style>
  <w:style w:type="character" w:styleId="Emphasis">
    <w:name w:val="Emphasis"/>
    <w:basedOn w:val="DefaultParagraphFont"/>
    <w:uiPriority w:val="20"/>
    <w:qFormat/>
    <w:rsid w:val="00FB50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ir/2023/970/oj"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12412</Words>
  <Characters>76710</Characters>
  <Application>Microsoft Office Word</Application>
  <DocSecurity>0</DocSecurity>
  <Lines>2841</Lines>
  <Paragraphs>614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2025-01-27T13:19:00Z</dcterms:created>
  <dcterms:modified xsi:type="dcterms:W3CDTF">2025-01-27T13:19:00Z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\\eiciLUXpr1\pdocep$\DocEP\DOCS\General\PA\PA_NonLeg\PA_NonLeg.dotx(19/06/2024 13:39:02)</vt:lpwstr>
  </property>
  <property fmtid="{D5CDD505-2E9C-101B-9397-08002B2CF9AE}" pid="6" name="&lt;ModelTra&gt;">
    <vt:lpwstr>\\eiciLUXpr1\pdocep$\DocEP\TRANSFIL\HR\PA_NonLeg.HR(25/07/2024 07:40:21)</vt:lpwstr>
  </property>
  <property fmtid="{D5CDD505-2E9C-101B-9397-08002B2CF9AE}" pid="7" name="&lt;Type&gt;">
    <vt:lpwstr>AD</vt:lpwstr>
  </property>
  <property fmtid="{D5CDD505-2E9C-101B-9397-08002B2CF9AE}" pid="8" name="Bookout">
    <vt:lpwstr>OK(HDG) - 2025/01/27 14:19</vt:lpwstr>
  </property>
  <property fmtid="{D5CDD505-2E9C-101B-9397-08002B2CF9AE}" pid="9" name="Created with">
    <vt:lpwstr>10.0.0 Build [20241005]</vt:lpwstr>
  </property>
  <property fmtid="{D5CDD505-2E9C-101B-9397-08002B2CF9AE}" pid="10" name="FooterPath">
    <vt:lpwstr>AD\1312983HR.docx</vt:lpwstr>
  </property>
  <property fmtid="{D5CDD505-2E9C-101B-9397-08002B2CF9AE}" pid="11" name="LastEdited with">
    <vt:lpwstr>10.0.1 Build [20250114]</vt:lpwstr>
  </property>
  <property fmtid="{D5CDD505-2E9C-101B-9397-08002B2CF9AE}" pid="12" name="PE number">
    <vt:lpwstr>765.160</vt:lpwstr>
  </property>
  <property fmtid="{D5CDD505-2E9C-101B-9397-08002B2CF9AE}" pid="13" name="SDLStudio">
    <vt:lpwstr/>
  </property>
</Properties>
</file>