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840C56" w14:paraId="0B0B95C0" w14:textId="77777777" w:rsidTr="00C85D0F">
        <w:trPr>
          <w:trHeight w:hRule="exact" w:val="1418"/>
        </w:trPr>
        <w:tc>
          <w:tcPr>
            <w:tcW w:w="6804" w:type="dxa"/>
            <w:shd w:val="clear" w:color="auto" w:fill="auto"/>
            <w:vAlign w:val="center"/>
          </w:tcPr>
          <w:p w14:paraId="562E1F47" w14:textId="77777777" w:rsidR="004F48ED" w:rsidRPr="00840C56" w:rsidRDefault="00260012" w:rsidP="00C85D0F">
            <w:pPr>
              <w:pStyle w:val="EPName"/>
            </w:pPr>
            <w:bookmarkStart w:id="0" w:name="_GoBack"/>
            <w:bookmarkEnd w:id="0"/>
            <w:r>
              <w:t>Parlament Europejski</w:t>
            </w:r>
          </w:p>
          <w:p w14:paraId="4272CA73" w14:textId="77777777" w:rsidR="004F48ED" w:rsidRPr="00840C56" w:rsidRDefault="006C04D8" w:rsidP="006C04D8">
            <w:pPr>
              <w:pStyle w:val="EPTerm"/>
            </w:pPr>
            <w:r>
              <w:t>2024-2029</w:t>
            </w:r>
          </w:p>
        </w:tc>
        <w:tc>
          <w:tcPr>
            <w:tcW w:w="2268" w:type="dxa"/>
            <w:shd w:val="clear" w:color="auto" w:fill="auto"/>
          </w:tcPr>
          <w:p w14:paraId="48CD6795" w14:textId="77777777" w:rsidR="004F48ED" w:rsidRPr="00840C56" w:rsidRDefault="004F48ED" w:rsidP="00C85D0F">
            <w:pPr>
              <w:pStyle w:val="EPLogo"/>
            </w:pPr>
            <w:r w:rsidRPr="00840C56">
              <w:rPr>
                <w:noProof/>
                <w:lang w:eastAsia="pl-PL"/>
              </w:rPr>
              <w:drawing>
                <wp:inline distT="0" distB="0" distL="0" distR="0" wp14:anchorId="21A55B4F" wp14:editId="5FACA1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7C9953" w14:textId="77777777" w:rsidR="00E9601C" w:rsidRPr="00840C56" w:rsidRDefault="00E9601C" w:rsidP="00E9601C">
      <w:pPr>
        <w:pStyle w:val="LineTop"/>
      </w:pPr>
    </w:p>
    <w:p w14:paraId="0512F64C" w14:textId="77777777" w:rsidR="00E9601C" w:rsidRPr="00DA7F4B" w:rsidRDefault="00E9601C" w:rsidP="00E9601C">
      <w:pPr>
        <w:pStyle w:val="EPBody"/>
      </w:pPr>
      <w:r>
        <w:rPr>
          <w:rStyle w:val="HideTWBExt"/>
          <w:lang w:val="en-GB"/>
        </w:rPr>
        <w:t>&lt;</w:t>
      </w:r>
      <w:r>
        <w:rPr>
          <w:rStyle w:val="HideTWBExt"/>
          <w:i w:val="0"/>
          <w:lang w:val="en-GB"/>
        </w:rPr>
        <w:t>Commission</w:t>
      </w:r>
      <w:r>
        <w:rPr>
          <w:rStyle w:val="HideTWBExt"/>
          <w:lang w:val="en-GB"/>
        </w:rPr>
        <w:t>&gt;</w:t>
      </w:r>
      <w:r>
        <w:rPr>
          <w:rStyle w:val="HideTWBInt"/>
          <w:lang w:val="en-GB"/>
        </w:rPr>
        <w:t>{FEMM}</w:t>
      </w:r>
      <w:r>
        <w:t>Komisja Praw Kobiet i Równouprawnienia</w:t>
      </w:r>
      <w:r>
        <w:rPr>
          <w:rStyle w:val="HideTWBExt"/>
          <w:lang w:val="en-GB"/>
        </w:rPr>
        <w:t>&lt;/</w:t>
      </w:r>
      <w:r>
        <w:rPr>
          <w:rStyle w:val="HideTWBExt"/>
          <w:i w:val="0"/>
          <w:lang w:val="en-GB"/>
        </w:rPr>
        <w:t>Commission</w:t>
      </w:r>
      <w:r>
        <w:rPr>
          <w:rStyle w:val="HideTWBExt"/>
          <w:lang w:val="en-GB"/>
        </w:rPr>
        <w:t>&gt;</w:t>
      </w:r>
    </w:p>
    <w:p w14:paraId="437F7FBA" w14:textId="77777777" w:rsidR="00E9601C" w:rsidRPr="00DA7F4B" w:rsidRDefault="00E9601C" w:rsidP="00E9601C">
      <w:pPr>
        <w:pStyle w:val="LineBottom"/>
        <w:rPr>
          <w:lang w:val="en-GB"/>
        </w:rPr>
      </w:pPr>
    </w:p>
    <w:p w14:paraId="0BFB2F38" w14:textId="77777777" w:rsidR="00401547" w:rsidRPr="00DA7F4B" w:rsidRDefault="00401547" w:rsidP="00401547">
      <w:pPr>
        <w:pStyle w:val="CoverReference"/>
      </w:pPr>
      <w:r>
        <w:rPr>
          <w:rStyle w:val="HideTWBExt"/>
          <w:b w:val="0"/>
          <w:lang w:val="en-GB"/>
        </w:rPr>
        <w:t>&lt;RefProc&gt;</w:t>
      </w:r>
      <w:r>
        <w:t>2024/2019</w:t>
      </w:r>
      <w:r>
        <w:rPr>
          <w:rStyle w:val="HideTWBExt"/>
          <w:b w:val="0"/>
          <w:lang w:val="en-GB"/>
        </w:rPr>
        <w:t>&lt;/RefProc&gt;&lt;RefTypeProc&gt;</w:t>
      </w:r>
      <w:r>
        <w:t>(DEC)</w:t>
      </w:r>
      <w:r>
        <w:rPr>
          <w:rStyle w:val="HideTWBExt"/>
          <w:b w:val="0"/>
          <w:lang w:val="en-GB"/>
        </w:rPr>
        <w:t>&lt;/RefTypeProc&gt;</w:t>
      </w:r>
    </w:p>
    <w:p w14:paraId="3E4F4053" w14:textId="77777777" w:rsidR="00401547" w:rsidRPr="00DA7F4B" w:rsidRDefault="00401547" w:rsidP="00401547">
      <w:pPr>
        <w:pStyle w:val="CoverDate"/>
      </w:pPr>
      <w:r>
        <w:rPr>
          <w:rStyle w:val="HideTWBExt"/>
          <w:lang w:val="en-GB"/>
        </w:rPr>
        <w:t>&lt;Date&gt;</w:t>
      </w:r>
      <w:r>
        <w:t>21.2.2025</w:t>
      </w:r>
      <w:r>
        <w:rPr>
          <w:rStyle w:val="HideTWBExt"/>
          <w:lang w:val="en-GB"/>
        </w:rPr>
        <w:t>&lt;/Date&gt;</w:t>
      </w:r>
    </w:p>
    <w:p w14:paraId="016386D9" w14:textId="77777777" w:rsidR="00401547" w:rsidRPr="00DA7F4B" w:rsidRDefault="00401547" w:rsidP="00401547">
      <w:pPr>
        <w:pStyle w:val="CoverDocType24a"/>
      </w:pPr>
      <w:r>
        <w:rPr>
          <w:rStyle w:val="HideTWBExt"/>
          <w:b w:val="0"/>
          <w:lang w:val="en-GB"/>
        </w:rPr>
        <w:t>&lt;TitreType&gt;</w:t>
      </w:r>
      <w:r>
        <w:t>OPINIA</w:t>
      </w:r>
      <w:r>
        <w:rPr>
          <w:rStyle w:val="HideTWBExt"/>
          <w:b w:val="0"/>
          <w:lang w:val="en-GB"/>
        </w:rPr>
        <w:t>&lt;/TitreType&gt;</w:t>
      </w:r>
    </w:p>
    <w:p w14:paraId="6238EC60" w14:textId="77777777" w:rsidR="00401547" w:rsidRPr="00DA7F4B" w:rsidRDefault="00401547" w:rsidP="00401547">
      <w:pPr>
        <w:pStyle w:val="CoverNormal24a"/>
      </w:pPr>
      <w:r>
        <w:rPr>
          <w:rStyle w:val="HideTWBExt"/>
          <w:lang w:val="en-GB"/>
        </w:rPr>
        <w:t>&lt;CommissionResp&gt;</w:t>
      </w:r>
      <w:r>
        <w:t>Komisji Praw Kobiet i Równouprawnienia</w:t>
      </w:r>
      <w:r>
        <w:rPr>
          <w:rStyle w:val="HideTWBExt"/>
          <w:lang w:val="en-GB"/>
        </w:rPr>
        <w:t>&lt;/CommissionResp&gt;</w:t>
      </w:r>
    </w:p>
    <w:p w14:paraId="3CD10BE6" w14:textId="77777777" w:rsidR="00401547" w:rsidRPr="00DA7F4B" w:rsidRDefault="00401547" w:rsidP="00401547">
      <w:pPr>
        <w:pStyle w:val="CoverNormal24a"/>
      </w:pPr>
      <w:r>
        <w:rPr>
          <w:rStyle w:val="HideTWBExt"/>
          <w:lang w:val="en-GB"/>
        </w:rPr>
        <w:t>&lt;CommissionInt&gt;</w:t>
      </w:r>
      <w:r>
        <w:t>dla Komisji Kontroli Budżetowej</w:t>
      </w:r>
      <w:r>
        <w:rPr>
          <w:rStyle w:val="HideTWBExt"/>
          <w:lang w:val="en-GB"/>
        </w:rPr>
        <w:t>&lt;/CommissionInt&gt;</w:t>
      </w:r>
    </w:p>
    <w:p w14:paraId="3AC24082" w14:textId="77777777" w:rsidR="00401547" w:rsidRPr="00DA7F4B" w:rsidRDefault="00401547" w:rsidP="00401547">
      <w:pPr>
        <w:pStyle w:val="CoverNormal"/>
      </w:pPr>
      <w:r>
        <w:rPr>
          <w:rStyle w:val="HideTWBExt"/>
          <w:lang w:val="en-GB"/>
        </w:rPr>
        <w:t>&lt;Titre&gt;</w:t>
      </w:r>
      <w:r>
        <w:t>w sprawie absolutorium z wykonania budżetu ogólnego Unii Europejskiej za rok budżetowy 2023, sekcja III – Komisja, agencje wykonawcze oraz dziewiąty, dziesiąty i jedenasty Europejski Fundusz Rozwoju</w:t>
      </w:r>
      <w:r>
        <w:rPr>
          <w:rStyle w:val="HideTWBExt"/>
          <w:lang w:val="en-GB"/>
        </w:rPr>
        <w:t>&lt;/Titre&gt;</w:t>
      </w:r>
      <w:r>
        <w:t xml:space="preserve"> </w:t>
      </w:r>
    </w:p>
    <w:p w14:paraId="49319FC8" w14:textId="77777777" w:rsidR="00401547" w:rsidRPr="00DA7F4B" w:rsidRDefault="00401547" w:rsidP="00401547">
      <w:pPr>
        <w:pStyle w:val="CoverNormal24a"/>
      </w:pPr>
      <w:r>
        <w:rPr>
          <w:rStyle w:val="HideTWBExt"/>
          <w:lang w:val="fr-FR"/>
        </w:rPr>
        <w:t>&lt;DocRef&gt;</w:t>
      </w:r>
      <w:r>
        <w:t>(2024/2019(DEC))</w:t>
      </w:r>
      <w:r>
        <w:rPr>
          <w:rStyle w:val="HideTWBExt"/>
          <w:lang w:val="fr-FR"/>
        </w:rPr>
        <w:t>&lt;/DocRef&gt;</w:t>
      </w:r>
    </w:p>
    <w:p w14:paraId="0FCB8C5B" w14:textId="0D27FE8E" w:rsidR="00401547" w:rsidRPr="00DA7F4B" w:rsidRDefault="00401547" w:rsidP="00401547">
      <w:pPr>
        <w:pStyle w:val="CoverNormal24a"/>
      </w:pPr>
      <w:r>
        <w:t>Sprawozdawczyni komisji opiniodawczej:</w:t>
      </w:r>
      <w:r>
        <w:rPr>
          <w:rStyle w:val="HideTWBExt"/>
          <w:lang w:val="fr-FR"/>
        </w:rPr>
        <w:t>&lt;Depute&gt;</w:t>
      </w:r>
      <w:r>
        <w:t xml:space="preserve"> Lina Gálvez</w:t>
      </w:r>
      <w:r>
        <w:rPr>
          <w:rStyle w:val="HideTWBExt"/>
          <w:lang w:val="fr-FR"/>
        </w:rPr>
        <w:t>&lt;/Depute&gt;</w:t>
      </w:r>
    </w:p>
    <w:p w14:paraId="0ED44A97" w14:textId="6A424089" w:rsidR="00401547" w:rsidRPr="00DA7F4B" w:rsidRDefault="00401547" w:rsidP="00401547">
      <w:pPr>
        <w:pStyle w:val="CoverNormal"/>
        <w:rPr>
          <w:lang w:val="fr-FR"/>
        </w:rPr>
      </w:pPr>
    </w:p>
    <w:p w14:paraId="013E39EF" w14:textId="77777777" w:rsidR="00401547" w:rsidRPr="00DA7F4B" w:rsidRDefault="00401547" w:rsidP="00401547">
      <w:pPr>
        <w:widowControl/>
        <w:tabs>
          <w:tab w:val="center" w:pos="4677"/>
        </w:tabs>
      </w:pPr>
      <w:r>
        <w:br w:type="page"/>
      </w:r>
      <w:r>
        <w:lastRenderedPageBreak/>
        <w:t>PA_NonLegDec</w:t>
      </w:r>
    </w:p>
    <w:p w14:paraId="4B412658" w14:textId="77777777" w:rsidR="00401547" w:rsidRPr="00DA7F4B" w:rsidRDefault="00401547" w:rsidP="00401547">
      <w:pPr>
        <w:pStyle w:val="PageHeadingNotTOC"/>
      </w:pPr>
      <w:r>
        <w:br w:type="page"/>
      </w:r>
      <w:r>
        <w:lastRenderedPageBreak/>
        <w:t>OPINIA</w:t>
      </w:r>
    </w:p>
    <w:p w14:paraId="1D68D15E" w14:textId="77777777" w:rsidR="00401547" w:rsidRPr="00DA7F4B" w:rsidRDefault="00401547" w:rsidP="00401547">
      <w:pPr>
        <w:pStyle w:val="Normal12a"/>
      </w:pPr>
      <w:r>
        <w:t>Komisja Praw Kobiet i Równouprawnienia zwraca się do Komisji Kontroli Budżetowej, jako komisji przedmiotowo właściwej, o uwzględnienie w końcowym tekście projektu rezolucji tego, co następuje:</w:t>
      </w:r>
    </w:p>
    <w:p w14:paraId="5934C875" w14:textId="77777777" w:rsidR="00401547" w:rsidRPr="00840C56" w:rsidRDefault="00401547" w:rsidP="00401547">
      <w:pPr>
        <w:pStyle w:val="Normal12a"/>
        <w:rPr>
          <w:rStyle w:val="HideTWBExt"/>
        </w:rPr>
      </w:pPr>
      <w:r>
        <w:rPr>
          <w:rStyle w:val="HideTWBExt"/>
        </w:rPr>
        <w:t>&lt;RepeatBlock-Dec&gt;</w:t>
      </w:r>
    </w:p>
    <w:p w14:paraId="31E2827A" w14:textId="77777777" w:rsidR="00401547" w:rsidRPr="00DA7F4B" w:rsidRDefault="00401547" w:rsidP="00401547">
      <w:pPr>
        <w:pStyle w:val="NormalHanging12a"/>
      </w:pPr>
      <w:r>
        <w:t>A.</w:t>
      </w:r>
      <w:r>
        <w:tab/>
        <w:t>mając na uwadze, że równouprawnienie płci i eliminacja zjawiska nierówności to podstawowe wartości Unii Europejskiej, zapisane w art. 2 Traktatu o Unii Europejskiej; mając na uwadze, że równość kobiet i mężczyzn jest jedną z podstawowych wartości Unii, a Unia zobowiązała się do promowania równości płci we wszystkich swoich działaniach zgodnie z art. 8 Traktatu o funkcjonowaniu Unii Europejskiej (TFUE), ustanawiając tym samym zasadę uwzględniania aspektu płci i sporządzania budżetu z uwzględnieniem aspektu płci, oraz Kartą praw podstawowych Unii Europejskiej;</w:t>
      </w:r>
    </w:p>
    <w:p w14:paraId="77600124" w14:textId="222716E8" w:rsidR="00401547" w:rsidRPr="00DA7F4B" w:rsidRDefault="00401547" w:rsidP="00401547">
      <w:pPr>
        <w:pStyle w:val="NormalHanging12a"/>
      </w:pPr>
      <w:r>
        <w:t>B.</w:t>
      </w:r>
      <w:r>
        <w:tab/>
        <w:t>mając na uwadze, że Komisja Europejska wzmocniła swoje zaangażowanie na rzecz Unii równości, czego wyrazem jest komunikat Komisji do Parlamentu Europejskiego, Rady, Europejskiego Komitetu Ekonomiczno-Społecznego i Komitetu Regionów, który wprowadza strategię na rzecz równouprawnienia płci na lata 2020–2025 zgodnie z art. 8 Traktatu o funkcjonowaniu Unii Europejskiej (TFUE);</w:t>
      </w:r>
    </w:p>
    <w:p w14:paraId="04C582A3" w14:textId="5052B141" w:rsidR="00401547" w:rsidRPr="00DA7F4B" w:rsidRDefault="00401547" w:rsidP="00401547">
      <w:pPr>
        <w:pStyle w:val="NormalHanging12a"/>
      </w:pPr>
      <w:r>
        <w:t>C.</w:t>
      </w:r>
      <w:r>
        <w:tab/>
        <w:t>mając na uwadze, że w Planie działania w dziedzinie edukacji cyfrowej na lata 2021–2027 będzie się dążyć w szczególności do większego włączenia kobiet w dziedziny nauki i kariery związane z technologiami cyfrowymi i STEM, w tym w charakterze przedsiębiorców; mając na uwadze, że przyszłe mechanizmy finansowania powinny ułatwiać to zwiększone włączenie kobiet i dziewcząt;</w:t>
      </w:r>
    </w:p>
    <w:p w14:paraId="064642F0" w14:textId="7B5081E6" w:rsidR="00401547" w:rsidRPr="00DA7F4B" w:rsidRDefault="00401547" w:rsidP="00401547">
      <w:pPr>
        <w:pStyle w:val="NormalHanging12a"/>
      </w:pPr>
      <w:r>
        <w:t>D.</w:t>
      </w:r>
      <w:r>
        <w:tab/>
        <w:t>mając na uwadze, że według Europejskiej Sieci Zapobiegania Przestępczości cele programu Dafne były i pozostają adekwatne do potrzeb leżących u ich podstaw, tj. ochrony dzieci, młodzieży i kobiet przed przemocą i zapobiegania jej;</w:t>
      </w:r>
    </w:p>
    <w:p w14:paraId="3D58D1EC" w14:textId="77777777" w:rsidR="00401547" w:rsidRPr="00DA7F4B" w:rsidRDefault="00401547" w:rsidP="00401547">
      <w:pPr>
        <w:pStyle w:val="NormalHanging12a"/>
      </w:pPr>
      <w:r>
        <w:t>E.</w:t>
      </w:r>
      <w:r>
        <w:tab/>
        <w:t>mając na uwadze, że Unia może poprawić swoje podejście do promowania równości w ramach swojej polityki, prawodawstwa i mechanizmów finansowania; mając na uwadze, że Parlament Europejski wielokrotnie wzywał Komisję, aby promowała i wdrażała uwzględnianie aspektu płci, w tym sporządzanie budżetu z uwzględnieniem aspektu płci oraz sporządzanie ocen wpływu w aspekcie płci we wszystkich obszarach polityki Unii;</w:t>
      </w:r>
    </w:p>
    <w:p w14:paraId="51DC75ED" w14:textId="77777777" w:rsidR="00401547" w:rsidRPr="00DA7F4B" w:rsidRDefault="00401547" w:rsidP="00401547">
      <w:pPr>
        <w:pStyle w:val="NormalHanging12a"/>
        <w:rPr>
          <w:b/>
          <w:i/>
        </w:rPr>
      </w:pPr>
      <w:r>
        <w:t>F.</w:t>
      </w:r>
      <w:r>
        <w:tab/>
        <w:t xml:space="preserve">mając na uwadze, że na równouprawnienie płci w Unii negatywnie wpłynęły skutki regresu w kwestii równości płci i praw kobiet, zwłaszcza w obszarze zdrowia seksualnego i reprodukcyjnego oraz praw reprodukcyjnych i seksualnych w kilku państwach członkowskich; mając na uwadze, że ochrona i promowanie zdrowia i praw seksualnych i reprodukcyjnych mają zasadnicze znaczenie dla osiągnięcia pełnego równouprawnienia płci i zagwarantowania kobietom autonomii w zakresie ich własnych ciał; mając na uwadze, że ruchy antygenderowe i antyaborcyjne w Europie poczynają sobie coraz śmielej i zyskują coraz większe wpływy; mając na uwadze, że ruchy te są dobrze finansowane i dobrze zorganizowane i prawdopodobnie będą wywierać większą </w:t>
      </w:r>
      <w:r>
        <w:lastRenderedPageBreak/>
        <w:t>presję na prawa kobiet w przyszłości; mając na uwadze, że inne trwające kryzysy, takie jak kryzys klimatyczny, konflikty zbrojne i rosnące koszty życia, również w nieproporcjonalnym stopniu dotykają kobiet; mając na uwadze, że czynniki te jeszcze bardziej pogłębiają nierówności i utrudniają postęp w kierunku równouprawnienia płci;</w:t>
      </w:r>
    </w:p>
    <w:p w14:paraId="7BA7DEC3" w14:textId="296449D5" w:rsidR="00401547" w:rsidRPr="00DA7F4B" w:rsidRDefault="00401547" w:rsidP="00401547">
      <w:pPr>
        <w:pStyle w:val="NormalHanging12a"/>
      </w:pPr>
      <w:r>
        <w:t xml:space="preserve">G </w:t>
      </w:r>
      <w:r>
        <w:tab/>
        <w:t>mając na uwadze, że Karta praw podstawowych Unii Europejskiej nie tylko gwarantuje równouprawnienie płci, ale także chroni godność osoby ludzkiej i zabrania wszelkich form dyskryminacji, w tym dyskryminacji ze względu na orientację seksualną i tożsamość płciową;</w:t>
      </w:r>
    </w:p>
    <w:p w14:paraId="66B68D7F" w14:textId="77777777" w:rsidR="00401547" w:rsidRPr="00DA7F4B" w:rsidRDefault="00401547" w:rsidP="00401547">
      <w:pPr>
        <w:pStyle w:val="NormalHanging12a"/>
      </w:pPr>
      <w:r>
        <w:t>1.</w:t>
      </w:r>
      <w:r>
        <w:tab/>
        <w:t>wyraża poważne zaniepokojenie, że w budżecie Unii nie akcentuje się ochrony kobiet i dziewcząt przed wszystkimi formami przemocy; ubolewa nad brakiem zdezagregowanych danych na temat przemocy ze względu na płeć oraz wzywa do właściwego i szybkiego wdrożenia art. 44 dyrektywy w sprawie zwalczania przemocy wobec kobiet i przemocy domowej</w:t>
      </w:r>
      <w:r w:rsidRPr="00840C56">
        <w:rPr>
          <w:vertAlign w:val="superscript"/>
        </w:rPr>
        <w:footnoteReference w:id="1"/>
      </w:r>
      <w:r>
        <w:t>; zwraca się do Komisji i państw członkowskich o jak najszybsze zbadanie możliwości rozszerzenia zakresu i poprawy jakości gromadzonych danych, w szczególności w celu zapobiegania powtarzającym się lub dającym się przewidzieć przestępstwom, a w każdym razie we wszystkich nowych przepisach i przeglądach; wzywa do obowiązkowych ocen wpływu w aspekcie płci mających na celu ochronę przed przemocą, aby umożliwić monitorowanie skuteczności środków przewidzianych w odpowiednich aktach ustawodawczych;</w:t>
      </w:r>
    </w:p>
    <w:p w14:paraId="5144275A" w14:textId="77777777" w:rsidR="00401547" w:rsidRPr="00DA7F4B" w:rsidRDefault="00401547" w:rsidP="00401547">
      <w:pPr>
        <w:pStyle w:val="NormalHanging12a"/>
        <w:rPr>
          <w:szCs w:val="24"/>
        </w:rPr>
      </w:pPr>
      <w:r>
        <w:t>2.</w:t>
      </w:r>
      <w:r>
        <w:tab/>
        <w:t>podkreśla, że perspektywę równouprawnienia płci należy uwzględnić i zapewnić we wszystkich obszarach polityki, zwłaszcza w świetle wielorakich skutków różnych trwających kryzysów klimatycznych, energetycznych i społecznych związanych z płcią, ze szczególnym uwzględnieniem praw i zdrowia reprodukcyjnego i seksualnego oraz regresu w dziedzinie równości płci i praw kobiet w kilku państwach członkowskich i na całym świecie; ponawia zatem apel o sporządzanie budżetu z uwzględnieniem aspektu płci na wszystkich etapach procedury budżetowej;</w:t>
      </w:r>
    </w:p>
    <w:p w14:paraId="1548707F" w14:textId="07713372" w:rsidR="00401547" w:rsidRPr="00DA7F4B" w:rsidRDefault="00401547" w:rsidP="00401547">
      <w:pPr>
        <w:pStyle w:val="NormalHanging12a"/>
      </w:pPr>
      <w:r>
        <w:t>3.</w:t>
      </w:r>
      <w:r>
        <w:tab/>
        <w:t>podkreśla, że ze względu na prześladowanie, jakiego doświadczają osoby LGTBIQA+, konieczne jest przeznaczenie wystarczającego budżetu na środki zwalczania fobii wobec osób LGTBIQA+, takie jak telefon zaufania w celu uzyskania porady i pomocy;</w:t>
      </w:r>
    </w:p>
    <w:p w14:paraId="6C42349A" w14:textId="77777777" w:rsidR="00401547" w:rsidRPr="00DA7F4B" w:rsidRDefault="00401547" w:rsidP="00401547">
      <w:pPr>
        <w:pStyle w:val="NormalHanging12a"/>
      </w:pPr>
      <w:r>
        <w:t>4.</w:t>
      </w:r>
      <w:r>
        <w:tab/>
        <w:t>dostrzega zaangażowanie Unii na rzecz uwzględniania aspektu płci oraz potrzebę podkreślania kwestii związanych ze zwalczaniem przemocy wobec kobiet i dziewcząt w UE, również przy pomocy kampanii informacyjnych; przypomina, że jedna na trzy kobiety w UE doświadcza w ciągu swojego życia przemocy ze względu na płeć, w tym przemocy fizycznej, seksualnej i psychicznej lub gróźb przemocy</w:t>
      </w:r>
      <w:r w:rsidRPr="00840C56">
        <w:rPr>
          <w:vertAlign w:val="superscript"/>
        </w:rPr>
        <w:footnoteReference w:id="2"/>
      </w:r>
      <w:r>
        <w:t>; podkreśla potrzebę akcentowania, że gwałt pozostaje jednym z najbardziej rozpowszechnionych naruszeń praw człowieka oraz że pilnie należy wypracować na szczeblu europejskim wspólną definicję gwałtu na podstawie braku zgody, obejmującą wspólne minimalne kary w prawie krajowym; powtarza, że każdy seks bez zgody musi być klasyfikowany jako gwałt w każdym państwie członkowskim UE;</w:t>
      </w:r>
    </w:p>
    <w:p w14:paraId="7B20829B" w14:textId="77777777" w:rsidR="00401547" w:rsidRPr="00DA7F4B" w:rsidRDefault="00401547" w:rsidP="00401547">
      <w:pPr>
        <w:pStyle w:val="NormalHanging12a"/>
        <w:rPr>
          <w:szCs w:val="24"/>
        </w:rPr>
      </w:pPr>
      <w:r>
        <w:t>5.</w:t>
      </w:r>
      <w:r>
        <w:tab/>
        <w:t xml:space="preserve">powtarza, że zdrowie i prawa seksualne i reprodukcyjne są podstawowymi prawami </w:t>
      </w:r>
      <w:r>
        <w:lastRenderedPageBreak/>
        <w:t>człowieka, a ich realizacja jest podstawowym aspektem godności osoby ludzkiej i warunkiem wstępnym osiągnięcia równouprawnienia płci; wzywa do podjęcia zdecydowanych europejskich wysiłków na rzecz ochrony naszych podstawowych wartości, takich jak równe prawa do autonomii cielesnej i dostęp do zdrowia seksualnego i reprodukcyjnego oraz praw w tym zakresie, w tym bezpiecznej i legalnej aborcji; podkreśla potrzebę zwiększenia środków budżetowych z myślą o powszechnym poszanowaniu praw i zdrowia reprodukcyjnego i seksualnego oraz dostępie do nich, w tym dostępie do bezpłatnej, bezpiecznej i legalnej aborcji oraz innych podstawowych usług w zakresie zdrowia reprodukcyjnego;</w:t>
      </w:r>
    </w:p>
    <w:p w14:paraId="00299100" w14:textId="1CCF3F55" w:rsidR="00401547" w:rsidRPr="00DA7F4B" w:rsidRDefault="00401547" w:rsidP="00401547">
      <w:pPr>
        <w:pStyle w:val="NormalHanging12a"/>
      </w:pPr>
      <w:r>
        <w:t>6.</w:t>
      </w:r>
      <w:r>
        <w:tab/>
        <w:t>z zadowoleniem przyjmuje opracowanie i wdrożenie metodyki sporządzania budżetu z uwzględnieniem aspektu płci; przypomina o potrzebie dalszego rozwoju i poprawy jej stosowania; wzywa do sprawniejszego gromadzenia i oceny porównywalnych danych w podziale na płeć w kontekście wszystkich odpowiednich strategii politycznych UE oraz sprawozdawczości w tym zakresie; wzywa Komisję do priorytetowego potraktowania tej kwestii;</w:t>
      </w:r>
    </w:p>
    <w:p w14:paraId="531781CF" w14:textId="77777777" w:rsidR="00401547" w:rsidRPr="00DA7F4B" w:rsidRDefault="00401547" w:rsidP="00401547">
      <w:pPr>
        <w:pStyle w:val="NormalHanging12a"/>
      </w:pPr>
      <w:r>
        <w:t>7.</w:t>
      </w:r>
      <w:r>
        <w:tab/>
        <w:t>jest zaniepokojony rosnącym ryzykiem finansowym spowodowanym rosyjską wojną napastniczą przeciwko Ukrainie i jego wpływem na kobiety; dostrzega trudną sytuację kobiet w kontekście wojny i w strefach konfliktu, a także potrzebę priorytetowego traktowania strategii politycznych na rzecz ochrony dzieci, kobiet i rodzin, zwłaszcza w zakresie udzielania pomocy w sytuacjach konfliktu i dostępu do usług opieki zdrowotnej, w tym antykoncepcji awaryjnej, badań w kierunku zakażeń przenoszonych drogą płciową, profilaktyki poekspozycyjnej i dostępu do bezpiecznej i legalnej opieki aborcyjnej; potępia przemoc ze względu na płeć związaną z konfliktem, w tym przemoc seksualną i gwałty jako narzędzie wojny; wzywa do ochrony i wspierania kobiet, w tym zapobiegania handlowi ludźmi i wykorzystywaniu seksualnemu, zwłaszcza w zakresie udzielania pomocy w sytuacjach konfliktu i dostępu do usług opieki zdrowotnej, w tym dostępu do bezpiecznej i legalnej aborcji;</w:t>
      </w:r>
    </w:p>
    <w:p w14:paraId="555EEB12" w14:textId="55BD6C14" w:rsidR="00401547" w:rsidRPr="00DA7F4B" w:rsidRDefault="00401547" w:rsidP="00401547">
      <w:pPr>
        <w:pStyle w:val="NormalHanging12a"/>
      </w:pPr>
      <w:r>
        <w:t>8.</w:t>
      </w:r>
      <w:r>
        <w:tab/>
        <w:t>przypomina, że udział w rynku pracy jest znacznie niższy wśród kobiet i mężczyzn z niepełnosprawnościami w porównaniu z osobami bez niepełnosprawności; wzywa do podjęcia odpowiednich środków w celu rozwiązania tego problemu;</w:t>
      </w:r>
    </w:p>
    <w:p w14:paraId="2DA5E463" w14:textId="77777777" w:rsidR="00401547" w:rsidRPr="00DA7F4B" w:rsidRDefault="00401547" w:rsidP="00401547">
      <w:pPr>
        <w:pStyle w:val="NormalHanging12a"/>
      </w:pPr>
      <w:r>
        <w:t>9.</w:t>
      </w:r>
      <w:r>
        <w:tab/>
        <w:t xml:space="preserve">popiera cel inicjatywy ONZ „Spotlight”, jakim jest położenie kresu przemocy wobec kobiet i dziewcząt oraz zaspokojenie potrzeb grup szczególnie podatnych na zagrożenia, takich jak ofiary szkodliwych praktyk, do których należy okaleczanie żeńskich narządów płciowych lub małżeństwa dzieci, a także podkreśla potrzebę zadbania o to, aby środki te obejmowały kobiety z kręgów LBTIQA+; wzywa Komisję do zaprzestania finansowania ruchów w Unii i poza nią, które przyczyniają się do ucisku kobiet we wszystkich jego przejawach, w tym kampanii przeciwko prawom podstawowym, które obejmują również prawa kobiet oraz prawa i zdrowie seksualne i reprodukcyjne; wzywa Komisję i państwa członkowskie do wzmocnienia kampanii uświadamiających przeciwko przemocy i dyskryminacji ze względu na płeć, uwzględniających jednoznacznie działania edukacyjne mające na celu zwalczanie fobii wobec osób LGBTIQA+ oraz promowanie praw seksualnych i reprodukcyjnych; wzywa do opracowania kompleksowych i stosownych do wieku programów edukacji seksualnej i dotyczącej związków, promujących równouprawnienie płci, zgodę i </w:t>
      </w:r>
      <w:r>
        <w:lastRenderedPageBreak/>
        <w:t>poszanowanie różnorodności we wszystkich państwach członkowskich;</w:t>
      </w:r>
    </w:p>
    <w:p w14:paraId="7AFF3C11" w14:textId="5EE8310D" w:rsidR="00401547" w:rsidRPr="00DA7F4B" w:rsidRDefault="00401547" w:rsidP="00401547">
      <w:pPr>
        <w:pStyle w:val="NormalHanging12a"/>
      </w:pPr>
      <w:r>
        <w:t>10.</w:t>
      </w:r>
      <w:r>
        <w:tab/>
        <w:t>wzywa do tego, aby budżet UE w większym stopniu uwzględniał kobiety, które obecnie mają ograniczone możliwości wymiany i rozwoju kompetencji, na przykład poprzez programy mentorskie lub sieci zawodowe ze wszystkich sektorów gospodarki europejskiej;</w:t>
      </w:r>
    </w:p>
    <w:p w14:paraId="049FEE8A" w14:textId="0CAEAE3F" w:rsidR="00401547" w:rsidRPr="00DA7F4B" w:rsidRDefault="00401547" w:rsidP="00401547">
      <w:pPr>
        <w:pStyle w:val="NormalHanging12a"/>
      </w:pPr>
      <w:r>
        <w:t>11.</w:t>
      </w:r>
      <w:r>
        <w:tab/>
        <w:t>przypomina, że zgodnie z art. 11 ust. 2 TUE instytucje UE muszą prowadzić otwarty, przejrzysty i zorganizowany dialog z organizacjami społeczeństwa obywatelskiego i stowarzyszeniami przedstawicielskimi oraz podkreśla w szczególności w tym względzie, że powodzenie finansowania strukturalnego jest warunkiem wstępnym zapewniającym udział społeczeństwa i bez którego obywatele nie mogliby zabierać głosu na szczeblu UE za pośrednictwem reprezentujących ich stowarzyszeń, a także prowadzić regularnego dialogu z instytucjami UE przyczyniając się do demokratycznego uczestnictwa w kształtowaniu polityki oraz do otwartego i szeroko zakrojonego dialogu, zapewniając, by brana była pod uwagę różnorodność poglądów i wyrażanych obaw przy takim samym dostępie dla interesu publicznego w porównaniu z interesem komercyjnym, pełnić roli monitorującej wdrażanie polityk i prawodawstwa UE, w tym wykorzystanie funduszy UE lub działać jako mechanizmy kontroli i równowagi dla praworządności; przypomina o zawartym w jej wytycznych politycznych zobowiązaniu Komisji do zacieśnienia współpracy z organizacjami społeczeństwa obywatelskiego, które posiadają wiedzę ekspercką oraz powinny odgrywać ważną rolę w obronie szczególnych kwestii społecznych i praw człowieka, co oznacza, że chociaż Komisja nie powinna nakazywać organizacjom pozarządowym prowadzenia określonych działań lub wspierania określonych stanowisk lub strategii politycznych, fundamentalne znaczenie w dalszym ciągu ma to, że organizacje społeczeństwa obywatelskiego, dzięki finansowaniu UE, mogą angażować się w „otwarty, przejrzysty i zorganizowany dialog z instytucjami UE”, jak zapisano w art. 11 TUE, a to poprzez działania takie jak rzecznictwo, demonstracje lub pozwy sądowe, i powinny one nadal kwalifikować się do odpowiednich programów finansowania i mieć dostęp do wystarczających funduszy celowych;</w:t>
      </w:r>
    </w:p>
    <w:p w14:paraId="2E998860" w14:textId="245F574B" w:rsidR="00401547" w:rsidRPr="00DA7F4B" w:rsidRDefault="00401547" w:rsidP="00401547">
      <w:pPr>
        <w:pStyle w:val="NormalHanging12a"/>
      </w:pPr>
      <w:r>
        <w:t>12.</w:t>
      </w:r>
      <w:r>
        <w:tab/>
        <w:t>podkreśla potrzebę zapewnienia, aby wszystkie fundusze UE dotarły do zamierzonych odbiorców oraz zadbania o to, aby żadne fundusze UE nie były przyznawane ani powiązane z jakąkolwiek przyczyną lub formą terroryzmu, co miałoby katastrofalne skutki dla kobiet i dziewcząt;</w:t>
      </w:r>
    </w:p>
    <w:p w14:paraId="63AFD744" w14:textId="77777777" w:rsidR="00401547" w:rsidRPr="00DA7F4B" w:rsidRDefault="00401547" w:rsidP="00401547">
      <w:pPr>
        <w:pStyle w:val="NormalHanging12a"/>
      </w:pPr>
      <w:r>
        <w:t>13.</w:t>
      </w:r>
      <w:r>
        <w:tab/>
        <w:t xml:space="preserve">apeluje o stabilne ramy finansowania w celu zapewnienia skuteczności i trwałości programu Dafne z myślą o ochronie kobiet i dzieci przed przemocą; wyraża uznanie dla efektywności programu Dafne, czego przykładem są imponujące wyniki i wpływ w porównaniu do skromnych przyznanych środków; podkreśla znaczenie specjalnej linii budżetowej na rzecz inicjatywy Dafne, aby poprawić widoczność, przejrzystość i rozliczalność w odniesieniu do rozdziału funduszy, zwłaszcza poprzez środki służące zwalczaniu przemocy ze względu na płeć wobec kobiet i dziewcząt na wszystkich szczeblach i we wszystkich formach oraz przemocy domowej, a także aby należycie wspierać ofiary; dostrzega, że celem programu Dafne jest ochrona dzieci, młodzieży i kobiet przed wszelkiego rodzaju przemocą, handlem ludźmi oraz osiągnięcie wysokiego poziomu ochrony zdrowia, dobrobytu i spójności społecznej; w związku z tym wzywa </w:t>
      </w:r>
      <w:r>
        <w:lastRenderedPageBreak/>
        <w:t>UE do uznania programu za priorytet w ramach budżetu UE;</w:t>
      </w:r>
    </w:p>
    <w:p w14:paraId="627B80FB" w14:textId="78A498C2" w:rsidR="00401547" w:rsidRPr="00DA7F4B" w:rsidRDefault="00401547" w:rsidP="00401547">
      <w:pPr>
        <w:pStyle w:val="NormalHanging12a"/>
      </w:pPr>
      <w:r>
        <w:t>14.</w:t>
      </w:r>
      <w:r>
        <w:tab/>
        <w:t>domaga się utworzenia specjalnego programu w ramach finansowania programu Dafne w celu przeciwdziałania przemocy wobec kobiet LGBTIQA+, w tym zapewnienia bezpiecznych schronisk, dostępu do usług wsparcia dostosowanych do ich potrzeb oraz ochrony ich praw w zakresie zdrowia seksualnego i reprodukcyjnego.</w:t>
      </w:r>
    </w:p>
    <w:p w14:paraId="370FF646" w14:textId="77777777" w:rsidR="00401547" w:rsidRPr="00DA7F4B" w:rsidRDefault="00401547" w:rsidP="00401547">
      <w:pPr>
        <w:pStyle w:val="NormalHanging12a"/>
        <w:rPr>
          <w:lang w:val="en-GB"/>
        </w:rPr>
      </w:pPr>
    </w:p>
    <w:p w14:paraId="7A67B424" w14:textId="77777777" w:rsidR="00401547" w:rsidRPr="00DA7F4B" w:rsidRDefault="00401547" w:rsidP="00401547">
      <w:pPr>
        <w:pStyle w:val="NormalHanging12a"/>
        <w:rPr>
          <w:rStyle w:val="HideTWBExt"/>
        </w:rPr>
      </w:pPr>
      <w:r>
        <w:rPr>
          <w:rStyle w:val="HideTWBExt"/>
          <w:lang w:val="en-GB"/>
        </w:rPr>
        <w:t>&lt;/RepeatBlock-Dec&gt;</w:t>
      </w:r>
    </w:p>
    <w:p w14:paraId="7776CBAD" w14:textId="77777777" w:rsidR="00401547" w:rsidRPr="00DA7F4B" w:rsidRDefault="00401547" w:rsidP="00401547">
      <w:r>
        <w:br w:type="page"/>
      </w:r>
    </w:p>
    <w:p w14:paraId="23709CC4" w14:textId="77777777" w:rsidR="00401547" w:rsidRPr="00DA7F4B" w:rsidRDefault="00401547" w:rsidP="00401547">
      <w:pPr>
        <w:pStyle w:val="PageHeadingNotTOC"/>
      </w:pPr>
      <w:bookmarkStart w:id="1" w:name="FootprintPageAD"/>
      <w:r>
        <w:lastRenderedPageBreak/>
        <w:t>ZAŁĄCZNIK: PODMIOTY LUB OSOBY, OD KTÓRYCH SPRAWOZDAWCZYNI KOMISJI OPINIODAWCZEJ OTRZYMAŁA INFORMACJE</w:t>
      </w:r>
    </w:p>
    <w:p w14:paraId="323ADADA" w14:textId="77777777" w:rsidR="00401547" w:rsidRPr="00DA7F4B" w:rsidRDefault="00401547" w:rsidP="00401547">
      <w:pPr>
        <w:pStyle w:val="Normal24a"/>
      </w:pPr>
      <w:r>
        <w:rPr>
          <w:rStyle w:val="HideTWBExt"/>
          <w:lang w:val="en-GB"/>
        </w:rPr>
        <w:t>&lt;FootprintIntro&gt;</w:t>
      </w:r>
      <w:r>
        <w:t>Przewodnicząca, jako sprawozdawczyni komisji opiniodawczej, oświadcza na swoją wyłączną odpowiedzialność, że nie otrzymała żadnych informacji od podmiotu ani osoby, które należałoby wskazać w tym załączniku zgodnie z art. 8 załącznika I do Regulaminu.</w:t>
      </w:r>
      <w:r>
        <w:rPr>
          <w:rStyle w:val="HideTWBExt"/>
          <w:lang w:val="en-GB"/>
        </w:rPr>
        <w:t>&lt;/FootprintIntro&gt;</w:t>
      </w:r>
    </w:p>
    <w:p w14:paraId="16EABA42" w14:textId="77777777" w:rsidR="00401547" w:rsidRPr="00DA7F4B" w:rsidRDefault="00401547" w:rsidP="00DA7F4B"/>
    <w:bookmarkEnd w:id="1"/>
    <w:p w14:paraId="3A239021" w14:textId="77777777" w:rsidR="00F33BA7" w:rsidRPr="00DA7F4B" w:rsidRDefault="00F33BA7" w:rsidP="00DA7F4B">
      <w:pPr>
        <w:sectPr w:rsidR="00F33BA7" w:rsidRPr="00DA7F4B" w:rsidSect="00392AC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9CDB54E" w14:textId="17D9892E" w:rsidR="00DA7F4B" w:rsidRDefault="00DA7F4B" w:rsidP="00DA7F4B">
      <w:pPr>
        <w:pStyle w:val="PageHeadingNotTOC"/>
      </w:pPr>
      <w:bookmarkStart w:id="2" w:name="ProcPageAD"/>
      <w:r>
        <w:lastRenderedPageBreak/>
        <w:t>INFORMACJE O PRZYJĘCIU PRZEZ KOMISJĘ OPINIODAWCZĄ</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A7F4B" w14:paraId="0EB7AA4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B162B4" w14:textId="77777777" w:rsidR="00DA7F4B" w:rsidRDefault="00DA7F4B">
            <w:pPr>
              <w:autoSpaceDE w:val="0"/>
              <w:autoSpaceDN w:val="0"/>
              <w:adjustRightInd w:val="0"/>
              <w:rPr>
                <w:b/>
                <w:bCs/>
                <w:color w:val="000000"/>
                <w:sz w:val="20"/>
              </w:rPr>
            </w:pPr>
            <w:r>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724666A" w14:textId="77777777" w:rsidR="00DA7F4B" w:rsidRDefault="00DA7F4B">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79ADE0" w14:textId="77777777" w:rsidR="00DA7F4B" w:rsidRDefault="00DA7F4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9103B26" w14:textId="77777777" w:rsidR="00DA7F4B" w:rsidRDefault="00DA7F4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EB9F34E" w14:textId="77777777" w:rsidR="00DA7F4B" w:rsidRDefault="00DA7F4B">
            <w:pPr>
              <w:autoSpaceDE w:val="0"/>
              <w:autoSpaceDN w:val="0"/>
              <w:adjustRightInd w:val="0"/>
              <w:rPr>
                <w:rFonts w:ascii="sans-serif" w:hAnsi="sans-serif" w:cs="sans-serif"/>
                <w:color w:val="000000"/>
                <w:szCs w:val="24"/>
              </w:rPr>
            </w:pPr>
          </w:p>
        </w:tc>
      </w:tr>
      <w:tr w:rsidR="00DA7F4B" w14:paraId="1613400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0CA024" w14:textId="77777777" w:rsidR="00DA7F4B" w:rsidRDefault="00DA7F4B">
            <w:pPr>
              <w:autoSpaceDE w:val="0"/>
              <w:autoSpaceDN w:val="0"/>
              <w:adjustRightInd w:val="0"/>
              <w:rPr>
                <w:b/>
                <w:bCs/>
                <w:color w:val="000000"/>
                <w:sz w:val="20"/>
              </w:rPr>
            </w:pPr>
            <w:r>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A6854F3" w14:textId="77777777" w:rsidR="00DA7F4B" w:rsidRDefault="00DA7F4B">
            <w:pPr>
              <w:autoSpaceDE w:val="0"/>
              <w:autoSpaceDN w:val="0"/>
              <w:adjustRightInd w:val="0"/>
              <w:rPr>
                <w:color w:val="000000"/>
                <w:sz w:val="20"/>
              </w:rPr>
            </w:pPr>
            <w:r>
              <w:rPr>
                <w:color w:val="000000"/>
                <w:sz w:val="20"/>
              </w:rPr>
              <w:t>+:</w:t>
            </w:r>
          </w:p>
          <w:p w14:paraId="0F8FE03F" w14:textId="77777777" w:rsidR="00DA7F4B" w:rsidRDefault="00DA7F4B">
            <w:pPr>
              <w:autoSpaceDE w:val="0"/>
              <w:autoSpaceDN w:val="0"/>
              <w:adjustRightInd w:val="0"/>
              <w:rPr>
                <w:color w:val="000000"/>
                <w:sz w:val="20"/>
              </w:rPr>
            </w:pPr>
            <w:r>
              <w:rPr>
                <w:color w:val="000000"/>
                <w:sz w:val="20"/>
              </w:rPr>
              <w:t>–:</w:t>
            </w:r>
          </w:p>
          <w:p w14:paraId="1D9A8F01" w14:textId="77777777" w:rsidR="00DA7F4B" w:rsidRDefault="00DA7F4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D6CE318" w14:textId="77777777" w:rsidR="00DA7F4B" w:rsidRDefault="00DA7F4B">
            <w:pPr>
              <w:autoSpaceDE w:val="0"/>
              <w:autoSpaceDN w:val="0"/>
              <w:adjustRightInd w:val="0"/>
              <w:rPr>
                <w:color w:val="000000"/>
                <w:sz w:val="20"/>
              </w:rPr>
            </w:pPr>
            <w:r>
              <w:rPr>
                <w:color w:val="000000"/>
                <w:sz w:val="20"/>
              </w:rPr>
              <w:t>27</w:t>
            </w:r>
          </w:p>
          <w:p w14:paraId="6550DF5E" w14:textId="77777777" w:rsidR="00DA7F4B" w:rsidRDefault="00DA7F4B">
            <w:pPr>
              <w:autoSpaceDE w:val="0"/>
              <w:autoSpaceDN w:val="0"/>
              <w:adjustRightInd w:val="0"/>
              <w:rPr>
                <w:color w:val="000000"/>
                <w:sz w:val="20"/>
              </w:rPr>
            </w:pPr>
            <w:r>
              <w:rPr>
                <w:color w:val="000000"/>
                <w:sz w:val="20"/>
              </w:rPr>
              <w:t>10</w:t>
            </w:r>
          </w:p>
          <w:p w14:paraId="6A95F635" w14:textId="77777777" w:rsidR="00DA7F4B" w:rsidRDefault="00DA7F4B">
            <w:pPr>
              <w:autoSpaceDE w:val="0"/>
              <w:autoSpaceDN w:val="0"/>
              <w:adjustRightInd w:val="0"/>
              <w:rPr>
                <w:color w:val="000000"/>
                <w:sz w:val="20"/>
              </w:rPr>
            </w:pPr>
            <w:r>
              <w:rPr>
                <w:color w:val="000000"/>
                <w:sz w:val="20"/>
              </w:rPr>
              <w:t>1</w:t>
            </w:r>
          </w:p>
        </w:tc>
      </w:tr>
      <w:tr w:rsidR="00DA7F4B" w14:paraId="2CA7A73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8BE7D0" w14:textId="77777777" w:rsidR="00DA7F4B" w:rsidRDefault="00DA7F4B">
            <w:pPr>
              <w:autoSpaceDE w:val="0"/>
              <w:autoSpaceDN w:val="0"/>
              <w:adjustRightInd w:val="0"/>
              <w:rPr>
                <w:b/>
                <w:bCs/>
                <w:color w:val="000000"/>
                <w:sz w:val="20"/>
              </w:rPr>
            </w:pPr>
            <w:r>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491B43" w14:textId="77777777" w:rsidR="00DA7F4B" w:rsidRDefault="00DA7F4B">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DA7F4B" w14:paraId="00A78B0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C5D213" w14:textId="77777777" w:rsidR="00DA7F4B" w:rsidRDefault="00DA7F4B">
            <w:pPr>
              <w:autoSpaceDE w:val="0"/>
              <w:autoSpaceDN w:val="0"/>
              <w:adjustRightInd w:val="0"/>
              <w:rPr>
                <w:b/>
                <w:bCs/>
                <w:color w:val="000000"/>
                <w:sz w:val="20"/>
              </w:rPr>
            </w:pPr>
            <w:r>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E19037C" w14:textId="77777777" w:rsidR="00DA7F4B" w:rsidRDefault="00DA7F4B">
            <w:pPr>
              <w:autoSpaceDE w:val="0"/>
              <w:autoSpaceDN w:val="0"/>
              <w:adjustRightInd w:val="0"/>
              <w:rPr>
                <w:color w:val="000000"/>
                <w:sz w:val="20"/>
              </w:rPr>
            </w:pPr>
            <w:r>
              <w:rPr>
                <w:color w:val="000000"/>
                <w:sz w:val="20"/>
              </w:rPr>
              <w:t>Elena Donazzan, Loucas Fourlas, Elisabeth Grossmann, Jana Toom</w:t>
            </w:r>
          </w:p>
        </w:tc>
      </w:tr>
      <w:tr w:rsidR="00DA7F4B" w14:paraId="1BB6DA7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8E7E37" w14:textId="77777777" w:rsidR="00DA7F4B" w:rsidRDefault="00DA7F4B">
            <w:pPr>
              <w:autoSpaceDE w:val="0"/>
              <w:autoSpaceDN w:val="0"/>
              <w:adjustRightInd w:val="0"/>
              <w:rPr>
                <w:b/>
                <w:bCs/>
                <w:color w:val="000000"/>
                <w:sz w:val="20"/>
              </w:rPr>
            </w:pPr>
            <w:r>
              <w:rPr>
                <w:b/>
                <w:color w:val="000000"/>
                <w:sz w:val="20"/>
              </w:rPr>
              <w:t>Posłowie, o których 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38CCD90" w14:textId="77777777" w:rsidR="00DA7F4B" w:rsidRDefault="00DA7F4B">
            <w:pPr>
              <w:autoSpaceDE w:val="0"/>
              <w:autoSpaceDN w:val="0"/>
              <w:adjustRightInd w:val="0"/>
              <w:rPr>
                <w:color w:val="000000"/>
                <w:sz w:val="20"/>
              </w:rPr>
            </w:pPr>
            <w:r>
              <w:rPr>
                <w:color w:val="000000"/>
                <w:sz w:val="20"/>
              </w:rPr>
              <w:t>Gabriella Gerzsenyi, Nikos Papandreou</w:t>
            </w:r>
          </w:p>
        </w:tc>
      </w:tr>
    </w:tbl>
    <w:p w14:paraId="50E8CAB2" w14:textId="77777777" w:rsidR="00DA7F4B" w:rsidRDefault="00DA7F4B"/>
    <w:bookmarkEnd w:id="2"/>
    <w:p w14:paraId="5D07EA75" w14:textId="711A4517" w:rsidR="00F33BA7" w:rsidRPr="00DA7F4B" w:rsidRDefault="00F33BA7" w:rsidP="00DA7F4B">
      <w:pPr>
        <w:sectPr w:rsidR="00F33BA7" w:rsidRPr="00DA7F4B" w:rsidSect="00F33BA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09D634" w14:textId="2958972E" w:rsidR="005C531D" w:rsidRPr="00DA7F4B" w:rsidRDefault="005C531D" w:rsidP="00DA7F4B">
      <w:pPr>
        <w:pStyle w:val="PageHeadingNotTOC"/>
      </w:pPr>
      <w:bookmarkStart w:id="3" w:name="RollCallPageRR"/>
      <w:bookmarkStart w:id="4" w:name="RollCallPageAD"/>
      <w:r>
        <w:lastRenderedPageBreak/>
        <w:t>GŁOSOWANIE KOŃCOWE W FORMIE GŁOSOWANIA IMIENNEGO</w:t>
      </w:r>
      <w:r>
        <w:br/>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840C56" w14:paraId="6F88AB27" w14:textId="77777777" w:rsidTr="008920AC">
        <w:trPr>
          <w:cantSplit/>
        </w:trPr>
        <w:tc>
          <w:tcPr>
            <w:tcW w:w="1701" w:type="dxa"/>
            <w:shd w:val="pct10" w:color="000000" w:fill="FFFFFF"/>
            <w:vAlign w:val="center"/>
          </w:tcPr>
          <w:p w14:paraId="546B67E6" w14:textId="68553BE3" w:rsidR="005C531D" w:rsidRPr="00840C56" w:rsidRDefault="005C531D" w:rsidP="003858C5">
            <w:pPr>
              <w:pStyle w:val="RollCallVotes"/>
            </w:pPr>
            <w:r>
              <w:t>27</w:t>
            </w:r>
          </w:p>
        </w:tc>
        <w:tc>
          <w:tcPr>
            <w:tcW w:w="7371" w:type="dxa"/>
            <w:shd w:val="pct10" w:color="000000" w:fill="FFFFFF"/>
          </w:tcPr>
          <w:p w14:paraId="377DC8AF" w14:textId="77777777" w:rsidR="005C531D" w:rsidRPr="00840C56" w:rsidRDefault="005C531D" w:rsidP="003858C5">
            <w:pPr>
              <w:pStyle w:val="RollCallSymbols14pt"/>
            </w:pPr>
            <w:r>
              <w:t>+</w:t>
            </w:r>
          </w:p>
        </w:tc>
      </w:tr>
      <w:tr w:rsidR="005C531D" w:rsidRPr="00840C56" w14:paraId="7AF4988A" w14:textId="77777777" w:rsidTr="008920AC">
        <w:trPr>
          <w:cantSplit/>
        </w:trPr>
        <w:tc>
          <w:tcPr>
            <w:tcW w:w="1701" w:type="dxa"/>
            <w:shd w:val="clear" w:color="auto" w:fill="FFFFFF"/>
          </w:tcPr>
          <w:p w14:paraId="691ADF3E" w14:textId="2153B345" w:rsidR="005C531D" w:rsidRPr="00840C56" w:rsidRDefault="005C531D" w:rsidP="003858C5">
            <w:pPr>
              <w:pStyle w:val="RollCallTable"/>
            </w:pPr>
            <w:r>
              <w:t>PPE</w:t>
            </w:r>
          </w:p>
        </w:tc>
        <w:tc>
          <w:tcPr>
            <w:tcW w:w="7371" w:type="dxa"/>
            <w:shd w:val="clear" w:color="auto" w:fill="FFFFFF"/>
          </w:tcPr>
          <w:p w14:paraId="46F332E7" w14:textId="348949D8" w:rsidR="005C531D" w:rsidRPr="00840C56" w:rsidRDefault="005C531D" w:rsidP="003858C5">
            <w:pPr>
              <w:pStyle w:val="RollCallTable"/>
            </w:pPr>
            <w:r>
              <w:t>Loucas Fourlas, Gabriella Gerzsenyi, Arba Kokalari, Ewa Kopacz, Eleonora Meleti, Mirosława Nykiel, Sirpa Pietikäinen, Giusi Princi, Maria Walsh</w:t>
            </w:r>
          </w:p>
        </w:tc>
      </w:tr>
      <w:tr w:rsidR="005C531D" w:rsidRPr="00840C56" w14:paraId="528CBAC1" w14:textId="77777777" w:rsidTr="008920AC">
        <w:trPr>
          <w:cantSplit/>
        </w:trPr>
        <w:tc>
          <w:tcPr>
            <w:tcW w:w="1701" w:type="dxa"/>
            <w:shd w:val="clear" w:color="auto" w:fill="FFFFFF"/>
          </w:tcPr>
          <w:p w14:paraId="7F4F0BDC" w14:textId="63DA0BF1" w:rsidR="005C531D" w:rsidRPr="00840C56" w:rsidRDefault="005C531D" w:rsidP="003858C5">
            <w:pPr>
              <w:pStyle w:val="RollCallTable"/>
            </w:pPr>
            <w:r>
              <w:t>Renew</w:t>
            </w:r>
          </w:p>
        </w:tc>
        <w:tc>
          <w:tcPr>
            <w:tcW w:w="7371" w:type="dxa"/>
            <w:shd w:val="clear" w:color="auto" w:fill="FFFFFF"/>
          </w:tcPr>
          <w:p w14:paraId="1686F5B4" w14:textId="652C52EC" w:rsidR="005C531D" w:rsidRPr="00840C56" w:rsidRDefault="005C531D" w:rsidP="003858C5">
            <w:pPr>
              <w:pStyle w:val="RollCallTable"/>
            </w:pPr>
            <w:r>
              <w:t>Abir Al-Sahlani, Valérie Devaux, Jana Toom, Lucia Yar</w:t>
            </w:r>
          </w:p>
        </w:tc>
      </w:tr>
      <w:tr w:rsidR="005C531D" w:rsidRPr="00840C56" w14:paraId="7420EACD" w14:textId="77777777" w:rsidTr="008920AC">
        <w:trPr>
          <w:cantSplit/>
        </w:trPr>
        <w:tc>
          <w:tcPr>
            <w:tcW w:w="1701" w:type="dxa"/>
            <w:shd w:val="clear" w:color="auto" w:fill="FFFFFF"/>
          </w:tcPr>
          <w:p w14:paraId="33DB5250" w14:textId="58C06892" w:rsidR="005C531D" w:rsidRPr="00840C56" w:rsidRDefault="005C531D" w:rsidP="003858C5">
            <w:pPr>
              <w:pStyle w:val="RollCallTable"/>
            </w:pPr>
            <w:r>
              <w:t>S&amp;D</w:t>
            </w:r>
          </w:p>
        </w:tc>
        <w:tc>
          <w:tcPr>
            <w:tcW w:w="7371" w:type="dxa"/>
            <w:shd w:val="clear" w:color="auto" w:fill="FFFFFF"/>
          </w:tcPr>
          <w:p w14:paraId="7FF1A3AC" w14:textId="07058373" w:rsidR="005C531D" w:rsidRPr="00840C56" w:rsidRDefault="005C531D" w:rsidP="003858C5">
            <w:pPr>
              <w:pStyle w:val="RollCallTable"/>
            </w:pPr>
            <w:r>
              <w:t>Heléne Fritzon, Lina Gálvez, Elisabeth Grossmann, Maria Noichl, Nikos Papandreou, Emma Rafowicz, Joanna Scheuring-Wielgus, Marko Vešligaj</w:t>
            </w:r>
          </w:p>
        </w:tc>
      </w:tr>
      <w:tr w:rsidR="005C531D" w:rsidRPr="00840C56" w14:paraId="3F01B7F6" w14:textId="77777777" w:rsidTr="008920AC">
        <w:trPr>
          <w:cantSplit/>
        </w:trPr>
        <w:tc>
          <w:tcPr>
            <w:tcW w:w="1701" w:type="dxa"/>
            <w:shd w:val="clear" w:color="auto" w:fill="FFFFFF"/>
          </w:tcPr>
          <w:p w14:paraId="664DC0C5" w14:textId="4F7F9C5F" w:rsidR="005C531D" w:rsidRPr="00840C56" w:rsidRDefault="005C531D" w:rsidP="003858C5">
            <w:pPr>
              <w:pStyle w:val="RollCallTable"/>
            </w:pPr>
            <w:r>
              <w:t>The Left</w:t>
            </w:r>
          </w:p>
        </w:tc>
        <w:tc>
          <w:tcPr>
            <w:tcW w:w="7371" w:type="dxa"/>
            <w:shd w:val="clear" w:color="auto" w:fill="FFFFFF"/>
          </w:tcPr>
          <w:p w14:paraId="4FE92A1F" w14:textId="2537AF3B" w:rsidR="005C531D" w:rsidRPr="00840C56" w:rsidRDefault="005C531D" w:rsidP="003858C5">
            <w:pPr>
              <w:pStyle w:val="RollCallTable"/>
            </w:pPr>
            <w:r>
              <w:t>Elena Kountoura, Irene Montero, Carolina Morace</w:t>
            </w:r>
          </w:p>
        </w:tc>
      </w:tr>
      <w:tr w:rsidR="005C531D" w:rsidRPr="00DA7F4B" w14:paraId="5501F7B8" w14:textId="77777777" w:rsidTr="008920AC">
        <w:trPr>
          <w:cantSplit/>
        </w:trPr>
        <w:tc>
          <w:tcPr>
            <w:tcW w:w="1701" w:type="dxa"/>
            <w:shd w:val="clear" w:color="auto" w:fill="FFFFFF"/>
          </w:tcPr>
          <w:p w14:paraId="5D57AAA2" w14:textId="12C402E7" w:rsidR="005C531D" w:rsidRPr="00840C56" w:rsidRDefault="005C531D" w:rsidP="003858C5">
            <w:pPr>
              <w:pStyle w:val="RollCallTable"/>
            </w:pPr>
            <w:r>
              <w:t>Verts/ALE</w:t>
            </w:r>
          </w:p>
        </w:tc>
        <w:tc>
          <w:tcPr>
            <w:tcW w:w="7371" w:type="dxa"/>
            <w:shd w:val="clear" w:color="auto" w:fill="FFFFFF"/>
          </w:tcPr>
          <w:p w14:paraId="0739F1E8" w14:textId="3DB48B7B" w:rsidR="005C531D" w:rsidRPr="00DA7F4B" w:rsidRDefault="005C531D" w:rsidP="003858C5">
            <w:pPr>
              <w:pStyle w:val="RollCallTable"/>
            </w:pPr>
            <w:r>
              <w:t>Mélissa Camara, Alexandra Geese, Benedetta Scuderi</w:t>
            </w:r>
          </w:p>
        </w:tc>
      </w:tr>
    </w:tbl>
    <w:p w14:paraId="148CD10F" w14:textId="77777777" w:rsidR="005C531D" w:rsidRPr="00DA7F4B" w:rsidRDefault="005C531D" w:rsidP="00147FBF">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840C56" w14:paraId="77605BBB" w14:textId="77777777" w:rsidTr="008920AC">
        <w:trPr>
          <w:cantSplit/>
        </w:trPr>
        <w:tc>
          <w:tcPr>
            <w:tcW w:w="1701" w:type="dxa"/>
            <w:shd w:val="pct10" w:color="000000" w:fill="FFFFFF"/>
            <w:vAlign w:val="center"/>
          </w:tcPr>
          <w:p w14:paraId="793CE7B7" w14:textId="2A993313" w:rsidR="005C531D" w:rsidRPr="00840C56" w:rsidRDefault="005C531D" w:rsidP="003858C5">
            <w:pPr>
              <w:pStyle w:val="RollCallVotes"/>
            </w:pPr>
            <w:r>
              <w:t>10</w:t>
            </w:r>
          </w:p>
        </w:tc>
        <w:tc>
          <w:tcPr>
            <w:tcW w:w="7371" w:type="dxa"/>
            <w:shd w:val="pct10" w:color="000000" w:fill="FFFFFF"/>
          </w:tcPr>
          <w:p w14:paraId="30924B52" w14:textId="77777777" w:rsidR="005C531D" w:rsidRPr="00840C56" w:rsidRDefault="005C531D" w:rsidP="003858C5">
            <w:pPr>
              <w:pStyle w:val="RollCallSymbols14pt"/>
            </w:pPr>
            <w:r>
              <w:t>-</w:t>
            </w:r>
          </w:p>
        </w:tc>
      </w:tr>
      <w:tr w:rsidR="005C531D" w:rsidRPr="00DA7F4B" w14:paraId="1F68DDD5" w14:textId="77777777" w:rsidTr="008920AC">
        <w:trPr>
          <w:cantSplit/>
        </w:trPr>
        <w:tc>
          <w:tcPr>
            <w:tcW w:w="1701" w:type="dxa"/>
            <w:shd w:val="clear" w:color="auto" w:fill="FFFFFF"/>
          </w:tcPr>
          <w:p w14:paraId="46AC180F" w14:textId="516029C1" w:rsidR="005C531D" w:rsidRPr="00840C56" w:rsidRDefault="005C531D" w:rsidP="003858C5">
            <w:pPr>
              <w:pStyle w:val="RollCallTable"/>
            </w:pPr>
            <w:r>
              <w:t>ECR</w:t>
            </w:r>
          </w:p>
        </w:tc>
        <w:tc>
          <w:tcPr>
            <w:tcW w:w="7371" w:type="dxa"/>
            <w:shd w:val="clear" w:color="auto" w:fill="FFFFFF"/>
          </w:tcPr>
          <w:p w14:paraId="5323CC7E" w14:textId="426422E7" w:rsidR="005C531D" w:rsidRPr="00DA7F4B" w:rsidRDefault="005C531D" w:rsidP="003858C5">
            <w:pPr>
              <w:pStyle w:val="RollCallTable"/>
            </w:pPr>
            <w:r>
              <w:t>Elena Donazzan, Chiara Gemma, Assita Kanko, Laurence Trochu</w:t>
            </w:r>
          </w:p>
        </w:tc>
      </w:tr>
      <w:tr w:rsidR="005C531D" w:rsidRPr="00840C56" w14:paraId="4B9D6D07" w14:textId="77777777" w:rsidTr="008920AC">
        <w:trPr>
          <w:cantSplit/>
        </w:trPr>
        <w:tc>
          <w:tcPr>
            <w:tcW w:w="1701" w:type="dxa"/>
            <w:shd w:val="clear" w:color="auto" w:fill="FFFFFF"/>
          </w:tcPr>
          <w:p w14:paraId="1560C2DF" w14:textId="50BCF8C2" w:rsidR="005C531D" w:rsidRPr="00840C56" w:rsidRDefault="005C531D" w:rsidP="003858C5">
            <w:pPr>
              <w:pStyle w:val="RollCallTable"/>
            </w:pPr>
            <w:r>
              <w:t>ESN</w:t>
            </w:r>
          </w:p>
        </w:tc>
        <w:tc>
          <w:tcPr>
            <w:tcW w:w="7371" w:type="dxa"/>
            <w:shd w:val="clear" w:color="auto" w:fill="FFFFFF"/>
          </w:tcPr>
          <w:p w14:paraId="3C20A66D" w14:textId="0E2C5210" w:rsidR="005C531D" w:rsidRPr="00840C56" w:rsidRDefault="005C531D" w:rsidP="003858C5">
            <w:pPr>
              <w:pStyle w:val="RollCallTable"/>
            </w:pPr>
            <w:r>
              <w:t>Irmhild Boßdorf</w:t>
            </w:r>
          </w:p>
        </w:tc>
      </w:tr>
      <w:tr w:rsidR="005C531D" w:rsidRPr="00840C56" w14:paraId="17ABE659" w14:textId="77777777" w:rsidTr="008920AC">
        <w:trPr>
          <w:cantSplit/>
        </w:trPr>
        <w:tc>
          <w:tcPr>
            <w:tcW w:w="1701" w:type="dxa"/>
            <w:shd w:val="clear" w:color="auto" w:fill="FFFFFF"/>
          </w:tcPr>
          <w:p w14:paraId="7F662DBB" w14:textId="49F092D8" w:rsidR="005C531D" w:rsidRPr="00840C56" w:rsidRDefault="005C531D" w:rsidP="003858C5">
            <w:pPr>
              <w:pStyle w:val="RollCallTable"/>
            </w:pPr>
            <w:r>
              <w:t>NI</w:t>
            </w:r>
          </w:p>
        </w:tc>
        <w:tc>
          <w:tcPr>
            <w:tcW w:w="7371" w:type="dxa"/>
            <w:shd w:val="clear" w:color="auto" w:fill="FFFFFF"/>
          </w:tcPr>
          <w:p w14:paraId="0DF55433" w14:textId="3AF7A3C5" w:rsidR="005C531D" w:rsidRPr="00840C56" w:rsidRDefault="005C531D" w:rsidP="003858C5">
            <w:pPr>
              <w:pStyle w:val="RollCallTable"/>
            </w:pPr>
            <w:r>
              <w:t>Judita Laššáková</w:t>
            </w:r>
          </w:p>
        </w:tc>
      </w:tr>
      <w:tr w:rsidR="005C531D" w:rsidRPr="00840C56" w14:paraId="489A558E" w14:textId="77777777" w:rsidTr="008920AC">
        <w:trPr>
          <w:cantSplit/>
        </w:trPr>
        <w:tc>
          <w:tcPr>
            <w:tcW w:w="1701" w:type="dxa"/>
            <w:shd w:val="clear" w:color="auto" w:fill="FFFFFF"/>
          </w:tcPr>
          <w:p w14:paraId="3EB64F08" w14:textId="682DB058" w:rsidR="005C531D" w:rsidRPr="00840C56" w:rsidRDefault="005C531D" w:rsidP="003858C5">
            <w:pPr>
              <w:pStyle w:val="RollCallTable"/>
            </w:pPr>
            <w:r>
              <w:t>PfE</w:t>
            </w:r>
          </w:p>
        </w:tc>
        <w:tc>
          <w:tcPr>
            <w:tcW w:w="7371" w:type="dxa"/>
            <w:shd w:val="clear" w:color="auto" w:fill="FFFFFF"/>
          </w:tcPr>
          <w:p w14:paraId="7302AC56" w14:textId="561BD91B" w:rsidR="005C531D" w:rsidRPr="00840C56" w:rsidRDefault="005C531D" w:rsidP="003858C5">
            <w:pPr>
              <w:pStyle w:val="RollCallTable"/>
            </w:pPr>
            <w:r>
              <w:t>Mireia Borrás Pabón, Elisabeth Dieringer, Sebastian Kruis, Margarita de la Pisa Carrión</w:t>
            </w:r>
          </w:p>
        </w:tc>
      </w:tr>
    </w:tbl>
    <w:p w14:paraId="151308FA" w14:textId="77777777" w:rsidR="005C531D" w:rsidRPr="00840C56" w:rsidRDefault="005C531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840C56" w14:paraId="13F25481" w14:textId="77777777" w:rsidTr="008920AC">
        <w:trPr>
          <w:cantSplit/>
        </w:trPr>
        <w:tc>
          <w:tcPr>
            <w:tcW w:w="1701" w:type="dxa"/>
            <w:shd w:val="pct10" w:color="000000" w:fill="FFFFFF"/>
            <w:vAlign w:val="center"/>
          </w:tcPr>
          <w:p w14:paraId="164C1512" w14:textId="1ECA7D67" w:rsidR="005C531D" w:rsidRPr="00840C56" w:rsidRDefault="005C531D" w:rsidP="003858C5">
            <w:pPr>
              <w:pStyle w:val="RollCallVotes"/>
            </w:pPr>
            <w:r>
              <w:t>1</w:t>
            </w:r>
          </w:p>
        </w:tc>
        <w:tc>
          <w:tcPr>
            <w:tcW w:w="7371" w:type="dxa"/>
            <w:shd w:val="pct10" w:color="000000" w:fill="FFFFFF"/>
          </w:tcPr>
          <w:p w14:paraId="7FD11A7E" w14:textId="77777777" w:rsidR="005C531D" w:rsidRPr="00840C56" w:rsidRDefault="005C531D" w:rsidP="003858C5">
            <w:pPr>
              <w:pStyle w:val="RollCallSymbols14pt"/>
            </w:pPr>
            <w:r>
              <w:t>0</w:t>
            </w:r>
          </w:p>
        </w:tc>
      </w:tr>
      <w:tr w:rsidR="005C531D" w:rsidRPr="00840C56" w14:paraId="6E3534AE" w14:textId="77777777" w:rsidTr="008920AC">
        <w:trPr>
          <w:cantSplit/>
        </w:trPr>
        <w:tc>
          <w:tcPr>
            <w:tcW w:w="1701" w:type="dxa"/>
            <w:shd w:val="clear" w:color="auto" w:fill="FFFFFF"/>
          </w:tcPr>
          <w:p w14:paraId="52A08EBC" w14:textId="4F29ACD8" w:rsidR="005C531D" w:rsidRPr="00840C56" w:rsidRDefault="005C531D" w:rsidP="003858C5">
            <w:pPr>
              <w:pStyle w:val="RollCallTable"/>
            </w:pPr>
            <w:r>
              <w:t>PPE</w:t>
            </w:r>
          </w:p>
        </w:tc>
        <w:tc>
          <w:tcPr>
            <w:tcW w:w="7371" w:type="dxa"/>
            <w:shd w:val="clear" w:color="auto" w:fill="FFFFFF"/>
          </w:tcPr>
          <w:p w14:paraId="7490B323" w14:textId="7C9ABFFE" w:rsidR="005C531D" w:rsidRPr="00840C56" w:rsidRDefault="005C531D" w:rsidP="003858C5">
            <w:pPr>
              <w:pStyle w:val="RollCallTable"/>
            </w:pPr>
            <w:r>
              <w:t>Rosa Estaràs Ferragut</w:t>
            </w:r>
          </w:p>
        </w:tc>
      </w:tr>
    </w:tbl>
    <w:p w14:paraId="0A32F7DE" w14:textId="77777777" w:rsidR="005C531D" w:rsidRPr="00840C56" w:rsidRDefault="005C531D" w:rsidP="00147FBF">
      <w:pPr>
        <w:pStyle w:val="Normal12a"/>
      </w:pPr>
    </w:p>
    <w:p w14:paraId="605BAE7A" w14:textId="7D78DF73" w:rsidR="005C531D" w:rsidRPr="00840C56" w:rsidRDefault="005C531D" w:rsidP="00B735E3">
      <w:r>
        <w:t>Objaśnienie używanych znaków:</w:t>
      </w:r>
    </w:p>
    <w:p w14:paraId="38416C51" w14:textId="10AE3536" w:rsidR="005C531D" w:rsidRPr="00840C56" w:rsidRDefault="005C531D" w:rsidP="003858C5">
      <w:pPr>
        <w:pStyle w:val="RollCallTabs"/>
      </w:pPr>
      <w:r>
        <w:t>+</w:t>
      </w:r>
      <w:r>
        <w:tab/>
        <w:t>:</w:t>
      </w:r>
      <w:r>
        <w:tab/>
        <w:t>za</w:t>
      </w:r>
    </w:p>
    <w:p w14:paraId="40E52BC7" w14:textId="493B5FCB" w:rsidR="005C531D" w:rsidRPr="00840C56" w:rsidRDefault="005C531D" w:rsidP="003858C5">
      <w:pPr>
        <w:pStyle w:val="RollCallTabs"/>
      </w:pPr>
      <w:r>
        <w:t>-</w:t>
      </w:r>
      <w:r>
        <w:tab/>
        <w:t>:</w:t>
      </w:r>
      <w:r>
        <w:tab/>
        <w:t>przeciw</w:t>
      </w:r>
    </w:p>
    <w:p w14:paraId="32CD4EA8" w14:textId="1EC8326A" w:rsidR="005C531D" w:rsidRPr="00840C56" w:rsidRDefault="005C531D" w:rsidP="003858C5">
      <w:pPr>
        <w:pStyle w:val="RollCallTabs"/>
      </w:pPr>
      <w:r>
        <w:t>0</w:t>
      </w:r>
      <w:r>
        <w:tab/>
        <w:t>:</w:t>
      </w:r>
      <w:r>
        <w:tab/>
        <w:t>wstrzymało się</w:t>
      </w:r>
    </w:p>
    <w:p w14:paraId="094F42F3" w14:textId="77777777" w:rsidR="005C531D" w:rsidRPr="00840C56" w:rsidRDefault="005C531D" w:rsidP="00207509"/>
    <w:bookmarkEnd w:id="3"/>
    <w:bookmarkEnd w:id="4"/>
    <w:p w14:paraId="796BC3BC" w14:textId="49EA927C" w:rsidR="00E05697" w:rsidRPr="00840C56" w:rsidRDefault="00E05697" w:rsidP="009406E7"/>
    <w:sectPr w:rsidR="00E05697" w:rsidRPr="00840C56" w:rsidSect="00F33B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EA6CE" w14:textId="77777777" w:rsidR="00260012" w:rsidRPr="00840C56" w:rsidRDefault="00260012">
      <w:r w:rsidRPr="00840C56">
        <w:separator/>
      </w:r>
    </w:p>
  </w:endnote>
  <w:endnote w:type="continuationSeparator" w:id="0">
    <w:p w14:paraId="658DA504" w14:textId="77777777" w:rsidR="00260012" w:rsidRPr="00840C56" w:rsidRDefault="00260012">
      <w:r w:rsidRPr="00840C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B4891" w14:textId="485C65B0" w:rsidR="00392ACE" w:rsidRPr="00840C56" w:rsidRDefault="00392ACE" w:rsidP="00392ACE">
    <w:pPr>
      <w:pStyle w:val="EPFooter"/>
    </w:pPr>
    <w:r w:rsidRPr="00840C56">
      <w:t>PE</w:t>
    </w:r>
    <w:r w:rsidRPr="00840C56">
      <w:rPr>
        <w:rStyle w:val="HideTWBExt"/>
      </w:rPr>
      <w:t>&lt;NoPE&gt;</w:t>
    </w:r>
    <w:r w:rsidRPr="00840C56">
      <w:t>765.343</w:t>
    </w:r>
    <w:r w:rsidRPr="00840C56">
      <w:rPr>
        <w:rStyle w:val="HideTWBExt"/>
      </w:rPr>
      <w:t>&lt;/NoPE&gt;&lt;Version&gt;</w:t>
    </w:r>
    <w:r w:rsidRPr="00840C56">
      <w:t>v02-00</w:t>
    </w:r>
    <w:r w:rsidRPr="00840C56">
      <w:rPr>
        <w:rStyle w:val="HideTWBExt"/>
      </w:rPr>
      <w:t>&lt;/Version&gt;</w:t>
    </w:r>
    <w:r w:rsidRPr="00840C56">
      <w:tab/>
    </w:r>
    <w:r w:rsidRPr="00840C56">
      <w:fldChar w:fldCharType="begin"/>
    </w:r>
    <w:r w:rsidRPr="00840C56">
      <w:instrText xml:space="preserve"> PAGE  \* MERGEFORMAT </w:instrText>
    </w:r>
    <w:r w:rsidRPr="00840C56">
      <w:fldChar w:fldCharType="separate"/>
    </w:r>
    <w:r w:rsidR="00341CC4">
      <w:rPr>
        <w:noProof/>
      </w:rPr>
      <w:t>2</w:t>
    </w:r>
    <w:r w:rsidRPr="00840C56">
      <w:fldChar w:fldCharType="end"/>
    </w:r>
    <w:r w:rsidRPr="00840C56">
      <w:t>/</w:t>
    </w:r>
    <w:r w:rsidR="00341CC4">
      <w:fldChar w:fldCharType="begin"/>
    </w:r>
    <w:r w:rsidR="00341CC4">
      <w:instrText xml:space="preserve"> NUMPAGES  \* MERGEFORMAT </w:instrText>
    </w:r>
    <w:r w:rsidR="00341CC4">
      <w:fldChar w:fldCharType="separate"/>
    </w:r>
    <w:r w:rsidR="00341CC4">
      <w:rPr>
        <w:noProof/>
      </w:rPr>
      <w:t>10</w:t>
    </w:r>
    <w:r w:rsidR="00341CC4">
      <w:rPr>
        <w:noProof/>
      </w:rPr>
      <w:fldChar w:fldCharType="end"/>
    </w:r>
    <w:r w:rsidRPr="00840C56">
      <w:tab/>
    </w:r>
    <w:r w:rsidRPr="00840C56">
      <w:rPr>
        <w:rStyle w:val="HideTWBExt"/>
      </w:rPr>
      <w:t>&lt;PathFdR&gt;</w:t>
    </w:r>
    <w:r w:rsidRPr="00840C56">
      <w:t>AD\1315605PL.docx</w:t>
    </w:r>
    <w:r w:rsidRPr="00840C56">
      <w:rPr>
        <w:rStyle w:val="HideTWBExt"/>
      </w:rPr>
      <w:t>&lt;/PathFdR&gt;</w:t>
    </w:r>
  </w:p>
  <w:p w14:paraId="1AF6D9A6" w14:textId="78FF29AE" w:rsidR="00F33BA7" w:rsidRPr="00840C56" w:rsidRDefault="00392ACE" w:rsidP="00392ACE">
    <w:pPr>
      <w:pStyle w:val="EPFooter2"/>
    </w:pPr>
    <w:r w:rsidRPr="00840C5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0405" w14:textId="524CA656" w:rsidR="00392ACE" w:rsidRPr="00840C56" w:rsidRDefault="00392ACE" w:rsidP="00392ACE">
    <w:pPr>
      <w:pStyle w:val="EPFooter"/>
    </w:pPr>
    <w:r w:rsidRPr="00840C56">
      <w:rPr>
        <w:rStyle w:val="HideTWBExt"/>
      </w:rPr>
      <w:t>&lt;PathFdR&gt;</w:t>
    </w:r>
    <w:r w:rsidRPr="00840C56">
      <w:t>AD\1315605PL.docx</w:t>
    </w:r>
    <w:r w:rsidRPr="00840C56">
      <w:rPr>
        <w:rStyle w:val="HideTWBExt"/>
      </w:rPr>
      <w:t>&lt;/PathFdR&gt;</w:t>
    </w:r>
    <w:r w:rsidRPr="00840C56">
      <w:tab/>
    </w:r>
    <w:r w:rsidRPr="00840C56">
      <w:fldChar w:fldCharType="begin"/>
    </w:r>
    <w:r w:rsidRPr="00840C56">
      <w:instrText xml:space="preserve"> PAGE  \* MERGEFORMAT </w:instrText>
    </w:r>
    <w:r w:rsidRPr="00840C56">
      <w:fldChar w:fldCharType="separate"/>
    </w:r>
    <w:r w:rsidR="00341CC4">
      <w:rPr>
        <w:noProof/>
      </w:rPr>
      <w:t>3</w:t>
    </w:r>
    <w:r w:rsidRPr="00840C56">
      <w:fldChar w:fldCharType="end"/>
    </w:r>
    <w:r w:rsidRPr="00840C56">
      <w:t>/</w:t>
    </w:r>
    <w:r w:rsidR="00341CC4">
      <w:fldChar w:fldCharType="begin"/>
    </w:r>
    <w:r w:rsidR="00341CC4">
      <w:instrText xml:space="preserve"> NUMPAGES  \* MERGEFORMAT </w:instrText>
    </w:r>
    <w:r w:rsidR="00341CC4">
      <w:fldChar w:fldCharType="separate"/>
    </w:r>
    <w:r w:rsidR="00341CC4">
      <w:rPr>
        <w:noProof/>
      </w:rPr>
      <w:t>10</w:t>
    </w:r>
    <w:r w:rsidR="00341CC4">
      <w:rPr>
        <w:noProof/>
      </w:rPr>
      <w:fldChar w:fldCharType="end"/>
    </w:r>
    <w:r w:rsidRPr="00840C56">
      <w:tab/>
      <w:t>PE</w:t>
    </w:r>
    <w:r w:rsidRPr="00840C56">
      <w:rPr>
        <w:rStyle w:val="HideTWBExt"/>
      </w:rPr>
      <w:t>&lt;NoPE&gt;</w:t>
    </w:r>
    <w:r w:rsidRPr="00840C56">
      <w:t>765.343</w:t>
    </w:r>
    <w:r w:rsidRPr="00840C56">
      <w:rPr>
        <w:rStyle w:val="HideTWBExt"/>
      </w:rPr>
      <w:t>&lt;/NoPE&gt;&lt;Version&gt;</w:t>
    </w:r>
    <w:r w:rsidRPr="00840C56">
      <w:t>v02-00</w:t>
    </w:r>
    <w:r w:rsidRPr="00840C56">
      <w:rPr>
        <w:rStyle w:val="HideTWBExt"/>
      </w:rPr>
      <w:t>&lt;/Version&gt;</w:t>
    </w:r>
  </w:p>
  <w:p w14:paraId="608845B6" w14:textId="73424DB5" w:rsidR="00F33BA7" w:rsidRPr="00840C56" w:rsidRDefault="00392ACE" w:rsidP="00392ACE">
    <w:pPr>
      <w:pStyle w:val="EPFooter2"/>
    </w:pPr>
    <w:r w:rsidRPr="00840C56">
      <w:tab/>
    </w:r>
    <w:r w:rsidRPr="00840C56">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CA7B5" w14:textId="77777777" w:rsidR="00392ACE" w:rsidRPr="00840C56" w:rsidRDefault="00392ACE" w:rsidP="00392ACE">
    <w:pPr>
      <w:pStyle w:val="EPFooter"/>
    </w:pPr>
    <w:r w:rsidRPr="00840C56">
      <w:rPr>
        <w:rStyle w:val="HideTWBExt"/>
      </w:rPr>
      <w:t>&lt;PathFdR&gt;</w:t>
    </w:r>
    <w:r w:rsidRPr="00840C56">
      <w:t>AD\1315605PL.docx</w:t>
    </w:r>
    <w:r w:rsidRPr="00840C56">
      <w:rPr>
        <w:rStyle w:val="HideTWBExt"/>
      </w:rPr>
      <w:t>&lt;/PathFdR&gt;</w:t>
    </w:r>
    <w:r w:rsidRPr="00840C56">
      <w:tab/>
    </w:r>
    <w:r w:rsidRPr="00840C56">
      <w:tab/>
      <w:t>PE</w:t>
    </w:r>
    <w:r w:rsidRPr="00840C56">
      <w:rPr>
        <w:rStyle w:val="HideTWBExt"/>
      </w:rPr>
      <w:t>&lt;NoPE&gt;</w:t>
    </w:r>
    <w:r w:rsidRPr="00840C56">
      <w:t>765.343</w:t>
    </w:r>
    <w:r w:rsidRPr="00840C56">
      <w:rPr>
        <w:rStyle w:val="HideTWBExt"/>
      </w:rPr>
      <w:t>&lt;/NoPE&gt;&lt;Version&gt;</w:t>
    </w:r>
    <w:r w:rsidRPr="00840C56">
      <w:t>v02-00</w:t>
    </w:r>
    <w:r w:rsidRPr="00840C56">
      <w:rPr>
        <w:rStyle w:val="HideTWBExt"/>
      </w:rPr>
      <w:t>&lt;/Version&gt;</w:t>
    </w:r>
  </w:p>
  <w:p w14:paraId="52D800E2" w14:textId="6B5BAAED" w:rsidR="00F33BA7" w:rsidRPr="00840C56" w:rsidRDefault="00392ACE" w:rsidP="00392ACE">
    <w:pPr>
      <w:pStyle w:val="EPFooter2"/>
    </w:pPr>
    <w:r w:rsidRPr="00840C56">
      <w:t>PL</w:t>
    </w:r>
    <w:r w:rsidRPr="00840C56">
      <w:tab/>
    </w:r>
    <w:r w:rsidRPr="00840C56">
      <w:rPr>
        <w:b w:val="0"/>
        <w:i/>
        <w:color w:val="C0C0C0"/>
        <w:sz w:val="22"/>
      </w:rPr>
      <w:t>Zjednoczona w różnorodności</w:t>
    </w:r>
    <w:r w:rsidRPr="00840C56">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FDF9D" w14:textId="625D01F7" w:rsidR="009931FB" w:rsidRPr="00840C56" w:rsidRDefault="009931FB" w:rsidP="009931FB">
    <w:pPr>
      <w:pStyle w:val="EPFooter"/>
    </w:pPr>
    <w:r w:rsidRPr="00840C56">
      <w:rPr>
        <w:rStyle w:val="HideTWBExt"/>
      </w:rPr>
      <w:t>&lt;PathFdR&gt;</w:t>
    </w:r>
    <w:r w:rsidR="00840C56" w:rsidRPr="00840C56">
      <w:t>AD\1315605PL.docx</w:t>
    </w:r>
    <w:r w:rsidRPr="00840C56">
      <w:rPr>
        <w:rStyle w:val="HideTWBExt"/>
      </w:rPr>
      <w:t>&lt;/PathFdR&gt;</w:t>
    </w:r>
    <w:r w:rsidRPr="00840C56">
      <w:tab/>
    </w:r>
    <w:r w:rsidRPr="00840C56">
      <w:tab/>
      <w:t>PE</w:t>
    </w:r>
    <w:r w:rsidRPr="00840C56">
      <w:rPr>
        <w:rStyle w:val="HideTWBExt"/>
      </w:rPr>
      <w:t>&lt;NoPE&gt;</w:t>
    </w:r>
    <w:r w:rsidRPr="00840C56">
      <w:t>765.343</w:t>
    </w:r>
    <w:r w:rsidRPr="00840C56">
      <w:rPr>
        <w:rStyle w:val="HideTWBExt"/>
      </w:rPr>
      <w:t>&lt;/NoPE&gt;&lt;Version&gt;</w:t>
    </w:r>
    <w:r w:rsidRPr="00840C56">
      <w:t>v02-00</w:t>
    </w:r>
    <w:r w:rsidRPr="00840C56">
      <w:rPr>
        <w:rStyle w:val="HideTWBExt"/>
      </w:rPr>
      <w:t>&lt;/Version&gt;</w:t>
    </w:r>
  </w:p>
  <w:p w14:paraId="1AF95310" w14:textId="68FED0E4" w:rsidR="00C75378" w:rsidRPr="00840C56" w:rsidRDefault="009931FB" w:rsidP="009931FB">
    <w:pPr>
      <w:pStyle w:val="EPFooter2"/>
    </w:pPr>
    <w:r w:rsidRPr="00840C56">
      <w:t>XT</w:t>
    </w:r>
    <w:r w:rsidRPr="00840C56">
      <w:tab/>
    </w:r>
    <w:r w:rsidRPr="00840C56">
      <w:rPr>
        <w:b w:val="0"/>
        <w:i/>
        <w:color w:val="C0C0C0"/>
        <w:sz w:val="22"/>
      </w:rPr>
      <w:t>United in diversity</w:t>
    </w:r>
    <w:r w:rsidRPr="00840C56">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77B33" w14:textId="77777777" w:rsidR="00260012" w:rsidRPr="00840C56" w:rsidRDefault="00260012">
      <w:r w:rsidRPr="00840C56">
        <w:separator/>
      </w:r>
    </w:p>
  </w:footnote>
  <w:footnote w:type="continuationSeparator" w:id="0">
    <w:p w14:paraId="13DE5CDF" w14:textId="77777777" w:rsidR="00260012" w:rsidRPr="00840C56" w:rsidRDefault="00260012">
      <w:r w:rsidRPr="00840C56">
        <w:continuationSeparator/>
      </w:r>
    </w:p>
  </w:footnote>
  <w:footnote w:id="1">
    <w:p w14:paraId="45F84061" w14:textId="77777777" w:rsidR="00401547" w:rsidRPr="00840C56" w:rsidRDefault="00401547" w:rsidP="00401547">
      <w:pPr>
        <w:pStyle w:val="FootnoteText"/>
      </w:pPr>
      <w:r>
        <w:rPr>
          <w:rStyle w:val="FootnoteReference"/>
        </w:rPr>
        <w:footnoteRef/>
      </w:r>
      <w:r>
        <w:t xml:space="preserve">  https://eur-lex.europa.eu/legal-content/PL/TXT/PDF/?uri=OJ:L_202401385</w:t>
      </w:r>
    </w:p>
  </w:footnote>
  <w:footnote w:id="2">
    <w:p w14:paraId="5FCAB13D" w14:textId="77777777" w:rsidR="00401547" w:rsidRPr="00840C56" w:rsidRDefault="00401547" w:rsidP="00401547">
      <w:pPr>
        <w:pStyle w:val="FootnoteText"/>
      </w:pPr>
      <w:r>
        <w:rPr>
          <w:rStyle w:val="FootnoteReference"/>
        </w:rPr>
        <w:footnoteRef/>
      </w:r>
      <w:r>
        <w:t xml:space="preserve">  https://fra.europa.eu/sites/default/files/fra_uploads/eu-gender_based_violence_survey_key_results.pdf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FBB1F" w14:textId="77777777" w:rsidR="00DA7F4B" w:rsidRDefault="00DA7F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97E8F" w14:textId="77777777" w:rsidR="00DA7F4B" w:rsidRDefault="00DA7F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47B1B" w14:textId="77777777" w:rsidR="00DA7F4B" w:rsidRDefault="00DA7F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1B5BE" w14:textId="77777777" w:rsidR="00F33BA7" w:rsidRDefault="00F33B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4FC50" w14:textId="77777777" w:rsidR="00F33BA7" w:rsidRDefault="00F33B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FD0B0" w14:textId="77777777" w:rsidR="00F33BA7" w:rsidRDefault="00F33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025C7"/>
    <w:multiLevelType w:val="hybridMultilevel"/>
    <w:tmpl w:val="1BF4A410"/>
    <w:lvl w:ilvl="0" w:tplc="F5CEA4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C0ED3"/>
    <w:multiLevelType w:val="hybridMultilevel"/>
    <w:tmpl w:val="934C4B56"/>
    <w:lvl w:ilvl="0" w:tplc="F6C0B23E">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21"/>
    <w:docVar w:name="LastEditedSection" w:val=" 1"/>
    <w:docVar w:name="NumberAMInserted" w:val="21"/>
    <w:docVar w:name="strDocTypeID" w:val="PA_NonLegDec"/>
    <w:docVar w:name="strSubDir" w:val="1315"/>
    <w:docVar w:name="TITLEMNU" w:val=" 1"/>
    <w:docVar w:name="TXTAUTHOR" w:val="Assita Kanko"/>
    <w:docVar w:name="TXTBUDYEAR" w:val="2023"/>
    <w:docVar w:name="TXTLANGUE" w:val="PL"/>
    <w:docVar w:name="TXTLANGUEMIN" w:val="pl"/>
    <w:docVar w:name="TXTNRPE" w:val="765.343"/>
    <w:docVar w:name="TXTNRPROC" w:val="2024/2019"/>
    <w:docVar w:name="TXTPEorAP" w:val="PE"/>
    <w:docVar w:name="TXTROUTE" w:val="AD\1315605PL.docx"/>
    <w:docVar w:name="TXTVERSION" w:val="02-00"/>
  </w:docVars>
  <w:rsids>
    <w:rsidRoot w:val="00260012"/>
    <w:rsid w:val="000048A8"/>
    <w:rsid w:val="00007A18"/>
    <w:rsid w:val="00046859"/>
    <w:rsid w:val="00062634"/>
    <w:rsid w:val="000A05CA"/>
    <w:rsid w:val="000B6C4B"/>
    <w:rsid w:val="000D001F"/>
    <w:rsid w:val="000D099F"/>
    <w:rsid w:val="000E6813"/>
    <w:rsid w:val="000F07FE"/>
    <w:rsid w:val="001275F4"/>
    <w:rsid w:val="001A455F"/>
    <w:rsid w:val="001F2766"/>
    <w:rsid w:val="001F6ED8"/>
    <w:rsid w:val="00212D35"/>
    <w:rsid w:val="002376CF"/>
    <w:rsid w:val="00245C7F"/>
    <w:rsid w:val="00260012"/>
    <w:rsid w:val="00271180"/>
    <w:rsid w:val="00277B93"/>
    <w:rsid w:val="002A4AC9"/>
    <w:rsid w:val="002B2892"/>
    <w:rsid w:val="002C0EE6"/>
    <w:rsid w:val="002C34AE"/>
    <w:rsid w:val="002E2F2E"/>
    <w:rsid w:val="002F27CE"/>
    <w:rsid w:val="00307C14"/>
    <w:rsid w:val="00315053"/>
    <w:rsid w:val="00341CC4"/>
    <w:rsid w:val="003707A7"/>
    <w:rsid w:val="00385BAB"/>
    <w:rsid w:val="0039003E"/>
    <w:rsid w:val="00392ACE"/>
    <w:rsid w:val="00396FA9"/>
    <w:rsid w:val="003B054E"/>
    <w:rsid w:val="003B72FC"/>
    <w:rsid w:val="003D684B"/>
    <w:rsid w:val="003E06CF"/>
    <w:rsid w:val="003E35FB"/>
    <w:rsid w:val="003F3B83"/>
    <w:rsid w:val="00401547"/>
    <w:rsid w:val="004029D7"/>
    <w:rsid w:val="00431E30"/>
    <w:rsid w:val="004536C6"/>
    <w:rsid w:val="00487232"/>
    <w:rsid w:val="00495CA4"/>
    <w:rsid w:val="004A34E6"/>
    <w:rsid w:val="004C28FB"/>
    <w:rsid w:val="004E54DC"/>
    <w:rsid w:val="004F48ED"/>
    <w:rsid w:val="00512080"/>
    <w:rsid w:val="00514664"/>
    <w:rsid w:val="00525E5B"/>
    <w:rsid w:val="0055017A"/>
    <w:rsid w:val="00577018"/>
    <w:rsid w:val="005779E7"/>
    <w:rsid w:val="005B2210"/>
    <w:rsid w:val="005C531D"/>
    <w:rsid w:val="005D0786"/>
    <w:rsid w:val="005E3670"/>
    <w:rsid w:val="00600DC9"/>
    <w:rsid w:val="00643F39"/>
    <w:rsid w:val="0066728C"/>
    <w:rsid w:val="00675BA2"/>
    <w:rsid w:val="006819E0"/>
    <w:rsid w:val="006A7940"/>
    <w:rsid w:val="006B104D"/>
    <w:rsid w:val="006C04D8"/>
    <w:rsid w:val="006D2E1C"/>
    <w:rsid w:val="0071319E"/>
    <w:rsid w:val="00716D19"/>
    <w:rsid w:val="00722749"/>
    <w:rsid w:val="00735B10"/>
    <w:rsid w:val="007842AF"/>
    <w:rsid w:val="00795010"/>
    <w:rsid w:val="007B5917"/>
    <w:rsid w:val="007F29C3"/>
    <w:rsid w:val="007F6C1F"/>
    <w:rsid w:val="00806587"/>
    <w:rsid w:val="00840C56"/>
    <w:rsid w:val="008818A9"/>
    <w:rsid w:val="008B5049"/>
    <w:rsid w:val="008B54DC"/>
    <w:rsid w:val="008C6240"/>
    <w:rsid w:val="008C643C"/>
    <w:rsid w:val="008E7494"/>
    <w:rsid w:val="008F36CD"/>
    <w:rsid w:val="008F7002"/>
    <w:rsid w:val="00925021"/>
    <w:rsid w:val="009406E7"/>
    <w:rsid w:val="0094571B"/>
    <w:rsid w:val="0095301E"/>
    <w:rsid w:val="0095497D"/>
    <w:rsid w:val="00956B80"/>
    <w:rsid w:val="009669A8"/>
    <w:rsid w:val="00972FD8"/>
    <w:rsid w:val="00975744"/>
    <w:rsid w:val="00977F76"/>
    <w:rsid w:val="0098140C"/>
    <w:rsid w:val="00982DB2"/>
    <w:rsid w:val="009931FB"/>
    <w:rsid w:val="009A33F4"/>
    <w:rsid w:val="009A403C"/>
    <w:rsid w:val="009B5265"/>
    <w:rsid w:val="00A2041C"/>
    <w:rsid w:val="00A722B1"/>
    <w:rsid w:val="00A734AF"/>
    <w:rsid w:val="00A77F8A"/>
    <w:rsid w:val="00A8267E"/>
    <w:rsid w:val="00A93570"/>
    <w:rsid w:val="00A9617A"/>
    <w:rsid w:val="00AA1A2C"/>
    <w:rsid w:val="00AA223C"/>
    <w:rsid w:val="00AF77DA"/>
    <w:rsid w:val="00B05828"/>
    <w:rsid w:val="00B107A4"/>
    <w:rsid w:val="00B1441B"/>
    <w:rsid w:val="00B362F7"/>
    <w:rsid w:val="00B5696C"/>
    <w:rsid w:val="00BB2AC1"/>
    <w:rsid w:val="00BB6075"/>
    <w:rsid w:val="00BD1326"/>
    <w:rsid w:val="00BE751A"/>
    <w:rsid w:val="00BF5BC7"/>
    <w:rsid w:val="00BF6078"/>
    <w:rsid w:val="00C04938"/>
    <w:rsid w:val="00C175C0"/>
    <w:rsid w:val="00C47E30"/>
    <w:rsid w:val="00C54F53"/>
    <w:rsid w:val="00C75378"/>
    <w:rsid w:val="00CA0D01"/>
    <w:rsid w:val="00CF7076"/>
    <w:rsid w:val="00D32678"/>
    <w:rsid w:val="00D41244"/>
    <w:rsid w:val="00D438D0"/>
    <w:rsid w:val="00D44697"/>
    <w:rsid w:val="00D47632"/>
    <w:rsid w:val="00D625A2"/>
    <w:rsid w:val="00D71751"/>
    <w:rsid w:val="00D759AA"/>
    <w:rsid w:val="00DA7632"/>
    <w:rsid w:val="00DA7F4B"/>
    <w:rsid w:val="00DF6273"/>
    <w:rsid w:val="00E01434"/>
    <w:rsid w:val="00E05697"/>
    <w:rsid w:val="00E12435"/>
    <w:rsid w:val="00E14A77"/>
    <w:rsid w:val="00E3462E"/>
    <w:rsid w:val="00E6743D"/>
    <w:rsid w:val="00E729C7"/>
    <w:rsid w:val="00E83B40"/>
    <w:rsid w:val="00E9601C"/>
    <w:rsid w:val="00EA78B3"/>
    <w:rsid w:val="00EB19AA"/>
    <w:rsid w:val="00EC2C85"/>
    <w:rsid w:val="00ED5D97"/>
    <w:rsid w:val="00EF6BA2"/>
    <w:rsid w:val="00F005EF"/>
    <w:rsid w:val="00F036E0"/>
    <w:rsid w:val="00F129D0"/>
    <w:rsid w:val="00F33BA7"/>
    <w:rsid w:val="00F46E44"/>
    <w:rsid w:val="00F611FC"/>
    <w:rsid w:val="00F61E8C"/>
    <w:rsid w:val="00F707AB"/>
    <w:rsid w:val="00F82E94"/>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B0368"/>
  <w15:chartTrackingRefBased/>
  <w15:docId w15:val="{0C25985A-8BCC-442F-98D0-71923C60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956B80"/>
    <w:pPr>
      <w:tabs>
        <w:tab w:val="center" w:pos="4513"/>
        <w:tab w:val="right" w:pos="9026"/>
      </w:tabs>
    </w:pPr>
  </w:style>
  <w:style w:type="character" w:customStyle="1" w:styleId="FooterChar">
    <w:name w:val="Footer Char"/>
    <w:basedOn w:val="DefaultParagraphFont"/>
    <w:link w:val="Footer"/>
    <w:semiHidden/>
    <w:rsid w:val="00956B80"/>
    <w:rPr>
      <w:sz w:val="24"/>
    </w:rPr>
  </w:style>
  <w:style w:type="paragraph" w:styleId="ListParagraph">
    <w:name w:val="List Paragraph"/>
    <w:basedOn w:val="Normal"/>
    <w:uiPriority w:val="34"/>
    <w:qFormat/>
    <w:rsid w:val="006B104D"/>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6D2E1C"/>
    <w:rPr>
      <w:rFonts w:ascii="Segoe UI" w:hAnsi="Segoe UI" w:cs="Segoe UI"/>
      <w:sz w:val="18"/>
      <w:szCs w:val="18"/>
    </w:rPr>
  </w:style>
  <w:style w:type="character" w:customStyle="1" w:styleId="BalloonTextChar">
    <w:name w:val="Balloon Text Char"/>
    <w:basedOn w:val="DefaultParagraphFont"/>
    <w:link w:val="BalloonText"/>
    <w:semiHidden/>
    <w:rsid w:val="006D2E1C"/>
    <w:rPr>
      <w:rFonts w:ascii="Segoe UI" w:hAnsi="Segoe UI" w:cs="Segoe UI"/>
      <w:sz w:val="18"/>
      <w:szCs w:val="18"/>
    </w:rPr>
  </w:style>
  <w:style w:type="character" w:styleId="CommentReference">
    <w:name w:val="annotation reference"/>
    <w:basedOn w:val="DefaultParagraphFont"/>
    <w:rsid w:val="00982DB2"/>
    <w:rPr>
      <w:sz w:val="16"/>
      <w:szCs w:val="16"/>
    </w:rPr>
  </w:style>
  <w:style w:type="paragraph" w:styleId="CommentText">
    <w:name w:val="annotation text"/>
    <w:basedOn w:val="Normal"/>
    <w:link w:val="CommentTextChar"/>
    <w:rsid w:val="00982DB2"/>
    <w:rPr>
      <w:sz w:val="20"/>
    </w:rPr>
  </w:style>
  <w:style w:type="character" w:customStyle="1" w:styleId="CommentTextChar">
    <w:name w:val="Comment Text Char"/>
    <w:basedOn w:val="DefaultParagraphFont"/>
    <w:link w:val="CommentText"/>
    <w:rsid w:val="00982DB2"/>
  </w:style>
  <w:style w:type="paragraph" w:styleId="CommentSubject">
    <w:name w:val="annotation subject"/>
    <w:basedOn w:val="CommentText"/>
    <w:next w:val="CommentText"/>
    <w:link w:val="CommentSubjectChar"/>
    <w:semiHidden/>
    <w:unhideWhenUsed/>
    <w:rsid w:val="00982DB2"/>
    <w:rPr>
      <w:b/>
      <w:bCs/>
    </w:rPr>
  </w:style>
  <w:style w:type="character" w:customStyle="1" w:styleId="CommentSubjectChar">
    <w:name w:val="Comment Subject Char"/>
    <w:basedOn w:val="CommentTextChar"/>
    <w:link w:val="CommentSubject"/>
    <w:semiHidden/>
    <w:rsid w:val="00982DB2"/>
    <w:rPr>
      <w:b/>
      <w:bCs/>
    </w:rPr>
  </w:style>
  <w:style w:type="character" w:customStyle="1" w:styleId="NormalHanging12aChar">
    <w:name w:val="NormalHanging12a Char"/>
    <w:basedOn w:val="DefaultParagraphFont"/>
    <w:link w:val="NormalHanging12a"/>
    <w:rsid w:val="00B5696C"/>
    <w:rPr>
      <w:sz w:val="24"/>
    </w:rPr>
  </w:style>
  <w:style w:type="paragraph" w:styleId="FootnoteText">
    <w:name w:val="footnote text"/>
    <w:basedOn w:val="Normal"/>
    <w:link w:val="FootnoteTextChar"/>
    <w:unhideWhenUsed/>
    <w:rsid w:val="00B5696C"/>
    <w:rPr>
      <w:sz w:val="20"/>
      <w:lang w:eastAsia="en-US"/>
    </w:rPr>
  </w:style>
  <w:style w:type="character" w:customStyle="1" w:styleId="FootnoteTextChar">
    <w:name w:val="Footnote Text Char"/>
    <w:basedOn w:val="DefaultParagraphFont"/>
    <w:link w:val="FootnoteText"/>
    <w:rsid w:val="00B5696C"/>
    <w:rPr>
      <w:lang w:eastAsia="en-US"/>
    </w:rPr>
  </w:style>
  <w:style w:type="character" w:styleId="FootnoteReference">
    <w:name w:val="footnote reference"/>
    <w:basedOn w:val="DefaultParagraphFont"/>
    <w:unhideWhenUsed/>
    <w:rsid w:val="00B5696C"/>
    <w:rPr>
      <w:vertAlign w:val="superscript"/>
    </w:rPr>
  </w:style>
  <w:style w:type="paragraph" w:customStyle="1" w:styleId="RollCallSymbols14pt">
    <w:name w:val="RollCallSymbols14pt"/>
    <w:basedOn w:val="Normal"/>
    <w:rsid w:val="005C531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C531D"/>
    <w:pPr>
      <w:tabs>
        <w:tab w:val="center" w:pos="284"/>
        <w:tab w:val="left" w:pos="426"/>
      </w:tabs>
    </w:pPr>
    <w:rPr>
      <w:snapToGrid w:val="0"/>
      <w:lang w:eastAsia="en-US"/>
    </w:rPr>
  </w:style>
  <w:style w:type="paragraph" w:customStyle="1" w:styleId="RollCallVotes">
    <w:name w:val="RollCallVotes"/>
    <w:basedOn w:val="Normal"/>
    <w:rsid w:val="005C531D"/>
    <w:pPr>
      <w:spacing w:before="120" w:after="120"/>
      <w:jc w:val="center"/>
    </w:pPr>
    <w:rPr>
      <w:b/>
      <w:bCs/>
      <w:snapToGrid w:val="0"/>
      <w:sz w:val="16"/>
      <w:lang w:eastAsia="en-US"/>
    </w:rPr>
  </w:style>
  <w:style w:type="paragraph" w:customStyle="1" w:styleId="RollCallTable">
    <w:name w:val="RollCallTable"/>
    <w:basedOn w:val="Normal"/>
    <w:rsid w:val="005C531D"/>
    <w:pPr>
      <w:spacing w:before="120" w:after="120"/>
    </w:pPr>
    <w:rPr>
      <w:snapToGrid w:val="0"/>
      <w:sz w:val="16"/>
      <w:lang w:eastAsia="en-US"/>
    </w:rPr>
  </w:style>
  <w:style w:type="paragraph" w:customStyle="1" w:styleId="Normal24a">
    <w:name w:val="Normal24a"/>
    <w:basedOn w:val="Normal"/>
    <w:rsid w:val="00795010"/>
    <w:pPr>
      <w:spacing w:after="480"/>
    </w:pPr>
    <w:rPr>
      <w:szCs w:val="24"/>
    </w:rPr>
  </w:style>
  <w:style w:type="paragraph" w:customStyle="1" w:styleId="NormalBoldCenter">
    <w:name w:val="NormalBoldCenter"/>
    <w:basedOn w:val="Normal"/>
    <w:rsid w:val="00795010"/>
    <w:pPr>
      <w:jc w:val="center"/>
    </w:pPr>
    <w:rPr>
      <w:b/>
      <w:szCs w:val="24"/>
    </w:rPr>
  </w:style>
  <w:style w:type="paragraph" w:customStyle="1" w:styleId="Footprint12b">
    <w:name w:val="Footprint12b"/>
    <w:basedOn w:val="Normal"/>
    <w:rsid w:val="00795010"/>
    <w:pPr>
      <w:spacing w:before="240"/>
    </w:pPr>
    <w:rPr>
      <w:szCs w:val="24"/>
    </w:rPr>
  </w:style>
  <w:style w:type="paragraph" w:customStyle="1" w:styleId="NormalSingle">
    <w:name w:val="NormalSingle"/>
    <w:basedOn w:val="Normal"/>
    <w:qFormat/>
    <w:rsid w:val="0079501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330776">
      <w:bodyDiv w:val="1"/>
      <w:marLeft w:val="0"/>
      <w:marRight w:val="0"/>
      <w:marTop w:val="0"/>
      <w:marBottom w:val="0"/>
      <w:divBdr>
        <w:top w:val="none" w:sz="0" w:space="0" w:color="auto"/>
        <w:left w:val="none" w:sz="0" w:space="0" w:color="auto"/>
        <w:bottom w:val="none" w:sz="0" w:space="0" w:color="auto"/>
        <w:right w:val="none" w:sz="0" w:space="0" w:color="auto"/>
      </w:divBdr>
    </w:div>
    <w:div w:id="151888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2115</Words>
  <Characters>13570</Characters>
  <Application>Microsoft Office Word</Application>
  <DocSecurity>0</DocSecurity>
  <Lines>272</Lines>
  <Paragraphs>85</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2025-02-19T13:02:00Z</cp:lastPrinted>
  <dcterms:created xsi:type="dcterms:W3CDTF">2025-03-07T14:38:00Z</dcterms:created>
  <dcterms:modified xsi:type="dcterms:W3CDTF">2025-03-07T14:38:00Z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1315605</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AD\1315605PL.docx</vt:lpwstr>
  </property>
  <property fmtid="{D5CDD505-2E9C-101B-9397-08002B2CF9AE}" pid="11" name="PE number">
    <vt:lpwstr>765.343</vt:lpwstr>
  </property>
  <property fmtid="{D5CDD505-2E9C-101B-9397-08002B2CF9AE}" pid="12" name="SendToEpades">
    <vt:lpwstr>OK - 2025/02/21 13:23</vt:lpwstr>
  </property>
  <property fmtid="{D5CDD505-2E9C-101B-9397-08002B2CF9AE}" pid="13" name="SDLStudio">
    <vt:lpwstr/>
  </property>
  <property fmtid="{D5CDD505-2E9C-101B-9397-08002B2CF9AE}" pid="14" name="Bookout">
    <vt:lpwstr>OK - 2025/03/07 15:37</vt:lpwstr>
  </property>
</Properties>
</file>