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930877" w:rsidTr="00C85D0F">
        <w:trPr>
          <w:trHeight w:hRule="exact" w:val="1418"/>
        </w:trPr>
        <w:tc>
          <w:tcPr>
            <w:tcW w:w="6804" w:type="dxa"/>
            <w:shd w:val="clear" w:color="auto" w:fill="auto"/>
            <w:vAlign w:val="center"/>
          </w:tcPr>
          <w:p w:rsidR="004F48ED" w:rsidRPr="00930877" w:rsidRDefault="002A1BAF" w:rsidP="00C85D0F">
            <w:pPr>
              <w:pStyle w:val="EPName"/>
            </w:pPr>
            <w:bookmarkStart w:id="0" w:name="_GoBack"/>
            <w:bookmarkEnd w:id="0"/>
            <w:r>
              <w:t>Parlament Ewropew</w:t>
            </w:r>
          </w:p>
          <w:p w:rsidR="004F48ED" w:rsidRPr="00930877" w:rsidRDefault="00930877" w:rsidP="00930877">
            <w:pPr>
              <w:pStyle w:val="EPTerm"/>
            </w:pPr>
            <w:r>
              <w:t>2024-2029</w:t>
            </w:r>
          </w:p>
        </w:tc>
        <w:tc>
          <w:tcPr>
            <w:tcW w:w="2268" w:type="dxa"/>
            <w:shd w:val="clear" w:color="auto" w:fill="auto"/>
          </w:tcPr>
          <w:p w:rsidR="004F48ED" w:rsidRPr="00930877" w:rsidRDefault="004F48ED" w:rsidP="00C85D0F">
            <w:pPr>
              <w:pStyle w:val="EPLogo"/>
            </w:pPr>
            <w:r w:rsidRPr="0093087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9601C" w:rsidRPr="00930877" w:rsidRDefault="00E9601C" w:rsidP="00E9601C">
      <w:pPr>
        <w:pStyle w:val="LineTop"/>
      </w:pPr>
    </w:p>
    <w:p w:rsidR="00E9601C" w:rsidRPr="00930877" w:rsidRDefault="00E9601C" w:rsidP="00E9601C">
      <w:pPr>
        <w:pStyle w:val="EPBody"/>
      </w:pPr>
      <w:r>
        <w:rPr>
          <w:rStyle w:val="HideTWBExt"/>
        </w:rPr>
        <w:t>&lt;</w:t>
      </w:r>
      <w:r>
        <w:rPr>
          <w:rStyle w:val="HideTWBExt"/>
          <w:i w:val="0"/>
        </w:rPr>
        <w:t>Commission</w:t>
      </w:r>
      <w:r>
        <w:rPr>
          <w:rStyle w:val="HideTWBExt"/>
        </w:rPr>
        <w:t>&gt;</w:t>
      </w:r>
      <w:r>
        <w:rPr>
          <w:rStyle w:val="HideTWBInt"/>
        </w:rPr>
        <w:t>{FEMM}</w:t>
      </w:r>
      <w:r>
        <w:t>Kumitat għad-Drittijiet tan-Nisa u l-Ugwaljanza bejn is-Sessi</w:t>
      </w:r>
      <w:r>
        <w:rPr>
          <w:rStyle w:val="HideTWBExt"/>
        </w:rPr>
        <w:t>&lt;/</w:t>
      </w:r>
      <w:r>
        <w:rPr>
          <w:rStyle w:val="HideTWBExt"/>
          <w:i w:val="0"/>
        </w:rPr>
        <w:t>Commission</w:t>
      </w:r>
      <w:r>
        <w:rPr>
          <w:rStyle w:val="HideTWBExt"/>
        </w:rPr>
        <w:t>&gt;</w:t>
      </w:r>
    </w:p>
    <w:p w:rsidR="00E9601C" w:rsidRPr="00930877" w:rsidRDefault="00E9601C" w:rsidP="00E9601C">
      <w:pPr>
        <w:pStyle w:val="LineBottom"/>
      </w:pPr>
    </w:p>
    <w:p w:rsidR="004E54DC" w:rsidRPr="00930877"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rsidR="002E2F2E" w:rsidRPr="00930877" w:rsidRDefault="002E2F2E">
      <w:pPr>
        <w:pStyle w:val="CoverDate"/>
      </w:pPr>
      <w:r>
        <w:rPr>
          <w:rStyle w:val="HideTWBExt"/>
        </w:rPr>
        <w:t>&lt;Date&gt;</w:t>
      </w:r>
      <w:r>
        <w:rPr>
          <w:rStyle w:val="HideTWBInt"/>
        </w:rPr>
        <w:t>{21/02/2025}</w:t>
      </w:r>
      <w:r>
        <w:t>21.2.2025</w:t>
      </w:r>
      <w:r>
        <w:rPr>
          <w:rStyle w:val="HideTWBExt"/>
        </w:rPr>
        <w:t>&lt;/Date&gt;</w:t>
      </w:r>
    </w:p>
    <w:p w:rsidR="002E2F2E" w:rsidRPr="00930877" w:rsidRDefault="002E2F2E">
      <w:pPr>
        <w:pStyle w:val="CoverDocType24a"/>
      </w:pPr>
      <w:r>
        <w:rPr>
          <w:rStyle w:val="HideTWBExt"/>
          <w:b w:val="0"/>
        </w:rPr>
        <w:t>&lt;TitreType&gt;</w:t>
      </w:r>
      <w:r>
        <w:t>ABBOZZ TA’ OPINJONI</w:t>
      </w:r>
      <w:r>
        <w:rPr>
          <w:rStyle w:val="HideTWBExt"/>
          <w:b w:val="0"/>
        </w:rPr>
        <w:t>&lt;/TitreType&gt;</w:t>
      </w:r>
    </w:p>
    <w:p w:rsidR="002E2F2E" w:rsidRPr="00930877" w:rsidRDefault="002E2F2E">
      <w:pPr>
        <w:pStyle w:val="CoverNormal24a"/>
      </w:pPr>
      <w:r>
        <w:rPr>
          <w:rStyle w:val="HideTWBExt"/>
        </w:rPr>
        <w:t>&lt;CommissionResp&gt;</w:t>
      </w:r>
      <w:r>
        <w:t>tal-Kumitat għad-Drittijiet tan-Nisa u l-Ugwaljanza bejn is-Sessi</w:t>
      </w:r>
      <w:r>
        <w:rPr>
          <w:rStyle w:val="HideTWBExt"/>
        </w:rPr>
        <w:t>&lt;/CommissionResp&gt;</w:t>
      </w:r>
    </w:p>
    <w:p w:rsidR="002E2F2E" w:rsidRPr="00930877" w:rsidRDefault="002E2F2E" w:rsidP="0095497D">
      <w:pPr>
        <w:pStyle w:val="CoverNormal24a"/>
      </w:pPr>
      <w:r>
        <w:rPr>
          <w:rStyle w:val="HideTWBExt"/>
        </w:rPr>
        <w:t>&lt;CommissionInt&gt;</w:t>
      </w:r>
      <w:r>
        <w:t>għall-Kumitat għall-Kontroll tal-Baġit</w:t>
      </w:r>
      <w:r>
        <w:rPr>
          <w:rStyle w:val="HideTWBExt"/>
        </w:rPr>
        <w:t>&lt;/CommissionInt&gt;</w:t>
      </w:r>
    </w:p>
    <w:p w:rsidR="00930877" w:rsidRPr="00930877" w:rsidRDefault="00930877" w:rsidP="00930877">
      <w:pPr>
        <w:pStyle w:val="CoverNormal"/>
      </w:pPr>
      <w:r>
        <w:rPr>
          <w:rStyle w:val="HideTWBExt"/>
        </w:rPr>
        <w:t>&lt;Titre&gt;</w:t>
      </w:r>
      <w:r>
        <w:t>dwar il-kwittanza għall-implimentazzjoni tal-baġit tal-aġenziji tal-Unjoni Ewropea għas-sena finanzjarja 2023</w:t>
      </w:r>
      <w:r>
        <w:rPr>
          <w:rStyle w:val="HideTWBExt"/>
        </w:rPr>
        <w:t>&lt;/Titre&gt;</w:t>
      </w:r>
    </w:p>
    <w:p w:rsidR="00930877" w:rsidRPr="00930877" w:rsidRDefault="00930877" w:rsidP="00930877">
      <w:pPr>
        <w:pStyle w:val="CoverNormal24a"/>
      </w:pPr>
      <w:r>
        <w:rPr>
          <w:rStyle w:val="HideTWBExt"/>
        </w:rPr>
        <w:t>&lt;DocRef&gt;</w:t>
      </w:r>
      <w:r>
        <w:t>(2024/2030(DEC))</w:t>
      </w:r>
      <w:r>
        <w:rPr>
          <w:rStyle w:val="HideTWBExt"/>
        </w:rPr>
        <w:t>&lt;/DocRef&gt;</w:t>
      </w:r>
    </w:p>
    <w:p w:rsidR="002E2F2E" w:rsidRPr="00930877" w:rsidRDefault="00930877">
      <w:pPr>
        <w:pStyle w:val="CoverNormal24a"/>
      </w:pPr>
      <w:r>
        <w:t xml:space="preserve">Rapporteur għal opinjoni: </w:t>
      </w:r>
      <w:r>
        <w:rPr>
          <w:rStyle w:val="HideTWBExt"/>
        </w:rPr>
        <w:t>&lt;Depute&gt;</w:t>
      </w:r>
      <w:r>
        <w:t>Lina Gálvez</w:t>
      </w:r>
      <w:r>
        <w:rPr>
          <w:rStyle w:val="HideTWBExt"/>
        </w:rPr>
        <w:t>&lt;/Depute&gt;</w:t>
      </w:r>
    </w:p>
    <w:p w:rsidR="00977F76" w:rsidRPr="00930877" w:rsidRDefault="00977F76" w:rsidP="00977F76">
      <w:pPr>
        <w:pStyle w:val="CoverNormal"/>
      </w:pPr>
    </w:p>
    <w:p w:rsidR="002E2F2E" w:rsidRPr="00930877" w:rsidRDefault="002E2F2E" w:rsidP="00BB2AC1">
      <w:pPr>
        <w:widowControl/>
        <w:tabs>
          <w:tab w:val="center" w:pos="4677"/>
        </w:tabs>
      </w:pPr>
      <w:r>
        <w:br w:type="page"/>
      </w:r>
      <w:r>
        <w:lastRenderedPageBreak/>
        <w:t>PA_NonLegDec</w:t>
      </w:r>
    </w:p>
    <w:p w:rsidR="00930877" w:rsidRPr="00930877" w:rsidRDefault="00930877" w:rsidP="003E06CF">
      <w:pPr>
        <w:pStyle w:val="PageHeadingNotTOC"/>
        <w:sectPr w:rsidR="00930877" w:rsidRPr="00930877" w:rsidSect="0093087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30877" w:rsidRPr="00930877" w:rsidRDefault="00930877" w:rsidP="00930877">
      <w:bookmarkStart w:id="1" w:name="FootprintPageAD"/>
    </w:p>
    <w:bookmarkEnd w:id="1"/>
    <w:p w:rsidR="00930877" w:rsidRPr="00930877" w:rsidRDefault="00930877" w:rsidP="003E06CF">
      <w:pPr>
        <w:pStyle w:val="PageHeadingNotTOC"/>
        <w:sectPr w:rsidR="00930877" w:rsidRPr="00930877" w:rsidSect="0093087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E06CF" w:rsidRPr="00930877" w:rsidRDefault="002A1BAF" w:rsidP="003E06CF">
      <w:pPr>
        <w:pStyle w:val="PageHeadingNotTOC"/>
      </w:pPr>
      <w:r>
        <w:lastRenderedPageBreak/>
        <w:t>OPINJONI</w:t>
      </w:r>
    </w:p>
    <w:p w:rsidR="00930877" w:rsidRPr="00930877" w:rsidRDefault="00930877" w:rsidP="00930877">
      <w:pPr>
        <w:pStyle w:val="Normal12a"/>
      </w:pPr>
      <w:bookmarkStart w:id="2" w:name="ProcPageAD"/>
      <w:r>
        <w:t>Il-Kumitat għad-Drittijiet tan-Nisa u l-Ugwaljanza bejn is-Sessi jistieden lill-Kumitat għall-Kontroll tal-Baġit, bħala l-kumitat responsabbli, biex jinkorpora dan li ġej fil-mozzjoni għal riżoluzzjoni tiegħu:</w:t>
      </w:r>
    </w:p>
    <w:p w:rsidR="00930877" w:rsidRPr="00930877" w:rsidRDefault="00930877" w:rsidP="00930877">
      <w:pPr>
        <w:pStyle w:val="Normal12a"/>
        <w:rPr>
          <w:b/>
          <w:bCs/>
          <w:iCs/>
        </w:rPr>
      </w:pPr>
      <w:r>
        <w:rPr>
          <w:rStyle w:val="HideTWBExt"/>
        </w:rPr>
        <w:t>&lt;RepeatBlock-Dec&gt;</w:t>
      </w:r>
      <w:r>
        <w:t xml:space="preserve">  </w:t>
      </w:r>
    </w:p>
    <w:p w:rsidR="00930877" w:rsidRPr="00930877" w:rsidRDefault="00930877" w:rsidP="00930877">
      <w:pPr>
        <w:spacing w:before="240" w:after="240"/>
        <w:ind w:left="567" w:hanging="567"/>
      </w:pPr>
      <w:r>
        <w:t xml:space="preserve">A. </w:t>
      </w:r>
      <w:r>
        <w:tab/>
        <w:t>billi l-Artikolu 8 tat-TFUE jiddikjara li l-Unjoni għandha tfittex li telimina l-inugwaljanzi u li tinkoraġġixxi l-ugwaljanza bejn il-ġeneri fl-azzjonijiet kollha tagħha, u b’hekk tistabbilixxi l-prinċipju tal-integrazzjoni tal-perspettiva tal-ġeneri; billi l-ugwaljanza bejn il-ġeneri trid tiġi inkorporata fil-politiki u l-attivitajiet kollha tal-UE, inkluż permezz tal-ibbaġitjar skont il-ġeneru fil-livelli kollha tal-proċess baġitarju; billi l-ugwaljanza hija dritt fundamentali skont it-Trattat ta’ Liżbona u prijorità għall-Unjoni u l-kisba tal-ugwaljanza bejn il-ġeneri hija kruċjali għall-ħarsien ta’ dawn id-drittijiet; billi l-Istitut Ewropew għall-Ugwaljanza bejn is-Sessi (EIGE) għandu rwol kruċjali fl-appoġġ lill-istituzzjonijiet tal-Unjoni u lill-Istati Membri fil-kisba ta’ dak l-għan; billi huwa l-objettiv tal-EIGE li jikkontribwixxi u jsaħħaħ il-promozzjoni tal-ugwaljanza bejn il-ġeneri, inkluża l-integrazzjoni tal-perspettiva tal-ġeneri fil-politiki kollha tal-UE, kompitu li fih wera li huwa vitali u effettiv; billi huwa enfasizzat, għalhekk, li l-EIGE jeħtieġ li jiġi pprovdut b’riżorsi finanzjarji u umani suffiċjenti u stabbli biex iwettaq il-kompiti tiegħu;</w:t>
      </w:r>
    </w:p>
    <w:p w:rsidR="00930877" w:rsidRPr="00930877" w:rsidRDefault="00930877" w:rsidP="00930877">
      <w:pPr>
        <w:pStyle w:val="NormalHanging12a"/>
      </w:pPr>
      <w:r>
        <w:t>B.</w:t>
      </w:r>
      <w:r>
        <w:tab/>
        <w:t>billi l-EIGE ġie stabbilit biex jikkontribwixxi u jsaħħaħ il-promozzjoni tal-ugwaljanza bejn il-ġeneri fl-Unjoni, inkluż permezz tal-integrazzjoni tal-perspettiva tal-ġeneri fil-politiki kollha tal-Unjoni u fil-politiki nazzjonali li jirriżultaw, il-ġlieda kontra d-diskriminazzjoni abbażi tal-ġeneru, u s-sensibilizzazzjoni taċ-ċittadini tal-Unjoni dwar l-ugwaljanza bejn il-ġeneri;</w:t>
      </w:r>
    </w:p>
    <w:p w:rsidR="00930877" w:rsidRPr="00930877" w:rsidRDefault="00930877" w:rsidP="00930877">
      <w:pPr>
        <w:pStyle w:val="NormalHanging12a"/>
      </w:pPr>
      <w:r>
        <w:t>C.</w:t>
      </w:r>
      <w:r>
        <w:tab/>
        <w:t>billi l-missjoni ewlenija tal-EIGE tiffoka fuq il-kisba tal-ugwaljanza bejn il-ġeneri fl-UE billi jipprovdi r-riċerka, jiġbor u jikkomunika d-data, u jiżviluppa metodi biex jittejjeb il-ġbir tad-data u l-istatistika, ikejjel l-istat tal-ugwaljanza bejn il-ġeneri kemm fil-livell tal-UE kif ukoll f’dak tal-Istati Membri, jiżviluppa għodod metodoloġiċi u jipprovdi appoġġ tekniku għall-integrazzjoni tal-perspettiva tal-ġeneri, u jikkoopera mal-istituzzjonijiet tal-UE, l-Istati Membri tagħha, l-aġenziji tal-UE, l-organizzazzjonijiet internazzjonali, id-dinja akkademika, is-soċjetà ċivili u partijiet ikkonċernati oħra;</w:t>
      </w:r>
    </w:p>
    <w:p w:rsidR="00930877" w:rsidRPr="00930877" w:rsidRDefault="00930877" w:rsidP="00930877">
      <w:pPr>
        <w:pStyle w:val="NormalHanging12a"/>
      </w:pPr>
      <w:r>
        <w:t>D.</w:t>
      </w:r>
      <w:r>
        <w:tab/>
        <w:t xml:space="preserve">billi l-Indiċi tal-Ugwaljanza bejn il-Ġeneri tal-2023 għall-Unjoni Ewropea (UE) qabeż 70 punt għall-ewwel darba, u wera tkabbir modest ta’ 1,6 punti mill-2022; billi ż-żieda fil-punteġġ globali tal-UE hija l-ogħla żieda minn sena għall-oħra sa mill-ewwel edizzjoni tal-Indiċi fl-2013; billi xi oqsma li juru sinjali ta’ rigressjoni, b’mod partikolari fil-metriċi ekonomiċi u tal-introjtu; </w:t>
      </w:r>
    </w:p>
    <w:p w:rsidR="00930877" w:rsidRPr="00930877" w:rsidRDefault="00930877" w:rsidP="00930877">
      <w:pPr>
        <w:pStyle w:val="NormalHanging12a"/>
      </w:pPr>
      <w:r>
        <w:t>E.</w:t>
      </w:r>
      <w:r>
        <w:tab/>
        <w:t>billi fl-2023, il-ħidma tal-EIGE iffokat fuq żewġ prijoritajiet tematiċi: il-Patt Ekoloġiku Ewropew u l-vjolenza abbażi tal-ġeneru; billi l-kriżijiet jaggravaw il-vulnerabbiltà tan-nisa u l-esponiment tagħhom għall-vjolenza, filwaqt li jintensifikaw l-inugwaljanzi strutturali eżistenti u jaggravaw it-tipi kollha ta’ vjolenza abbażi tal-ġeneru, inkluż dik fiżika, sesswali u psikoloġika; billi li jiġi segwit il-prinċipju tal-integrazzjoni tal-</w:t>
      </w:r>
      <w:r>
        <w:lastRenderedPageBreak/>
        <w:t>perspettiva tal-ġeneri, l-inkorporazzjoni ta’ perspettiva sensittiva għall-ġeneru, u r-riċerka dwar l-effett tal-politiki kollha fuq in-nisa huma aspetti kruċjali għall-kisba tal-ugwaljanza bejn il-ġeneri; billi n-nisa huma sottorappreżentati fi rwoli ewlenin fil-politika dwar il-klima, peress li l-irġiel għadhom jokkupaw 67 % tar-rwoli responsabbli mit-teħid tad-deċiżjonijiet relatati mal-klima; billi l-EIGE indika wkoll li n-nisa huma sottorappreżentati fil-ħolqien u l-iżvilupp ta’ innovazzjoni nadifa; billi dan għandu valur miżjud għat-tfassil tal-politika Ewropea;</w:t>
      </w:r>
    </w:p>
    <w:p w:rsidR="00930877" w:rsidRPr="00930877" w:rsidRDefault="00930877" w:rsidP="00930877">
      <w:pPr>
        <w:pStyle w:val="NormalHanging12a"/>
      </w:pPr>
      <w:r>
        <w:t>F.</w:t>
      </w:r>
      <w:r>
        <w:tab/>
        <w:t>billi l-ugwaljanza bejn il-ġeneri fl-Unjoni ntlaqtet b’mod partikolari mill-konsegwenzi tal-gwerra ta’ aggressjoni tar-Russja kontra l-Ukrajna, il-kriżi tal-għoli tal-ħajja, li taffettwa lin-nisa b’mod sproporzjonat, u r-rigressjonijiet kontra l-ugwaljanza bejn il-ġeneri u d-drittijiet tan-nisa; billi dan ikompli jżid l-inugwaljanzi; billi l-ħidma tal-EIGE ffokat ukoll fuq il-vjolenza abbażi tal-ġeneru (GBV), permezz ta’ ħidma fuq stħarriġ fl-UE kollha dwar il-vjolenza abbażi tal-ġeneru sabiex jingħalaq id-distakk ta’ għaxar snin li kien jeżisti fid-data dwar il-prevalenza tal-vjolenza kontra n-nisa fl-UE; billi l-EIGE jaħdem biex jipprovdi evidenza dwar il-vjolenza abbażi tal-ġeneru li tista’ tappoġġja lill-UE u lill-Istati Membri (u lil hinn) fl-isforzi tagħhom biex jeqirdu l-forom kollha ta’ vjolenza;</w:t>
      </w:r>
    </w:p>
    <w:p w:rsidR="00930877" w:rsidRPr="00930877" w:rsidRDefault="00930877" w:rsidP="00930877">
      <w:pPr>
        <w:pStyle w:val="NormalHanging12a"/>
      </w:pPr>
      <w:r>
        <w:t>G.</w:t>
      </w:r>
      <w:r>
        <w:tab/>
        <w:t>billi l-aġenziji tal-UE, bħall-EIGE, jikkontribwixxu għall-implimentazzjoni tal-politiki tal-UE u jirsistu għall-iżvilupp ta’ Ewropa aktar sostenibbli, inklużiva u kompetittiva għall-benefiċċju taċ-ċittadini kollha tal-UE; billi dawn l-aġenziji huma deċentralizzati u għalhekk indipendenti fl-iżvilupp tal-programmi ta’ ħidma tagħhom;</w:t>
      </w:r>
    </w:p>
    <w:p w:rsidR="00930877" w:rsidRPr="00930877" w:rsidRDefault="00930877" w:rsidP="00930877">
      <w:pPr>
        <w:pStyle w:val="NormalHanging12a"/>
      </w:pPr>
      <w:r>
        <w:t>1.</w:t>
      </w:r>
      <w:r>
        <w:tab/>
        <w:t>Jenfasizza li f’dawn l-aħħar għaxar snin l-inugwaljanzi ekonomiċi, soċjali, tax-xogħol u tal-ġeneru fi ħdan l-Istati Membri u bejniethom saru aktar akuti; ifakkar fir-rwol importanti li għandu l-EIGE biex jinftehmu u jiġu indirizzati l-firxa u l-kawżi tal-inugwaljanza bejn il-ġeneri fl-UE; jinnota l-livell kostantement għoli tal-eżekuzzjoni tal-baġit tal-EIGE, minkejja n-nuqqas persistenti ta’ persunal tal-aġenzija, b’approprjazzjonijiet ta’ impenn sa 98 % fl-2023 u rata ta’ approprjazzjonijiet ta’ pagament ta’ 83 %; jifraħ lil l-EIGE talli kiseb 92,76 % tal-objettivi tal-programm ta’ ħidma tiegħu; jinnota li l-Indiċi tal-Ugwaljanza bejn il-Ġeneri tal-2023 iffoka fuq kif id-disparitajiet bejn il-ġeneri jaffettwaw, u jiġu affettwati, mill-isforzi tat-tranżizzjoni ekoloġika, speċjalment f’setturi bħall-enerġija, l-innovazzjoni tat-teknoloġija ekoloġika u t-trasport, u jilqa’ l-inizjattivi tal-EIGE li jitfgħu dawl fuq dan il-fenomenu;</w:t>
      </w:r>
    </w:p>
    <w:p w:rsidR="00930877" w:rsidRPr="00930877" w:rsidRDefault="00930877" w:rsidP="00930877">
      <w:pPr>
        <w:pStyle w:val="NormalHanging12a"/>
      </w:pPr>
      <w:r>
        <w:t xml:space="preserve">2. </w:t>
      </w:r>
      <w:r>
        <w:tab/>
        <w:t xml:space="preserve">Jinnota li l-EIGE ġie stabbilit bħala ċ-ċentru ta’ għarfien tal-UE dwar l-ugwaljanza bejn il-ġeneri biex jipproduċi riċerka indipendenti u jaqsam l-aħjar prattiki biex jelimina d-diskriminazzjoni abbażi tal-ġeneru, jikkombina r-riċerka, id-data u l-għodod biex jgħin lill-UE u lill-Istati Membri tagħha jfasslu politiki inklużivi u trasformattivi għall-ġeneru u jintegraw l-ugwaljanza bejn il-ġeneri fil-politiki kollha tagħhom; jenfasizza l-urġenza li l-Unjoni tavvanza fl-ugwaljanza bejn il-ġeneri, fid-dawl tal-kriżijiet li għaddejjin bħalissa, bħall-kriżi klimatika, il-gwerer, ir-rigressjonijiet kontra l-ugwaljanza bejn il-ġeneri u l-movimenti antidemokratiċi u l-vjolenza mifruxa abbażi tal-ġeneru; jenfasizza li l-indirizzar tar-rigressjonijiet u l-vjolenza abbażi tal-ġeneru ma jistax jiġi diżakkoppjat mill-indirizzar tal-inugwaljanzi ekonomiċi u soċjali; jistieden lill-EIGE jipprijoritizza r-riċerka u r-rakkomandazzjonijiet li jiffokaw fuq it-tnaqqis fid-differenza fil-pagi bejn il-ġeneri, iż-żieda fl-aċċess għal impjiegi ta’ kwalità għan-nisa, u l-iżgurar </w:t>
      </w:r>
      <w:r>
        <w:lastRenderedPageBreak/>
        <w:t xml:space="preserve">tal-indipendenza ekonomika tagħhom bħala parti fundamentali tal-missjoni tiegħu; jinnota f’dan ir-rigward li d-differenza fil-pagi bejn il-ġeneri fl-UE hija ta’ 13 % u d-differenza fil-pensjonijiet bejn il-ġeneri hija ta’ 29 %, li taffettwa l-benesseri tan-nisa fis-soċjetà; jinnota li n-nisa fl-UE jesperjenzaw ukoll theddid għad-drittijiet fundamentali u l-awtonomija fiżika tagħhom, peress li l-attakki kontra s-saħħa sesswali u riproduttiva u d-drittijiet relatati, inklużi d-drittijiet għall-abort, għadhom jippersistu; itenni li n-nisa huma anke affettwati b’mod sproporzjonat mill-kriżi klimatika, il-gwerer u l-kunflitti; </w:t>
      </w:r>
    </w:p>
    <w:p w:rsidR="00930877" w:rsidRPr="00930877" w:rsidRDefault="00930877" w:rsidP="00930877">
      <w:pPr>
        <w:pStyle w:val="NormalHanging12a"/>
      </w:pPr>
      <w:r>
        <w:t>3.</w:t>
      </w:r>
      <w:r>
        <w:tab/>
        <w:t>Jirrikonoxxi r-rati ta’ suċċess għoljin tal-EIGE fl-iżvilupp ta’ azzjonijiet u kampanji ta’ komunikazzjoni dwar l-ugwaljanza bejn il-ġeneri, filwaqt li jenfasizza l-importanza li għandu fil-ħolqien ta’ sensibilizzazzjoni;</w:t>
      </w:r>
    </w:p>
    <w:p w:rsidR="00930877" w:rsidRPr="00930877" w:rsidRDefault="00930877" w:rsidP="00930877">
      <w:pPr>
        <w:pStyle w:val="NormalHanging12a"/>
      </w:pPr>
      <w:r>
        <w:t>4.</w:t>
      </w:r>
      <w:r>
        <w:tab/>
        <w:t>Jenfasizza l-importanza li jitkomplew l-azzjonijiet relatati mal-integrazzjoni tal-perspettiva tal-ġeneri li ma kisbux rata ta’ suċċess ta’ 100 %, b’mod partikolari minħabba raġunijiet proċedurali;</w:t>
      </w:r>
    </w:p>
    <w:p w:rsidR="00930877" w:rsidRPr="00930877" w:rsidRDefault="00930877" w:rsidP="00930877">
      <w:pPr>
        <w:pStyle w:val="NormalHanging12a"/>
      </w:pPr>
      <w:r>
        <w:t>5.</w:t>
      </w:r>
      <w:r>
        <w:tab/>
        <w:t>Jenfasizza r-riċerka importanti mill-EIGE li turi kif il-vjolenza hija riżultat ta’ inugwaljanzi li jaffettwaw lin-nisa kollha, iżda li tabilħaqq xi gruppi ta’ nisa huma aktar vulnerabbli li jesperjenzaw vjolenza, bħan-nisa b’diżabbiltà; jistieden lill-EIGE jkompli jiżviluppa l-ħidma futura tiegħu dwar dan is-suġġett urġenti;</w:t>
      </w:r>
    </w:p>
    <w:p w:rsidR="00930877" w:rsidRPr="00930877" w:rsidRDefault="00930877" w:rsidP="00930877">
      <w:pPr>
        <w:pStyle w:val="NormalHanging12a"/>
      </w:pPr>
      <w:r>
        <w:t>6.</w:t>
      </w:r>
      <w:r>
        <w:tab/>
        <w:t>Jinnota li l-EIGE diġà jqis il-vjolenza kontra n-nisa bħala ksur tad-drittijiet tal-bniedem fost l-aktar severi fis-soċjetajiet;</w:t>
      </w:r>
    </w:p>
    <w:p w:rsidR="00930877" w:rsidRPr="00930877" w:rsidRDefault="00930877" w:rsidP="00930877">
      <w:pPr>
        <w:pStyle w:val="NormalHanging12a"/>
      </w:pPr>
      <w:r>
        <w:t>7.</w:t>
      </w:r>
      <w:r>
        <w:tab/>
        <w:t>Jaqbel mal-EIGE fir-riċerka tiegħu li n-nisa u l-bniet b’diżabbiltà spiss ikunu f’riskju akbar ta’ faqar tat-trasport minħabba l-affordabbiltà, id-disponibbiltà u l-aċċessibbiltà limitati tat-trasport;</w:t>
      </w:r>
    </w:p>
    <w:p w:rsidR="00930877" w:rsidRPr="00930877" w:rsidRDefault="00930877" w:rsidP="00930877">
      <w:pPr>
        <w:pStyle w:val="NormalHanging12a"/>
      </w:pPr>
      <w:r>
        <w:t>8.</w:t>
      </w:r>
      <w:r>
        <w:tab/>
        <w:t>Jilqa’ l-punti ewlenin tal-ugwaljanza bejn il-ġeneri tal-EIGE li ppreżentaw lill-Kroazja u lill-Greċja bħala l-pajjiżi li għandhom l-ogħla proporzjon ta’ nisa fost il-persunal tar-riċerka u l-innovazzjoni fl-intrapriżi kummerċjali tas-setturi tal-elettriku, tal-gass u tal-provvista tal-ilma; jinnota li tali informazzjoni għandha valur miżjud għall-kawża tal-ugwaljanza bejn il-ġeneri fis-suq tal-enerġija;</w:t>
      </w:r>
    </w:p>
    <w:p w:rsidR="00930877" w:rsidRPr="00930877" w:rsidRDefault="00930877" w:rsidP="00930877">
      <w:pPr>
        <w:pStyle w:val="NormalHanging12a"/>
      </w:pPr>
      <w:r>
        <w:t xml:space="preserve">9. </w:t>
      </w:r>
      <w:r>
        <w:tab/>
        <w:t xml:space="preserve">Jinnota li ż-żieda ta’ 8,5 % fl-ispejjeż tal-persunal tal-EIGE tista’ tiġi attribwita għar-rata ta’ inflazzjoni għolja b’mod persistenti kif ukoll għall-indiċjar tas-salarji ta’ 2,7 %, u li l-għadd medju ta’ persunal baqa’ 45; jinnota li żewġ aġenti kuntrattwali ġew ingaġġati u ffinanzjati mill-ftehim ta’ kontribuzzjoni tal-Istrument għall-Assistenza ta’ Qabel l-Adeżjoni mad-Direttorat Ġenerali għall-Viċinat u n-Negozjati għat-Tkabbir tal-Kummissjoni; jinnota li r-Regolament (KE) Nru 1922/2006 tal-Parlament Ewropew u tal-Kunsill tal-20 ta’ Diċembru 2006 li jistabbilixxi Istitut Ewropew għall-Ugwaljanza bejn is-Sessi, f’artikolu 6 jiddikjara li l-EIGE għandu jiffunzjona b’mod indipendenti fl-interess pubbliku; ifakkar li l-kompitu tal-EIGE huwa li jiġbor, janalizza u jxerred informazzjoni dwar l-ugwaljanza bejn il-ġeneri u li jiżviluppa, janalizza, jevalwa u jxerred għodod ta’ metodoloġija sabiex jappoġġja l-integrazzjoni tal-ugwaljanza bejn il-ġeneri fil-politiki tal-Unjoni u l-politiki nazzjonali li jirriżultaw; jirrikonoxxi n-nuqqas persistenti ta’ persunal tal-EIGE, kif muri fis-sejbiet tat-tieni evalwazzjoni esterna; jisħaq fuq it-talbiet tiegħu biex l-EIGE jingħata l-baġit u l-allokazzjonijiet tal-persunal </w:t>
      </w:r>
      <w:r>
        <w:lastRenderedPageBreak/>
        <w:t xml:space="preserve">meħtieġa biex ikun jista’ jwettaq il-kompiti tiegħu, inkluż b’rispons għaż-żieda fit-talbiet urġenti, l-assistenza teknika, u t-talbiet għas-servizzi tiegħu; </w:t>
      </w:r>
    </w:p>
    <w:p w:rsidR="00930877" w:rsidRPr="00930877" w:rsidRDefault="00930877" w:rsidP="00930877">
      <w:pPr>
        <w:pStyle w:val="NormalHanging12a"/>
      </w:pPr>
      <w:r>
        <w:t>10.</w:t>
      </w:r>
      <w:r>
        <w:tab/>
        <w:t>Ifakkar li l-EIGE twaqqaf biex jgħin lill-istituzzjonijiet Ewropej u lill-Istati Membri jintegraw l-ugwaljanza bejn il-ġeneri fil-politiki kollha tagħhom u biex jiġġieldu d-diskriminazzjoni fuq il-bażi tal-ġeneru billi jipprovdi studji aġġornati, u b’hekk jikkontribwixxi b’mod importanti għall-isforzi biex tinkiseb ugwaljanza ġenwina bejn il-ġeneri;</w:t>
      </w:r>
    </w:p>
    <w:p w:rsidR="00930877" w:rsidRPr="00930877" w:rsidRDefault="00930877" w:rsidP="00930877">
      <w:pPr>
        <w:pStyle w:val="NormalHanging12a"/>
      </w:pPr>
      <w:r>
        <w:t xml:space="preserve">11. </w:t>
      </w:r>
      <w:r>
        <w:tab/>
        <w:t xml:space="preserve">Jilqa’ l-kooperazzjoni li għaddejja bejn l-EIGE u l-Kumitat għad-Drittijiet tan-Nisa u l-Ugwaljanza bejn is-Sessi (FEMM), b’mod partikolari l-kontribut tal-Istitut fl-isforzi kontinwi mill-Kumitat fir-rigward tal-vjolenza abbażi tal-ġeneru, il-bilanċ bejn ix-xogħol u l-ħajja privata, id-differenza bejn il-ġeneri fil-pagi u fil-pensjonijiet, l-impatt tal-kriżijiet fuq in-nisa, l-integrazzjoni tal-perspettiva tal-ġeneri u l-ibbaġitjar skont il-ġeneru; jappoġġja bil-qawwa l-ħidma tal-Istitut, li tippermetti lill-Kumitat jagħmel xogħlu kif suppost; jinnota l-importanza tad-disponibbiltà ta’ data affidabbli diżaggregata skont il-ġeneru sabiex ikunu jistgħu jitfasslu politiki bbażati fuq l-evidenza; jinnota l-kontribut siewi li l-EIGE jista’ jagħti lill-Kumitati kollha tal-Parlament Ewropew u aġenziji oħra tal-UE sabiex l-integrazzjoni tal-perspettiva tal-ġeneri tiġi integrata aħjar fil-politiki u l-azzjonijiet tal-UE; jistieden lill-EIGE jadotta qafas intersezzjonali fir-riċerka u fit-tfassil tal-politika tiegħu biex jindirizza l-iżvantaġġi soċjali u ekonomiċi aggravati li jiffaċċjaw in-nisa minn gruppi emarġinati, inklużi n-nisa ta’ ta’ karnaġġjon li mhux abjad, il-migranti, il-persuni b’diżabbiltà, u l-individwi LGBTIQA+; jisħaq fuq l-importanza li tinġabar data diżaggregata biex jiġu żviluppati soluzzjonijiet immirati għal dawn il-gruppi; </w:t>
      </w:r>
    </w:p>
    <w:p w:rsidR="00930877" w:rsidRPr="00930877" w:rsidRDefault="00930877" w:rsidP="00930877">
      <w:pPr>
        <w:pStyle w:val="NormalHanging12a"/>
      </w:pPr>
      <w:r>
        <w:t>12.</w:t>
      </w:r>
      <w:r>
        <w:tab/>
        <w:t>Huwa tal-fehma li, fuq il-bażi tad-data attwalment disponibbli, tista’ tingħata kwittanza lid-Direttur tal-EIGE fir-rigward tal-implimentazzjoni tal-baġit tiegħu għas-sena finanzjarja 2023.</w:t>
      </w:r>
    </w:p>
    <w:p w:rsidR="00930877" w:rsidRPr="00930877" w:rsidRDefault="00930877" w:rsidP="00930877">
      <w:pPr>
        <w:pStyle w:val="NormalHanging12a"/>
        <w:rPr>
          <w:rStyle w:val="HideTWBExt"/>
        </w:rPr>
      </w:pPr>
      <w:r>
        <w:rPr>
          <w:rStyle w:val="HideTWBExt"/>
        </w:rPr>
        <w:t>&lt;/RepeatBlock-Dec&gt;</w:t>
      </w:r>
    </w:p>
    <w:p w:rsidR="00930877" w:rsidRPr="00930877" w:rsidRDefault="00930877" w:rsidP="00930877">
      <w:r>
        <w:br w:type="page"/>
      </w:r>
    </w:p>
    <w:p w:rsidR="00930877" w:rsidRPr="00930877" w:rsidRDefault="00930877" w:rsidP="00930877">
      <w:pPr>
        <w:pStyle w:val="PageHeadingNotTOC"/>
      </w:pPr>
      <w:r>
        <w:lastRenderedPageBreak/>
        <w:t>ANNESS: ENTITAJIET JEW PERSUNI</w:t>
      </w:r>
      <w:r>
        <w:br/>
        <w:t>LI R-RAPPORTEUR GĦAL OPINJONI RĊIEVA KONTRIBUT MINGĦANDHOM</w:t>
      </w:r>
    </w:p>
    <w:p w:rsidR="00930877" w:rsidRPr="00930877" w:rsidRDefault="00930877" w:rsidP="00930877">
      <w:pPr>
        <w:pStyle w:val="Normal24a"/>
        <w:rPr>
          <w:rStyle w:val="HideTWBExt"/>
        </w:rPr>
      </w:pPr>
      <w:r>
        <w:rPr>
          <w:rStyle w:val="HideTWBExt"/>
        </w:rPr>
        <w:t>&lt;FootprintIntro&gt;</w:t>
      </w:r>
      <w:r>
        <w:t>Il-President fil-kapaċità tagħha bħala rapporteur għal opinjoni tiddikjara, taħt ir-responsabbiltà esklużiva tagħha, li ma rċeviet  l-ebda kontribut minn entità jew persuna li jrid jissemma f’dan l-Anness f’konformità mal-Artikolu 8 tal-Anness I tar-Regoli ta’ Proċedura.</w:t>
      </w:r>
      <w:r>
        <w:rPr>
          <w:rStyle w:val="HideTWBExt"/>
        </w:rPr>
        <w:t>&lt;/FootprintIntro&gt;</w:t>
      </w:r>
    </w:p>
    <w:p w:rsidR="00930877" w:rsidRPr="00930877" w:rsidRDefault="00930877">
      <w:pPr>
        <w:widowControl/>
        <w:rPr>
          <w:rStyle w:val="HideTWBExt"/>
          <w:szCs w:val="24"/>
        </w:rPr>
      </w:pPr>
      <w:r>
        <w:rPr>
          <w:rStyle w:val="HideTWBExt"/>
        </w:rPr>
        <w:br w:type="page"/>
      </w:r>
    </w:p>
    <w:p w:rsidR="00930877" w:rsidRPr="00930877" w:rsidRDefault="00930877" w:rsidP="00930877">
      <w:pPr>
        <w:pStyle w:val="Normal24a"/>
      </w:pPr>
    </w:p>
    <w:p w:rsidR="00930877" w:rsidRPr="00930877" w:rsidRDefault="00930877" w:rsidP="00930877">
      <w:pPr>
        <w:pStyle w:val="PageHeadingNotTOC"/>
      </w:pPr>
      <w:r>
        <w:t>INFORMAZZJONI DWAR L-ADOZZJONI</w:t>
      </w:r>
      <w:r>
        <w:br/>
        <w:t>FIL-KUMITAT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30877" w:rsidRPr="009308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30877" w:rsidRPr="00930877" w:rsidRDefault="00930877">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30877" w:rsidRPr="00930877" w:rsidRDefault="009308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30877" w:rsidRPr="00930877" w:rsidRDefault="009308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rFonts w:ascii="sans-serif" w:hAnsi="sans-serif" w:cs="sans-serif"/>
                <w:color w:val="000000"/>
                <w:szCs w:val="24"/>
              </w:rPr>
            </w:pPr>
          </w:p>
        </w:tc>
      </w:tr>
      <w:tr w:rsidR="00930877" w:rsidRPr="009308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30877" w:rsidRPr="00930877" w:rsidRDefault="00930877">
            <w:pPr>
              <w:autoSpaceDE w:val="0"/>
              <w:autoSpaceDN w:val="0"/>
              <w:adjustRightInd w:val="0"/>
              <w:rPr>
                <w:color w:val="000000"/>
                <w:sz w:val="20"/>
              </w:rPr>
            </w:pPr>
            <w:r>
              <w:rPr>
                <w:color w:val="000000"/>
                <w:sz w:val="20"/>
              </w:rPr>
              <w:t>+:</w:t>
            </w:r>
          </w:p>
          <w:p w:rsidR="00930877" w:rsidRPr="00930877" w:rsidRDefault="00930877">
            <w:pPr>
              <w:autoSpaceDE w:val="0"/>
              <w:autoSpaceDN w:val="0"/>
              <w:adjustRightInd w:val="0"/>
              <w:rPr>
                <w:color w:val="000000"/>
                <w:sz w:val="20"/>
              </w:rPr>
            </w:pPr>
            <w:r>
              <w:rPr>
                <w:color w:val="000000"/>
                <w:sz w:val="20"/>
              </w:rPr>
              <w:t>–:</w:t>
            </w:r>
          </w:p>
          <w:p w:rsidR="00930877" w:rsidRPr="00930877" w:rsidRDefault="009308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color w:val="000000"/>
                <w:sz w:val="20"/>
              </w:rPr>
            </w:pPr>
            <w:r>
              <w:rPr>
                <w:color w:val="000000"/>
                <w:sz w:val="20"/>
              </w:rPr>
              <w:t>27</w:t>
            </w:r>
          </w:p>
          <w:p w:rsidR="00930877" w:rsidRPr="00930877" w:rsidRDefault="00930877">
            <w:pPr>
              <w:autoSpaceDE w:val="0"/>
              <w:autoSpaceDN w:val="0"/>
              <w:adjustRightInd w:val="0"/>
              <w:rPr>
                <w:color w:val="000000"/>
                <w:sz w:val="20"/>
              </w:rPr>
            </w:pPr>
            <w:r>
              <w:rPr>
                <w:color w:val="000000"/>
                <w:sz w:val="20"/>
              </w:rPr>
              <w:t>10</w:t>
            </w:r>
          </w:p>
          <w:p w:rsidR="00930877" w:rsidRPr="00930877" w:rsidRDefault="00930877">
            <w:pPr>
              <w:autoSpaceDE w:val="0"/>
              <w:autoSpaceDN w:val="0"/>
              <w:adjustRightInd w:val="0"/>
              <w:rPr>
                <w:color w:val="000000"/>
                <w:sz w:val="20"/>
              </w:rPr>
            </w:pPr>
            <w:r>
              <w:rPr>
                <w:color w:val="000000"/>
                <w:sz w:val="20"/>
              </w:rPr>
              <w:t>1</w:t>
            </w:r>
          </w:p>
        </w:tc>
      </w:tr>
      <w:tr w:rsidR="00930877" w:rsidRPr="009308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b/>
                <w:bCs/>
                <w:color w:val="000000"/>
                <w:sz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930877" w:rsidRPr="009308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color w:val="000000"/>
                <w:sz w:val="20"/>
              </w:rPr>
            </w:pPr>
            <w:r>
              <w:rPr>
                <w:color w:val="000000"/>
                <w:sz w:val="20"/>
              </w:rPr>
              <w:t>Elena Donazzan, Loucas Fourlas, Elisabeth Grossmann, Jana Toom</w:t>
            </w:r>
          </w:p>
        </w:tc>
      </w:tr>
      <w:tr w:rsidR="00930877" w:rsidRPr="009308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b/>
                <w:bCs/>
                <w:color w:val="000000"/>
                <w:sz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30877" w:rsidRPr="00930877" w:rsidRDefault="00930877">
            <w:pPr>
              <w:autoSpaceDE w:val="0"/>
              <w:autoSpaceDN w:val="0"/>
              <w:adjustRightInd w:val="0"/>
              <w:rPr>
                <w:color w:val="000000"/>
                <w:sz w:val="20"/>
              </w:rPr>
            </w:pPr>
            <w:r>
              <w:rPr>
                <w:color w:val="000000"/>
                <w:sz w:val="20"/>
              </w:rPr>
              <w:t>Gabriella Gerzsenyi, Nikos Papandreou</w:t>
            </w:r>
          </w:p>
        </w:tc>
      </w:tr>
    </w:tbl>
    <w:p w:rsidR="00930877" w:rsidRPr="00930877" w:rsidRDefault="00930877"/>
    <w:bookmarkEnd w:id="2"/>
    <w:p w:rsidR="00E05697" w:rsidRPr="00930877" w:rsidRDefault="00E05697" w:rsidP="00930877"/>
    <w:sectPr w:rsidR="00E05697" w:rsidRPr="00930877" w:rsidSect="009308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BAF" w:rsidRPr="00930877" w:rsidRDefault="002A1BAF">
      <w:r w:rsidRPr="00930877">
        <w:separator/>
      </w:r>
    </w:p>
  </w:endnote>
  <w:endnote w:type="continuationSeparator" w:id="0">
    <w:p w:rsidR="002A1BAF" w:rsidRPr="00930877" w:rsidRDefault="002A1BAF">
      <w:r w:rsidRPr="009308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77" w:rsidRPr="00930877" w:rsidRDefault="00930877" w:rsidP="00930877">
    <w:pPr>
      <w:pStyle w:val="EPFooter"/>
    </w:pPr>
    <w:r w:rsidRPr="00930877">
      <w:t>PE</w:t>
    </w:r>
    <w:r w:rsidRPr="00930877">
      <w:rPr>
        <w:rStyle w:val="HideTWBExt"/>
      </w:rPr>
      <w:t>&lt;NoPE&gt;</w:t>
    </w:r>
    <w:r w:rsidRPr="00930877">
      <w:t>765.344</w:t>
    </w:r>
    <w:r w:rsidRPr="00930877">
      <w:rPr>
        <w:rStyle w:val="HideTWBExt"/>
      </w:rPr>
      <w:t>&lt;/NoPE&gt;&lt;Version&gt;</w:t>
    </w:r>
    <w:r w:rsidRPr="00930877">
      <w:t>v02-00</w:t>
    </w:r>
    <w:r w:rsidRPr="00930877">
      <w:rPr>
        <w:rStyle w:val="HideTWBExt"/>
      </w:rPr>
      <w:t>&lt;/Version&gt;</w:t>
    </w:r>
    <w:r w:rsidRPr="00930877">
      <w:tab/>
    </w:r>
    <w:r w:rsidRPr="00930877">
      <w:fldChar w:fldCharType="begin"/>
    </w:r>
    <w:r w:rsidRPr="00930877">
      <w:instrText xml:space="preserve"> PAGE  \* MERGEFORMAT </w:instrText>
    </w:r>
    <w:r w:rsidRPr="00930877">
      <w:fldChar w:fldCharType="separate"/>
    </w:r>
    <w:r w:rsidR="00416AEB">
      <w:rPr>
        <w:noProof/>
      </w:rPr>
      <w:t>2</w:t>
    </w:r>
    <w:r w:rsidRPr="00930877">
      <w:fldChar w:fldCharType="end"/>
    </w:r>
    <w:r w:rsidRPr="00930877">
      <w:t>/</w:t>
    </w:r>
    <w:r w:rsidR="00416AEB">
      <w:fldChar w:fldCharType="begin"/>
    </w:r>
    <w:r w:rsidR="00416AEB">
      <w:instrText xml:space="preserve"> NUMPAGES  \* MERGEFORMAT </w:instrText>
    </w:r>
    <w:r w:rsidR="00416AEB">
      <w:fldChar w:fldCharType="separate"/>
    </w:r>
    <w:r w:rsidR="00416AEB">
      <w:rPr>
        <w:noProof/>
      </w:rPr>
      <w:t>9</w:t>
    </w:r>
    <w:r w:rsidR="00416AEB">
      <w:rPr>
        <w:noProof/>
      </w:rPr>
      <w:fldChar w:fldCharType="end"/>
    </w:r>
    <w:r w:rsidRPr="00930877">
      <w:tab/>
    </w:r>
    <w:r w:rsidRPr="00930877">
      <w:rPr>
        <w:rStyle w:val="HideTWBExt"/>
      </w:rPr>
      <w:t>&lt;PathFdR&gt;</w:t>
    </w:r>
    <w:r w:rsidRPr="00930877">
      <w:t>AD\1315717MT.docx</w:t>
    </w:r>
    <w:r w:rsidRPr="00930877">
      <w:rPr>
        <w:rStyle w:val="HideTWBExt"/>
      </w:rPr>
      <w:t>&lt;/PathFdR&gt;</w:t>
    </w:r>
  </w:p>
  <w:p w:rsidR="00C75378" w:rsidRPr="00930877" w:rsidRDefault="00930877" w:rsidP="00930877">
    <w:pPr>
      <w:pStyle w:val="EPFooter2"/>
    </w:pPr>
    <w:r w:rsidRPr="00930877">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77" w:rsidRPr="00930877" w:rsidRDefault="00930877" w:rsidP="00930877">
    <w:pPr>
      <w:pStyle w:val="EPFooter"/>
    </w:pPr>
    <w:r w:rsidRPr="00930877">
      <w:rPr>
        <w:rStyle w:val="HideTWBExt"/>
      </w:rPr>
      <w:t>&lt;PathFdR&gt;</w:t>
    </w:r>
    <w:r w:rsidRPr="00930877">
      <w:t>AD\1315717MT.docx</w:t>
    </w:r>
    <w:r w:rsidRPr="00930877">
      <w:rPr>
        <w:rStyle w:val="HideTWBExt"/>
      </w:rPr>
      <w:t>&lt;/PathFdR&gt;</w:t>
    </w:r>
    <w:r w:rsidRPr="00930877">
      <w:tab/>
    </w:r>
    <w:r w:rsidRPr="00930877">
      <w:fldChar w:fldCharType="begin"/>
    </w:r>
    <w:r w:rsidRPr="00930877">
      <w:instrText xml:space="preserve"> PAGE  \* MERGEFORMAT </w:instrText>
    </w:r>
    <w:r w:rsidRPr="00930877">
      <w:fldChar w:fldCharType="separate"/>
    </w:r>
    <w:r w:rsidR="00416AEB">
      <w:rPr>
        <w:noProof/>
      </w:rPr>
      <w:t>9</w:t>
    </w:r>
    <w:r w:rsidRPr="00930877">
      <w:fldChar w:fldCharType="end"/>
    </w:r>
    <w:r w:rsidRPr="00930877">
      <w:t>/</w:t>
    </w:r>
    <w:r w:rsidR="00416AEB">
      <w:fldChar w:fldCharType="begin"/>
    </w:r>
    <w:r w:rsidR="00416AEB">
      <w:instrText xml:space="preserve"> NUMPAGES  \* MERGEFORMAT </w:instrText>
    </w:r>
    <w:r w:rsidR="00416AEB">
      <w:fldChar w:fldCharType="separate"/>
    </w:r>
    <w:r w:rsidR="00416AEB">
      <w:rPr>
        <w:noProof/>
      </w:rPr>
      <w:t>9</w:t>
    </w:r>
    <w:r w:rsidR="00416AEB">
      <w:rPr>
        <w:noProof/>
      </w:rPr>
      <w:fldChar w:fldCharType="end"/>
    </w:r>
    <w:r w:rsidRPr="00930877">
      <w:tab/>
      <w:t>PE</w:t>
    </w:r>
    <w:r w:rsidRPr="00930877">
      <w:rPr>
        <w:rStyle w:val="HideTWBExt"/>
      </w:rPr>
      <w:t>&lt;NoPE&gt;</w:t>
    </w:r>
    <w:r w:rsidRPr="00930877">
      <w:t>765.344</w:t>
    </w:r>
    <w:r w:rsidRPr="00930877">
      <w:rPr>
        <w:rStyle w:val="HideTWBExt"/>
      </w:rPr>
      <w:t>&lt;/NoPE&gt;&lt;Version&gt;</w:t>
    </w:r>
    <w:r w:rsidRPr="00930877">
      <w:t>v02-00</w:t>
    </w:r>
    <w:r w:rsidRPr="00930877">
      <w:rPr>
        <w:rStyle w:val="HideTWBExt"/>
      </w:rPr>
      <w:t>&lt;/Version&gt;</w:t>
    </w:r>
  </w:p>
  <w:p w:rsidR="00C75378" w:rsidRPr="00930877" w:rsidRDefault="00930877" w:rsidP="00930877">
    <w:pPr>
      <w:pStyle w:val="EPFooter2"/>
    </w:pPr>
    <w:r w:rsidRPr="00930877">
      <w:tab/>
    </w:r>
    <w:r w:rsidRPr="00930877">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77" w:rsidRPr="00930877" w:rsidRDefault="00930877" w:rsidP="00930877">
    <w:pPr>
      <w:pStyle w:val="EPFooter"/>
    </w:pPr>
    <w:r w:rsidRPr="00930877">
      <w:rPr>
        <w:rStyle w:val="HideTWBExt"/>
      </w:rPr>
      <w:t>&lt;PathFdR&gt;</w:t>
    </w:r>
    <w:r w:rsidRPr="00930877">
      <w:t>AD\1315717MT.docx</w:t>
    </w:r>
    <w:r w:rsidRPr="00930877">
      <w:rPr>
        <w:rStyle w:val="HideTWBExt"/>
      </w:rPr>
      <w:t>&lt;/PathFdR&gt;</w:t>
    </w:r>
    <w:r w:rsidRPr="00930877">
      <w:tab/>
    </w:r>
    <w:r w:rsidRPr="00930877">
      <w:tab/>
      <w:t>PE</w:t>
    </w:r>
    <w:r w:rsidRPr="00930877">
      <w:rPr>
        <w:rStyle w:val="HideTWBExt"/>
      </w:rPr>
      <w:t>&lt;NoPE&gt;</w:t>
    </w:r>
    <w:r w:rsidRPr="00930877">
      <w:t>765.344</w:t>
    </w:r>
    <w:r w:rsidRPr="00930877">
      <w:rPr>
        <w:rStyle w:val="HideTWBExt"/>
      </w:rPr>
      <w:t>&lt;/NoPE&gt;&lt;Version&gt;</w:t>
    </w:r>
    <w:r w:rsidRPr="00930877">
      <w:t>v02-00</w:t>
    </w:r>
    <w:r w:rsidRPr="00930877">
      <w:rPr>
        <w:rStyle w:val="HideTWBExt"/>
      </w:rPr>
      <w:t>&lt;/Version&gt;</w:t>
    </w:r>
  </w:p>
  <w:p w:rsidR="00C75378" w:rsidRPr="00930877" w:rsidRDefault="00930877" w:rsidP="00930877">
    <w:pPr>
      <w:pStyle w:val="EPFooter2"/>
    </w:pPr>
    <w:r w:rsidRPr="00930877">
      <w:t>MT</w:t>
    </w:r>
    <w:r w:rsidRPr="00930877">
      <w:tab/>
    </w:r>
    <w:r w:rsidRPr="00930877">
      <w:rPr>
        <w:b w:val="0"/>
        <w:i/>
        <w:color w:val="C0C0C0"/>
        <w:sz w:val="22"/>
      </w:rPr>
      <w:t>Magħquda fid-diversità</w:t>
    </w:r>
    <w:r w:rsidRPr="00930877">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BAF" w:rsidRPr="00930877" w:rsidRDefault="002A1BAF">
      <w:r w:rsidRPr="00930877">
        <w:separator/>
      </w:r>
    </w:p>
  </w:footnote>
  <w:footnote w:type="continuationSeparator" w:id="0">
    <w:p w:rsidR="002A1BAF" w:rsidRPr="00930877" w:rsidRDefault="002A1BAF">
      <w:r w:rsidRPr="009308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B02" w:rsidRDefault="001C7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B02" w:rsidRDefault="001C7B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B02" w:rsidRDefault="001C7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AUTHORMFPMNU" w:val=" 3"/>
    <w:docVar w:name="COMKEY" w:val="FEMM"/>
    <w:docVar w:name="CONTRIBUTIONMNU" w:val=" 2"/>
    <w:docVar w:name="FONCTIONMNU" w:val=" 3"/>
    <w:docVar w:name="LastEditedSection" w:val=" 1"/>
    <w:docVar w:name="strDocTypeID" w:val="PA_NonLegDec"/>
    <w:docVar w:name="strSubDir" w:val="1315"/>
    <w:docVar w:name="TXTAUTHOR" w:val="Lina Gálvez"/>
    <w:docVar w:name="TXTLANGUE" w:val="MT"/>
    <w:docVar w:name="TXTLANGUEMIN" w:val="mt"/>
    <w:docVar w:name="TXTNRPE" w:val="765.344"/>
    <w:docVar w:name="TXTNRPROC" w:val="2024/2030"/>
    <w:docVar w:name="TXTPEorAP" w:val="PE"/>
    <w:docVar w:name="TXTROUTE" w:val="AD\1315717MT.docx"/>
    <w:docVar w:name="TXTVERSION" w:val="02-00"/>
  </w:docVars>
  <w:rsids>
    <w:rsidRoot w:val="002A1BAF"/>
    <w:rsid w:val="000048A8"/>
    <w:rsid w:val="00007A18"/>
    <w:rsid w:val="00062634"/>
    <w:rsid w:val="000A05CA"/>
    <w:rsid w:val="000B6C4B"/>
    <w:rsid w:val="000D001F"/>
    <w:rsid w:val="000D099F"/>
    <w:rsid w:val="000E6813"/>
    <w:rsid w:val="000F07FE"/>
    <w:rsid w:val="001275F4"/>
    <w:rsid w:val="00184684"/>
    <w:rsid w:val="001A455F"/>
    <w:rsid w:val="001C7B02"/>
    <w:rsid w:val="001F2766"/>
    <w:rsid w:val="001F6ED8"/>
    <w:rsid w:val="00212D35"/>
    <w:rsid w:val="00245C7F"/>
    <w:rsid w:val="00257338"/>
    <w:rsid w:val="00271180"/>
    <w:rsid w:val="002A1BAF"/>
    <w:rsid w:val="002A4AC9"/>
    <w:rsid w:val="002B2892"/>
    <w:rsid w:val="002C0EE6"/>
    <w:rsid w:val="002C34AE"/>
    <w:rsid w:val="002E2F2E"/>
    <w:rsid w:val="00307C14"/>
    <w:rsid w:val="003707A7"/>
    <w:rsid w:val="00385BAB"/>
    <w:rsid w:val="0039003E"/>
    <w:rsid w:val="00396FA9"/>
    <w:rsid w:val="003B72FC"/>
    <w:rsid w:val="003D684B"/>
    <w:rsid w:val="003E06CF"/>
    <w:rsid w:val="003E35FB"/>
    <w:rsid w:val="003F3B83"/>
    <w:rsid w:val="00416AEB"/>
    <w:rsid w:val="00431E30"/>
    <w:rsid w:val="00487232"/>
    <w:rsid w:val="00495CA4"/>
    <w:rsid w:val="004A34E6"/>
    <w:rsid w:val="004C28FB"/>
    <w:rsid w:val="004E54DC"/>
    <w:rsid w:val="004F48ED"/>
    <w:rsid w:val="00514664"/>
    <w:rsid w:val="0055017A"/>
    <w:rsid w:val="00577018"/>
    <w:rsid w:val="005779E7"/>
    <w:rsid w:val="005D0786"/>
    <w:rsid w:val="005E3670"/>
    <w:rsid w:val="00600DC9"/>
    <w:rsid w:val="00643F39"/>
    <w:rsid w:val="0066728C"/>
    <w:rsid w:val="006819E0"/>
    <w:rsid w:val="0071319E"/>
    <w:rsid w:val="00722749"/>
    <w:rsid w:val="00806587"/>
    <w:rsid w:val="008818A9"/>
    <w:rsid w:val="008C6240"/>
    <w:rsid w:val="008E7494"/>
    <w:rsid w:val="008F36CD"/>
    <w:rsid w:val="008F7002"/>
    <w:rsid w:val="00930877"/>
    <w:rsid w:val="0095301E"/>
    <w:rsid w:val="0095497D"/>
    <w:rsid w:val="009669A8"/>
    <w:rsid w:val="00972FD8"/>
    <w:rsid w:val="00977F76"/>
    <w:rsid w:val="0098140C"/>
    <w:rsid w:val="009A33F4"/>
    <w:rsid w:val="009A403C"/>
    <w:rsid w:val="009B5265"/>
    <w:rsid w:val="00A2041C"/>
    <w:rsid w:val="00A722B1"/>
    <w:rsid w:val="00A8267E"/>
    <w:rsid w:val="00A93570"/>
    <w:rsid w:val="00A9617A"/>
    <w:rsid w:val="00AA1A2C"/>
    <w:rsid w:val="00AA223C"/>
    <w:rsid w:val="00AF77DA"/>
    <w:rsid w:val="00B107A4"/>
    <w:rsid w:val="00B1441B"/>
    <w:rsid w:val="00B362F7"/>
    <w:rsid w:val="00BB2AC1"/>
    <w:rsid w:val="00C04938"/>
    <w:rsid w:val="00C175C0"/>
    <w:rsid w:val="00C47E30"/>
    <w:rsid w:val="00C54F53"/>
    <w:rsid w:val="00C75378"/>
    <w:rsid w:val="00CA0D01"/>
    <w:rsid w:val="00CF7076"/>
    <w:rsid w:val="00D41244"/>
    <w:rsid w:val="00D438D0"/>
    <w:rsid w:val="00D44697"/>
    <w:rsid w:val="00D47632"/>
    <w:rsid w:val="00D625A2"/>
    <w:rsid w:val="00D71751"/>
    <w:rsid w:val="00D759AA"/>
    <w:rsid w:val="00DA7632"/>
    <w:rsid w:val="00E01434"/>
    <w:rsid w:val="00E05697"/>
    <w:rsid w:val="00E12435"/>
    <w:rsid w:val="00E3462E"/>
    <w:rsid w:val="00E729C7"/>
    <w:rsid w:val="00E83B40"/>
    <w:rsid w:val="00E9601C"/>
    <w:rsid w:val="00EA78B3"/>
    <w:rsid w:val="00EB19AA"/>
    <w:rsid w:val="00EC2C85"/>
    <w:rsid w:val="00F036E0"/>
    <w:rsid w:val="00F129D0"/>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26A3E"/>
  <w15:chartTrackingRefBased/>
  <w15:docId w15:val="{16E20641-BD02-4D30-A107-7B476FD7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930877"/>
    <w:rPr>
      <w:sz w:val="24"/>
      <w:lang w:val="mt-MT"/>
    </w:rPr>
  </w:style>
  <w:style w:type="paragraph" w:customStyle="1" w:styleId="Normal24a">
    <w:name w:val="Normal24a"/>
    <w:basedOn w:val="Normal"/>
    <w:rsid w:val="00930877"/>
    <w:pPr>
      <w:spacing w:after="480"/>
    </w:pPr>
    <w:rPr>
      <w:szCs w:val="24"/>
    </w:rPr>
  </w:style>
  <w:style w:type="paragraph" w:customStyle="1" w:styleId="NormalBoldCenter">
    <w:name w:val="NormalBoldCenter"/>
    <w:basedOn w:val="Normal"/>
    <w:rsid w:val="00930877"/>
    <w:pPr>
      <w:jc w:val="center"/>
    </w:pPr>
    <w:rPr>
      <w:b/>
      <w:szCs w:val="24"/>
    </w:rPr>
  </w:style>
  <w:style w:type="paragraph" w:customStyle="1" w:styleId="Footprint12b">
    <w:name w:val="Footprint12b"/>
    <w:basedOn w:val="Normal"/>
    <w:rsid w:val="00930877"/>
    <w:pPr>
      <w:spacing w:before="240"/>
    </w:pPr>
    <w:rPr>
      <w:szCs w:val="24"/>
    </w:rPr>
  </w:style>
  <w:style w:type="paragraph" w:customStyle="1" w:styleId="NormalSingle">
    <w:name w:val="NormalSingle"/>
    <w:basedOn w:val="Normal"/>
    <w:qFormat/>
    <w:rsid w:val="00930877"/>
    <w:rPr>
      <w:szCs w:val="24"/>
    </w:rPr>
  </w:style>
  <w:style w:type="paragraph" w:styleId="Footer">
    <w:name w:val="footer"/>
    <w:basedOn w:val="Normal"/>
    <w:link w:val="FooterChar"/>
    <w:semiHidden/>
    <w:rsid w:val="00257338"/>
    <w:pPr>
      <w:tabs>
        <w:tab w:val="center" w:pos="4513"/>
        <w:tab w:val="right" w:pos="9026"/>
      </w:tabs>
    </w:pPr>
  </w:style>
  <w:style w:type="character" w:customStyle="1" w:styleId="FooterChar">
    <w:name w:val="Footer Char"/>
    <w:basedOn w:val="DefaultParagraphFont"/>
    <w:link w:val="Footer"/>
    <w:semiHidden/>
    <w:rsid w:val="0025733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1679</Words>
  <Characters>12845</Characters>
  <Application>Microsoft Office Word</Application>
  <DocSecurity>0</DocSecurity>
  <Lines>217</Lines>
  <Paragraphs>59</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2025-03-06T10:13:00Z</dcterms:created>
  <dcterms:modified xsi:type="dcterms:W3CDTF">2025-03-06T10:13:00Z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\\eiciLUXpr1\pdocep$\DocEP\TRANSFIL\MT\PA_NonLegDec.MT(21/01/2025 11:10:00)</vt:lpwstr>
  </property>
  <property fmtid="{D5CDD505-2E9C-101B-9397-08002B2CF9AE}" pid="9" name="&lt;Model&gt;">
    <vt:lpwstr>PA_NonLegDec</vt:lpwstr>
  </property>
  <property fmtid="{D5CDD505-2E9C-101B-9397-08002B2CF9AE}" pid="10" name="FooterPath">
    <vt:lpwstr>AD\1315717MT.docx</vt:lpwstr>
  </property>
  <property fmtid="{D5CDD505-2E9C-101B-9397-08002B2CF9AE}" pid="11" name="PE number">
    <vt:lpwstr>765.344</vt:lpwstr>
  </property>
  <property fmtid="{D5CDD505-2E9C-101B-9397-08002B2CF9AE}" pid="12" name="SDLStudio">
    <vt:lpwstr/>
  </property>
  <property fmtid="{D5CDD505-2E9C-101B-9397-08002B2CF9AE}" pid="13" name="Bookout">
    <vt:lpwstr>OK(HDG) - 2025/03/06 11:13</vt:lpwstr>
  </property>
</Properties>
</file>