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D185D" w:rsidTr="00095CD0">
        <w:trPr>
          <w:trHeight w:hRule="exact" w:val="1418"/>
        </w:trPr>
        <w:tc>
          <w:tcPr>
            <w:tcW w:w="6804" w:type="dxa"/>
            <w:shd w:val="clear" w:color="auto" w:fill="auto"/>
            <w:vAlign w:val="center"/>
          </w:tcPr>
          <w:p w:rsidR="00BA3E40" w:rsidRPr="00995B88" w:rsidRDefault="00297AF4" w:rsidP="00095CD0">
            <w:pPr>
              <w:pStyle w:val="EPName"/>
            </w:pPr>
            <w:r>
              <w:t>Parlement européen</w:t>
            </w:r>
          </w:p>
          <w:p w:rsidR="00BA3E40" w:rsidRPr="00995B88" w:rsidRDefault="00297AF4" w:rsidP="00506BDC">
            <w:pPr>
              <w:pStyle w:val="EPTerm"/>
            </w:pPr>
            <w:r>
              <w:t>2024-2029</w:t>
            </w:r>
          </w:p>
        </w:tc>
        <w:tc>
          <w:tcPr>
            <w:tcW w:w="2268" w:type="dxa"/>
            <w:shd w:val="clear" w:color="auto" w:fill="auto"/>
          </w:tcPr>
          <w:p w:rsidR="00BA3E40" w:rsidRPr="00995B88" w:rsidRDefault="00297AF4" w:rsidP="00095CD0">
            <w:pPr>
              <w:pStyle w:val="EPLogo"/>
            </w:pPr>
            <w:r w:rsidRPr="00995B88">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995B88" w:rsidRDefault="00F24D40" w:rsidP="00F24D40">
      <w:pPr>
        <w:pStyle w:val="LineTop"/>
      </w:pPr>
    </w:p>
    <w:p w:rsidR="00F24D40" w:rsidRPr="00995B88" w:rsidRDefault="00297AF4" w:rsidP="00F24D40">
      <w:pPr>
        <w:pStyle w:val="EPBody"/>
      </w:pPr>
      <w:r>
        <w:rPr>
          <w:rStyle w:val="HideTWBExt"/>
        </w:rPr>
        <w:t>&lt;</w:t>
      </w:r>
      <w:r>
        <w:rPr>
          <w:rStyle w:val="HideTWBExt"/>
          <w:i w:val="0"/>
        </w:rPr>
        <w:t>Commission</w:t>
      </w:r>
      <w:r>
        <w:rPr>
          <w:rStyle w:val="HideTWBExt"/>
        </w:rPr>
        <w:t>&gt;</w:t>
      </w:r>
      <w:r>
        <w:rPr>
          <w:rStyle w:val="HideTWBInt"/>
          <w:color w:val="auto"/>
        </w:rPr>
        <w:t>{FEMM}</w:t>
      </w:r>
      <w:r>
        <w:t>Commission des droits des femmes et de l’égalité des genres</w:t>
      </w:r>
      <w:r>
        <w:rPr>
          <w:rStyle w:val="HideTWBExt"/>
        </w:rPr>
        <w:t>&lt;/</w:t>
      </w:r>
      <w:r>
        <w:rPr>
          <w:rStyle w:val="HideTWBExt"/>
          <w:i w:val="0"/>
        </w:rPr>
        <w:t>Commission</w:t>
      </w:r>
      <w:r>
        <w:rPr>
          <w:rStyle w:val="HideTWBExt"/>
        </w:rPr>
        <w:t>&gt;</w:t>
      </w:r>
    </w:p>
    <w:p w:rsidR="00F24D40" w:rsidRPr="00995B88" w:rsidRDefault="00F24D40" w:rsidP="00F24D40">
      <w:pPr>
        <w:pStyle w:val="LineBottom"/>
      </w:pPr>
    </w:p>
    <w:p w:rsidR="00DB56E4" w:rsidRPr="00995B88" w:rsidRDefault="00297AF4" w:rsidP="00DB56E4">
      <w:pPr>
        <w:pStyle w:val="CoverReference"/>
      </w:pPr>
      <w:r>
        <w:rPr>
          <w:rStyle w:val="HideTWBExt"/>
          <w:b w:val="0"/>
        </w:rPr>
        <w:t>&lt;RefProc&gt;</w:t>
      </w:r>
      <w:r>
        <w:t>2024/0035</w:t>
      </w:r>
      <w:r>
        <w:rPr>
          <w:rStyle w:val="HideTWBExt"/>
          <w:b w:val="0"/>
        </w:rPr>
        <w:t>&lt;/RefProc&gt;&lt;RefTypeProc&gt;</w:t>
      </w:r>
      <w:r>
        <w:t>(COD)</w:t>
      </w:r>
      <w:r>
        <w:rPr>
          <w:rStyle w:val="HideTWBExt"/>
          <w:b w:val="0"/>
        </w:rPr>
        <w:t>&lt;/RefTypeProc&gt;</w:t>
      </w:r>
    </w:p>
    <w:p w:rsidR="00DB56E4" w:rsidRPr="00995B88" w:rsidRDefault="00297AF4" w:rsidP="00DB56E4">
      <w:pPr>
        <w:pStyle w:val="CoverDate"/>
      </w:pPr>
      <w:r>
        <w:rPr>
          <w:rStyle w:val="HideTWBExt"/>
        </w:rPr>
        <w:t>&lt;Date&gt;</w:t>
      </w:r>
      <w:r>
        <w:rPr>
          <w:rStyle w:val="HideTWBInt"/>
          <w:color w:val="auto"/>
        </w:rPr>
        <w:t>{05/03/2025}</w:t>
      </w:r>
      <w:r>
        <w:t>5.3.2025</w:t>
      </w:r>
      <w:r>
        <w:rPr>
          <w:rStyle w:val="HideTWBExt"/>
        </w:rPr>
        <w:t>&lt;/Date&gt;</w:t>
      </w:r>
    </w:p>
    <w:p w:rsidR="00DB56E4" w:rsidRPr="00995B88" w:rsidRDefault="00297AF4" w:rsidP="00DB56E4">
      <w:pPr>
        <w:pStyle w:val="CoverDocType24a"/>
      </w:pPr>
      <w:r>
        <w:rPr>
          <w:rStyle w:val="HideTWBExt"/>
          <w:b w:val="0"/>
        </w:rPr>
        <w:t>&lt;TitreType&gt;</w:t>
      </w:r>
      <w:r>
        <w:t>AVIS</w:t>
      </w:r>
      <w:r>
        <w:rPr>
          <w:rStyle w:val="HideTWBExt"/>
          <w:b w:val="0"/>
        </w:rPr>
        <w:t>&lt;/TitreType&gt;</w:t>
      </w:r>
    </w:p>
    <w:p w:rsidR="00364C78" w:rsidRPr="00995B88" w:rsidRDefault="00297AF4" w:rsidP="00364C78">
      <w:pPr>
        <w:pStyle w:val="CoverNormal24a"/>
      </w:pPr>
      <w:r>
        <w:rPr>
          <w:rStyle w:val="HideTWBExt"/>
        </w:rPr>
        <w:t>&lt;CommissionResp&gt;</w:t>
      </w:r>
      <w:r>
        <w:t>de la commission des droits des femmes et de l’égalité des genres</w:t>
      </w:r>
      <w:r>
        <w:rPr>
          <w:rStyle w:val="HideTWBExt"/>
        </w:rPr>
        <w:t>&lt;/CommissionResp&gt;</w:t>
      </w:r>
    </w:p>
    <w:p w:rsidR="00364C78" w:rsidRPr="00995B88" w:rsidRDefault="00297AF4" w:rsidP="00364C78">
      <w:pPr>
        <w:pStyle w:val="CoverNormal24a"/>
      </w:pPr>
      <w:r>
        <w:rPr>
          <w:rStyle w:val="HideTWBExt"/>
        </w:rPr>
        <w:t>&lt;CommissionInt&gt;</w:t>
      </w:r>
      <w:r>
        <w:t>à l’intention de la commission des libertés civiles, de la justice et des affaires intérieures</w:t>
      </w:r>
      <w:r>
        <w:rPr>
          <w:rStyle w:val="HideTWBExt"/>
        </w:rPr>
        <w:t>&lt;/CommissionInt&gt;</w:t>
      </w:r>
    </w:p>
    <w:p w:rsidR="00364C78" w:rsidRPr="00995B88" w:rsidRDefault="00297AF4" w:rsidP="00364C78">
      <w:pPr>
        <w:pStyle w:val="CoverNormal"/>
      </w:pPr>
      <w:r>
        <w:rPr>
          <w:rStyle w:val="HideTWBExt"/>
        </w:rPr>
        <w:t>&lt;Titre&gt;</w:t>
      </w:r>
      <w:r>
        <w:t>sur la proposition de di</w:t>
      </w:r>
      <w:r>
        <w:t>rective du Parlement européen et du Conseil relative à la lutte contre les abus sexuels et l’exploitation sexuelle des enfants, ainsi que contre les matériels relatifs à des abus sexuels sur enfants, et remplaçant la décision-cadre 2004/68/JAI du Conseil (</w:t>
      </w:r>
      <w:r>
        <w:t>refonte)</w:t>
      </w:r>
      <w:r>
        <w:rPr>
          <w:rStyle w:val="HideTWBExt"/>
        </w:rPr>
        <w:t>&lt;/Titre&gt;</w:t>
      </w:r>
    </w:p>
    <w:p w:rsidR="00364C78" w:rsidRPr="00995B88" w:rsidRDefault="00297AF4" w:rsidP="00364C78">
      <w:pPr>
        <w:pStyle w:val="CoverNormal24a"/>
      </w:pPr>
      <w:r>
        <w:rPr>
          <w:rStyle w:val="HideTWBExt"/>
        </w:rPr>
        <w:t>&lt;DocRef&gt;</w:t>
      </w:r>
      <w:r>
        <w:t>(COM(2024)0060 – C9</w:t>
      </w:r>
      <w:r>
        <w:noBreakHyphen/>
        <w:t>0028/2024 – 2024/0035(COD))</w:t>
      </w:r>
      <w:r>
        <w:rPr>
          <w:rStyle w:val="HideTWBExt"/>
        </w:rPr>
        <w:t>&lt;/DocRef&gt;</w:t>
      </w:r>
    </w:p>
    <w:p w:rsidR="00DB56E4" w:rsidRPr="00995B88" w:rsidRDefault="00297AF4" w:rsidP="00DB56E4">
      <w:pPr>
        <w:pStyle w:val="CoverNormal24a"/>
      </w:pPr>
      <w:r>
        <w:t xml:space="preserve">Rapporteure pour avis: </w:t>
      </w:r>
      <w:r>
        <w:rPr>
          <w:rStyle w:val="HideTWBExt"/>
        </w:rPr>
        <w:t>&lt;Depute&gt;</w:t>
      </w:r>
      <w:r>
        <w:t>Heléne Frit</w:t>
      </w:r>
      <w:bookmarkStart w:id="0" w:name="_GoBack"/>
      <w:bookmarkEnd w:id="0"/>
      <w:r>
        <w:t>zon</w:t>
      </w:r>
      <w:r>
        <w:rPr>
          <w:rStyle w:val="HideTWBExt"/>
        </w:rPr>
        <w:t>&lt;/Depute&gt;</w:t>
      </w:r>
    </w:p>
    <w:p w:rsidR="00487596" w:rsidRPr="00995B88" w:rsidRDefault="00487596" w:rsidP="00487596">
      <w:pPr>
        <w:pStyle w:val="CoverNormal"/>
      </w:pPr>
    </w:p>
    <w:p w:rsidR="00DB56E4" w:rsidRPr="00995B88" w:rsidRDefault="00297AF4" w:rsidP="0004474F">
      <w:pPr>
        <w:tabs>
          <w:tab w:val="center" w:pos="4677"/>
        </w:tabs>
      </w:pPr>
      <w:r>
        <w:br w:type="page"/>
      </w:r>
      <w:r>
        <w:lastRenderedPageBreak/>
        <w:t>PA_Legam</w:t>
      </w:r>
    </w:p>
    <w:p w:rsidR="00DB56E4" w:rsidRPr="00995B88" w:rsidRDefault="00297AF4" w:rsidP="00346281">
      <w:pPr>
        <w:pStyle w:val="PageHeadingNotTOC"/>
      </w:pPr>
      <w:r>
        <w:br w:type="page"/>
      </w:r>
    </w:p>
    <w:p w:rsidR="001A05DC" w:rsidRPr="00995B88" w:rsidRDefault="00297AF4" w:rsidP="001A05DC">
      <w:pPr>
        <w:pStyle w:val="PageHeadingNotTOC"/>
      </w:pPr>
      <w:r>
        <w:lastRenderedPageBreak/>
        <w:t>JUSTIFICATION SUCCINCTE</w:t>
      </w:r>
    </w:p>
    <w:p w:rsidR="00364C78" w:rsidRPr="00995B88" w:rsidRDefault="00297AF4" w:rsidP="00364C78">
      <w:pPr>
        <w:spacing w:before="100" w:beforeAutospacing="1" w:after="100" w:afterAutospacing="1"/>
      </w:pPr>
      <w:r>
        <w:t>Le 6 février 2024, la Commission européenne a publié sa proposition législative de</w:t>
      </w:r>
      <w:r>
        <w:t xml:space="preserve"> refonte de la directive 2011/93/UE relative à la lutte contre les abus sexuels et l’exploitation sexuelle des enfants, ainsi que contre les matériels relatifs à des abus sexuels sur enfants, remplaçant la décision-cadre 2004/68/JAI du Conseil. Cette propo</w:t>
      </w:r>
      <w:r>
        <w:t>sition vise à harmoniser le droit pénal dans l’ensemble de l’Union en s’attaquant aux infractions telles que les matériels relatifs à des abus sexuels sur enfants, le pédopiégeage, les agressions sexuelles et le viol. La directive vise également à mettre e</w:t>
      </w:r>
      <w:r>
        <w:t>n place des mesures solides pour détecter et signaler les abus sexuels commis contre des enfants en ligne, prévenir ces infractions et soutenir les victimes.</w:t>
      </w:r>
    </w:p>
    <w:p w:rsidR="00364C78" w:rsidRPr="00995B88" w:rsidRDefault="00297AF4" w:rsidP="00364C78">
      <w:pPr>
        <w:spacing w:before="100" w:beforeAutospacing="1" w:after="100" w:afterAutospacing="1"/>
      </w:pPr>
      <w:r>
        <w:t>Les abus sexuels commis contre des enfants constituent un problème croissant, tant en ligne que ho</w:t>
      </w:r>
      <w:r>
        <w:t>rs ligne. Rien qu’en 2023, 1,3 million d’abus sexuels sur enfants ont été signalés dans l’Union, ce qui représente plus de 3,4 millions d’images et de vidéos. Au niveau mondial, les signalements sont passés de 1 million en 2010 à près de 35,9 millions en 2</w:t>
      </w:r>
      <w:r>
        <w:t xml:space="preserve">023, ce qui représente 105,6 millions d’images et de vidéos. Autre constat alarmant: 9 victimes sur 10 sont des filles, selon les données du réseau INHOPE. Selon l’Internet Watch Foundation, l’Union européenne continue d’héberger la majorité des matériels </w:t>
      </w:r>
      <w:r>
        <w:t>relatifs à des abus sexuels sur enfants dans le monde, avec 59 % de ces contenus hébergés dans les États membres.</w:t>
      </w:r>
    </w:p>
    <w:p w:rsidR="00364C78" w:rsidRPr="00995B88" w:rsidRDefault="00297AF4" w:rsidP="00364C78">
      <w:pPr>
        <w:spacing w:before="100" w:beforeAutospacing="1" w:after="100" w:afterAutospacing="1"/>
      </w:pPr>
      <w:r>
        <w:t>La proposition souligne la nécessité de lutter contre l’utilisation abusive des plateformes numériques pour la distribution des matériels rela</w:t>
      </w:r>
      <w:r>
        <w:t xml:space="preserve">tifs à des abus sexuels sur enfants et le pédopiégeage. Les victimes sont principalement des filles et des jeunes femmes, et la majorité des auteurs sont des hommes. La rapporteure souligne qu’il est essentiel de reconnaître les abus sexuels commis contre </w:t>
      </w:r>
      <w:r>
        <w:t>des enfants comme une forme de violence fondée sur le genre et d’intégrer des approches tenant compte de la dimension de genre pour lutter efficacement contre ces infractions.</w:t>
      </w:r>
    </w:p>
    <w:p w:rsidR="00364C78" w:rsidRPr="00995B88" w:rsidRDefault="00297AF4" w:rsidP="00364C78">
      <w:pPr>
        <w:spacing w:before="100" w:beforeAutospacing="1" w:after="100" w:afterAutospacing="1"/>
      </w:pPr>
      <w:r>
        <w:t>La rapporteure suggère d’apporter des modifications aux mesures de prévention pa</w:t>
      </w:r>
      <w:r>
        <w:t>r des campagnes de sensibilisation ciblées par âge et par genre. Soulignant le principe selon lequel seul un</w:t>
      </w:r>
      <w:proofErr w:type="gramStart"/>
      <w:r>
        <w:t xml:space="preserve"> «oui</w:t>
      </w:r>
      <w:proofErr w:type="gramEnd"/>
      <w:r>
        <w:t>» explicite et éclairé constitue un consentement, la directive doit veiller à ce que le consentement soit au cœur de toutes les mesures de prév</w:t>
      </w:r>
      <w:r>
        <w:t>ention et de soutien. Le soutien aux victimes et aux survivants doit être spécialisé et doit intégrer une perspective de genre. À cette fin, la création d’un centre de l’UE est fermement soutenue, parallèlement à celle d’un conseil consultatif composé de s</w:t>
      </w:r>
      <w:r>
        <w:t>urvivants et d’experts en droits de l’enfant. Ce conseil consultatif fournirait aux structures de gouvernance du centre de l’UE des orientations sur les droits de l’enfant, les stratégies de prévention et le soutien aux victimes.</w:t>
      </w:r>
    </w:p>
    <w:p w:rsidR="00364C78" w:rsidRPr="00995B88" w:rsidRDefault="00297AF4" w:rsidP="00364C78">
      <w:pPr>
        <w:pStyle w:val="Normal12a"/>
      </w:pPr>
      <w:r>
        <w:t xml:space="preserve">Enfin, la rapporteure </w:t>
      </w:r>
      <w:r>
        <w:t xml:space="preserve">estime que cette directive pourrait représenter, pour tous les enfants, une différence significative dans la lutte contre les abus sexuels commis contre des enfants. Cette croissance exponentielle de la diffusion de matériel relatif à des abus sexuels sur </w:t>
      </w:r>
      <w:r>
        <w:t>enfants souligne l’urgence de mettre à jour la législation.</w:t>
      </w:r>
    </w:p>
    <w:p w:rsidR="001A05DC" w:rsidRPr="00995B88" w:rsidRDefault="001A05DC" w:rsidP="001A05DC">
      <w:pPr>
        <w:pStyle w:val="Normal12a"/>
      </w:pPr>
    </w:p>
    <w:p w:rsidR="00DB56E4" w:rsidRPr="00995B88" w:rsidRDefault="00297AF4" w:rsidP="00DB56E4">
      <w:pPr>
        <w:pStyle w:val="AmHeadingPA"/>
      </w:pPr>
      <w:r>
        <w:t>AMENDEMENTS</w:t>
      </w:r>
    </w:p>
    <w:p w:rsidR="00995B88" w:rsidRPr="00995B88" w:rsidRDefault="00297AF4" w:rsidP="00995B88">
      <w:pPr>
        <w:pStyle w:val="Normal12a"/>
      </w:pPr>
      <w:bookmarkStart w:id="1" w:name="IntroA"/>
      <w:r>
        <w:lastRenderedPageBreak/>
        <w:t xml:space="preserve">La commission des droits des femmes et de l’égalité des genres présente à la commission des libertés civiles, de la justice et des affaires intérieures, compétente au fond, </w:t>
      </w:r>
      <w:r w:rsidR="00A716A5" w:rsidRPr="00A716A5">
        <w:t>ce qui suit</w:t>
      </w:r>
      <w:r>
        <w:t>:</w:t>
      </w:r>
      <w:bookmarkEnd w:id="1"/>
      <w:r>
        <w:t xml:space="preserve"> </w:t>
      </w:r>
    </w:p>
    <w:p w:rsidR="00995B88" w:rsidRPr="00995B88" w:rsidRDefault="00297AF4" w:rsidP="00995B88">
      <w:bookmarkStart w:id="2" w:name="IntroB"/>
      <w:r>
        <w:rPr>
          <w:rStyle w:val="HideTWBExt"/>
        </w:rPr>
        <w:t>&lt;RepeatBlock-Amend&gt;</w:t>
      </w:r>
      <w:bookmarkStart w:id="3" w:name="EndB"/>
      <w:bookmarkEnd w:id="2"/>
    </w:p>
    <w:p w:rsidR="00995B88" w:rsidRPr="00995B88" w:rsidRDefault="00297AF4" w:rsidP="00995B88">
      <w:pPr>
        <w:pStyle w:val="AMNumberTabs0"/>
      </w:pPr>
      <w:r>
        <w:rPr>
          <w:rStyle w:val="HideTWBExt"/>
        </w:rPr>
        <w:t>&lt;Amend&gt;</w:t>
      </w:r>
      <w:r>
        <w:t>Amendement</w:t>
      </w:r>
      <w:r>
        <w:tab/>
      </w:r>
      <w:r>
        <w:tab/>
      </w:r>
      <w:r>
        <w:rPr>
          <w:rStyle w:val="HideTWBExt"/>
        </w:rPr>
        <w:t>&lt;NumAm&gt;</w:t>
      </w:r>
      <w:r>
        <w:t>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11</w:t>
      </w:r>
      <w:r>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(11)</w:t>
            </w:r>
            <w:r>
              <w:tab/>
              <w:t xml:space="preserve">Des recherches ont montré que limiter la diffusion </w:t>
            </w:r>
            <w:r>
              <w:t>de matériels relatifs à des abus sexuels sur enfants est essentiel non seulement pour éviter la revictimisation liée à la diffusion d’images et de vidéos de ces abus, mais aussi pour prévenir l’incitation à la délinquance, étant donné que l’accès aux matér</w:t>
            </w:r>
            <w:r>
              <w:t>iels relatifs aux abus sexuels sur enfants constitue souvent le premier pas vers la concrétisation d’un abus, que les abus et l’ exploitation que ces matériels mettent en scène soient réels ou simplement réalistes. Du fait du développement continu d’applic</w:t>
            </w:r>
            <w:r>
              <w:t xml:space="preserve">ations d’intelligence artificielle capables de créer des images réalistes qui ne peuvent être distinguées des images réelles, le nombre d’images et de vidéos connues sous le nom d’hypertrucages </w:t>
            </w:r>
            <w:proofErr w:type="gramStart"/>
            <w:r>
              <w:t>(</w:t>
            </w:r>
            <w:r>
              <w:rPr>
                <w:b/>
                <w:i/>
              </w:rPr>
              <w:t xml:space="preserve"> </w:t>
            </w:r>
            <w:r>
              <w:t>«</w:t>
            </w:r>
            <w:proofErr w:type="gramEnd"/>
            <w:r>
              <w:t>deep fake») représentant des abus sexuels commis contre des</w:t>
            </w:r>
            <w:r>
              <w:t xml:space="preserve"> enfants devrait croître de manière exponentielle dans les années à venir. En outre, la définition existante ne couvre pas pleinement le développement de paramètres de réalité augmentée, étendue et virtuelle utilisant des avatars, y compris un retour d’inf</w:t>
            </w:r>
            <w:r>
              <w:t>ormation sensoriel, par exemple au moyen de dispositifs permettant de percevoir le toucher. L’inclusion d’une référence explicite aux «reproductions et représentations» devrait garantir que la définition du matériel relatif à des abus sexuels sur enfants c</w:t>
            </w:r>
            <w:r>
              <w:t xml:space="preserve">ouvre ces évolutions technologiques et futures d’une manière suffisamment neutre sur le plan technologique et donc à l’épreuve du </w:t>
            </w:r>
            <w:r>
              <w:lastRenderedPageBreak/>
              <w:t>temps.</w:t>
            </w:r>
          </w:p>
        </w:tc>
        <w:tc>
          <w:tcPr>
            <w:tcW w:w="4876" w:type="dxa"/>
            <w:tcBorders>
              <w:top w:val="nil"/>
              <w:left w:val="nil"/>
              <w:bottom w:val="nil"/>
              <w:right w:val="nil"/>
            </w:tcBorders>
          </w:tcPr>
          <w:p w:rsidR="00995B88" w:rsidRPr="00995B88" w:rsidRDefault="00297AF4" w:rsidP="005C748F">
            <w:pPr>
              <w:pStyle w:val="Normal6a"/>
            </w:pPr>
            <w:r>
              <w:lastRenderedPageBreak/>
              <w:t>(11)</w:t>
            </w:r>
            <w:r>
              <w:tab/>
            </w:r>
            <w:r>
              <w:rPr>
                <w:b/>
                <w:i/>
              </w:rPr>
              <w:t>Les abus sexuels et l’exploitation sexuelle des enfants ont une forte composante sexiste, qui touche de manière di</w:t>
            </w:r>
            <w:r>
              <w:rPr>
                <w:b/>
                <w:i/>
              </w:rPr>
              <w:t>sproportionnée les filles, et peuvent donc être considérés comme une forme extrême de violence fondée sur le genre. Les filles constituent la grande majorité des victimes représentées dans les matériels relatifs à des abus sexuels sur enfants et sont large</w:t>
            </w:r>
            <w:r>
              <w:rPr>
                <w:b/>
                <w:i/>
              </w:rPr>
              <w:t>ment surreprésentées dans les cas de sollicitation d’enfants. En revanche, les hommes représentent l’écrasante majorité des auteurs. Les rapports indiquent que neuf victimes sur dix sont des jeunes filles</w:t>
            </w:r>
            <w:r>
              <w:rPr>
                <w:b/>
                <w:i/>
                <w:vertAlign w:val="superscript"/>
              </w:rPr>
              <w:t>1 bis</w:t>
            </w:r>
            <w:r>
              <w:rPr>
                <w:b/>
                <w:i/>
              </w:rPr>
              <w:t>.</w:t>
            </w:r>
            <w:r>
              <w:t xml:space="preserve"> Des recherches ont montré que limiter la diff</w:t>
            </w:r>
            <w:r>
              <w:t>usion de matériels relatifs à des abus sexuels sur enfants est essentiel non seulement pour éviter la revictimisation liée à la diffusion d’images et de vidéos de ces abus, mais aussi pour prévenir l’incitation à la délinquance, étant donné que l’accès aux</w:t>
            </w:r>
            <w:r>
              <w:t xml:space="preserve"> matériels relatifs aux abus sexuels sur enfants constitue souvent le premier pas vers la concrétisation d’un abus, que les abus et l’ exploitation que ces matériels mettent en scène soient réels ou simplement réalistes. </w:t>
            </w:r>
            <w:r>
              <w:rPr>
                <w:b/>
                <w:i/>
              </w:rPr>
              <w:t>L’utilisation de technologies émerg</w:t>
            </w:r>
            <w:r>
              <w:rPr>
                <w:b/>
                <w:i/>
              </w:rPr>
              <w:t xml:space="preserve">entes, telles que l’IA, la réalité virtuelle (VR), la réalité étendue (XR), les hypertrucages </w:t>
            </w:r>
            <w:proofErr w:type="gramStart"/>
            <w:r>
              <w:rPr>
                <w:b/>
                <w:i/>
              </w:rPr>
              <w:t>(«deepfakes</w:t>
            </w:r>
            <w:proofErr w:type="gramEnd"/>
            <w:r>
              <w:rPr>
                <w:b/>
                <w:i/>
              </w:rPr>
              <w:t>») ou d’autres outils mettant en scène des victimes dénudées, conduit à la création et à la diffusion de matériel mensonger sur les abus sexuels commis</w:t>
            </w:r>
            <w:r>
              <w:rPr>
                <w:b/>
                <w:i/>
              </w:rPr>
              <w:t xml:space="preserve"> sur des enfants, tout en ciblant souvent les filles de manière disproportionnée. La </w:t>
            </w:r>
            <w:r>
              <w:rPr>
                <w:b/>
                <w:i/>
              </w:rPr>
              <w:lastRenderedPageBreak/>
              <w:t>facilité avec laquelle les technologies émergentes peuvent être utilisées et les compétences techniques minimes nécessaires pour produire de tels matériels, même à l’échel</w:t>
            </w:r>
            <w:r>
              <w:rPr>
                <w:b/>
                <w:i/>
              </w:rPr>
              <w:t>le industrielle, ont accru l’urgence de s’attaquer à ce problème. Ces technologies sont souvent utilisées à mauvais escient pour commettre des infractions sexuelles contre des enfants sur les réseaux sociaux, dans le cadre des contacts et des jeux en ligne</w:t>
            </w:r>
            <w:r>
              <w:rPr>
                <w:b/>
                <w:i/>
              </w:rPr>
              <w:t xml:space="preserve"> et à travers les applications générées par l’IA conçues pour faire participer les enfants, et augmentent les risques tels que la sollicitation, le pédopiégeage, l’exposition à des contenus préjudiciables et l’exploitation sexuelle ou les abus sexuels sur </w:t>
            </w:r>
            <w:r>
              <w:rPr>
                <w:b/>
                <w:i/>
              </w:rPr>
              <w:t xml:space="preserve">enfants. Par ailleurs, </w:t>
            </w:r>
            <w:r>
              <w:t>du fait du développement continu d’applications d’intelligence artificielle capables de créer des images réalistes qui ne peuvent être distinguées des images réelles, le nombre d’images et de vidéos connues sous le nom d’hypertrucage</w:t>
            </w:r>
            <w:r>
              <w:t xml:space="preserve">s </w:t>
            </w:r>
            <w:proofErr w:type="gramStart"/>
            <w:r>
              <w:t>(«deep</w:t>
            </w:r>
            <w:proofErr w:type="gramEnd"/>
            <w:r>
              <w:t xml:space="preserve"> fake») représentant des abus sexuels commis contre des enfants devrait croître de manière exponentielle dans les années à venir. En outre, la définition existante ne couvre pas pleinement le développement de paramètres de réalité augmentée, étendu</w:t>
            </w:r>
            <w:r>
              <w:t>e et virtuelle utilisant des avatars, y compris un retour d’information sensoriel, par exemple au moyen de dispositifs permettant de percevoir le toucher</w:t>
            </w:r>
            <w:r>
              <w:rPr>
                <w:b/>
                <w:i/>
              </w:rPr>
              <w:t>.</w:t>
            </w:r>
            <w:r>
              <w:t xml:space="preserve"> </w:t>
            </w:r>
            <w:r>
              <w:rPr>
                <w:b/>
                <w:i/>
              </w:rPr>
              <w:t>En outre, il a été démontré que les biais des systèmes d’intelligence artificielle produisent de mani</w:t>
            </w:r>
            <w:r>
              <w:rPr>
                <w:b/>
                <w:i/>
              </w:rPr>
              <w:t xml:space="preserve">ère disproportionnée des images d’exploitation de filles, reflétant et amplifiant la grande majorité des matériels existants relatifs à des abus sexuels sur enfants. Il convient donc de tenir compte du fait que l’utilisation de l’intelligence artificielle </w:t>
            </w:r>
            <w:r>
              <w:rPr>
                <w:b/>
                <w:i/>
              </w:rPr>
              <w:t>pour produire des matériels relatifs à des abus sexuels sur enfants risque de contribuer à la victimisation disproportionnée de certains groupes, tels que les filles.</w:t>
            </w:r>
            <w:r>
              <w:t xml:space="preserve"> L’inclusion </w:t>
            </w:r>
            <w:r>
              <w:lastRenderedPageBreak/>
              <w:t>d’une référence explicite aux «reproductions et représentations» devrait gara</w:t>
            </w:r>
            <w:r>
              <w:t>ntir que la définition du matériel relatif à des abus sexuels sur enfants couvre ces évolutions technologiques et futures d’une manière suffisamment neutre sur le plan technologique et donc à l’épreuve du temps.</w:t>
            </w:r>
          </w:p>
        </w:tc>
      </w:tr>
      <w:tr w:rsidR="00AD185D" w:rsidTr="005C748F">
        <w:trPr>
          <w:jc w:val="center"/>
        </w:trPr>
        <w:tc>
          <w:tcPr>
            <w:tcW w:w="4876" w:type="dxa"/>
            <w:tcBorders>
              <w:top w:val="nil"/>
              <w:left w:val="nil"/>
              <w:bottom w:val="nil"/>
              <w:right w:val="nil"/>
            </w:tcBorders>
          </w:tcPr>
          <w:p w:rsidR="00995B88" w:rsidRPr="00995B88" w:rsidRDefault="00995B88" w:rsidP="005C748F"/>
        </w:tc>
        <w:tc>
          <w:tcPr>
            <w:tcW w:w="4876" w:type="dxa"/>
            <w:tcBorders>
              <w:top w:val="nil"/>
              <w:left w:val="nil"/>
              <w:bottom w:val="nil"/>
              <w:right w:val="nil"/>
            </w:tcBorders>
          </w:tcPr>
          <w:p w:rsidR="00995B88" w:rsidRPr="00995B88" w:rsidRDefault="00297AF4" w:rsidP="005C748F">
            <w:pPr>
              <w:pStyle w:val="Normal6a"/>
            </w:pPr>
            <w:r>
              <w:rPr>
                <w:b/>
                <w:i/>
              </w:rPr>
              <w:t>_________________</w:t>
            </w:r>
          </w:p>
        </w:tc>
      </w:tr>
      <w:tr w:rsidR="00AD185D" w:rsidTr="005C748F">
        <w:trPr>
          <w:jc w:val="center"/>
        </w:trPr>
        <w:tc>
          <w:tcPr>
            <w:tcW w:w="4876" w:type="dxa"/>
            <w:tcBorders>
              <w:top w:val="nil"/>
              <w:left w:val="nil"/>
              <w:bottom w:val="nil"/>
              <w:right w:val="nil"/>
            </w:tcBorders>
          </w:tcPr>
          <w:p w:rsidR="00995B88" w:rsidRPr="00995B88" w:rsidRDefault="00995B88" w:rsidP="005C748F"/>
        </w:tc>
        <w:tc>
          <w:tcPr>
            <w:tcW w:w="4876" w:type="dxa"/>
            <w:tcBorders>
              <w:top w:val="nil"/>
              <w:left w:val="nil"/>
              <w:bottom w:val="nil"/>
              <w:right w:val="nil"/>
            </w:tcBorders>
          </w:tcPr>
          <w:p w:rsidR="00995B88" w:rsidRPr="00995B88" w:rsidRDefault="00297AF4" w:rsidP="005C748F">
            <w:pPr>
              <w:pStyle w:val="Normal6a"/>
            </w:pPr>
            <w:r>
              <w:rPr>
                <w:b/>
                <w:i/>
                <w:vertAlign w:val="superscript"/>
              </w:rPr>
              <w:t>1 bis</w:t>
            </w:r>
            <w:r>
              <w:rPr>
                <w:b/>
                <w:i/>
              </w:rPr>
              <w:t xml:space="preserve"> Rapport annuel 2023 du réseau INHOPE https://www.inhope.org/EN/articles/inhope-annual-report-2023 </w:t>
            </w:r>
          </w:p>
        </w:tc>
      </w:tr>
    </w:tbl>
    <w:p w:rsidR="00995B88" w:rsidRPr="00995B88" w:rsidRDefault="00297AF4" w:rsidP="00995B88">
      <w:r>
        <w:rPr>
          <w:rStyle w:val="HideTWBExt"/>
        </w:rPr>
        <w:t>&lt;/Amend&gt;</w:t>
      </w:r>
    </w:p>
    <w:p w:rsidR="00995B88" w:rsidRPr="00995B88" w:rsidRDefault="00297AF4" w:rsidP="00995B88">
      <w:pPr>
        <w:pStyle w:val="AMNumberTabs0"/>
      </w:pPr>
      <w:r>
        <w:rPr>
          <w:rStyle w:val="HideTWBExt"/>
        </w:rPr>
        <w:t>&lt;Amend&gt;</w:t>
      </w:r>
      <w:r>
        <w:t>Amendement</w:t>
      </w:r>
      <w:r>
        <w:tab/>
      </w:r>
      <w:r>
        <w:tab/>
      </w:r>
      <w:r>
        <w:rPr>
          <w:rStyle w:val="HideTWBExt"/>
        </w:rPr>
        <w:t>&lt;NumAm&gt;</w:t>
      </w:r>
      <w:r>
        <w:t>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11 bis (nouveau)</w:t>
      </w:r>
      <w:r>
        <w:rPr>
          <w:rStyle w:val="HideTWBExt"/>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proposé </w:t>
            </w:r>
            <w:r>
              <w:t>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(11 bis)</w:t>
            </w:r>
            <w:r>
              <w:tab/>
            </w:r>
            <w:r>
              <w:rPr>
                <w:b/>
                <w:i/>
              </w:rPr>
              <w:t xml:space="preserve">Les enfants sont de plus en plus connectés dès leur plus jeune âge et les filles sont particulièrement exposées au risque d’être confrontées à la cyberviolence et d’en être victimes. Des études montrent qu’une femme </w:t>
            </w:r>
            <w:r>
              <w:rPr>
                <w:b/>
                <w:i/>
              </w:rPr>
              <w:t>sur dix a subi une forme ou une autre de cyberviolence fondée sur le genre depuis l’âge de 15 ans</w:t>
            </w:r>
            <w:r>
              <w:rPr>
                <w:b/>
                <w:i/>
                <w:vertAlign w:val="superscript"/>
              </w:rPr>
              <w:t>1 bis</w:t>
            </w:r>
            <w:r>
              <w:rPr>
                <w:b/>
                <w:i/>
              </w:rPr>
              <w:t>, 58 % des filles déclarant avoir été victimes de harcèlement en ligne</w:t>
            </w:r>
            <w:r>
              <w:rPr>
                <w:b/>
                <w:i/>
                <w:vertAlign w:val="superscript"/>
              </w:rPr>
              <w:t>1 ter</w:t>
            </w:r>
            <w:r>
              <w:rPr>
                <w:b/>
                <w:i/>
              </w:rPr>
              <w:t>. Trois filles sur cinq ont subi au moins un préjudice sexuel en ligne et les e</w:t>
            </w:r>
            <w:r>
              <w:rPr>
                <w:b/>
                <w:i/>
              </w:rPr>
              <w:t>nfants LGBTIQ+ courent un risque plus élevé de subir un préjudice sexuel en ligne. La violence sexuelle en ligne, y compris le harcèlement sexuel, les abus sexuels et le pédopiégeage, a atteint des niveaux sans précédent et touche de manière disproportionn</w:t>
            </w:r>
            <w:r>
              <w:rPr>
                <w:b/>
                <w:i/>
              </w:rPr>
              <w:t xml:space="preserve">ée les filles et les jeunes femmes. Les filles sont, de manière disproportionnée, plus exposées au chantage sexuel, et les matériels relatifs à des abus sexuels sur des filles deviennent de plus en plus une monnaie d’échange </w:t>
            </w:r>
            <w:r>
              <w:rPr>
                <w:b/>
                <w:i/>
              </w:rPr>
              <w:lastRenderedPageBreak/>
              <w:t>entre les auteurs d’infractions</w:t>
            </w:r>
            <w:r>
              <w:rPr>
                <w:b/>
                <w:i/>
              </w:rPr>
              <w:t>, exacerbant ainsi les stéréotypes sexistes et sociaux sous-jacents et les inégalités sociales qui perpétuent ces abus. Les images non consenties diffusées représentent majoritairement des jeunes filles, ce qui les expose à d’énormes traumatismes, qui peuv</w:t>
            </w:r>
            <w:r>
              <w:rPr>
                <w:b/>
                <w:i/>
              </w:rPr>
              <w:t>ent également conduire à des épisodes d’automutilation. Il est essentiel d’intégrer une perspective de genre dans toutes les mesures destinées à prévenir et à combattre les abus sexuels sur enfants en ligne et à lutter contre la sollicitation en ligne d’en</w:t>
            </w:r>
            <w:r>
              <w:rPr>
                <w:b/>
                <w:i/>
              </w:rPr>
              <w:t>fants, tout en s’attaquant aux causes profondes de la violence fondée sur le genre, et de veiller à ce que les plateformes numériques intègrent des mesures solides, notamment les législations pertinentes en matière de droits de l’homme ou la législation ré</w:t>
            </w:r>
            <w:r>
              <w:rPr>
                <w:b/>
                <w:i/>
              </w:rPr>
              <w:t xml:space="preserve">cente sur la violence à l’égard des femmes, y compris la cyberviolence, dans la lutte contre la violence fondée sur le genre et la cyberviolence, afin de protéger les utilisateurs vulnérables tout en s’attaquant aux risques systémiques et disproportionnés </w:t>
            </w:r>
            <w:r>
              <w:rPr>
                <w:b/>
                <w:i/>
              </w:rPr>
              <w:t>auxquels sont exposées les filles et les femmes.</w:t>
            </w:r>
          </w:p>
        </w:tc>
      </w:tr>
      <w:tr w:rsidR="00AD185D" w:rsidTr="005C748F">
        <w:trPr>
          <w:jc w:val="center"/>
        </w:trPr>
        <w:tc>
          <w:tcPr>
            <w:tcW w:w="4876" w:type="dxa"/>
            <w:tcBorders>
              <w:top w:val="nil"/>
              <w:left w:val="nil"/>
              <w:bottom w:val="nil"/>
              <w:right w:val="nil"/>
            </w:tcBorders>
          </w:tcPr>
          <w:p w:rsidR="00995B88" w:rsidRPr="00995B88" w:rsidRDefault="00995B88" w:rsidP="005C748F"/>
        </w:tc>
        <w:tc>
          <w:tcPr>
            <w:tcW w:w="4876" w:type="dxa"/>
            <w:tcBorders>
              <w:top w:val="nil"/>
              <w:left w:val="nil"/>
              <w:bottom w:val="nil"/>
              <w:right w:val="nil"/>
            </w:tcBorders>
          </w:tcPr>
          <w:p w:rsidR="00995B88" w:rsidRPr="00995B88" w:rsidRDefault="00297AF4" w:rsidP="005C748F">
            <w:pPr>
              <w:pStyle w:val="Normal6a"/>
            </w:pPr>
            <w:r>
              <w:rPr>
                <w:b/>
                <w:i/>
              </w:rPr>
              <w:t>_________________</w:t>
            </w:r>
          </w:p>
        </w:tc>
      </w:tr>
      <w:tr w:rsidR="00AD185D" w:rsidTr="005C748F">
        <w:trPr>
          <w:jc w:val="center"/>
        </w:trPr>
        <w:tc>
          <w:tcPr>
            <w:tcW w:w="4876" w:type="dxa"/>
            <w:tcBorders>
              <w:top w:val="nil"/>
              <w:left w:val="nil"/>
              <w:bottom w:val="nil"/>
              <w:right w:val="nil"/>
            </w:tcBorders>
          </w:tcPr>
          <w:p w:rsidR="00995B88" w:rsidRPr="00995B88" w:rsidRDefault="00995B88" w:rsidP="005C748F"/>
        </w:tc>
        <w:tc>
          <w:tcPr>
            <w:tcW w:w="4876" w:type="dxa"/>
            <w:tcBorders>
              <w:top w:val="nil"/>
              <w:left w:val="nil"/>
              <w:bottom w:val="nil"/>
              <w:right w:val="nil"/>
            </w:tcBorders>
          </w:tcPr>
          <w:p w:rsidR="00995B88" w:rsidRPr="00995B88" w:rsidRDefault="00297AF4" w:rsidP="005C748F">
            <w:pPr>
              <w:pStyle w:val="Normal6a"/>
            </w:pPr>
            <w:r>
              <w:rPr>
                <w:b/>
                <w:i/>
                <w:vertAlign w:val="superscript"/>
              </w:rPr>
              <w:t>1 bis</w:t>
            </w:r>
            <w:r>
              <w:t xml:space="preserve"> </w:t>
            </w:r>
            <w:r>
              <w:rPr>
                <w:b/>
                <w:i/>
              </w:rPr>
              <w:t>Publication de l’EIGE sur la cyberviolence à l’égard des femmes et des filles https://eige.europa.eu/newsroom/news/cyber-violence-growing-threat-especially-women-and-girls?</w:t>
            </w:r>
          </w:p>
        </w:tc>
      </w:tr>
      <w:tr w:rsidR="00AD185D" w:rsidRPr="00A716A5" w:rsidTr="005C748F">
        <w:trPr>
          <w:jc w:val="center"/>
        </w:trPr>
        <w:tc>
          <w:tcPr>
            <w:tcW w:w="4876" w:type="dxa"/>
            <w:tcBorders>
              <w:top w:val="nil"/>
              <w:left w:val="nil"/>
              <w:bottom w:val="nil"/>
              <w:right w:val="nil"/>
            </w:tcBorders>
          </w:tcPr>
          <w:p w:rsidR="00995B88" w:rsidRPr="00995B88" w:rsidRDefault="00995B88" w:rsidP="005C748F"/>
        </w:tc>
        <w:tc>
          <w:tcPr>
            <w:tcW w:w="4876" w:type="dxa"/>
            <w:tcBorders>
              <w:top w:val="nil"/>
              <w:left w:val="nil"/>
              <w:bottom w:val="nil"/>
              <w:right w:val="nil"/>
            </w:tcBorders>
          </w:tcPr>
          <w:p w:rsidR="00995B88" w:rsidRPr="00A716A5" w:rsidRDefault="00297AF4" w:rsidP="005C748F">
            <w:pPr>
              <w:pStyle w:val="Normal6a"/>
              <w:rPr>
                <w:lang w:val="nl-NL"/>
              </w:rPr>
            </w:pPr>
            <w:r w:rsidRPr="00A716A5">
              <w:rPr>
                <w:b/>
                <w:i/>
                <w:vertAlign w:val="superscript"/>
                <w:lang w:val="nl-NL"/>
              </w:rPr>
              <w:t>1 ter</w:t>
            </w:r>
            <w:r w:rsidRPr="00A716A5">
              <w:rPr>
                <w:lang w:val="nl-NL"/>
              </w:rPr>
              <w:t xml:space="preserve"> </w:t>
            </w:r>
            <w:r w:rsidRPr="00A716A5">
              <w:rPr>
                <w:b/>
                <w:i/>
                <w:lang w:val="nl-NL"/>
              </w:rPr>
              <w:t>Rapport GREVIO, 2023, https://www.coe.int/en/web/cyberviolence/cyberviolence-against-women</w:t>
            </w:r>
          </w:p>
        </w:tc>
      </w:tr>
    </w:tbl>
    <w:p w:rsidR="00995B88" w:rsidRPr="00A716A5" w:rsidRDefault="00297AF4" w:rsidP="00995B88">
      <w:pPr>
        <w:rPr>
          <w:lang w:val="nl-NL"/>
        </w:rPr>
      </w:pPr>
      <w:r w:rsidRPr="00A716A5">
        <w:rPr>
          <w:rStyle w:val="HideTWBExt"/>
          <w:lang w:val="nl-NL"/>
        </w:rPr>
        <w:t>&lt;/Amend&gt;</w:t>
      </w:r>
    </w:p>
    <w:p w:rsidR="00995B88" w:rsidRPr="00995B88" w:rsidRDefault="00297AF4" w:rsidP="00995B88">
      <w:pPr>
        <w:pStyle w:val="AMNumberTabs0"/>
      </w:pPr>
      <w:r>
        <w:rPr>
          <w:rStyle w:val="HideTWBExt"/>
        </w:rPr>
        <w:t>&lt;Amend&gt;</w:t>
      </w:r>
      <w:r>
        <w:t>Amendement</w:t>
      </w:r>
      <w:r>
        <w:tab/>
      </w:r>
      <w:r>
        <w:tab/>
      </w:r>
      <w:r>
        <w:rPr>
          <w:rStyle w:val="HideTWBExt"/>
        </w:rPr>
        <w:t>&lt;NumAm&gt;</w:t>
      </w:r>
      <w:r>
        <w:t>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11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w:t>
            </w:r>
            <w:r>
              <w:t xml:space="preserve">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(11 ter)</w:t>
            </w:r>
            <w:r>
              <w:tab/>
            </w:r>
            <w:r>
              <w:rPr>
                <w:b/>
                <w:i/>
              </w:rPr>
              <w:t>Il convient de remédier au non-signalement, dans la plupart des cas, des abus sexuels et de l’exploitation sexuelle des enfants. Les abus sexuels commis contre des enfants se produisent également dans le cadre familial,</w:t>
            </w:r>
            <w:r>
              <w:rPr>
                <w:b/>
                <w:i/>
              </w:rPr>
              <w:t xml:space="preserve"> où la violence domestique est répandue et est donc difficile à détecter et à signaler. Cela souligne la nécessité d’une législation qui protège, soutient et offre une réparation complète aux victimes et aux survivants, indépendamment de l’existence de pro</w:t>
            </w:r>
            <w:r>
              <w:rPr>
                <w:b/>
                <w:i/>
              </w:rPr>
              <w:t>cédures pénales. Un cadre institutionnel approprié est essentiel pour garantir les droits de l’enfant. À cet égard, il convient que la présente directive fournisse un cadre juridique permettant d’établir des mécanismes harmonisés dans les phases de prévent</w:t>
            </w:r>
            <w:r>
              <w:rPr>
                <w:b/>
                <w:i/>
              </w:rPr>
              <w:t>ion, de détection, de protection, de signalement et de réparation afin d’assurer une réponse globale et efficace à ces infractions.</w:t>
            </w:r>
          </w:p>
        </w:tc>
      </w:tr>
    </w:tbl>
    <w:p w:rsidR="00995B88" w:rsidRPr="00995B88" w:rsidRDefault="00297AF4" w:rsidP="00995B88">
      <w:r>
        <w:rPr>
          <w:rStyle w:val="HideTWBExt"/>
        </w:rPr>
        <w:t>&lt;/Amend&gt;</w:t>
      </w:r>
    </w:p>
    <w:p w:rsidR="00995B88" w:rsidRPr="00995B88" w:rsidRDefault="00297AF4" w:rsidP="00995B88">
      <w:pPr>
        <w:pStyle w:val="AMNumberTabs0"/>
      </w:pPr>
      <w:r>
        <w:rPr>
          <w:rStyle w:val="HideTWBExt"/>
        </w:rPr>
        <w:t>&lt;Amend&gt;</w:t>
      </w:r>
      <w:r>
        <w:t>Amendement</w:t>
      </w:r>
      <w:r>
        <w:tab/>
      </w:r>
      <w:r>
        <w:tab/>
      </w:r>
      <w:r>
        <w:rPr>
          <w:rStyle w:val="HideTWBExt"/>
        </w:rPr>
        <w:t>&lt;NumAm&gt;</w:t>
      </w:r>
      <w:r>
        <w:t>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 xml:space="preserve">Considérant 11 quater </w:t>
      </w:r>
      <w:r>
        <w:t>(nouveau)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(11 quater)</w:t>
            </w:r>
            <w:r>
              <w:tab/>
            </w:r>
            <w:r>
              <w:rPr>
                <w:b/>
                <w:i/>
              </w:rPr>
              <w:t xml:space="preserve">Les abus sexuels sur enfants peuvent être exacerbés lorsqu’ils sont conjugués à une discrimination fondée à la fois sur le sexe ou le genre et sur un ou plusieurs autres motifs </w:t>
            </w:r>
            <w:r>
              <w:rPr>
                <w:b/>
                <w:i/>
              </w:rPr>
              <w:t>de discrimination tels qu’ils sont visés à l’article 21 de la charte, à savoir la race, la couleur, l’origine ethnique ou sociale, les caractéristiques génétiques, la langue, la religion ou les convictions, les opinions politiques ou toute autre opinion, l</w:t>
            </w:r>
            <w:r>
              <w:rPr>
                <w:b/>
                <w:i/>
              </w:rPr>
              <w:t xml:space="preserve">’appartenance à une minorité nationale, la fortune, la naissance, un handicap, l’âge ou l’orientation sexuelle (ci-après dénommée «discrimination intersectionnelle»). Les États membres devraient donc accorder une attention </w:t>
            </w:r>
            <w:r>
              <w:rPr>
                <w:b/>
                <w:i/>
              </w:rPr>
              <w:lastRenderedPageBreak/>
              <w:t>adéquate aux victimes d’une telle</w:t>
            </w:r>
            <w:r>
              <w:rPr>
                <w:b/>
                <w:i/>
              </w:rPr>
              <w:t xml:space="preserve"> discrimination intersectionnelle, en prenant des mesures spécifiques pour prendre en considération ce risque accru lorsqu’ils mettent en œuvre les mesures prévues par la présente directive.</w:t>
            </w:r>
          </w:p>
        </w:tc>
      </w:tr>
    </w:tbl>
    <w:p w:rsidR="00995B88" w:rsidRPr="00995B88" w:rsidRDefault="00297AF4" w:rsidP="00995B88">
      <w:r>
        <w:rPr>
          <w:rStyle w:val="HideTWBExt"/>
        </w:rPr>
        <w:lastRenderedPageBreak/>
        <w:t>&lt;/Amend&gt;</w:t>
      </w:r>
    </w:p>
    <w:p w:rsidR="00995B88" w:rsidRPr="00995B88" w:rsidRDefault="00297AF4" w:rsidP="00995B88">
      <w:pPr>
        <w:pStyle w:val="AMNumberTabs0"/>
      </w:pPr>
      <w:r>
        <w:rPr>
          <w:rStyle w:val="HideTWBExt"/>
        </w:rPr>
        <w:t>&lt;Amend&gt;</w:t>
      </w:r>
      <w:r>
        <w:t>Amendement</w:t>
      </w:r>
      <w:r>
        <w:tab/>
      </w:r>
      <w:r>
        <w:tab/>
      </w:r>
      <w:r>
        <w:rPr>
          <w:rStyle w:val="HideTWBExt"/>
        </w:rPr>
        <w:t>&lt;NumAm&gt;</w:t>
      </w:r>
      <w:r>
        <w:t>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11 quinquies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(11 quinquies)</w:t>
            </w:r>
            <w:r>
              <w:tab/>
            </w:r>
            <w:r>
              <w:rPr>
                <w:b/>
                <w:i/>
              </w:rPr>
              <w:t>Les enfants handicapés sont particulièrement vulnérables aux abus et à l’exploitation sexuels, notamment</w:t>
            </w:r>
            <w:r>
              <w:rPr>
                <w:b/>
                <w:i/>
              </w:rPr>
              <w:t xml:space="preserve"> aux avortements et aux stérilisations forcés, ainsi qu’aux violences sexuelles. En tant que partie à la convention des Nations unies relative aux droits des personnes handicapées (CNUDPH), l’Union est également liée par les obligations qui lui incombent à</w:t>
            </w:r>
            <w:r>
              <w:rPr>
                <w:b/>
                <w:i/>
              </w:rPr>
              <w:t xml:space="preserve"> ce titre en matière de protection des enfants handicapés contre les abus et l’exploitation sexuels. En outre, les abus et l’exploitation sexuels peuvent conduire à un handicap chez les enfants, ce qui peut influer sur leur développement dans la vie.</w:t>
            </w:r>
          </w:p>
        </w:tc>
      </w:tr>
    </w:tbl>
    <w:p w:rsidR="00995B88" w:rsidRPr="00995B88" w:rsidRDefault="00297AF4" w:rsidP="00995B88">
      <w:r>
        <w:rPr>
          <w:rStyle w:val="HideTWBExt"/>
        </w:rPr>
        <w:t>&lt;/Am</w:t>
      </w:r>
      <w:r>
        <w:rPr>
          <w:rStyle w:val="HideTWBExt"/>
        </w:rPr>
        <w:t>end&gt;</w:t>
      </w:r>
    </w:p>
    <w:p w:rsidR="00995B88" w:rsidRPr="00995B88" w:rsidRDefault="00297AF4" w:rsidP="00995B88">
      <w:pPr>
        <w:pStyle w:val="AMNumberTabs0"/>
      </w:pPr>
      <w:r>
        <w:rPr>
          <w:rStyle w:val="HideTWBExt"/>
        </w:rPr>
        <w:t>&lt;Amend&gt;</w:t>
      </w:r>
      <w:r>
        <w:t>Amendement</w:t>
      </w:r>
      <w:r>
        <w:tab/>
      </w:r>
      <w:r>
        <w:tab/>
      </w:r>
      <w:r>
        <w:rPr>
          <w:rStyle w:val="HideTWBExt"/>
        </w:rPr>
        <w:t>&lt;NumAm&gt;</w:t>
      </w:r>
      <w:r>
        <w:t>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11 sexies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(11 sexies)</w:t>
            </w:r>
            <w:r>
              <w:tab/>
            </w:r>
            <w:r>
              <w:rPr>
                <w:b/>
                <w:i/>
              </w:rPr>
              <w:t xml:space="preserve">La violence, les abus et la négligence à l’égard des </w:t>
            </w:r>
            <w:r>
              <w:rPr>
                <w:b/>
                <w:i/>
              </w:rPr>
              <w:t xml:space="preserve">enfants sont plus répandus dans des cadres institutionnels. Les enfants placés dans des orphelinats sont particulièrement exposés à la violence, notamment aux insultes, aux coups et à la torture physique, aux abus </w:t>
            </w:r>
            <w:r>
              <w:rPr>
                <w:b/>
                <w:i/>
              </w:rPr>
              <w:lastRenderedPageBreak/>
              <w:t>sexuels, y compris le viol, et aux dommage</w:t>
            </w:r>
            <w:r>
              <w:rPr>
                <w:b/>
                <w:i/>
              </w:rPr>
              <w:t>s psychologiques, ce qui inclut l’isolement, le harcèlement et les mesures disciplinaires humiliantes</w:t>
            </w:r>
            <w:r>
              <w:rPr>
                <w:b/>
                <w:i/>
                <w:vertAlign w:val="superscript"/>
              </w:rPr>
              <w:t>1 bis</w:t>
            </w:r>
            <w:r>
              <w:rPr>
                <w:b/>
                <w:i/>
              </w:rPr>
              <w:t>.</w:t>
            </w:r>
          </w:p>
        </w:tc>
      </w:tr>
      <w:tr w:rsidR="00AD185D" w:rsidTr="005C748F">
        <w:trPr>
          <w:jc w:val="center"/>
        </w:trPr>
        <w:tc>
          <w:tcPr>
            <w:tcW w:w="4876" w:type="dxa"/>
            <w:tcBorders>
              <w:top w:val="nil"/>
              <w:left w:val="nil"/>
              <w:bottom w:val="nil"/>
              <w:right w:val="nil"/>
            </w:tcBorders>
          </w:tcPr>
          <w:p w:rsidR="00995B88" w:rsidRPr="00995B88" w:rsidRDefault="00995B88" w:rsidP="005C748F"/>
        </w:tc>
        <w:tc>
          <w:tcPr>
            <w:tcW w:w="4876" w:type="dxa"/>
            <w:tcBorders>
              <w:top w:val="nil"/>
              <w:left w:val="nil"/>
              <w:bottom w:val="nil"/>
              <w:right w:val="nil"/>
            </w:tcBorders>
          </w:tcPr>
          <w:p w:rsidR="00995B88" w:rsidRPr="00995B88" w:rsidRDefault="00297AF4" w:rsidP="005C748F">
            <w:pPr>
              <w:pStyle w:val="Normal6a"/>
            </w:pPr>
            <w:r>
              <w:rPr>
                <w:b/>
                <w:i/>
              </w:rPr>
              <w:t>_________________</w:t>
            </w:r>
          </w:p>
        </w:tc>
      </w:tr>
      <w:tr w:rsidR="00AD185D" w:rsidRPr="00A716A5" w:rsidTr="005C748F">
        <w:trPr>
          <w:jc w:val="center"/>
        </w:trPr>
        <w:tc>
          <w:tcPr>
            <w:tcW w:w="4876" w:type="dxa"/>
            <w:tcBorders>
              <w:top w:val="nil"/>
              <w:left w:val="nil"/>
              <w:bottom w:val="nil"/>
              <w:right w:val="nil"/>
            </w:tcBorders>
          </w:tcPr>
          <w:p w:rsidR="00995B88" w:rsidRPr="00995B88" w:rsidRDefault="00995B88" w:rsidP="005C748F"/>
        </w:tc>
        <w:tc>
          <w:tcPr>
            <w:tcW w:w="4876" w:type="dxa"/>
            <w:tcBorders>
              <w:top w:val="nil"/>
              <w:left w:val="nil"/>
              <w:bottom w:val="nil"/>
              <w:right w:val="nil"/>
            </w:tcBorders>
          </w:tcPr>
          <w:p w:rsidR="00995B88" w:rsidRPr="00A716A5" w:rsidRDefault="00297AF4" w:rsidP="005C748F">
            <w:pPr>
              <w:pStyle w:val="Normal6a"/>
              <w:rPr>
                <w:lang w:val="de-DE"/>
              </w:rPr>
            </w:pPr>
            <w:r w:rsidRPr="00A716A5">
              <w:rPr>
                <w:b/>
                <w:i/>
                <w:vertAlign w:val="superscript"/>
                <w:lang w:val="de-DE"/>
              </w:rPr>
              <w:t>1 bis</w:t>
            </w:r>
            <w:r w:rsidRPr="00A716A5">
              <w:rPr>
                <w:lang w:val="de-DE"/>
              </w:rPr>
              <w:t xml:space="preserve"> </w:t>
            </w:r>
            <w:r w:rsidRPr="00A716A5">
              <w:rPr>
                <w:b/>
                <w:i/>
                <w:lang w:val="de-DE"/>
              </w:rPr>
              <w:t>https://www.hopeandhomes.org/why-it-matters/how-orphanages-harm-children/</w:t>
            </w:r>
          </w:p>
        </w:tc>
      </w:tr>
    </w:tbl>
    <w:p w:rsidR="00995B88" w:rsidRPr="00A716A5" w:rsidRDefault="00297AF4" w:rsidP="00995B88">
      <w:pPr>
        <w:rPr>
          <w:lang w:val="de-DE"/>
        </w:rPr>
      </w:pPr>
      <w:r w:rsidRPr="00A716A5">
        <w:rPr>
          <w:rStyle w:val="HideTWBExt"/>
          <w:lang w:val="de-DE"/>
        </w:rPr>
        <w:t>&lt;/Amend&gt;</w:t>
      </w:r>
    </w:p>
    <w:p w:rsidR="00995B88" w:rsidRPr="00995B88" w:rsidRDefault="00297AF4" w:rsidP="00995B88">
      <w:pPr>
        <w:pStyle w:val="AMNumberTabs0"/>
      </w:pPr>
      <w:bookmarkStart w:id="4" w:name="AM11Compr1"/>
      <w:r>
        <w:rPr>
          <w:rStyle w:val="HideTWBExt"/>
        </w:rPr>
        <w:t>&lt;Amend&gt;</w:t>
      </w:r>
      <w:r>
        <w:t>Amendement</w:t>
      </w:r>
      <w:r>
        <w:tab/>
      </w:r>
      <w:r>
        <w:tab/>
      </w:r>
      <w:r>
        <w:rPr>
          <w:rStyle w:val="HideTWBExt"/>
        </w:rPr>
        <w:t>&lt;NumAm&gt;</w:t>
      </w:r>
      <w:r>
        <w:t>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(12)</w:t>
            </w:r>
            <w:r>
              <w:tab/>
              <w:t xml:space="preserve">Afin de prévenir les infractions impliquant des abus sexuels sur enfants, la </w:t>
            </w:r>
            <w:r>
              <w:rPr>
                <w:b/>
                <w:i/>
              </w:rPr>
              <w:t xml:space="preserve">définition du matériel relatif à des abus </w:t>
            </w:r>
            <w:r>
              <w:rPr>
                <w:b/>
                <w:i/>
              </w:rPr>
              <w:t>sexuels sur enfants devrait inclure</w:t>
            </w:r>
            <w:r>
              <w:t xml:space="preserve"> les</w:t>
            </w:r>
            <w:proofErr w:type="gramStart"/>
            <w:r>
              <w:t xml:space="preserve"> </w:t>
            </w:r>
            <w:r>
              <w:rPr>
                <w:b/>
                <w:i/>
              </w:rPr>
              <w:t>«manuels</w:t>
            </w:r>
            <w:proofErr w:type="gramEnd"/>
            <w:r>
              <w:rPr>
                <w:b/>
                <w:i/>
              </w:rPr>
              <w:t xml:space="preserve"> pédophiles»</w:t>
            </w:r>
            <w:r>
              <w:t>.</w:t>
            </w:r>
            <w:r>
              <w:rPr>
                <w:b/>
                <w:i/>
              </w:rPr>
              <w:t xml:space="preserve"> </w:t>
            </w:r>
            <w:r>
              <w:t xml:space="preserve">Les manuels </w:t>
            </w:r>
            <w:r>
              <w:rPr>
                <w:b/>
                <w:i/>
              </w:rPr>
              <w:t>pédophiles</w:t>
            </w:r>
            <w:r>
              <w:t xml:space="preserve"> fournissent des conseils sur la manière de trouver, de piéger des enfants et d’abuser d’eux sans être identifié et poursuivi. En réduisant les obstacles et en diffusant le</w:t>
            </w:r>
            <w:r>
              <w:t xml:space="preserve"> savoir-faire nécessaire, ils contribuent à créer des incitations pour les auteurs d’infractions et à soutenir la commission d’abus sexuels. Leur diffusion en ligne a déjà conduit certains États membres à modifier leur droit pénal et à incriminer explicite</w:t>
            </w:r>
            <w:r>
              <w:t>ment la détention et la diffusion de ces manuels. L’absence d’harmonisation crée un niveau de protection inégal dans l’ensemble de l’UE.</w:t>
            </w:r>
          </w:p>
        </w:tc>
        <w:tc>
          <w:tcPr>
            <w:tcW w:w="4876" w:type="dxa"/>
            <w:tcBorders>
              <w:top w:val="nil"/>
              <w:left w:val="nil"/>
              <w:bottom w:val="nil"/>
              <w:right w:val="nil"/>
            </w:tcBorders>
          </w:tcPr>
          <w:p w:rsidR="00995B88" w:rsidRPr="00995B88" w:rsidRDefault="00297AF4" w:rsidP="005C748F">
            <w:pPr>
              <w:pStyle w:val="Normal6a"/>
            </w:pPr>
            <w:r>
              <w:t>(12)</w:t>
            </w:r>
            <w:r>
              <w:tab/>
              <w:t xml:space="preserve">Afin de prévenir les infractions impliquant des abus sexuels sur enfants, la </w:t>
            </w:r>
            <w:r>
              <w:rPr>
                <w:b/>
                <w:i/>
              </w:rPr>
              <w:t xml:space="preserve">présente directive devrait également </w:t>
            </w:r>
            <w:r>
              <w:rPr>
                <w:b/>
                <w:i/>
              </w:rPr>
              <w:t>définir et aborder</w:t>
            </w:r>
            <w:r>
              <w:t xml:space="preserve"> les</w:t>
            </w:r>
            <w:proofErr w:type="gramStart"/>
            <w:r>
              <w:t xml:space="preserve"> </w:t>
            </w:r>
            <w:r>
              <w:rPr>
                <w:b/>
                <w:i/>
              </w:rPr>
              <w:t>«manuels</w:t>
            </w:r>
            <w:proofErr w:type="gramEnd"/>
            <w:r>
              <w:rPr>
                <w:b/>
                <w:i/>
              </w:rPr>
              <w:t xml:space="preserve"> d’instructions sur la manière de commettre des abus sexuels sur enfants»</w:t>
            </w:r>
            <w:r>
              <w:t>.</w:t>
            </w:r>
            <w:r>
              <w:rPr>
                <w:b/>
                <w:i/>
              </w:rPr>
              <w:t xml:space="preserve"> </w:t>
            </w:r>
            <w:r>
              <w:t xml:space="preserve">Les manuels </w:t>
            </w:r>
            <w:r>
              <w:rPr>
                <w:b/>
                <w:i/>
              </w:rPr>
              <w:t>d’instructions</w:t>
            </w:r>
            <w:r>
              <w:t xml:space="preserve"> fournissent des conseils sur la manière de trouver, de piéger des enfants et d’abuser d’eux sans être identifié et poursuiv</w:t>
            </w:r>
            <w:r>
              <w:t>i</w:t>
            </w:r>
            <w:r>
              <w:rPr>
                <w:b/>
                <w:i/>
              </w:rPr>
              <w:t>. En mettant explicitement et spécifiquement l’accent sur la perpétration d’abus sexuels sur des enfants sans être découverts, ces manuels d’instructions peuvent être clairement distingués des conseils généraux sur, entre autres, la vie privée, l’anonymat</w:t>
            </w:r>
            <w:r>
              <w:rPr>
                <w:b/>
                <w:i/>
              </w:rPr>
              <w:t xml:space="preserve"> en ligne et l’évitement de la surveillance, qui ne devraient pas être érigés en infraction pénale</w:t>
            </w:r>
            <w:r>
              <w:t xml:space="preserve">. En réduisant les obstacles et en diffusant le savoir-faire nécessaire, ils contribuent à créer des incitations pour les auteurs d’infractions et à soutenir </w:t>
            </w:r>
            <w:r>
              <w:t>la commission d’abus sexuels. Leur diffusion en ligne a déjà conduit certains États membres à modifier leur droit pénal et à incriminer explicitement la détention et la diffusion de ces manuels. L’absence d’harmonisation crée un niveau de protection inégal</w:t>
            </w:r>
            <w:r>
              <w:t xml:space="preserve"> dans l’ensemble de l’UE.</w:t>
            </w:r>
          </w:p>
        </w:tc>
      </w:tr>
    </w:tbl>
    <w:p w:rsidR="00995B88" w:rsidRPr="00995B88" w:rsidRDefault="00297AF4" w:rsidP="00995B88">
      <w:r>
        <w:rPr>
          <w:rStyle w:val="HideTWBExt"/>
        </w:rPr>
        <w:t>&lt;/Amend&gt;</w:t>
      </w:r>
      <w:bookmarkEnd w:id="4"/>
    </w:p>
    <w:p w:rsidR="00995B88" w:rsidRPr="00995B88" w:rsidRDefault="00297AF4" w:rsidP="00995B88">
      <w:pPr>
        <w:pStyle w:val="AMNumberTabs0"/>
      </w:pPr>
      <w:bookmarkStart w:id="5" w:name="AM12Compr1"/>
      <w:r>
        <w:rPr>
          <w:rStyle w:val="HideTWBExt"/>
        </w:rPr>
        <w:lastRenderedPageBreak/>
        <w:t>&lt;Amend&gt;</w:t>
      </w:r>
      <w:r>
        <w:t>Amendement</w:t>
      </w:r>
      <w:r>
        <w:tab/>
      </w:r>
      <w:r>
        <w:tab/>
      </w:r>
      <w:r>
        <w:rPr>
          <w:rStyle w:val="HideTWBExt"/>
        </w:rPr>
        <w:t>&lt;NumAm&gt;</w:t>
      </w:r>
      <w:r>
        <w:t>8</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(22)</w:t>
            </w:r>
            <w:r>
              <w:tab/>
              <w:t xml:space="preserve">La sollicitation d’enfants à des fins sexuelles est </w:t>
            </w:r>
            <w:r>
              <w:t xml:space="preserve">une menace aux caractéristiques particulières dans le cadre de l’internet, car </w:t>
            </w:r>
            <w:proofErr w:type="gramStart"/>
            <w:r>
              <w:t>ce dernier procure</w:t>
            </w:r>
            <w:proofErr w:type="gramEnd"/>
            <w:r>
              <w:t xml:space="preserve"> aux utilisateurs un anonymat sans précédent qui leur permet de masquer leur identité réelle et leurs caractéristiques personnelles telles que leur âge. Au cou</w:t>
            </w:r>
            <w:r>
              <w:t>rs de la dernière décennie, l’utilisation des technologies de l’information et de la communication a permis aux auteurs d’infractions d’accéder de plus en plus facilement aux enfants, en commençant souvent par les attirer dans des situations compromettante</w:t>
            </w:r>
            <w:r>
              <w:t xml:space="preserve">s, par exemple en prétendant être un pair ou par d’autres comportements trompeurs ou apaisants. Cet accès accru aux enfants a entraîné une croissance rapide de phénomènes tels que le chantage sexuel </w:t>
            </w:r>
            <w:proofErr w:type="gramStart"/>
            <w:r>
              <w:t>(«sextortion</w:t>
            </w:r>
            <w:proofErr w:type="gramEnd"/>
            <w:r>
              <w:t>») (qui consiste à menacer de partager du mat</w:t>
            </w:r>
            <w:r>
              <w:t>ériel intime représentant la victime pour obtenir de l’argent, du matériel relatif à des abus sexuels sur enfants ou tout autre avantage), touchant les enfants tant en dessous qu’au-dessus de l’âge de la majorité sexuelle. Ces dernières années ont vu une h</w:t>
            </w:r>
            <w:r>
              <w:t>ausse du nombre d’actes de chantage sexuel motivés par l’appât du gain de la part de groupes criminels organisés qui ciblent en particulier les garçons adolescents, entraînant de nombreux suicides parmi ces enfants. Il est donc essentiel que tous ces phéno</w:t>
            </w:r>
            <w:r>
              <w:t xml:space="preserve">mènes soient dûment pris en compte dans le droit des États membres. Parallèlement, les États membres reconnaissent également l’importance de la lutte contre la sollicitation d’un enfant hors du cadre de l’internet, notamment lorsque la sollicitation ne se </w:t>
            </w:r>
            <w:r>
              <w:t xml:space="preserve">fait pas au moyen des technologies de l’information ou de la </w:t>
            </w:r>
            <w:r>
              <w:lastRenderedPageBreak/>
              <w:t>communication. Les États membres sont encouragés à ériger en infraction pénale tout acte par lequel la sollicitation d’un enfant à rencontrer l’auteur de l’infraction à des fins sexuelles se déro</w:t>
            </w:r>
            <w:r>
              <w:t xml:space="preserve">ule en présence ou à proximité de l’enfant, notamment sous la forme d’un acte infractionnel préparatoire particulier, d’une tentative de commettre les infractions visées dans la présente directive ou d’une forme particulière d’abus sexuel. Quelle que soit </w:t>
            </w:r>
            <w:r>
              <w:t>la solution juridique retenue pour ériger en infraction pénale la sollicitation dans la vie réelle («off-line grooming»), les États membres devraient veiller à poursuivre les auteurs de ces infractions.</w:t>
            </w:r>
          </w:p>
        </w:tc>
        <w:tc>
          <w:tcPr>
            <w:tcW w:w="4876" w:type="dxa"/>
            <w:tcBorders>
              <w:top w:val="nil"/>
              <w:left w:val="nil"/>
              <w:bottom w:val="nil"/>
              <w:right w:val="nil"/>
            </w:tcBorders>
          </w:tcPr>
          <w:p w:rsidR="00995B88" w:rsidRPr="00995B88" w:rsidRDefault="00297AF4" w:rsidP="005C748F">
            <w:pPr>
              <w:pStyle w:val="Normal6a"/>
            </w:pPr>
            <w:r>
              <w:lastRenderedPageBreak/>
              <w:t>(22)</w:t>
            </w:r>
            <w:r>
              <w:tab/>
              <w:t xml:space="preserve">La sollicitation d’enfants à des fins sexuelles </w:t>
            </w:r>
            <w:r>
              <w:t xml:space="preserve">est une menace aux caractéristiques particulières dans le cadre de l’internet, car </w:t>
            </w:r>
            <w:proofErr w:type="gramStart"/>
            <w:r>
              <w:t>ce dernier procure</w:t>
            </w:r>
            <w:proofErr w:type="gramEnd"/>
            <w:r>
              <w:t xml:space="preserve"> aux utilisateurs un anonymat sans précédent qui leur permet de masquer leur identité réelle et leurs caractéristiques personnelles telles que leur âge. Au</w:t>
            </w:r>
            <w:r>
              <w:t xml:space="preserve"> cours de la dernière décennie, l’utilisation des technologies de l’information et de la communication a permis aux auteurs d’infractions d’accéder de plus en plus facilement aux enfants, en commençant souvent par les attirer dans des situations compromett</w:t>
            </w:r>
            <w:r>
              <w:t xml:space="preserve">antes, par exemple en prétendant être un pair ou par d’autres comportements trompeurs ou apaisants. Cet accès accru aux enfants a entraîné une croissance rapide de phénomènes tels que le chantage sexuel </w:t>
            </w:r>
            <w:proofErr w:type="gramStart"/>
            <w:r>
              <w:t>(«sextortion</w:t>
            </w:r>
            <w:proofErr w:type="gramEnd"/>
            <w:r>
              <w:t>») (qui consiste à menacer de partager du</w:t>
            </w:r>
            <w:r>
              <w:t xml:space="preserve"> matériel intime représentant la victime pour obtenir de l’argent, du matériel relatif à des abus sexuels sur enfants ou tout autre avantage), touchant les enfants tant en dessous qu’au-dessus de l’âge de la majorité sexuelle. Ces dernières années ont vu u</w:t>
            </w:r>
            <w:r>
              <w:t>ne hausse du nombre d’actes de chantage sexuel motivés par l’appât du gain de la part de groupes criminels organisés qui ciblent en particulier les garçons adolescents, entraînant de nombreux suicides parmi ces enfants. Il est donc essentiel que tous ces p</w:t>
            </w:r>
            <w:r>
              <w:t>hénomènes soient dûment pris en compte dans le droit des États membres. Parallèlement, les États membres reconnaissent également l’importance de la lutte contre la sollicitation d’un enfant hors du cadre de l’internet, notamment lorsque la sollicitation ne</w:t>
            </w:r>
            <w:r>
              <w:t xml:space="preserve"> se fait pas au moyen des technologies de l’information ou de la </w:t>
            </w:r>
            <w:r>
              <w:lastRenderedPageBreak/>
              <w:t xml:space="preserve">communication. Les États membres sont encouragés à ériger en infraction pénale tout acte par lequel la sollicitation d’un enfant à rencontrer l’auteur de l’infraction à des fins sexuelles se </w:t>
            </w:r>
            <w:r>
              <w:t>déroule en présence ou à proximité de l’enfant, notamment sous la forme d’un acte infractionnel préparatoire particulier, d’une tentative de commettre les infractions visées dans la présente directive ou d’une forme particulière d’abus sexuel. Quelle que s</w:t>
            </w:r>
            <w:r>
              <w:t xml:space="preserve">oit la solution juridique retenue pour ériger en infraction pénale la sollicitation dans la vie réelle </w:t>
            </w:r>
            <w:proofErr w:type="gramStart"/>
            <w:r>
              <w:t>(«off</w:t>
            </w:r>
            <w:proofErr w:type="gramEnd"/>
            <w:r>
              <w:t xml:space="preserve">-line grooming»), les États membres devraient veiller à poursuivre les auteurs de ces infractions. </w:t>
            </w:r>
            <w:r>
              <w:rPr>
                <w:b/>
                <w:i/>
              </w:rPr>
              <w:t>Cela inclut tout comportement visant à établir un</w:t>
            </w:r>
            <w:r>
              <w:rPr>
                <w:b/>
                <w:i/>
              </w:rPr>
              <w:t>e relation de confiance avec un enfant à des fins d’abus sexuels et d’exploitation sexuelle d’enfants, tel que la manipulation, la flatterie, l’émission d’instructions au moyen d’appels vidéo ou l’utilisation de moyens numériques pour contraindre ou attire</w:t>
            </w:r>
            <w:r>
              <w:rPr>
                <w:b/>
                <w:i/>
              </w:rPr>
              <w:t xml:space="preserve">r l’enfant dans des situations dangereuses. Les auteurs qui forcent ou manipulent des enfants en vue de commettre des infractions relevant de la présente directive doivent être tenus pour responsables et faire l’objet de poursuites en vertu de la présente </w:t>
            </w:r>
            <w:r>
              <w:rPr>
                <w:b/>
                <w:i/>
              </w:rPr>
              <w:t>directive. Le pédopiégeage pose un risque exacerbé aux enfants vulnérables, tels que ceux qui sont confrontés à des problèmes de santé mentale, présentent une faible estime de soi, remettent en question leur identité de genre, ou encore aux enfants qui son</w:t>
            </w:r>
            <w:r>
              <w:rPr>
                <w:b/>
                <w:i/>
              </w:rPr>
              <w:t>t victimes de brimades ou isolés à l’école, ainsi qu’à ceux qui ont des problèmes familiaux ou qui ont déjà subi des abus, notamment des violences domestiques ou des abus sexuels</w:t>
            </w:r>
            <w:r>
              <w:rPr>
                <w:b/>
                <w:i/>
                <w:vertAlign w:val="superscript"/>
              </w:rPr>
              <w:t>1 bis</w:t>
            </w:r>
            <w:r>
              <w:rPr>
                <w:b/>
                <w:i/>
              </w:rPr>
              <w:t>.</w:t>
            </w:r>
          </w:p>
        </w:tc>
      </w:tr>
      <w:tr w:rsidR="00AD185D" w:rsidTr="005C748F">
        <w:trPr>
          <w:jc w:val="center"/>
        </w:trPr>
        <w:tc>
          <w:tcPr>
            <w:tcW w:w="4876" w:type="dxa"/>
            <w:tcBorders>
              <w:top w:val="nil"/>
              <w:left w:val="nil"/>
              <w:bottom w:val="nil"/>
              <w:right w:val="nil"/>
            </w:tcBorders>
          </w:tcPr>
          <w:p w:rsidR="00995B88" w:rsidRPr="00995B88" w:rsidRDefault="00995B88" w:rsidP="005C748F"/>
        </w:tc>
        <w:tc>
          <w:tcPr>
            <w:tcW w:w="4876" w:type="dxa"/>
            <w:tcBorders>
              <w:top w:val="nil"/>
              <w:left w:val="nil"/>
              <w:bottom w:val="nil"/>
              <w:right w:val="nil"/>
            </w:tcBorders>
          </w:tcPr>
          <w:p w:rsidR="00995B88" w:rsidRPr="00995B88" w:rsidRDefault="00297AF4" w:rsidP="005C748F">
            <w:pPr>
              <w:pStyle w:val="Normal6a"/>
            </w:pPr>
            <w:r>
              <w:rPr>
                <w:b/>
                <w:i/>
              </w:rPr>
              <w:t>_________________</w:t>
            </w:r>
          </w:p>
        </w:tc>
      </w:tr>
      <w:tr w:rsidR="00AD185D" w:rsidRPr="00A716A5" w:rsidTr="005C748F">
        <w:trPr>
          <w:jc w:val="center"/>
        </w:trPr>
        <w:tc>
          <w:tcPr>
            <w:tcW w:w="4876" w:type="dxa"/>
            <w:tcBorders>
              <w:top w:val="nil"/>
              <w:left w:val="nil"/>
              <w:bottom w:val="nil"/>
              <w:right w:val="nil"/>
            </w:tcBorders>
          </w:tcPr>
          <w:p w:rsidR="00995B88" w:rsidRPr="00995B88" w:rsidRDefault="00995B88" w:rsidP="005C748F"/>
        </w:tc>
        <w:tc>
          <w:tcPr>
            <w:tcW w:w="4876" w:type="dxa"/>
            <w:tcBorders>
              <w:top w:val="nil"/>
              <w:left w:val="nil"/>
              <w:bottom w:val="nil"/>
              <w:right w:val="nil"/>
            </w:tcBorders>
          </w:tcPr>
          <w:p w:rsidR="00995B88" w:rsidRPr="00A716A5" w:rsidRDefault="00297AF4" w:rsidP="005C748F">
            <w:pPr>
              <w:pStyle w:val="Normal6a"/>
              <w:rPr>
                <w:lang w:val="de-DE"/>
              </w:rPr>
            </w:pPr>
            <w:r w:rsidRPr="00A716A5">
              <w:rPr>
                <w:b/>
                <w:i/>
                <w:vertAlign w:val="superscript"/>
                <w:lang w:val="de-DE"/>
              </w:rPr>
              <w:t>1 bis</w:t>
            </w:r>
            <w:r w:rsidRPr="00A716A5">
              <w:rPr>
                <w:lang w:val="de-DE"/>
              </w:rPr>
              <w:t xml:space="preserve"> </w:t>
            </w:r>
            <w:r w:rsidRPr="00A716A5">
              <w:rPr>
                <w:b/>
                <w:i/>
                <w:lang w:val="de-DE"/>
              </w:rPr>
              <w:t>https://cesie.org/en/resources/cesagram-report-grooming-missing-minors/</w:t>
            </w:r>
          </w:p>
        </w:tc>
      </w:tr>
    </w:tbl>
    <w:p w:rsidR="00995B88" w:rsidRPr="00A716A5" w:rsidRDefault="00297AF4" w:rsidP="00995B88">
      <w:pPr>
        <w:rPr>
          <w:lang w:val="de-DE"/>
        </w:rPr>
      </w:pPr>
      <w:r w:rsidRPr="00A716A5">
        <w:rPr>
          <w:rStyle w:val="HideTWBExt"/>
          <w:lang w:val="de-DE"/>
        </w:rPr>
        <w:t>&lt;/Amend&gt;</w:t>
      </w:r>
      <w:bookmarkEnd w:id="5"/>
    </w:p>
    <w:p w:rsidR="00995B88" w:rsidRPr="00995B88" w:rsidRDefault="00297AF4" w:rsidP="00995B88">
      <w:pPr>
        <w:pStyle w:val="AMNumberTabs0"/>
      </w:pPr>
      <w:bookmarkStart w:id="6" w:name="AM12Compr2"/>
      <w:r>
        <w:rPr>
          <w:rStyle w:val="HideTWBExt"/>
        </w:rPr>
        <w:lastRenderedPageBreak/>
        <w:t>&lt;Amend&gt;</w:t>
      </w:r>
      <w:r>
        <w:t>Amendement</w:t>
      </w:r>
      <w:r>
        <w:tab/>
      </w:r>
      <w:r>
        <w:tab/>
      </w:r>
      <w:r>
        <w:rPr>
          <w:rStyle w:val="HideTWBExt"/>
        </w:rPr>
        <w:t>&lt;NumAm&gt;</w:t>
      </w:r>
      <w:r>
        <w:t>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(24)</w:t>
            </w:r>
            <w:r>
              <w:tab/>
              <w:t xml:space="preserve">La </w:t>
            </w:r>
            <w:r>
              <w:t>présente directive ne régit pas les politiques des États membres en ce qui concerne les activités sexuelles consenties dans lesquelles peuvent être impliqués des enfants et qui peuvent être considérées comme relevant d’une découverte normale de la sexualit</w:t>
            </w:r>
            <w:r>
              <w:t>é dans le cadre de leur développement, compte tenu des différentes traditions culturelles et juridiques et des nouvelles façons dont les enfants et les adolescents nouent et entretiennent des contacts, notamment au moyen des technologies de l’information e</w:t>
            </w:r>
            <w:r>
              <w:t xml:space="preserve">t de la communication. Les États membres qui ont recours aux possibilités visées dans la présente directive le font dans l’exercice de leurs attributions. </w:t>
            </w:r>
            <w:r>
              <w:rPr>
                <w:b/>
                <w:i/>
              </w:rPr>
              <w:t>Plus particulièrement</w:t>
            </w:r>
            <w:r>
              <w:t>, les États membres devraient</w:t>
            </w:r>
            <w:r>
              <w:rPr>
                <w:b/>
                <w:i/>
              </w:rPr>
              <w:t xml:space="preserve"> pouvoir</w:t>
            </w:r>
            <w:r>
              <w:t xml:space="preserve"> exempter de l’incrimination les activités </w:t>
            </w:r>
            <w:r>
              <w:t>sexuelles consensuelles impliquant exclusivement des enfants ayant dépassé l’âge de la majorité sexuelle, ainsi que les activités sexuelles consenties entre pairs. Les modifications apportées à cet article visent à clarifier le champ d’application de la dé</w:t>
            </w:r>
            <w:r>
              <w:t>rogation, étant donné que certains États membres semblent avoir interprété trop largement sa formulation originale (par exemple en exemptant de l’incrimination les activités consensuelles entre des mineurs ayant dépassé l’âge de la majorité sexuelle et des</w:t>
            </w:r>
            <w:r>
              <w:t xml:space="preserve"> adultes de n’importe quel âge, considérés comme des «pairs» malgré une différence d’âge significative).</w:t>
            </w:r>
          </w:p>
        </w:tc>
        <w:tc>
          <w:tcPr>
            <w:tcW w:w="4876" w:type="dxa"/>
            <w:tcBorders>
              <w:top w:val="nil"/>
              <w:left w:val="nil"/>
              <w:bottom w:val="nil"/>
              <w:right w:val="nil"/>
            </w:tcBorders>
          </w:tcPr>
          <w:p w:rsidR="00995B88" w:rsidRPr="00995B88" w:rsidRDefault="00297AF4" w:rsidP="005C748F">
            <w:pPr>
              <w:pStyle w:val="Normal6a"/>
            </w:pPr>
            <w:r>
              <w:t>(24)</w:t>
            </w:r>
            <w:r>
              <w:tab/>
              <w:t xml:space="preserve">La présente directive ne régit pas les politiques des États membres en ce qui concerne les activités sexuelles consenties dans lesquelles peuvent </w:t>
            </w:r>
            <w:r>
              <w:t>être impliqués des enfants et qui peuvent être considérées comme relevant d’une découverte normale de la sexualité dans le cadre de leur développement, compte tenu des différentes traditions culturelles et juridiques et des nouvelles façons dont les enfant</w:t>
            </w:r>
            <w:r>
              <w:t>s et les adolescents nouent et entretiennent des contacts, notamment au moyen des technologies de l’information et de la communication. Les États membres qui ont recours aux possibilités visées dans la présente directive le font dans l’exercice de leurs at</w:t>
            </w:r>
            <w:r>
              <w:t xml:space="preserve">tributions. </w:t>
            </w:r>
            <w:r>
              <w:rPr>
                <w:b/>
                <w:i/>
              </w:rPr>
              <w:t>Toutefois, conformément aux recommandations du Comité des droits de l’enfant des Nations unies et du Comité de Lanzarote</w:t>
            </w:r>
            <w:r>
              <w:t>, les États membres devraient exempter de l’incrimination les activités sexuelles consensuelles impliquant exclusivement des</w:t>
            </w:r>
            <w:r>
              <w:t xml:space="preserve"> enfants ayant dépassé l’âge de la majorité sexuelle, ainsi que les activités sexuelles consenties entre pairs. Les modifications apportées à cet article visent à clarifier le champ d’application de la dérogation, étant donné que certains États membres sem</w:t>
            </w:r>
            <w:r>
              <w:t>blent avoir interprété trop largement sa formulation originale (par exemple en exemptant de l’incrimination les activités consensuelles entre des mineurs ayant dépassé l’âge de la majorité sexuelle et des adultes de n’importe quel âge, considérés comme des</w:t>
            </w:r>
            <w:proofErr w:type="gramStart"/>
            <w:r>
              <w:t xml:space="preserve"> «pairs</w:t>
            </w:r>
            <w:proofErr w:type="gramEnd"/>
            <w:r>
              <w:t xml:space="preserve">» malgré une différence d’âge significative). </w:t>
            </w:r>
            <w:r>
              <w:rPr>
                <w:b/>
                <w:i/>
              </w:rPr>
              <w:t xml:space="preserve">Les dispositions relatives à l’âge de la majorité sexuelle ne devraient pas être interprétées comme limitant de quelque manière que ce soit l’incrimination des </w:t>
            </w:r>
            <w:r>
              <w:rPr>
                <w:b/>
                <w:i/>
              </w:rPr>
              <w:lastRenderedPageBreak/>
              <w:t xml:space="preserve">abus sexuels et de l’exploitation sexuelle </w:t>
            </w:r>
            <w:r>
              <w:rPr>
                <w:b/>
                <w:i/>
              </w:rPr>
              <w:t>des enfants qui ont atteint l’âge de la majorité sexuelle et l’ont dépassé, étant donné qu’aucun enfant ne peut consentir à des abus sexuels sur eux-mêmes et donc à des violences sexuelles.</w:t>
            </w:r>
          </w:p>
        </w:tc>
      </w:tr>
    </w:tbl>
    <w:p w:rsidR="00995B88" w:rsidRPr="00995B88" w:rsidRDefault="00297AF4" w:rsidP="00995B88">
      <w:r>
        <w:rPr>
          <w:rStyle w:val="HideTWBExt"/>
        </w:rPr>
        <w:lastRenderedPageBreak/>
        <w:t>&lt;/Amend&gt;</w:t>
      </w:r>
      <w:bookmarkEnd w:id="6"/>
    </w:p>
    <w:p w:rsidR="00995B88" w:rsidRPr="00995B88" w:rsidRDefault="00297AF4" w:rsidP="00995B88">
      <w:pPr>
        <w:pStyle w:val="AMNumberTabs0"/>
      </w:pPr>
      <w:bookmarkStart w:id="7" w:name="AM12Compr3"/>
      <w:r>
        <w:rPr>
          <w:rStyle w:val="HideTWBExt"/>
        </w:rPr>
        <w:t>&lt;Amend&gt;</w:t>
      </w:r>
      <w:r>
        <w:t>Amendement</w:t>
      </w:r>
      <w:r>
        <w:tab/>
      </w:r>
      <w:r>
        <w:tab/>
      </w:r>
      <w:r>
        <w:rPr>
          <w:rStyle w:val="HideTWBExt"/>
        </w:rPr>
        <w:t>&lt;NumAm&gt;</w:t>
      </w:r>
      <w:r>
        <w:t>10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(26)</w:t>
            </w:r>
            <w:r>
              <w:tab/>
              <w:t xml:space="preserve">L’état d’incapacité physique ou mentale devrait s’entendre, dans le cadre de la présente directive, comme couvrant également l’état </w:t>
            </w:r>
            <w:r>
              <w:t>d’incapacité physique ou mentale provoqué par les effets de la drogue ou de l’alcool.</w:t>
            </w:r>
          </w:p>
        </w:tc>
        <w:tc>
          <w:tcPr>
            <w:tcW w:w="4876" w:type="dxa"/>
            <w:tcBorders>
              <w:top w:val="nil"/>
              <w:left w:val="nil"/>
              <w:bottom w:val="nil"/>
              <w:right w:val="nil"/>
            </w:tcBorders>
          </w:tcPr>
          <w:p w:rsidR="00995B88" w:rsidRPr="00995B88" w:rsidRDefault="00297AF4" w:rsidP="005C748F">
            <w:pPr>
              <w:pStyle w:val="Normal6a"/>
            </w:pPr>
            <w:r>
              <w:t>(26)</w:t>
            </w:r>
            <w:r>
              <w:tab/>
              <w:t xml:space="preserve">L’état d’incapacité physique ou mentale devrait s’entendre, dans le cadre de la présente directive, comme couvrant également l’état d’incapacité physique ou mentale </w:t>
            </w:r>
            <w:r>
              <w:t xml:space="preserve">provoqué par les effets de la drogue ou de l’alcool. </w:t>
            </w:r>
            <w:r>
              <w:rPr>
                <w:b/>
                <w:i/>
              </w:rPr>
              <w:t>Il est essentiel de reconnaître que les personnes en état d’incapacité ne peuvent donner leur consentement éclairé et volontaire, ce qui rend tout acte sexuel dans de telles circonstances intrinsèquement</w:t>
            </w:r>
            <w:r>
              <w:rPr>
                <w:b/>
                <w:i/>
              </w:rPr>
              <w:t xml:space="preserve"> non consensuel.</w:t>
            </w:r>
          </w:p>
        </w:tc>
      </w:tr>
    </w:tbl>
    <w:p w:rsidR="00995B88" w:rsidRPr="00995B88" w:rsidRDefault="00297AF4" w:rsidP="00995B88">
      <w:r>
        <w:rPr>
          <w:rStyle w:val="HideTWBExt"/>
        </w:rPr>
        <w:t>&lt;/Amend&gt;</w:t>
      </w:r>
      <w:bookmarkEnd w:id="7"/>
    </w:p>
    <w:p w:rsidR="00995B88" w:rsidRPr="00995B88" w:rsidRDefault="00297AF4" w:rsidP="00995B88">
      <w:pPr>
        <w:pStyle w:val="AMNumberTabs0"/>
      </w:pPr>
      <w:bookmarkStart w:id="8" w:name="AM13Compr1"/>
      <w:r>
        <w:rPr>
          <w:rStyle w:val="HideTWBExt"/>
        </w:rPr>
        <w:t>&lt;Amend&gt;</w:t>
      </w:r>
      <w:r>
        <w:t>Amendement</w:t>
      </w:r>
      <w:r>
        <w:tab/>
      </w:r>
      <w:r>
        <w:tab/>
      </w:r>
      <w:r>
        <w:rPr>
          <w:rStyle w:val="HideTWBExt"/>
        </w:rPr>
        <w:t>&lt;NumAm&gt;</w:t>
      </w:r>
      <w:r>
        <w:t>11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(31)</w:t>
            </w:r>
            <w:r>
              <w:tab/>
              <w:t xml:space="preserve">Les victimes d’abus sexuels et d’exploitation sexuelle </w:t>
            </w:r>
            <w:r>
              <w:t>d’enfants sont souvent incapables de dénoncer l’infraction pendant plusieurs décennies après l’avoir subie, en raison de la honte, de la culpabilité et de l’autoculpabilisation, qui peuvent être liées, entre autres, à la stigmatisation sociale et culturell</w:t>
            </w:r>
            <w:r>
              <w:t xml:space="preserve">e qu’entraînent encore les abus sexuels, au secret qui entoure ces abus, à la menace ou aux manœuvres de culpabilisation auxquelles a recours l’auteur, et/ou au </w:t>
            </w:r>
            <w:r>
              <w:lastRenderedPageBreak/>
              <w:t>traumatisme engendré. Les auteurs d’abus sexuels et d’exploitation sexuelle d’enfants, contrair</w:t>
            </w:r>
            <w:r>
              <w:t>ement aux auteurs d’autres crimes violents, tendent à rester actifs jusqu’à un âge avancé en continuant de représenter une menace pour les enfants. À la lumière de ce qui précède, pour que des enquêtes et des poursuites efficaces puissent être effectuées c</w:t>
            </w:r>
            <w:r>
              <w:t>oncernant les infractions impliquant des abus sexuels et l’exploitation sexuelle d’enfants, et pour fournir une assistance et un soutien appropriés aux victimes, il faut que les délais de prescription permettent aux victimes de signaler l’infraction pendan</w:t>
            </w:r>
            <w:r>
              <w:t>t une période considérablement prolongée.</w:t>
            </w:r>
          </w:p>
        </w:tc>
        <w:tc>
          <w:tcPr>
            <w:tcW w:w="4876" w:type="dxa"/>
            <w:tcBorders>
              <w:top w:val="nil"/>
              <w:left w:val="nil"/>
              <w:bottom w:val="nil"/>
              <w:right w:val="nil"/>
            </w:tcBorders>
          </w:tcPr>
          <w:p w:rsidR="00995B88" w:rsidRPr="00995B88" w:rsidRDefault="00297AF4" w:rsidP="005C748F">
            <w:pPr>
              <w:pStyle w:val="Normal6a"/>
            </w:pPr>
            <w:r>
              <w:lastRenderedPageBreak/>
              <w:t>(31)</w:t>
            </w:r>
            <w:r>
              <w:tab/>
              <w:t>Les victimes d’abus sexuels et d’exploitation sexuelle d’enfants</w:t>
            </w:r>
            <w:r>
              <w:rPr>
                <w:b/>
                <w:i/>
              </w:rPr>
              <w:t>, en particulier les filles,</w:t>
            </w:r>
            <w:r>
              <w:t xml:space="preserve"> sont souvent incapables de dénoncer l’infraction pendant plusieurs décennies après l’avoir subie, en raison de la ho</w:t>
            </w:r>
            <w:r>
              <w:t xml:space="preserve">nte, de la culpabilité et de l’autoculpabilisation, qui peuvent être liées, entre autres, à la stigmatisation sociale et culturelle qu’entraînent encore les abus sexuels, au secret qui entoure ces abus, à la menace ou aux manœuvres de culpabilisation </w:t>
            </w:r>
            <w:r>
              <w:lastRenderedPageBreak/>
              <w:t>auxqu</w:t>
            </w:r>
            <w:r>
              <w:t>elles a recours l’auteur, et/ou au traumatisme engendré.</w:t>
            </w:r>
            <w:r>
              <w:rPr>
                <w:b/>
                <w:i/>
              </w:rPr>
              <w:t xml:space="preserve"> En outre, la plupart des cas d’abus sexuels contre des enfants proviennent de membres de la famille ou de personnes appartenant au cercle intime de l’enfant, d’où la durée prolongée de l’abus, la sti</w:t>
            </w:r>
            <w:r>
              <w:rPr>
                <w:b/>
                <w:i/>
              </w:rPr>
              <w:t>gmatisation mentionnée ci-dessus et la facilité avec laquelle les auteurs peuvent accéder à l’enfant.</w:t>
            </w:r>
            <w:r>
              <w:t xml:space="preserve"> Les auteurs d’abus sexuels et d’exploitation sexuelle d’enfants, contrairement aux auteurs d’autres crimes violents, tendent à rester actifs jusqu’à un âg</w:t>
            </w:r>
            <w:r>
              <w:t xml:space="preserve">e avancé en continuant de représenter une menace pour les enfants. À la lumière de ce qui précède, pour que des enquêtes et des poursuites efficaces puissent être effectuées concernant les infractions impliquant des abus sexuels et l’exploitation sexuelle </w:t>
            </w:r>
            <w:r>
              <w:t xml:space="preserve">d’enfants, et pour fournir une assistance et un soutien appropriés aux victimes, il faut que les délais de prescription permettent aux victimes de signaler l’infraction pendant une période considérablement prolongée. </w:t>
            </w:r>
            <w:r>
              <w:rPr>
                <w:b/>
                <w:i/>
              </w:rPr>
              <w:t>Les États membres devraient mettre en œ</w:t>
            </w:r>
            <w:r>
              <w:rPr>
                <w:b/>
                <w:i/>
              </w:rPr>
              <w:t xml:space="preserve">uvre les mesures nécessaires pour préserver le bien-être et la santé mentale des enfants, et pour garantir leur rétablissement à la suite du stress post-traumatique en assurant une protection adéquate de l’identité et des données personnelles des victimes </w:t>
            </w:r>
            <w:r>
              <w:rPr>
                <w:b/>
                <w:i/>
              </w:rPr>
              <w:t>dans les affaires judiciaires concernant des enfants victimes d’abus sexuels, de manière que ces données ne soient pas divulguées par les médias publics. Les enfants doivent être protégés d’une surexposition publique, car de telles divulgations risquent de</w:t>
            </w:r>
            <w:r>
              <w:rPr>
                <w:b/>
                <w:i/>
              </w:rPr>
              <w:t xml:space="preserve"> permettre de dresser le profil des victimes, de les cibler ou de les traumatiser à nouveau.</w:t>
            </w:r>
          </w:p>
        </w:tc>
      </w:tr>
    </w:tbl>
    <w:p w:rsidR="00995B88" w:rsidRPr="00995B88" w:rsidRDefault="00297AF4" w:rsidP="00995B88">
      <w:r>
        <w:rPr>
          <w:rStyle w:val="HideTWBExt"/>
        </w:rPr>
        <w:lastRenderedPageBreak/>
        <w:t>&lt;/Amend&gt;</w:t>
      </w:r>
      <w:bookmarkEnd w:id="8"/>
    </w:p>
    <w:p w:rsidR="00995B88" w:rsidRPr="00995B88" w:rsidRDefault="00297AF4" w:rsidP="00995B88">
      <w:pPr>
        <w:pStyle w:val="AMNumberTabs0"/>
      </w:pPr>
      <w:bookmarkStart w:id="9" w:name="AM13Compr2"/>
      <w:r>
        <w:rPr>
          <w:rStyle w:val="HideTWBExt"/>
        </w:rPr>
        <w:t>&lt;Amend&gt;</w:t>
      </w:r>
      <w:r>
        <w:t>Amendement</w:t>
      </w:r>
      <w:r>
        <w:tab/>
      </w:r>
      <w:r>
        <w:tab/>
      </w:r>
      <w:r>
        <w:rPr>
          <w:rStyle w:val="HideTWBExt"/>
        </w:rPr>
        <w:t>&lt;NumAm&gt;</w:t>
      </w:r>
      <w:r>
        <w:t>12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31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w:t>
            </w:r>
            <w:r>
              <w:t xml:space="preserve">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(31 bis)</w:t>
            </w:r>
            <w:r>
              <w:tab/>
            </w:r>
            <w:r>
              <w:rPr>
                <w:b/>
                <w:i/>
              </w:rPr>
              <w:t xml:space="preserve">Les États membres devraient reconnaître le droit des victimes de se définir comme des survivants, terme par lequel </w:t>
            </w:r>
            <w:proofErr w:type="gramStart"/>
            <w:r>
              <w:rPr>
                <w:b/>
                <w:i/>
              </w:rPr>
              <w:t>on entend toute personne</w:t>
            </w:r>
            <w:proofErr w:type="gramEnd"/>
            <w:r>
              <w:rPr>
                <w:b/>
                <w:i/>
              </w:rPr>
              <w:t xml:space="preserve"> ayant subi des abus sexuels ou une exploitation sexuelle en tant qu’enfant, </w:t>
            </w:r>
            <w:r>
              <w:rPr>
                <w:b/>
                <w:i/>
              </w:rPr>
              <w:t>indépendamment de son statut juridique et de sa reconnaissance en tant que victime d’une infraction par un système juridique. Cela tient compte des différentes phases que traverse une victime d’abus sexuels et d’exploitation sexuelle, et vise à éviter la r</w:t>
            </w:r>
            <w:r>
              <w:rPr>
                <w:b/>
                <w:i/>
              </w:rPr>
              <w:t>evictimisation.</w:t>
            </w:r>
          </w:p>
        </w:tc>
      </w:tr>
    </w:tbl>
    <w:p w:rsidR="00995B88" w:rsidRPr="00995B88" w:rsidRDefault="00297AF4" w:rsidP="00995B88">
      <w:r>
        <w:rPr>
          <w:rStyle w:val="HideTWBExt"/>
        </w:rPr>
        <w:t>&lt;/Amend&gt;</w:t>
      </w:r>
      <w:bookmarkEnd w:id="9"/>
    </w:p>
    <w:p w:rsidR="00995B88" w:rsidRPr="00995B88" w:rsidRDefault="00297AF4" w:rsidP="00995B88">
      <w:pPr>
        <w:pStyle w:val="AmNumberTabs"/>
      </w:pPr>
      <w:r>
        <w:rPr>
          <w:rStyle w:val="HideTWBExt"/>
        </w:rPr>
        <w:t>&lt;Amend&gt;</w:t>
      </w:r>
      <w:r>
        <w:t>Amendement</w:t>
      </w:r>
      <w:r>
        <w:tab/>
      </w:r>
      <w:r>
        <w:tab/>
      </w:r>
      <w:r>
        <w:rPr>
          <w:rStyle w:val="HideTWBExt"/>
        </w:rPr>
        <w:t>&lt;NumAm&gt;</w:t>
      </w:r>
      <w:r>
        <w:t>13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(33)</w:t>
            </w:r>
            <w:r>
              <w:tab/>
              <w:t xml:space="preserve">Certaines formes d’abus sexuels sur enfants en ligne, telles </w:t>
            </w:r>
            <w:r>
              <w:t>que la diffusion en direct d’abus sur des enfants, souvent commis par des personnes physiquement présentes dans des pays tiers à la demande d’auteurs qui les paient dans l’UE, posent des problèmes particuliers en matière d’enquête, parce que les abus diffu</w:t>
            </w:r>
            <w:r>
              <w:t>sés en direct ne laissent généralement aucune image ou trace enregistrée. La coopération avec les services financiers définis à l’article 2, point b), de la directive n° 2002/65/CE du Parlement européen et du Conseil</w:t>
            </w:r>
            <w:r>
              <w:rPr>
                <w:vertAlign w:val="superscript"/>
              </w:rPr>
              <w:t>15</w:t>
            </w:r>
            <w:r>
              <w:t xml:space="preserve"> et d’autres prestataires de services </w:t>
            </w:r>
            <w:r>
              <w:t>concernés peut être essentielle pour surmonter les difficultés liées aux enquêtes et aux poursuites en la matière. Par conséquent, afin de garantir l’efficacité des enquêtes et des poursuites, les États membres devraient envisager de mettre en place des ca</w:t>
            </w:r>
            <w:r>
              <w:t xml:space="preserve">dres de coopération étroite entre les services financiers et d’autres prestataires de services concernés, tels que </w:t>
            </w:r>
            <w:r>
              <w:lastRenderedPageBreak/>
              <w:t>les fournisseurs de services de diffusion en continu en direct. Cela réduirait l’impunité et permettrait d’enquêter efficacement sur toutes l</w:t>
            </w:r>
            <w:r>
              <w:t>es infractions couvertes par la présente directive, au moyen d’outils et de ressources ciblés et appropriés.</w:t>
            </w:r>
          </w:p>
        </w:tc>
        <w:tc>
          <w:tcPr>
            <w:tcW w:w="4876" w:type="dxa"/>
            <w:tcBorders>
              <w:top w:val="nil"/>
              <w:left w:val="nil"/>
              <w:bottom w:val="nil"/>
              <w:right w:val="nil"/>
            </w:tcBorders>
          </w:tcPr>
          <w:p w:rsidR="00995B88" w:rsidRPr="00995B88" w:rsidRDefault="00297AF4" w:rsidP="005C748F">
            <w:pPr>
              <w:pStyle w:val="Normal6a"/>
            </w:pPr>
            <w:r>
              <w:lastRenderedPageBreak/>
              <w:t>(33)</w:t>
            </w:r>
            <w:r>
              <w:tab/>
              <w:t>Certaines formes d’abus sexuels sur enfants en ligne, telles que la diffusion en direct d’abus sur des enfants, souvent commis par des personn</w:t>
            </w:r>
            <w:r>
              <w:t>es physiquement présentes dans des pays tiers à la demande d’auteurs qui les paient dans l’UE, posent des problèmes particuliers en matière d’enquête, parce que les abus diffusés en direct ne laissent généralement aucune image ou trace enregistrée. La coop</w:t>
            </w:r>
            <w:r>
              <w:t>ération avec les services financiers définis à l’article 2, point b), de la directive n° 2002/65/CE du Parlement européen et du Conseil</w:t>
            </w:r>
            <w:r>
              <w:rPr>
                <w:vertAlign w:val="superscript"/>
              </w:rPr>
              <w:t>15</w:t>
            </w:r>
            <w:r>
              <w:t xml:space="preserve"> et d’autres prestataires de services concernés peut être essentielle pour surmonter les difficultés liées aux enquêtes</w:t>
            </w:r>
            <w:r>
              <w:t xml:space="preserve"> et aux poursuites en la matière. Par conséquent, afin de garantir l’efficacité des enquêtes et des poursuites, les États membres devraient envisager de mettre en place des cadres de coopération étroite entre les services financiers et d’autres prestataire</w:t>
            </w:r>
            <w:r>
              <w:t xml:space="preserve">s de services concernés, tels que </w:t>
            </w:r>
            <w:r>
              <w:lastRenderedPageBreak/>
              <w:t>les fournisseurs de services de diffusion en continu en direct. Cela réduirait l’impunité et permettrait d’enquêter efficacement sur toutes les infractions couvertes par la présente directive, au moyen d’outils et de resso</w:t>
            </w:r>
            <w:r>
              <w:t>urces ciblés et appropriés</w:t>
            </w:r>
            <w:r>
              <w:rPr>
                <w:b/>
                <w:i/>
              </w:rPr>
              <w:t xml:space="preserve"> garantissant la conclusion rapide des procédures. Cela devrait inclure le blocage immédiat et le retrait rapide des contenus préjudiciables, ainsi que l’octroi de l’accès au matériel nécessaire pour permettre aux services répress</w:t>
            </w:r>
            <w:r>
              <w:rPr>
                <w:b/>
                <w:i/>
              </w:rPr>
              <w:t>ifs de poursuivre efficacement les auteurs d’infractions et d’engager des poursuites à leur encontre.</w:t>
            </w:r>
            <w:r>
              <w:t xml:space="preserve"> </w:t>
            </w:r>
            <w:r>
              <w:rPr>
                <w:b/>
                <w:i/>
              </w:rPr>
              <w:t>Cette approche protège les victimes tout en obligeant les auteurs à répondre de leurs actes.</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rPr>
                <w:b/>
                <w:i/>
              </w:rPr>
              <w:lastRenderedPageBreak/>
              <w:t>_________________</w:t>
            </w:r>
          </w:p>
        </w:tc>
        <w:tc>
          <w:tcPr>
            <w:tcW w:w="4876" w:type="dxa"/>
            <w:tcBorders>
              <w:top w:val="nil"/>
              <w:left w:val="nil"/>
              <w:bottom w:val="nil"/>
              <w:right w:val="nil"/>
            </w:tcBorders>
          </w:tcPr>
          <w:p w:rsidR="00995B88" w:rsidRPr="00995B88" w:rsidRDefault="00297AF4" w:rsidP="005C748F">
            <w:pPr>
              <w:pStyle w:val="Normal6a"/>
            </w:pPr>
            <w:r>
              <w:rPr>
                <w:b/>
                <w:i/>
              </w:rPr>
              <w:t>_________________</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rPr>
                <w:vertAlign w:val="superscript"/>
              </w:rPr>
              <w:t>15</w:t>
            </w:r>
            <w:r>
              <w:t xml:space="preserve"> Directive 2002/65/CE du Parlement européen et du Conseil du 23 septembre 2002 concernant la commercialisation à distance de services financiers auprès des consommateurs, et modifiant les directives 90/619/CEE du Conseil, 97/7/CE et 98/27/CE (JO L 271 du 9</w:t>
            </w:r>
            <w:r>
              <w:t>.10.2002, p. 16., ELI:  http://data.europa.eu/eli/dir/2002/65/oj).</w:t>
            </w:r>
          </w:p>
        </w:tc>
        <w:tc>
          <w:tcPr>
            <w:tcW w:w="4876" w:type="dxa"/>
            <w:tcBorders>
              <w:top w:val="nil"/>
              <w:left w:val="nil"/>
              <w:bottom w:val="nil"/>
              <w:right w:val="nil"/>
            </w:tcBorders>
          </w:tcPr>
          <w:p w:rsidR="00995B88" w:rsidRPr="00995B88" w:rsidRDefault="00297AF4" w:rsidP="005C748F">
            <w:pPr>
              <w:pStyle w:val="Normal6a"/>
            </w:pPr>
            <w:r>
              <w:rPr>
                <w:vertAlign w:val="superscript"/>
              </w:rPr>
              <w:t>15</w:t>
            </w:r>
            <w:r>
              <w:t xml:space="preserve"> Directive 2002/65/CE du Parlement européen et du Conseil du 23 septembre 2002 concernant la commercialisation à distance de services financiers auprès des consommateurs, et modifiant les</w:t>
            </w:r>
            <w:r>
              <w:t xml:space="preserve"> directives 90/619/CEE du Conseil, 97/7/CE et 98/27/CE (JO L 271 du 9.10.2002, p. 16., ELI: http://data.europa.eu/eli/dir/2002/65/oj).</w:t>
            </w:r>
          </w:p>
        </w:tc>
      </w:tr>
    </w:tbl>
    <w:p w:rsidR="00995B88" w:rsidRPr="00995B88" w:rsidRDefault="00297AF4" w:rsidP="00995B88">
      <w:r>
        <w:rPr>
          <w:rStyle w:val="HideTWBExt"/>
        </w:rPr>
        <w:t>&lt;/Amend&gt;</w:t>
      </w:r>
    </w:p>
    <w:p w:rsidR="00995B88" w:rsidRPr="00995B88" w:rsidRDefault="00297AF4" w:rsidP="00995B88">
      <w:pPr>
        <w:pStyle w:val="AMNumberTabs0"/>
      </w:pPr>
      <w:bookmarkStart w:id="10" w:name="AM13Compr3"/>
      <w:r>
        <w:rPr>
          <w:rStyle w:val="HideTWBExt"/>
        </w:rPr>
        <w:t>&lt;Amend&gt;</w:t>
      </w:r>
      <w:r>
        <w:t>Amendement</w:t>
      </w:r>
      <w:r>
        <w:tab/>
      </w:r>
      <w:r>
        <w:tab/>
      </w:r>
      <w:r>
        <w:rPr>
          <w:rStyle w:val="HideTWBExt"/>
        </w:rPr>
        <w:t>&lt;NumAm&gt;</w:t>
      </w:r>
      <w:r>
        <w:t>14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34</w:t>
      </w:r>
      <w:r>
        <w:rPr>
          <w:rStyle w:val="HideTWBExt"/>
        </w:rPr>
        <w:t>&lt;/Art</w:t>
      </w:r>
      <w:r>
        <w:rPr>
          <w:rStyle w:val="HideTWBExt"/>
        </w:rPr>
        <w: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(34)</w:t>
            </w:r>
            <w:r>
              <w:tab/>
              <w:t xml:space="preserve">Les États membres devraient encourager toute personne ayant connaissance de faits d’abus sexuels ou d’exploitation sexuelle à l’encontre d’un enfant, ou suspectant de tels faits, à le signaler aux </w:t>
            </w:r>
            <w:r>
              <w:t xml:space="preserve">services compétents. En particulier, les États membres devraient mettre à la disposition des enfants des informations sur la possibilité de signaler les abus, y compris en recourant à des lignes d’assistance téléphonique. Il </w:t>
            </w:r>
            <w:r>
              <w:lastRenderedPageBreak/>
              <w:t>appartient à chaque État membre</w:t>
            </w:r>
            <w:r>
              <w:t xml:space="preserve"> de déterminer les autorités compétentes auprès desquelles de tels soupçons peuvent être signalés. Ces autorités compétentes ne devraient pas seulement être les services de protection de l’enfance ou les services sociaux pertinents. L’exigence d’un soupçon</w:t>
            </w:r>
            <w:r>
              <w:t xml:space="preserve"> «de bonne foi» devrait avoir pour objet d’empêcher que la disposition ne soit invoquée pour autoriser la dénonciation de faits purement imaginaires ou mensongers, effectuée dans une intention de nuire.</w:t>
            </w:r>
          </w:p>
        </w:tc>
        <w:tc>
          <w:tcPr>
            <w:tcW w:w="4876" w:type="dxa"/>
            <w:tcBorders>
              <w:top w:val="nil"/>
              <w:left w:val="nil"/>
              <w:bottom w:val="nil"/>
              <w:right w:val="nil"/>
            </w:tcBorders>
          </w:tcPr>
          <w:p w:rsidR="00995B88" w:rsidRPr="00995B88" w:rsidRDefault="00297AF4" w:rsidP="005C748F">
            <w:pPr>
              <w:pStyle w:val="Normal6a"/>
            </w:pPr>
            <w:r>
              <w:lastRenderedPageBreak/>
              <w:t>(34)</w:t>
            </w:r>
            <w:r>
              <w:tab/>
              <w:t>Les États membres devraient encourager toute per</w:t>
            </w:r>
            <w:r>
              <w:t>sonne ayant connaissance de faits d’abus sexuels ou d’exploitation sexuelle à l’encontre d’un enfant, ou suspectant de tels faits, à le signaler aux services compétents. En particulier, les États membres devraient mettre à la disposition des enfants des in</w:t>
            </w:r>
            <w:r>
              <w:t>formations sur la possibilité de signaler les abus, y compris en recourant à des lignes d’assistance téléphonique</w:t>
            </w:r>
            <w:r>
              <w:rPr>
                <w:b/>
                <w:i/>
              </w:rPr>
              <w:t xml:space="preserve"> ou en </w:t>
            </w:r>
            <w:r>
              <w:rPr>
                <w:b/>
                <w:i/>
              </w:rPr>
              <w:lastRenderedPageBreak/>
              <w:t>ligne</w:t>
            </w:r>
            <w:r>
              <w:t>. Il appartient à chaque État membre de déterminer les autorités compétentes auprès desquelles de tels soupçons peuvent être signal</w:t>
            </w:r>
            <w:r>
              <w:t>és. Ces autorités compétentes ne devraient pas seulement être les services de protection de l’enfance ou les services sociaux pertinents. L’exigence d’un soupçon «de bonne foi» devrait avoir pour objet d’empêcher que la disposition ne soit invoquée pour au</w:t>
            </w:r>
            <w:r>
              <w:t>toriser la dénonciation de faits purement imaginaires ou mensongers, effectuée dans une intention de nuire.</w:t>
            </w:r>
          </w:p>
        </w:tc>
      </w:tr>
    </w:tbl>
    <w:p w:rsidR="00995B88" w:rsidRPr="00995B88" w:rsidRDefault="00297AF4" w:rsidP="00995B88">
      <w:r>
        <w:rPr>
          <w:rStyle w:val="HideTWBExt"/>
        </w:rPr>
        <w:lastRenderedPageBreak/>
        <w:t>&lt;/Amend&gt;</w:t>
      </w:r>
      <w:bookmarkEnd w:id="10"/>
    </w:p>
    <w:p w:rsidR="00995B88" w:rsidRPr="00995B88" w:rsidRDefault="00297AF4" w:rsidP="00995B88">
      <w:pPr>
        <w:pStyle w:val="AMNumberTabs0"/>
      </w:pPr>
      <w:bookmarkStart w:id="11" w:name="AM13Compr4"/>
      <w:r>
        <w:rPr>
          <w:rStyle w:val="HideTWBExt"/>
        </w:rPr>
        <w:t>&lt;Amend&gt;</w:t>
      </w:r>
      <w:r>
        <w:t>Amendement</w:t>
      </w:r>
      <w:r>
        <w:tab/>
      </w:r>
      <w:r>
        <w:tab/>
      </w:r>
      <w:r>
        <w:rPr>
          <w:rStyle w:val="HideTWBExt"/>
        </w:rPr>
        <w:t>&lt;NumAm&gt;</w:t>
      </w:r>
      <w:r>
        <w:t>15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34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w:t>
            </w:r>
            <w:r>
              <w:t xml:space="preserv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(34 bis)</w:t>
            </w:r>
            <w:r>
              <w:tab/>
            </w:r>
            <w:r>
              <w:rPr>
                <w:b/>
                <w:i/>
              </w:rPr>
              <w:t xml:space="preserve">Les États membres, dans le respect des principes fondamentaux de leur système juridique, devraient prendre les mesures nécessaires pour veiller à ce que les autorités nationales compétentes aient le pouvoir </w:t>
            </w:r>
            <w:r>
              <w:rPr>
                <w:b/>
                <w:i/>
              </w:rPr>
              <w:t xml:space="preserve">de ne pas poursuivre les mères d’enfants victimes d’abus sexuels et d’exploitation sexuelle ou de ne pas leur infliger de sanctions lorsqu’elles désobéissent à des décisions relatives à la garde parentale au motif qu’elles disposent de preuves de violence </w:t>
            </w:r>
            <w:r>
              <w:rPr>
                <w:b/>
                <w:i/>
              </w:rPr>
              <w:t>à l’égard des enfants.</w:t>
            </w:r>
          </w:p>
        </w:tc>
      </w:tr>
    </w:tbl>
    <w:p w:rsidR="00995B88" w:rsidRPr="00995B88" w:rsidRDefault="00297AF4" w:rsidP="00995B88">
      <w:r>
        <w:rPr>
          <w:rStyle w:val="HideTWBExt"/>
        </w:rPr>
        <w:t>&lt;/Amend&gt;</w:t>
      </w:r>
      <w:bookmarkEnd w:id="11"/>
    </w:p>
    <w:p w:rsidR="00995B88" w:rsidRPr="00995B88" w:rsidRDefault="00297AF4" w:rsidP="00995B88">
      <w:pPr>
        <w:pStyle w:val="AMNumberTabs0"/>
      </w:pPr>
      <w:bookmarkStart w:id="12" w:name="AM13Compr5"/>
      <w:r>
        <w:rPr>
          <w:rStyle w:val="HideTWBExt"/>
        </w:rPr>
        <w:t>&lt;Amend&gt;</w:t>
      </w:r>
      <w:r>
        <w:t>Amendement</w:t>
      </w:r>
      <w:r>
        <w:tab/>
      </w:r>
      <w:r>
        <w:tab/>
      </w:r>
      <w:r>
        <w:rPr>
          <w:rStyle w:val="HideTWBExt"/>
        </w:rPr>
        <w:t>&lt;NumAm&gt;</w:t>
      </w:r>
      <w:r>
        <w:t>16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34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(34 ter)</w:t>
            </w:r>
            <w:r>
              <w:tab/>
            </w:r>
            <w:r>
              <w:rPr>
                <w:b/>
                <w:i/>
              </w:rPr>
              <w:t xml:space="preserve">Les États membres devraient veiller </w:t>
            </w:r>
            <w:r>
              <w:rPr>
                <w:b/>
                <w:i/>
              </w:rPr>
              <w:t xml:space="preserve">à ce que les autorités répressives procèdent, sans retard injustifié, à des enquêtes sur les tentatives de sollicitation d’enfants à des fins </w:t>
            </w:r>
            <w:r>
              <w:rPr>
                <w:b/>
                <w:i/>
              </w:rPr>
              <w:lastRenderedPageBreak/>
              <w:t>sexuelles et à ce que les enfants victimes de telles tentatives de sollicitation soient effectivement dirigés vers</w:t>
            </w:r>
            <w:r>
              <w:rPr>
                <w:b/>
                <w:i/>
              </w:rPr>
              <w:t xml:space="preserve"> les services d’aide pertinents pour qu’ils bénéficient d’une assistance et d’une protection, l’accent devant être mis sur le renforcement des droits des victimes.</w:t>
            </w:r>
          </w:p>
        </w:tc>
      </w:tr>
    </w:tbl>
    <w:p w:rsidR="00995B88" w:rsidRPr="00995B88" w:rsidRDefault="00297AF4" w:rsidP="00995B88">
      <w:r>
        <w:rPr>
          <w:rStyle w:val="HideTWBExt"/>
        </w:rPr>
        <w:lastRenderedPageBreak/>
        <w:t>&lt;/Amend&gt;</w:t>
      </w:r>
      <w:bookmarkEnd w:id="12"/>
    </w:p>
    <w:p w:rsidR="00995B88" w:rsidRPr="00995B88" w:rsidRDefault="00297AF4" w:rsidP="00995B88">
      <w:pPr>
        <w:pStyle w:val="AMNumberTabs0"/>
      </w:pPr>
      <w:bookmarkStart w:id="13" w:name="AM13Compr6"/>
      <w:r>
        <w:rPr>
          <w:rStyle w:val="HideTWBExt"/>
        </w:rPr>
        <w:t>&lt;Amend&gt;</w:t>
      </w:r>
      <w:r>
        <w:t>Amendement</w:t>
      </w:r>
      <w:r>
        <w:tab/>
      </w:r>
      <w:r>
        <w:tab/>
      </w:r>
      <w:r>
        <w:rPr>
          <w:rStyle w:val="HideTWBExt"/>
        </w:rPr>
        <w:t>&lt;NumAm&gt;</w:t>
      </w:r>
      <w:r>
        <w:t>17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(36)</w:t>
            </w:r>
            <w:r>
              <w:tab/>
              <w:t>Des mesures destinées à protéger les enfants victimes de façon complète devraient être adoptées dans leur intérêt supérieur, compte tenu des résultats d’une évaluation de</w:t>
            </w:r>
            <w:r>
              <w:t xml:space="preserve"> leurs besoins. La protection efficace des enfants nécessite une approche de l’ensemble de la société. Avec l’enfant au centre des préoccupations, l’ensemble des services et </w:t>
            </w:r>
            <w:proofErr w:type="gramStart"/>
            <w:r>
              <w:t>des autorités concernés</w:t>
            </w:r>
            <w:proofErr w:type="gramEnd"/>
            <w:r>
              <w:t xml:space="preserve"> devraient collaborer à la protection et au soutien de l’en</w:t>
            </w:r>
            <w:r>
              <w:t xml:space="preserve">fant, dans son intérêt supérieur. Le modèle des maisons de l’enfance </w:t>
            </w:r>
            <w:proofErr w:type="gramStart"/>
            <w:r>
              <w:t>(«Barnahus</w:t>
            </w:r>
            <w:proofErr w:type="gramEnd"/>
            <w:r>
              <w:t>»), qui consiste à offrir un environnement adapté aux enfants et composé de spécialistes de toutes les disciplines concernées, est actuellement l’exemple le plus avancé d’une ap</w:t>
            </w:r>
            <w:r>
              <w:t>proche de la justice adaptée aux enfants et permettant d’éviter la revictimisation. Les dispositions pertinentes de la présente directive reposent sur les principes de ce modèle. Il a pour but de faire en sorte que tous les enfants concernés par des enquêt</w:t>
            </w:r>
            <w:r>
              <w:t>es relatives à des abus sexuels sur enfants ou des enquêtes sur l’exploitation sexuelle d’enfants bénéficient d’une évaluation de qualité menée dans des environnements adaptés aux enfants, d’un soutien psychosocial approprié et de services de protection de</w:t>
            </w:r>
            <w:r>
              <w:t xml:space="preserve"> l’enfance. La présente directive vise à garantir le respect de ces principes par tous les États membres même </w:t>
            </w:r>
            <w:r>
              <w:lastRenderedPageBreak/>
              <w:t>si elle n’oblige pas ces derniers à suivre le modèle Barnahus en tant que tel. Lorsqu’il est nécessaire de soumettre l’enfant à des examens médica</w:t>
            </w:r>
            <w:r>
              <w:t>ux aux fins de l’enquête pénale, par exemple pour recueillir des preuves d’abus, ceux-ci devraient être réduits au strict nécessaire pour limiter la retraumatisation. Cette obligation ne devrait pas faire obstacle à la réalisation d’autres examens médicaux</w:t>
            </w:r>
            <w:r>
              <w:t xml:space="preserve"> nécessaires au bien-être de l’enfant. Les enfants victimes devraient avoir facilement accès à une justice adaptée aux enfants, des voies de recours ainsi qu’à des mesures visant à régler les conflits d’intérêts en cas d’abus sexuels ou d’exploitation sexu</w:t>
            </w:r>
            <w:r>
              <w:t>elle à l’encontre d’un enfant au sein de la famille. Lorsque, dans le cadre d’une enquête ou d’une procédure pénale, il y a lieu de nommer un représentant spécial pour un enfant, cette fonction peut également être exercée par une personne morale, une insti</w:t>
            </w:r>
            <w:r>
              <w:t>tution ou une autorité. Les enfants victimes devraient par ailleurs être protégés contre toute sanction, en vertu de la législation nationale dans le domaine de la prostitution par exemple, s’ils attirent l’attention des autorités compétentes sur leur cas.</w:t>
            </w:r>
            <w:r>
              <w:t xml:space="preserve"> En outre, leur participation à une procédure pénale ne devrait pas, dans toute la mesure du possible, leur causer de traumatisme supplémentaire résultant d’interrogatoires ou de contacts visuels avec les auteurs de l’infraction. Toutes les autorités parti</w:t>
            </w:r>
            <w:r>
              <w:t xml:space="preserve">cipant à la procédure devraient être formées à une justice adaptée aux enfants. Il convient d’apprendre à bien connaître l’enfant et de savoir comment il réagit face à une expérience traumatisante, et ce afin de garantir la qualité des preuves recueillies </w:t>
            </w:r>
            <w:r>
              <w:t>et de diminuer le stress de l’enfant lors de la mise en œuvre des mesures nécessaires. Lorsque des enfants victimes participent à une procédure pénale, la juridiction devrait tenir pleinement compte de leur âge et de leur maturité dans la conduite de la pr</w:t>
            </w:r>
            <w:r>
              <w:t xml:space="preserve">océdure et veiller à ce que cette dernière </w:t>
            </w:r>
            <w:r>
              <w:lastRenderedPageBreak/>
              <w:t>soit accessible et compréhensible pour l’enfant.</w:t>
            </w:r>
          </w:p>
        </w:tc>
        <w:tc>
          <w:tcPr>
            <w:tcW w:w="4876" w:type="dxa"/>
            <w:tcBorders>
              <w:top w:val="nil"/>
              <w:left w:val="nil"/>
              <w:bottom w:val="nil"/>
              <w:right w:val="nil"/>
            </w:tcBorders>
          </w:tcPr>
          <w:p w:rsidR="00995B88" w:rsidRPr="00995B88" w:rsidRDefault="00297AF4" w:rsidP="005C748F">
            <w:pPr>
              <w:pStyle w:val="Normal6a"/>
            </w:pPr>
            <w:r>
              <w:lastRenderedPageBreak/>
              <w:t>(36)</w:t>
            </w:r>
            <w:r>
              <w:tab/>
              <w:t>Des mesures destinées à protéger les enfants victimes de façon complète devraient être adoptées dans leur intérêt supérieur, compte tenu des résultats d’une év</w:t>
            </w:r>
            <w:r>
              <w:t>aluation de leurs besoins</w:t>
            </w:r>
            <w:r>
              <w:rPr>
                <w:b/>
                <w:i/>
              </w:rPr>
              <w:t>, notamment des vulnérabilités de la victime et des effets psychologiques disproportionnés sur les filles, en tenant compte du traumatisme, du genre, du handicap et de la spécificité de l’enfant</w:t>
            </w:r>
            <w:r>
              <w:t xml:space="preserve">. La protection efficace des enfants </w:t>
            </w:r>
            <w:r>
              <w:t xml:space="preserve">nécessite une approche de l’ensemble de la société. Avec l’enfant au centre des préoccupations, l’ensemble des services et </w:t>
            </w:r>
            <w:proofErr w:type="gramStart"/>
            <w:r>
              <w:t>des autorités concernés</w:t>
            </w:r>
            <w:proofErr w:type="gramEnd"/>
            <w:r>
              <w:t xml:space="preserve"> devraient collaborer à la protection et au soutien de l’enfant, dans son intérêt supérieur.</w:t>
            </w:r>
            <w:r>
              <w:rPr>
                <w:b/>
                <w:i/>
              </w:rPr>
              <w:t xml:space="preserve"> Pour éviter toute</w:t>
            </w:r>
            <w:r>
              <w:rPr>
                <w:b/>
                <w:i/>
              </w:rPr>
              <w:t xml:space="preserve"> revictimisation, les services répressifs et les professionnels concernés devraient adopter une approche tenant compte de la dimension de genre qui évite de perpétuer les dommages ou les préjugés sexistes au cours des enquêtes et des interactions avec les </w:t>
            </w:r>
            <w:r>
              <w:rPr>
                <w:b/>
                <w:i/>
              </w:rPr>
              <w:t>victimes, ainsi que tout au long de la procédure judiciaire et au-delà. La non-mise en œuvre de telles pratiques risque de traumatiser une nouvelle fois les victimes et de les dissuader de faire appel à la justice.</w:t>
            </w:r>
            <w:r>
              <w:t xml:space="preserve"> Le modèle des maisons de l’enfance </w:t>
            </w:r>
            <w:proofErr w:type="gramStart"/>
            <w:r>
              <w:t>(«Barn</w:t>
            </w:r>
            <w:r>
              <w:t>ahus</w:t>
            </w:r>
            <w:proofErr w:type="gramEnd"/>
            <w:r>
              <w:t xml:space="preserve">»), qui consiste à offrir un environnement adapté aux enfants et composé de spécialistes de toutes les </w:t>
            </w:r>
            <w:r>
              <w:lastRenderedPageBreak/>
              <w:t>disciplines concernées, est actuellement l’exemple le plus avancé d’une approche de la justice adaptée aux enfants et permettant d’éviter la revictim</w:t>
            </w:r>
            <w:r>
              <w:t>isation.</w:t>
            </w:r>
            <w:r>
              <w:rPr>
                <w:b/>
                <w:i/>
              </w:rPr>
              <w:t xml:space="preserve"> Il est important de noter que le modèle Barnahus intègre des approches tenant compte de la dimension de genre, garantissant que les vulnérabilités spécifiques au genre soient prises en compte lors des contacts avec les survivants, que la formation</w:t>
            </w:r>
            <w:r>
              <w:rPr>
                <w:b/>
                <w:i/>
              </w:rPr>
              <w:t xml:space="preserve"> du personnel intègre la dimension de genre et que les services soient adaptés aux expériences spécifiques au genre.</w:t>
            </w:r>
            <w:r>
              <w:t xml:space="preserve"> Les dispositions pertinentes de la présente directive reposent sur les principes de ce modèle. Il a pour but de faire en sorte que tous les</w:t>
            </w:r>
            <w:r>
              <w:t xml:space="preserve"> enfants concernés par des enquêtes relatives à des abus sexuels sur enfants ou des enquêtes sur l’exploitation sexuelle d’enfants bénéficient d’une évaluation de qualité menée dans des environnements adaptés aux enfants, d’un soutien psychosocial appropri</w:t>
            </w:r>
            <w:r>
              <w:t>é</w:t>
            </w:r>
            <w:r>
              <w:rPr>
                <w:b/>
                <w:i/>
              </w:rPr>
              <w:t xml:space="preserve"> et adapté</w:t>
            </w:r>
            <w:r>
              <w:t xml:space="preserve"> et de services de protection de l’enfance. La présente directive vise à garantir le respect de ces principes par tous les États membres même si elle n’oblige pas ces derniers à suivre le modèle Barnahus en tant que tel. Lorsqu’il est nécessaire</w:t>
            </w:r>
            <w:r>
              <w:t xml:space="preserve"> de soumettre l’enfant à des examens médicaux aux fins de l’enquête pénale, par exemple pour recueillir des preuves d’abus, ceux-ci devraient être réduits au strict nécessaire pour limiter la retraumatisation</w:t>
            </w:r>
            <w:r>
              <w:rPr>
                <w:b/>
                <w:i/>
              </w:rPr>
              <w:t xml:space="preserve"> et être effectués par des professionnels qualif</w:t>
            </w:r>
            <w:r>
              <w:rPr>
                <w:b/>
                <w:i/>
              </w:rPr>
              <w:t>iés en tenant compte de la dimension de genre et des traumatismes</w:t>
            </w:r>
            <w:r>
              <w:t>. Cette obligation ne devrait pas faire obstacle à la réalisation d’autres examens médicaux nécessaires au bien-être de l’enfant. Les enfants victimes devraient avoir facilement accès à une j</w:t>
            </w:r>
            <w:r>
              <w:t xml:space="preserve">ustice adaptée aux enfants, des voies de recours ainsi qu’à des mesures visant à régler les conflits d’intérêts en cas d’abus sexuels ou d’exploitation sexuelle à l’encontre d’un enfant au sein de la famille. Lorsque, dans le cadre d’une enquête ou </w:t>
            </w:r>
            <w:r>
              <w:lastRenderedPageBreak/>
              <w:t>d’une p</w:t>
            </w:r>
            <w:r>
              <w:t>rocédure pénale, il y a lieu de nommer un représentant spécial pour un enfant, cette fonction peut également être exercée par une personne morale, une institution ou une autorité. Les enfants victimes devraient par ailleurs être protégés contre toute sanct</w:t>
            </w:r>
            <w:r>
              <w:t>ion, en vertu de la législation nationale dans le domaine de la prostitution par exemple, s’ils attirent l’attention des autorités compétentes sur leur cas. En outre, leur participation à une procédure pénale ne devrait pas, dans toute la mesure du possibl</w:t>
            </w:r>
            <w:r>
              <w:t>e, leur causer de traumatisme supplémentaire résultant d’interrogatoires ou de contacts visuels avec les auteurs de l’infraction. Toutes les autorités participant à la procédure devraient être formées à une justice adaptée aux enfants</w:t>
            </w:r>
            <w:r>
              <w:rPr>
                <w:b/>
                <w:i/>
              </w:rPr>
              <w:t xml:space="preserve"> et tenant compte de l</w:t>
            </w:r>
            <w:r>
              <w:rPr>
                <w:b/>
                <w:i/>
              </w:rPr>
              <w:t>a dimension de genre et des traumatismes</w:t>
            </w:r>
            <w:r>
              <w:t>. Il convient d’apprendre à bien connaître l’enfant et de savoir comment il réagit face à une expérience traumatisante, et ce afin de garantir la qualité des preuves recueillies et de diminuer le stress de l’enfant l</w:t>
            </w:r>
            <w:r>
              <w:t>ors de la mise en œuvre des mesures nécessaires. Lorsque des enfants victimes participent à une procédure pénale, la juridiction devrait tenir pleinement compte de leur âge</w:t>
            </w:r>
            <w:r>
              <w:rPr>
                <w:b/>
                <w:i/>
              </w:rPr>
              <w:t>, de leur genre</w:t>
            </w:r>
            <w:r>
              <w:t xml:space="preserve"> et de leur maturité dans la conduite de la procédure et veiller à ce que cette dernière soit accessible et compréhensible pour l’enfant.</w:t>
            </w:r>
          </w:p>
        </w:tc>
      </w:tr>
    </w:tbl>
    <w:p w:rsidR="00995B88" w:rsidRPr="00995B88" w:rsidRDefault="00297AF4" w:rsidP="00995B88">
      <w:r>
        <w:rPr>
          <w:rStyle w:val="HideTWBExt"/>
        </w:rPr>
        <w:lastRenderedPageBreak/>
        <w:t>&lt;/Amend&gt;</w:t>
      </w:r>
      <w:bookmarkEnd w:id="13"/>
    </w:p>
    <w:p w:rsidR="00995B88" w:rsidRPr="00995B88" w:rsidRDefault="00297AF4" w:rsidP="00995B88">
      <w:pPr>
        <w:pStyle w:val="AMNumberTabs0"/>
      </w:pPr>
      <w:bookmarkStart w:id="14" w:name="AM13Compr7"/>
      <w:r>
        <w:rPr>
          <w:rStyle w:val="HideTWBExt"/>
        </w:rPr>
        <w:t>&lt;Amend&gt;</w:t>
      </w:r>
      <w:r>
        <w:t>Amendement</w:t>
      </w:r>
      <w:r>
        <w:tab/>
      </w:r>
      <w:r>
        <w:tab/>
      </w:r>
      <w:r>
        <w:rPr>
          <w:rStyle w:val="HideTWBExt"/>
        </w:rPr>
        <w:t>&lt;NumAm&gt;</w:t>
      </w:r>
      <w:r>
        <w:t>18</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36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(36 bis)</w:t>
            </w:r>
            <w:r>
              <w:tab/>
            </w:r>
            <w:r>
              <w:rPr>
                <w:b/>
                <w:i/>
              </w:rPr>
              <w:t>Les États membres devraient garantir la prise en charge intégrale des enfants en tant que droit subjectif, en veillant à ce que les programmes de réparation pour</w:t>
            </w:r>
            <w:r>
              <w:rPr>
                <w:b/>
                <w:i/>
              </w:rPr>
              <w:t xml:space="preserve"> les </w:t>
            </w:r>
            <w:r>
              <w:rPr>
                <w:b/>
                <w:i/>
              </w:rPr>
              <w:lastRenderedPageBreak/>
              <w:t xml:space="preserve">victimes et les survivants, intégrant une perspective de genre, soient efficaces et accessibles. À cet égard, et reconnaissant le modèle des maisons de l’enfance </w:t>
            </w:r>
            <w:proofErr w:type="gramStart"/>
            <w:r>
              <w:rPr>
                <w:b/>
                <w:i/>
              </w:rPr>
              <w:t>(«Barnahus</w:t>
            </w:r>
            <w:proofErr w:type="gramEnd"/>
            <w:r>
              <w:rPr>
                <w:b/>
                <w:i/>
              </w:rPr>
              <w:t>») comme une référence positive, les États membres devraient veiller à ce qu’il</w:t>
            </w:r>
            <w:r>
              <w:rPr>
                <w:b/>
                <w:i/>
              </w:rPr>
              <w:t xml:space="preserve"> soit financé comme il se doit afin de garantir l’universalité et la non-discrimination dans l’accès des enfants à leurs droits. Cela signifie que les soins, le soutien, la protection et les réparations fournis aux enfants devraient être intégrés et respec</w:t>
            </w:r>
            <w:r>
              <w:rPr>
                <w:b/>
                <w:i/>
              </w:rPr>
              <w:t>ter leur statut de titulaires de droits à part entière. Ce n’est qu’à travers de telles approches que la protection réelle et durable de leurs droits pourra être assurée, en répondant à leurs besoins dans un cadre de justice adapté et sensible à leur dével</w:t>
            </w:r>
            <w:r>
              <w:rPr>
                <w:b/>
                <w:i/>
              </w:rPr>
              <w:t>oppement global.</w:t>
            </w:r>
          </w:p>
        </w:tc>
      </w:tr>
    </w:tbl>
    <w:p w:rsidR="00995B88" w:rsidRPr="00995B88" w:rsidRDefault="00297AF4" w:rsidP="00995B88">
      <w:r>
        <w:rPr>
          <w:rStyle w:val="HideTWBExt"/>
        </w:rPr>
        <w:lastRenderedPageBreak/>
        <w:t>&lt;/Amend&gt;</w:t>
      </w:r>
      <w:bookmarkEnd w:id="14"/>
    </w:p>
    <w:p w:rsidR="00995B88" w:rsidRPr="00995B88" w:rsidRDefault="00297AF4" w:rsidP="00995B88">
      <w:pPr>
        <w:pStyle w:val="AMNumberTabs0"/>
      </w:pPr>
      <w:bookmarkStart w:id="15" w:name="AM14Compr1"/>
      <w:r>
        <w:rPr>
          <w:rStyle w:val="HideTWBExt"/>
        </w:rPr>
        <w:t>&lt;Amend&gt;</w:t>
      </w:r>
      <w:r>
        <w:t>Amendement</w:t>
      </w:r>
      <w:r>
        <w:tab/>
      </w:r>
      <w:r>
        <w:tab/>
      </w:r>
      <w:r>
        <w:rPr>
          <w:rStyle w:val="HideTWBExt"/>
        </w:rPr>
        <w:t>&lt;NumAm&gt;</w:t>
      </w:r>
      <w:r>
        <w:t>19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(37)</w:t>
            </w:r>
            <w:r>
              <w:tab/>
              <w:t>Les États membres devraient fournir une assistance adaptée et</w:t>
            </w:r>
            <w:r>
              <w:t xml:space="preserve"> complète à court et à long terme aux enfants victimes. Tout préjudice causé par les abus sexuels et l’exploitation sexuelle d’un enfant est significatif et devrait être traité dès que possible après le premier contact de la victime avec les autorités. Une</w:t>
            </w:r>
            <w:r>
              <w:t xml:space="preserve"> assistance immédiate aux victimes avant et pendant les enquêtes et procédures pénales est essentielle pour limiter le traumatisme à long terme lié aux abus subis. Afin de faciliter la fourniture rapide d’une assistance, y compris l’identification des serv</w:t>
            </w:r>
            <w:r>
              <w:t xml:space="preserve">ices de soutien concernés, les États membres devraient publier des lignes directrices et des protocoles à l’intention des professionnels des soins de santé, de l’éducation et des services sociaux, y compris le personnel des lignes </w:t>
            </w:r>
            <w:r>
              <w:lastRenderedPageBreak/>
              <w:t xml:space="preserve">d’assistance </w:t>
            </w:r>
            <w:proofErr w:type="gramStart"/>
            <w:r>
              <w:t>téléphonique</w:t>
            </w:r>
            <w:r>
              <w:t> .</w:t>
            </w:r>
            <w:proofErr w:type="gramEnd"/>
            <w:r>
              <w:t xml:space="preserve"> En raison de la nature du dommage causé par l’abus sexuel et l’exploitation sexuelle, cette assistance devrait se poursuivre aussi longtemps que l’enfant ne s’est pas rétabli sur le plan physique et psychologique et pouvoir durer, au besoin, jusque l’âg</w:t>
            </w:r>
            <w:r>
              <w:t>e adulte. Il conviendrait d’envisager d’étendre les actions d’assistance et de conseil aux parents , aux personnes s’occupant d’enfants ou aux tuteurs de l’enfant victime, lorsqu’ils ne sont pas impliqués comme suspects dans le cadre de l’infraction concer</w:t>
            </w:r>
            <w:r>
              <w:t>née, afin de les aider à assister l’enfant victime tout au long de la procédure pénale.</w:t>
            </w:r>
          </w:p>
        </w:tc>
        <w:tc>
          <w:tcPr>
            <w:tcW w:w="4876" w:type="dxa"/>
            <w:tcBorders>
              <w:top w:val="nil"/>
              <w:left w:val="nil"/>
              <w:bottom w:val="nil"/>
              <w:right w:val="nil"/>
            </w:tcBorders>
          </w:tcPr>
          <w:p w:rsidR="00995B88" w:rsidRPr="00995B88" w:rsidRDefault="00297AF4" w:rsidP="005C748F">
            <w:pPr>
              <w:pStyle w:val="Normal6a"/>
            </w:pPr>
            <w:r>
              <w:lastRenderedPageBreak/>
              <w:t>(37)</w:t>
            </w:r>
            <w:r>
              <w:tab/>
              <w:t>Les États membres devraient fournir une assistance adaptée et complète à court et à long terme aux enfants victimes</w:t>
            </w:r>
            <w:r>
              <w:rPr>
                <w:b/>
                <w:i/>
              </w:rPr>
              <w:t>, en tenant compte de la dimension de genre ains</w:t>
            </w:r>
            <w:r>
              <w:rPr>
                <w:b/>
                <w:i/>
              </w:rPr>
              <w:t>i que des besoins et des caractéristiques spécifiques de chaque enfant et de chaque survivant</w:t>
            </w:r>
            <w:r>
              <w:t>. Tout préjudice causé par les abus sexuels et l’exploitation sexuelle d’un enfant est significatif et devrait être traité dès que possible après le premier contac</w:t>
            </w:r>
            <w:r>
              <w:t>t de la victime avec les autorités. Une assistance immédiate aux victimes avant et pendant les enquêtes et procédures pénales est essentielle pour limiter le traumatisme à long terme lié aux abus subis. Afin de faciliter la fourniture rapide d’une assistan</w:t>
            </w:r>
            <w:r>
              <w:t xml:space="preserve">ce, y compris l’identification des services de soutien concernés, les États membres devraient publier des lignes </w:t>
            </w:r>
            <w:r>
              <w:lastRenderedPageBreak/>
              <w:t>directrices et des protocoles à l’intention des professionnels des soins de santé, de l’éducation et des services sociaux</w:t>
            </w:r>
            <w:r>
              <w:rPr>
                <w:b/>
                <w:i/>
              </w:rPr>
              <w:t xml:space="preserve"> et des bénévoles</w:t>
            </w:r>
            <w:r>
              <w:t>, y c</w:t>
            </w:r>
            <w:r>
              <w:t xml:space="preserve">ompris le personnel des lignes d’assistance </w:t>
            </w:r>
            <w:proofErr w:type="gramStart"/>
            <w:r>
              <w:t>téléphonique .</w:t>
            </w:r>
            <w:proofErr w:type="gramEnd"/>
            <w:r>
              <w:t xml:space="preserve"> En raison de la nature du dommage causé par l’abus sexuel et l’exploitation sexuelle, cette assistance devrait se poursuivre aussi longtemps que l’enfant ne s’est pas rétabli sur le plan physique e</w:t>
            </w:r>
            <w:r>
              <w:t>t psychologique et pouvoir durer, au besoin, jusque l’âge adulte. Il conviendrait d’envisager d’étendre les actions d’assistance et de conseil aux parents , aux personnes s’occupant d’enfants ou aux tuteurs de l’enfant victime, lorsqu’ils ne sont pas impli</w:t>
            </w:r>
            <w:r>
              <w:t>qués comme suspects dans le cadre de l’infraction concernée, afin de les aider à assister l’enfant victime tout au long de la procédure pénale.</w:t>
            </w:r>
          </w:p>
        </w:tc>
      </w:tr>
    </w:tbl>
    <w:p w:rsidR="00995B88" w:rsidRPr="00995B88" w:rsidRDefault="00297AF4" w:rsidP="00995B88">
      <w:r>
        <w:rPr>
          <w:rStyle w:val="HideTWBExt"/>
        </w:rPr>
        <w:lastRenderedPageBreak/>
        <w:t>&lt;/Amend&gt;</w:t>
      </w:r>
      <w:bookmarkEnd w:id="15"/>
    </w:p>
    <w:p w:rsidR="00995B88" w:rsidRPr="00995B88" w:rsidRDefault="00297AF4" w:rsidP="00995B88">
      <w:pPr>
        <w:pStyle w:val="AMNumberTabs0"/>
      </w:pPr>
      <w:bookmarkStart w:id="16" w:name="AM14Compr2"/>
      <w:r>
        <w:rPr>
          <w:rStyle w:val="HideTWBExt"/>
        </w:rPr>
        <w:t>&lt;Amend&gt;</w:t>
      </w:r>
      <w:r>
        <w:t>Amendement</w:t>
      </w:r>
      <w:r>
        <w:tab/>
      </w:r>
      <w:r>
        <w:tab/>
      </w:r>
      <w:r>
        <w:rPr>
          <w:rStyle w:val="HideTWBExt"/>
        </w:rPr>
        <w:t>&lt;NumAm&gt;</w:t>
      </w:r>
      <w:r>
        <w:t>20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w:t>
      </w:r>
      <w:r>
        <w:t>t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(38)</w:t>
            </w:r>
            <w:r>
              <w:tab/>
              <w:t xml:space="preserve">Le traumatisme qui résulte des abus sexuels et de l’exploitation sexuelle des enfants subsiste souvent à l’âge adulte, entraînant des effets </w:t>
            </w:r>
            <w:r>
              <w:rPr>
                <w:b/>
                <w:i/>
              </w:rPr>
              <w:t>à</w:t>
            </w:r>
            <w:r>
              <w:t xml:space="preserve"> long </w:t>
            </w:r>
            <w:r>
              <w:rPr>
                <w:b/>
                <w:i/>
              </w:rPr>
              <w:t>terme</w:t>
            </w:r>
            <w:r>
              <w:t xml:space="preserve"> qui empêchent souvent les victimes, pendant des années, voire des décennies, de signaler l’infraction et de demander une aide et un </w:t>
            </w:r>
            <w:proofErr w:type="gramStart"/>
            <w:r>
              <w:t>soutien .</w:t>
            </w:r>
            <w:proofErr w:type="gramEnd"/>
            <w:r>
              <w:t xml:space="preserve"> Par conséquent, les États membres devraient fournir une assistance</w:t>
            </w:r>
            <w:r>
              <w:rPr>
                <w:b/>
                <w:i/>
              </w:rPr>
              <w:t xml:space="preserve"> adaptée et</w:t>
            </w:r>
            <w:r>
              <w:t xml:space="preserve"> complète, à court et à long terme, </w:t>
            </w:r>
            <w:r>
              <w:t>non seulement aux enfants victimes, mais aussi aux adultes ayant survécu à des abus sexuels et à l’exploitation sexuelle d’enfants.</w:t>
            </w:r>
          </w:p>
        </w:tc>
        <w:tc>
          <w:tcPr>
            <w:tcW w:w="4876" w:type="dxa"/>
            <w:tcBorders>
              <w:top w:val="nil"/>
              <w:left w:val="nil"/>
              <w:bottom w:val="nil"/>
              <w:right w:val="nil"/>
            </w:tcBorders>
          </w:tcPr>
          <w:p w:rsidR="00995B88" w:rsidRPr="00995B88" w:rsidRDefault="00297AF4" w:rsidP="005C748F">
            <w:pPr>
              <w:pStyle w:val="Normal6a"/>
            </w:pPr>
            <w:r>
              <w:t>(38)</w:t>
            </w:r>
            <w:r>
              <w:tab/>
            </w:r>
            <w:r>
              <w:rPr>
                <w:b/>
                <w:i/>
              </w:rPr>
              <w:t xml:space="preserve">Les abus sexuels sur enfants, qu’ils soient commis physiquement ou au moyen des technologies de l’information et de la </w:t>
            </w:r>
            <w:r>
              <w:rPr>
                <w:b/>
                <w:i/>
              </w:rPr>
              <w:t>communication, ont des répercussions profondes et durables sur les victimes et les survivants, ce qui a une incidence sur leur santé mentale, leur développement personnel et leur bien-être futur.</w:t>
            </w:r>
            <w:r>
              <w:t xml:space="preserve"> Le traumatisme qui résulte des abus sexuels et de l’exploita</w:t>
            </w:r>
            <w:r>
              <w:t xml:space="preserve">tion sexuelle des enfants subsiste souvent à l’âge adulte, entraînant </w:t>
            </w:r>
            <w:r>
              <w:rPr>
                <w:b/>
                <w:i/>
              </w:rPr>
              <w:t xml:space="preserve">parfois </w:t>
            </w:r>
            <w:r>
              <w:t xml:space="preserve">des effets </w:t>
            </w:r>
            <w:r>
              <w:rPr>
                <w:b/>
                <w:i/>
              </w:rPr>
              <w:t>tout au</w:t>
            </w:r>
            <w:r>
              <w:t xml:space="preserve"> long </w:t>
            </w:r>
            <w:r>
              <w:rPr>
                <w:b/>
                <w:i/>
              </w:rPr>
              <w:t>de la vie,</w:t>
            </w:r>
            <w:r>
              <w:t xml:space="preserve"> qui empêchent souvent les victimes, pendant des années, voire des décennies, de signaler l’infraction et de demander une aide et un soutien</w:t>
            </w:r>
            <w:r>
              <w:rPr>
                <w:b/>
                <w:i/>
              </w:rPr>
              <w:t>.</w:t>
            </w:r>
            <w:r>
              <w:t xml:space="preserve"> </w:t>
            </w:r>
            <w:r>
              <w:rPr>
                <w:b/>
                <w:i/>
              </w:rPr>
              <w:t>Da</w:t>
            </w:r>
            <w:r>
              <w:rPr>
                <w:b/>
                <w:i/>
              </w:rPr>
              <w:t xml:space="preserve">ns certains cas, le souvenir des abus sexuels et les traumatismes que les victimes subissent par la suite varient. En outre, en </w:t>
            </w:r>
            <w:r>
              <w:rPr>
                <w:b/>
                <w:i/>
              </w:rPr>
              <w:lastRenderedPageBreak/>
              <w:t>raison d’un manque d’informations et de compréhension de ce qui constitue un abus sexuel sur enfants et du consentement, les sur</w:t>
            </w:r>
            <w:r>
              <w:rPr>
                <w:b/>
                <w:i/>
              </w:rPr>
              <w:t>vivants peuvent ne pas se rendre compte qu’ils ont été victimes d’abus sexuels jusqu’à un stade avancé de leur vie.</w:t>
            </w:r>
            <w:r>
              <w:t xml:space="preserve"> Par conséquent, les États membres devraient fournir une assistance complète, à court et à long terme, non seulement aux enfants victimes, ma</w:t>
            </w:r>
            <w:r>
              <w:t>is aussi aux adultes ayant survécu à des abus sexuels et à l’exploitation sexuelle d’enfants</w:t>
            </w:r>
            <w:r>
              <w:rPr>
                <w:b/>
                <w:i/>
              </w:rPr>
              <w:t>, en tenant compte de la dimension de genre ainsi que des besoins et des caractéristiques spécifiques de chaque enfant</w:t>
            </w:r>
            <w:r>
              <w:t>.</w:t>
            </w:r>
          </w:p>
        </w:tc>
      </w:tr>
    </w:tbl>
    <w:p w:rsidR="00995B88" w:rsidRPr="00995B88" w:rsidRDefault="00297AF4" w:rsidP="00995B88">
      <w:r>
        <w:rPr>
          <w:rStyle w:val="HideTWBExt"/>
        </w:rPr>
        <w:lastRenderedPageBreak/>
        <w:t>&lt;/Amend&gt;</w:t>
      </w:r>
      <w:bookmarkEnd w:id="16"/>
    </w:p>
    <w:p w:rsidR="00995B88" w:rsidRPr="00995B88" w:rsidRDefault="00297AF4" w:rsidP="00995B88">
      <w:pPr>
        <w:pStyle w:val="AMNumberTabs0"/>
      </w:pPr>
      <w:bookmarkStart w:id="17" w:name="AM14Compr3"/>
      <w:r>
        <w:rPr>
          <w:rStyle w:val="HideTWBExt"/>
        </w:rPr>
        <w:t>&lt;Amend&gt;</w:t>
      </w:r>
      <w:r>
        <w:t>Amendement</w:t>
      </w:r>
      <w:r>
        <w:tab/>
      </w:r>
      <w:r>
        <w:tab/>
      </w:r>
      <w:r>
        <w:rPr>
          <w:rStyle w:val="HideTWBExt"/>
        </w:rPr>
        <w:t>&lt;NumAm&gt;</w:t>
      </w:r>
      <w:r>
        <w:t>21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(39)</w:t>
            </w:r>
            <w:r>
              <w:tab/>
              <w:t xml:space="preserve">La directive 2012/29/UE confère un ensemble de droits aux victimes dans le cadre des procédures pénales, y compris </w:t>
            </w:r>
            <w:r>
              <w:t xml:space="preserve">le droit à une protection et le droit d’obtenir qu’il soit statué sur une indemnisation par l’auteur de </w:t>
            </w:r>
            <w:proofErr w:type="gramStart"/>
            <w:r>
              <w:t>l’infraction .</w:t>
            </w:r>
            <w:proofErr w:type="gramEnd"/>
            <w:r>
              <w:t xml:space="preserve"> La proposition de révision de la directive sur les droits des victimes prévoit des modifications ciblées concernant tous les droits des v</w:t>
            </w:r>
            <w:r>
              <w:t>ictimes. Outre les droits prévus par cette directive, les enfants victimes d’abus sexuels, d’exploitation sexuelle et de matériel relatif à des abus sexuels sur enfants devraient avoir accès à des conseils juridiques et, en fonction du rôle attribué aux vi</w:t>
            </w:r>
            <w:r>
              <w:t>ctimes dans le système judiciaire concerné, à une représentation juridique, y compris aux fins d’une demande d’indemnisation. Ces conseils et cette représentation juridiques pourraient également être fournis par les autorités compétentes aux fins d’une dem</w:t>
            </w:r>
            <w:r>
              <w:t xml:space="preserve">ande d’indemnisation de l’État. Le but des conseils juridiques est de permettre aux </w:t>
            </w:r>
            <w:r>
              <w:lastRenderedPageBreak/>
              <w:t xml:space="preserve">victimes d’être informées et conseillées sur les différentes possibilités qui s’offrent à elles. Les conseils juridiques devraient être fournis par une personne ayant reçu </w:t>
            </w:r>
            <w:r>
              <w:t>une formation juridique appropriée, mais il n’est pas indispensable que cette personne soit un juriste. Les conseils juridiques et, en fonction du rôle attribué aux victimes dans le système judiciaire concerné, la représentation juridique devraient être fo</w:t>
            </w:r>
            <w:r>
              <w:t>urnis gratuitement, tout au moins lorsque la victime n’a pas de ressources financières suffisantes, selon des modalités compatibles avec les procédures internes des États membres.</w:t>
            </w:r>
          </w:p>
        </w:tc>
        <w:tc>
          <w:tcPr>
            <w:tcW w:w="4876" w:type="dxa"/>
            <w:tcBorders>
              <w:top w:val="nil"/>
              <w:left w:val="nil"/>
              <w:bottom w:val="nil"/>
              <w:right w:val="nil"/>
            </w:tcBorders>
          </w:tcPr>
          <w:p w:rsidR="00995B88" w:rsidRPr="00995B88" w:rsidRDefault="00297AF4" w:rsidP="005C748F">
            <w:pPr>
              <w:pStyle w:val="Normal6a"/>
            </w:pPr>
            <w:r>
              <w:lastRenderedPageBreak/>
              <w:t>(39)</w:t>
            </w:r>
            <w:r>
              <w:tab/>
              <w:t>La directive 2012/29/UE confère un ensemble de droits aux victimes dans</w:t>
            </w:r>
            <w:r>
              <w:t xml:space="preserve"> le cadre des procédures pénales, y compris le droit à une protection et le droit d’obtenir qu’il soit statué sur une indemnisation par l’auteur de </w:t>
            </w:r>
            <w:proofErr w:type="gramStart"/>
            <w:r>
              <w:t>l’infraction .</w:t>
            </w:r>
            <w:proofErr w:type="gramEnd"/>
            <w:r>
              <w:t xml:space="preserve"> La proposition de révision de la directive sur les droits des victimes prévoit des modificati</w:t>
            </w:r>
            <w:r>
              <w:t>ons ciblées concernant tous les droits des victimes. Outre les droits prévus par cette directive, les enfants victimes d’abus sexuels, d’exploitation sexuelle et de matériel relatif à des abus sexuels sur enfants devraient avoir accès à des conseils juridi</w:t>
            </w:r>
            <w:r>
              <w:t xml:space="preserve">ques et, en fonction du rôle attribué aux victimes dans le système judiciaire concerné, à une représentation juridique, y compris aux fins d’une demande d’indemnisation. Ces conseils et cette représentation juridiques pourraient également être fournis par </w:t>
            </w:r>
            <w:r>
              <w:t xml:space="preserve">les autorités compétentes aux fins d’une demande d’indemnisation de l’État. Le but des conseils juridiques est de permettre aux </w:t>
            </w:r>
            <w:r>
              <w:lastRenderedPageBreak/>
              <w:t>victimes d’être informées et conseillées sur les différentes possibilités qui s’offrent à elles. Les conseils juridiques devraie</w:t>
            </w:r>
            <w:r>
              <w:t>nt être fournis par une personne ayant reçu une formation juridique appropriée, mais il n’est pas indispensable que cette personne soit un juriste. Les conseils juridiques et, en fonction du rôle attribué aux victimes dans le système judiciaire concerné, l</w:t>
            </w:r>
            <w:r>
              <w:t xml:space="preserve">a représentation juridique </w:t>
            </w:r>
            <w:proofErr w:type="gramStart"/>
            <w:r>
              <w:t>devraient</w:t>
            </w:r>
            <w:proofErr w:type="gramEnd"/>
            <w:r>
              <w:t xml:space="preserve"> être fournis gratuitement, tout au moins lorsque la victime n’a pas de ressources financières suffisantes, selon des modalités compatibles avec les procédures internes des États membres. </w:t>
            </w:r>
            <w:r>
              <w:rPr>
                <w:b/>
                <w:i/>
              </w:rPr>
              <w:t>Les États membres devraient veil</w:t>
            </w:r>
            <w:r>
              <w:rPr>
                <w:b/>
                <w:i/>
              </w:rPr>
              <w:t>ler à ce que le droit à la réparation ou à l’atténuation ne soit pas satisfait uniquement par le droit à une indemnisation pécuniaire, mais aussi par une réparation globale allant au-delà des moyens pécuniaires, y compris la réadaptation physique, l’octroi</w:t>
            </w:r>
            <w:r>
              <w:rPr>
                <w:b/>
                <w:i/>
              </w:rPr>
              <w:t xml:space="preserve"> d’un accès aux soins de santé, à l’éducation ou aux centres de services aux victimes.</w:t>
            </w:r>
          </w:p>
        </w:tc>
      </w:tr>
    </w:tbl>
    <w:p w:rsidR="00995B88" w:rsidRPr="00995B88" w:rsidRDefault="00297AF4" w:rsidP="00995B88">
      <w:r>
        <w:rPr>
          <w:rStyle w:val="HideTWBExt"/>
        </w:rPr>
        <w:lastRenderedPageBreak/>
        <w:t>&lt;/Amend&gt;</w:t>
      </w:r>
      <w:bookmarkEnd w:id="17"/>
    </w:p>
    <w:p w:rsidR="00995B88" w:rsidRPr="00995B88" w:rsidRDefault="00297AF4" w:rsidP="00995B88">
      <w:pPr>
        <w:pStyle w:val="AMNumberTabs0"/>
      </w:pPr>
      <w:bookmarkStart w:id="18" w:name="AM14Compr4"/>
      <w:r>
        <w:rPr>
          <w:rStyle w:val="HideTWBExt"/>
        </w:rPr>
        <w:t>&lt;Amend&gt;</w:t>
      </w:r>
      <w:r>
        <w:t>Amendement</w:t>
      </w:r>
      <w:r>
        <w:tab/>
      </w:r>
      <w:r>
        <w:tab/>
      </w:r>
      <w:r>
        <w:rPr>
          <w:rStyle w:val="HideTWBExt"/>
        </w:rPr>
        <w:t>&lt;NumAm&gt;</w:t>
      </w:r>
      <w:r>
        <w:t>22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39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proposé par la </w:t>
            </w:r>
            <w:r>
              <w:t>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(39 bis)</w:t>
            </w:r>
            <w:r>
              <w:tab/>
            </w:r>
            <w:r>
              <w:rPr>
                <w:b/>
                <w:i/>
              </w:rPr>
              <w:t xml:space="preserve">La prévention des abus sexuels sur enfants revêt une importance capitale pour protéger les enfants. Les États membres devraient prendre des mesures de protection pour préserver le bien-être physique, émotionnel et </w:t>
            </w:r>
            <w:r>
              <w:rPr>
                <w:b/>
                <w:i/>
              </w:rPr>
              <w:t>psychologique des enfants ainsi que pour préserver le droit fondamental des enfants à grandir dans un environnement sûr, à l’abri de l’exploitation, de la violence et des atteintes. La prévention des abus sexuels sur enfants nécessite des efforts de collab</w:t>
            </w:r>
            <w:r>
              <w:rPr>
                <w:b/>
                <w:i/>
              </w:rPr>
              <w:t xml:space="preserve">oration entre les secteurs, y compris l’éducation, les soins de santé, les systèmes judiciaires et les services de </w:t>
            </w:r>
            <w:r>
              <w:rPr>
                <w:b/>
                <w:i/>
              </w:rPr>
              <w:lastRenderedPageBreak/>
              <w:t>proximité. En outre, pour détecter et faire cesser les situations d’abus, il est essentiel de renforcer la position des personnes assurant ef</w:t>
            </w:r>
            <w:r>
              <w:rPr>
                <w:b/>
                <w:i/>
              </w:rPr>
              <w:t>fectivement la garde d’un enfant, en particulier les mères qui sont souvent en première ligne pour protéger les enfants.</w:t>
            </w:r>
          </w:p>
        </w:tc>
      </w:tr>
    </w:tbl>
    <w:p w:rsidR="00995B88" w:rsidRPr="00995B88" w:rsidRDefault="00297AF4" w:rsidP="00995B88">
      <w:r>
        <w:rPr>
          <w:rStyle w:val="HideTWBExt"/>
        </w:rPr>
        <w:lastRenderedPageBreak/>
        <w:t>&lt;/Amend&gt;</w:t>
      </w:r>
      <w:bookmarkEnd w:id="18"/>
    </w:p>
    <w:p w:rsidR="00995B88" w:rsidRPr="00995B88" w:rsidRDefault="00297AF4" w:rsidP="00995B88">
      <w:pPr>
        <w:pStyle w:val="AMNumberTabs0"/>
      </w:pPr>
      <w:bookmarkStart w:id="19" w:name="AM14Compr5"/>
      <w:r>
        <w:rPr>
          <w:rStyle w:val="HideTWBExt"/>
        </w:rPr>
        <w:t>&lt;Amend&gt;</w:t>
      </w:r>
      <w:r>
        <w:t>Amendement</w:t>
      </w:r>
      <w:r>
        <w:tab/>
      </w:r>
      <w:r>
        <w:tab/>
      </w:r>
      <w:r>
        <w:rPr>
          <w:rStyle w:val="HideTWBExt"/>
        </w:rPr>
        <w:t>&lt;NumAm&gt;</w:t>
      </w:r>
      <w:r>
        <w:t>23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39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(39 ter)</w:t>
            </w:r>
            <w:r>
              <w:tab/>
            </w:r>
            <w:r>
              <w:rPr>
                <w:b/>
                <w:i/>
              </w:rPr>
              <w:t xml:space="preserve">Les États membres devraient veiller à ce que les autorités répressives procèdent, sans retard injustifié, à des enquêtes sur les tentatives de sollicitation d’enfants à des fins sexuelles </w:t>
            </w:r>
            <w:r>
              <w:rPr>
                <w:b/>
                <w:i/>
              </w:rPr>
              <w:t>et à ce que les enfants victimes de telles tentatives de sollicitation soient effectivement dirigés vers les services d’aide pertinents pour qu’ils bénéficient d’une assistance et d’une protection, l’accent devant être mis sur le renforcement des droits de</w:t>
            </w:r>
            <w:r>
              <w:rPr>
                <w:b/>
                <w:i/>
              </w:rPr>
              <w:t>s victimes.</w:t>
            </w:r>
          </w:p>
        </w:tc>
      </w:tr>
    </w:tbl>
    <w:p w:rsidR="00995B88" w:rsidRPr="00995B88" w:rsidRDefault="00297AF4" w:rsidP="00995B88">
      <w:r>
        <w:rPr>
          <w:rStyle w:val="HideTWBExt"/>
        </w:rPr>
        <w:t>&lt;/Amend&gt;</w:t>
      </w:r>
      <w:bookmarkEnd w:id="19"/>
    </w:p>
    <w:p w:rsidR="00995B88" w:rsidRPr="00995B88" w:rsidRDefault="00297AF4" w:rsidP="00995B88">
      <w:pPr>
        <w:pStyle w:val="AMNumberTabs0"/>
      </w:pPr>
      <w:bookmarkStart w:id="20" w:name="AM14Compr6"/>
      <w:r>
        <w:rPr>
          <w:rStyle w:val="HideTWBExt"/>
        </w:rPr>
        <w:t>&lt;Amend&gt;</w:t>
      </w:r>
      <w:r>
        <w:t>Amendement</w:t>
      </w:r>
      <w:r>
        <w:tab/>
      </w:r>
      <w:r>
        <w:tab/>
      </w:r>
      <w:r>
        <w:rPr>
          <w:rStyle w:val="HideTWBExt"/>
        </w:rPr>
        <w:t>&lt;NumAm&gt;</w:t>
      </w:r>
      <w:r>
        <w:t>24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(40)</w:t>
            </w:r>
            <w:r>
              <w:tab/>
              <w:t xml:space="preserve">Le centre de l’UE chargé de prévenir et de combattre les abus </w:t>
            </w:r>
            <w:r>
              <w:t>sexuels sur enfants (ci-après dénommés</w:t>
            </w:r>
            <w:proofErr w:type="gramStart"/>
            <w:r>
              <w:t xml:space="preserve"> «centre</w:t>
            </w:r>
            <w:proofErr w:type="gramEnd"/>
            <w:r>
              <w:t xml:space="preserve"> de l’UE»), créé par le règlement [.../.../UE établissant des règles en vue de prévenir et de combattre les abus sexuels sur enfants]</w:t>
            </w:r>
            <w:r>
              <w:rPr>
                <w:vertAlign w:val="superscript"/>
              </w:rPr>
              <w:t>16</w:t>
            </w:r>
            <w:r>
              <w:t>, devrait soutenir les efforts et les obligations des États membres en mati</w:t>
            </w:r>
            <w:r>
              <w:t xml:space="preserve">ère de prévention et d’assistance aux victimes au titre de la présente directive. Il devrait faciliter l’échange de bonnes pratiques </w:t>
            </w:r>
            <w:r>
              <w:lastRenderedPageBreak/>
              <w:t>dans l’Union et au-delà. Le centre de l’UE devrait encourager le dialogue entre toutes les parties prenantes concernées afi</w:t>
            </w:r>
            <w:r>
              <w:t>n de contribuer à l’élaboration de programmes de prévention de pointe. En outre, en coopérant avec les États membres et en contribuant à la normalisation de la collecte de données relatives aux abus sexuels sur enfants et à l’exploitation sexuelle dans l’e</w:t>
            </w:r>
            <w:r>
              <w:t>nsemble de l’Union, le centre de l’UE devrait être un atout pour soutenir une politique fondée sur des données probantes en matière de prévention et d’assistance aux victimes. Les États membres devraient mettre en place les autorités nationales ou les enti</w:t>
            </w:r>
            <w:r>
              <w:t>tés équivalentes qu’ils jugent les plus appropriées en fonction de leur organisation interne, en tenant compte de la nécessité d’une structure minimale assurant des tâches spécifiques, et à même d’évaluer des tendances en matière d’abus sexuels sur enfants</w:t>
            </w:r>
            <w:r>
              <w:t xml:space="preserve">, de collecter des statistiques, de mesurer les résultats des actions visant à prévenir et à combattre les abus sexuels sur enfants et de rendre régulièrement compte de ces tendances, statistiques et résultats. Ces autorités nationales devraient servir de </w:t>
            </w:r>
            <w:r>
              <w:t xml:space="preserve">point de contact national et adopter une approche multipartite intégrée dans leurs travaux. En outre, les États membres devraient mettre en place les mécanismes nécessaires au niveau national pour assurer une coordination et une coopération efficaces dans </w:t>
            </w:r>
            <w:r>
              <w:t>l’élaboration et la mise en œuvre de mesures visant à prévenir et à combattre les abus sexuels sur enfants et l’exploitation sexuelle des enfants, tant en ligne que hors ligne, entre tous les acteurs publics et privés concernés, et faciliter la coopération</w:t>
            </w:r>
            <w:r>
              <w:t xml:space="preserve"> avec le centre de l’UE et la Commission.</w:t>
            </w:r>
          </w:p>
        </w:tc>
        <w:tc>
          <w:tcPr>
            <w:tcW w:w="4876" w:type="dxa"/>
            <w:tcBorders>
              <w:top w:val="nil"/>
              <w:left w:val="nil"/>
              <w:bottom w:val="nil"/>
              <w:right w:val="nil"/>
            </w:tcBorders>
          </w:tcPr>
          <w:p w:rsidR="00995B88" w:rsidRPr="00995B88" w:rsidRDefault="00297AF4" w:rsidP="005C748F">
            <w:pPr>
              <w:pStyle w:val="Normal6a"/>
            </w:pPr>
            <w:r>
              <w:lastRenderedPageBreak/>
              <w:t>(40)</w:t>
            </w:r>
            <w:r>
              <w:tab/>
              <w:t>Le centre de l’UE chargé de prévenir et de combattre les abus sexuels sur enfants (ci-après dénommés</w:t>
            </w:r>
            <w:proofErr w:type="gramStart"/>
            <w:r>
              <w:t xml:space="preserve"> «centre</w:t>
            </w:r>
            <w:proofErr w:type="gramEnd"/>
            <w:r>
              <w:t xml:space="preserve"> de l’UE»), créé par le règlement [.../.../UE établissant des règles en vue de prévenir et de combatt</w:t>
            </w:r>
            <w:r>
              <w:t>re les abus sexuels sur enfants]</w:t>
            </w:r>
            <w:r>
              <w:rPr>
                <w:vertAlign w:val="superscript"/>
              </w:rPr>
              <w:t>16</w:t>
            </w:r>
            <w:r>
              <w:t xml:space="preserve">, devrait soutenir les efforts et les obligations des États membres en matière de prévention et d’assistance aux victimes au titre de la présente directive. Il devrait faciliter l’échange de bonnes pratiques </w:t>
            </w:r>
            <w:r>
              <w:lastRenderedPageBreak/>
              <w:t>dans l’Union e</w:t>
            </w:r>
            <w:r>
              <w:t>t au-delà. Le centre de l’UE devrait encourager le dialogue entre toutes les parties prenantes concernées afin de contribuer à l’élaboration de programmes de prévention de pointe</w:t>
            </w:r>
            <w:r>
              <w:rPr>
                <w:b/>
                <w:i/>
              </w:rPr>
              <w:t xml:space="preserve"> et aider les États membres à mettre au point des campagnes d’information et d</w:t>
            </w:r>
            <w:r>
              <w:rPr>
                <w:b/>
                <w:i/>
              </w:rPr>
              <w:t>e sensibilisation. Compte tenu de l’objectif de la présente directive, qui est de combattre et de prévenir les abus sexuels sur enfants, le centre de l’UE devrait disposer d’un conseil consultatif pour les droits de l’enfant et les survivants composé d’exp</w:t>
            </w:r>
            <w:r>
              <w:rPr>
                <w:b/>
                <w:i/>
              </w:rPr>
              <w:t>erts ayant une fonction consultative relative aux droits de l’enfant et à la perspective des victimes et des survivants. Le conseil consultatif pour les droits de l’enfant et les survivants peut, en particulier, apporter son expertise pour soutenir les tra</w:t>
            </w:r>
            <w:r>
              <w:rPr>
                <w:b/>
                <w:i/>
              </w:rPr>
              <w:t>vaux du centre de l’UE, dans le cadre de son mandat. Le centre de l’UE devrait être habilité à collaborer avec les autorités compétentes et les services d’aide concernés, y compris les centres de protection des victimes, les refuges pour femmes, les servic</w:t>
            </w:r>
            <w:r>
              <w:rPr>
                <w:b/>
                <w:i/>
              </w:rPr>
              <w:t>es spécialisés pour les enfants, les services sociaux, les organisations de défense des droits de l’enfant et les professionnels de la santé dans les États membres. Ce faisant, le centre de l’UE devrait garantir une approche tenant compte de la dimension d</w:t>
            </w:r>
            <w:r>
              <w:rPr>
                <w:b/>
                <w:i/>
              </w:rPr>
              <w:t>e genre et une perspective fondée sur les droits de l’enfant, en donnant la priorité aux besoins et à la protection des enfants victimes</w:t>
            </w:r>
            <w:r>
              <w:t>. En outre, en coopérant avec les États membres et en contribuant à la normalisation de la collecte de données relatives</w:t>
            </w:r>
            <w:r>
              <w:t xml:space="preserve"> aux abus sexuels sur enfants et à l’exploitation sexuelle dans l’ensemble de l’Union, le centre de l’UE devrait être un atout pour soutenir une politique fondée sur des données probantes en matière de prévention et d’assistance aux victimes. Les États mem</w:t>
            </w:r>
            <w:r>
              <w:t xml:space="preserve">bres devraient mettre en place les autorités nationales ou les entités équivalentes qu’ils jugent les plus </w:t>
            </w:r>
            <w:r>
              <w:lastRenderedPageBreak/>
              <w:t>appropriées en fonction de leur organisation interne, en tenant compte de la nécessité d’une structure minimale assurant des tâches spécifiques, et à</w:t>
            </w:r>
            <w:r>
              <w:t xml:space="preserve"> même d’évaluer des tendances en matière d’abus sexuels sur enfants, de collecter des statistiques, de mesurer les résultats des actions visant à prévenir et à combattre les abus sexuels sur enfants et de rendre régulièrement compte de ces tendances, stati</w:t>
            </w:r>
            <w:r>
              <w:t>stiques et résultats</w:t>
            </w:r>
            <w:r>
              <w:rPr>
                <w:b/>
                <w:i/>
              </w:rPr>
              <w:t>, y compris en fournissant des données ventilées par genre et par âge</w:t>
            </w:r>
            <w:r>
              <w:t xml:space="preserve">. Ces autorités nationales devraient servir de point de contact national et adopter une approche multipartite intégrée dans leurs travaux. En outre, les États membres </w:t>
            </w:r>
            <w:r>
              <w:t>devraient mettre en place les mécanismes nécessaires au niveau national pour assurer une coordination et une coopération efficaces dans l’élaboration et la mise en œuvre de mesures visant à prévenir et à combattre les abus sexuels sur enfants et l’exploita</w:t>
            </w:r>
            <w:r>
              <w:t>tion sexuelle des enfants, tant en ligne que hors ligne, entre tous les acteurs publics et privés concernés, et faciliter la coopération avec le centre de l’UE et la Commission.</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rPr>
                <w:b/>
                <w:i/>
              </w:rPr>
              <w:lastRenderedPageBreak/>
              <w:t>_________________</w:t>
            </w:r>
          </w:p>
        </w:tc>
        <w:tc>
          <w:tcPr>
            <w:tcW w:w="4876" w:type="dxa"/>
            <w:tcBorders>
              <w:top w:val="nil"/>
              <w:left w:val="nil"/>
              <w:bottom w:val="nil"/>
              <w:right w:val="nil"/>
            </w:tcBorders>
          </w:tcPr>
          <w:p w:rsidR="00995B88" w:rsidRPr="00995B88" w:rsidRDefault="00995B88" w:rsidP="005C748F"/>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rPr>
                <w:vertAlign w:val="superscript"/>
              </w:rPr>
              <w:t>16</w:t>
            </w:r>
            <w:r>
              <w:t xml:space="preserve"> COM (2022) 209 du 11.5.2022.</w:t>
            </w:r>
          </w:p>
        </w:tc>
        <w:tc>
          <w:tcPr>
            <w:tcW w:w="4876" w:type="dxa"/>
            <w:tcBorders>
              <w:top w:val="nil"/>
              <w:left w:val="nil"/>
              <w:bottom w:val="nil"/>
              <w:right w:val="nil"/>
            </w:tcBorders>
          </w:tcPr>
          <w:p w:rsidR="00995B88" w:rsidRPr="00995B88" w:rsidRDefault="00995B88" w:rsidP="005C748F"/>
        </w:tc>
      </w:tr>
    </w:tbl>
    <w:p w:rsidR="00995B88" w:rsidRPr="00995B88" w:rsidRDefault="00297AF4" w:rsidP="00995B88">
      <w:r>
        <w:rPr>
          <w:rStyle w:val="HideTWBExt"/>
        </w:rPr>
        <w:t>&lt;/Amend&gt;</w:t>
      </w:r>
      <w:bookmarkEnd w:id="20"/>
    </w:p>
    <w:p w:rsidR="00995B88" w:rsidRPr="00995B88" w:rsidRDefault="00297AF4" w:rsidP="00995B88">
      <w:pPr>
        <w:pStyle w:val="AMNumberTabs0"/>
      </w:pPr>
      <w:bookmarkStart w:id="21" w:name="AM14Compr7"/>
      <w:r>
        <w:rPr>
          <w:rStyle w:val="HideTWBExt"/>
        </w:rPr>
        <w:t>&lt;Amend&gt;</w:t>
      </w:r>
      <w:r>
        <w:t>Amendement</w:t>
      </w:r>
      <w:r>
        <w:tab/>
      </w:r>
      <w:r>
        <w:tab/>
      </w:r>
      <w:r>
        <w:rPr>
          <w:rStyle w:val="HideTWBExt"/>
        </w:rPr>
        <w:t>&lt;NumAm&gt;</w:t>
      </w:r>
      <w:r>
        <w:t>25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40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(40 bis)</w:t>
            </w:r>
            <w:r>
              <w:tab/>
            </w:r>
            <w:r>
              <w:rPr>
                <w:b/>
                <w:i/>
              </w:rPr>
              <w:t xml:space="preserve">Il est essentiel que les États membres mettent en place des structures </w:t>
            </w:r>
            <w:r>
              <w:rPr>
                <w:b/>
                <w:i/>
              </w:rPr>
              <w:t>pluridisciplinaires en vue de coordonner l’expertise des services répressifs, des agences de protection de l’enfance, des survivants d’abus sexuels sur enfants, des professionnels de la santé, des éducateurs et des professionnels de la santé mentale. Ces s</w:t>
            </w:r>
            <w:r>
              <w:rPr>
                <w:b/>
                <w:i/>
              </w:rPr>
              <w:t xml:space="preserve">tructures devraient faire face à la </w:t>
            </w:r>
            <w:r>
              <w:rPr>
                <w:b/>
                <w:i/>
              </w:rPr>
              <w:lastRenderedPageBreak/>
              <w:t>complexité des abus sexuels et de la sollicitation d’enfants en ligne, tout en tenant compte du genre et de l’âge des enfants utilisateurs, en reconnaissant que les filles sont ciblées de manière disproportionnée dans de</w:t>
            </w:r>
            <w:r>
              <w:rPr>
                <w:b/>
                <w:i/>
              </w:rPr>
              <w:t xml:space="preserve"> nombreuses formes d’exploitation sexuelle et d’abus sexuels.</w:t>
            </w:r>
          </w:p>
        </w:tc>
      </w:tr>
    </w:tbl>
    <w:p w:rsidR="00995B88" w:rsidRPr="00995B88" w:rsidRDefault="00297AF4" w:rsidP="00995B88">
      <w:r>
        <w:rPr>
          <w:rStyle w:val="HideTWBExt"/>
        </w:rPr>
        <w:lastRenderedPageBreak/>
        <w:t>&lt;/Amend&gt;</w:t>
      </w:r>
      <w:bookmarkEnd w:id="21"/>
    </w:p>
    <w:p w:rsidR="00995B88" w:rsidRPr="00995B88" w:rsidRDefault="00297AF4" w:rsidP="00995B88">
      <w:pPr>
        <w:pStyle w:val="AMNumberTabs0"/>
      </w:pPr>
      <w:bookmarkStart w:id="22" w:name="AM15Compr1"/>
      <w:r>
        <w:rPr>
          <w:rStyle w:val="HideTWBExt"/>
        </w:rPr>
        <w:t>&lt;Amend&gt;</w:t>
      </w:r>
      <w:r>
        <w:t>Amendement</w:t>
      </w:r>
      <w:r>
        <w:tab/>
      </w:r>
      <w:r>
        <w:tab/>
      </w:r>
      <w:r>
        <w:rPr>
          <w:rStyle w:val="HideTWBExt"/>
        </w:rPr>
        <w:t>&lt;NumAm&gt;</w:t>
      </w:r>
      <w:r>
        <w:t>26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43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(43)</w:t>
            </w:r>
            <w:r>
              <w:tab/>
              <w:t xml:space="preserve">Les États </w:t>
            </w:r>
            <w:r>
              <w:t>membres devraient élaborer ou renforcer leurs politiques de prévention des abus sexuels et de l’exploitation sexuelle des enfants, y compris les mesures destinées à décourager et à réduire la demande qui favorise toutes les formes d’exploitation sexuelle d</w:t>
            </w:r>
            <w:r>
              <w:t xml:space="preserve">es enfants, et les mesures visant à réduire le risque que des enfants n’en deviennent victimes, au moyen de campagnes d’information et de sensibilisation, également destinées aux parents et aux personnes s’occupant d’enfants et à la société au sens large, </w:t>
            </w:r>
            <w:r>
              <w:t>et de programmes de recherche et d’éducation. Dans le cadre de ces initiatives, les États membres devraient adopter une approche basée sur les droits des enfants. Il faudrait tout particulièrement veiller à l’adéquation et à la facilité de compréhension de</w:t>
            </w:r>
            <w:r>
              <w:t>s campagnes de sensibilisation organisées à l’intention des enfants et à leur adaptation aux besoins spécifiques des enfants de différents groupes d’âge, y compris les enfants en âge préscolaire. Les mesures de prévention devraient s’appuyer sur une approc</w:t>
            </w:r>
            <w:r>
              <w:t xml:space="preserve">he globale du phénomène des abus sexuels et de l’exploitation sexuelle des enfants, abordant ses dimensions en ligne et hors ligne et mobilisant toutes les parties prenantes concernées. En particulier en ce </w:t>
            </w:r>
            <w:r>
              <w:lastRenderedPageBreak/>
              <w:t>qui concerne la dimension en ligne, les mesures d</w:t>
            </w:r>
            <w:r>
              <w:t>evraient inclure le développement des compétences en matière d’habileté numérique, y compris des compétences critiques à l’égard du monde numérique, afin d’aider les utilisateurs à détecter les tentatives d’abus sexuels commis contre des enfants en ligne e</w:t>
            </w:r>
            <w:r>
              <w:t>t à y remédier, à rechercher un soutien et à empêcher que ces abus ne soient perpétrés. Il convient d’accorder une attention particulière à la prévention des abus sexuels et de l’exploitation sexuelle des enfants qui sont pris en charge au sein d’une colle</w:t>
            </w:r>
            <w:r>
              <w:t>ctivité plutôt que dans une famille. Si elles ne sont pas encore en place, la mise en place de lignes d’assistance ou de lignes d’urgence dédiées devrait être envisagée.</w:t>
            </w:r>
          </w:p>
        </w:tc>
        <w:tc>
          <w:tcPr>
            <w:tcW w:w="4876" w:type="dxa"/>
            <w:tcBorders>
              <w:top w:val="nil"/>
              <w:left w:val="nil"/>
              <w:bottom w:val="nil"/>
              <w:right w:val="nil"/>
            </w:tcBorders>
          </w:tcPr>
          <w:p w:rsidR="00995B88" w:rsidRPr="00995B88" w:rsidRDefault="00297AF4" w:rsidP="005C748F">
            <w:pPr>
              <w:pStyle w:val="Normal6a"/>
            </w:pPr>
            <w:r>
              <w:lastRenderedPageBreak/>
              <w:t>(43)</w:t>
            </w:r>
            <w:r>
              <w:tab/>
              <w:t xml:space="preserve">Les États membres devraient élaborer ou renforcer leurs politiques de prévention </w:t>
            </w:r>
            <w:r>
              <w:t>des abus sexuels et de l’exploitation sexuelle des enfants, y compris les mesures destinées à décourager et à réduire la demande qui favorise toutes les formes d’exploitation sexuelle des enfants, et les mesures visant à réduire le risque que des enfants n</w:t>
            </w:r>
            <w:r>
              <w:t>’en deviennent victimes, au moyen de campagnes d’information et de sensibilisation, également destinées aux parents et aux personnes s’occupant d’enfants</w:t>
            </w:r>
            <w:r>
              <w:rPr>
                <w:b/>
                <w:i/>
              </w:rPr>
              <w:t>, aux éducateurs dans les établissements d’enseignement formel et non formel</w:t>
            </w:r>
            <w:r>
              <w:t xml:space="preserve"> et à la société au sens la</w:t>
            </w:r>
            <w:r>
              <w:t xml:space="preserve">rge, et de programmes de recherche et d’éducation. Dans le cadre de ces initiatives, les États membres devraient adopter une approche basée sur les droits </w:t>
            </w:r>
            <w:r>
              <w:rPr>
                <w:b/>
                <w:i/>
              </w:rPr>
              <w:t xml:space="preserve">de l’enfant et tenant compte de la dimension de genre, en s’attaquant aux vulnérabilités spécifiques </w:t>
            </w:r>
            <w:r>
              <w:t xml:space="preserve">des </w:t>
            </w:r>
            <w:r>
              <w:rPr>
                <w:b/>
                <w:i/>
              </w:rPr>
              <w:t>filles et des garçons face aux différentes formes d’abus sexuels et d’exploitation sexuelle, pour favoriser la prévention de la criminalité. Les initiatives destinées aux éducateurs, aux professionnels et aux bénévoles travaillant avec les enfants, ain</w:t>
            </w:r>
            <w:r>
              <w:rPr>
                <w:b/>
                <w:i/>
              </w:rPr>
              <w:t xml:space="preserve">si qu’à la société dans son ensemble, devraient inclure des campagnes qui éduquent sur la façon de réagir face à la </w:t>
            </w:r>
            <w:r>
              <w:rPr>
                <w:b/>
                <w:i/>
              </w:rPr>
              <w:lastRenderedPageBreak/>
              <w:t>divulgation d’abus sexuels par une victime. Des campagnes similaires devraient porter sur la reconnaissance et le signalement de matériel re</w:t>
            </w:r>
            <w:r>
              <w:rPr>
                <w:b/>
                <w:i/>
              </w:rPr>
              <w:t>latif à des abus sexuels sur enfants en ligne</w:t>
            </w:r>
            <w:r>
              <w:t>. Il faudrait tout particulièrement veiller à l’adéquation et à la facilité de compréhension des campagnes de sensibilisation organisées à l’intention des enfants et à leur adaptation aux besoins spécifiques des</w:t>
            </w:r>
            <w:r>
              <w:t xml:space="preserve"> enfants de différents groupes d’âge, </w:t>
            </w:r>
            <w:r>
              <w:rPr>
                <w:b/>
                <w:i/>
              </w:rPr>
              <w:t xml:space="preserve">capacités et genres, </w:t>
            </w:r>
            <w:r>
              <w:t>y compris les enfants en âge préscolaire.</w:t>
            </w:r>
            <w:r>
              <w:rPr>
                <w:b/>
                <w:i/>
              </w:rPr>
              <w:t xml:space="preserve"> Des chiffres récents montrent que les victimes d’abus sexuels sur enfants sont de plus en plus jeunes, 92 % d’entre elles étant âgées de 3 à 13 ans. Il est</w:t>
            </w:r>
            <w:r>
              <w:rPr>
                <w:b/>
                <w:i/>
              </w:rPr>
              <w:t xml:space="preserve"> donc important que cette formation soit introduite le plus tôt possible à l’école, tant pour les enfants que pour les enseignants.</w:t>
            </w:r>
            <w:r>
              <w:t xml:space="preserve"> Les mesures de prévention devraient s’appuyer sur une approche globale du phénomène des abus sexuels et de l’exploitation se</w:t>
            </w:r>
            <w:r>
              <w:t xml:space="preserve">xuelle des enfants, abordant ses dimensions en ligne et hors ligne et mobilisant toutes les parties prenantes concernées. En particulier en ce qui concerne la dimension en ligne, les mesures devraient inclure le développement </w:t>
            </w:r>
            <w:r>
              <w:rPr>
                <w:b/>
                <w:i/>
              </w:rPr>
              <w:t xml:space="preserve">de programmes sur la sécurité </w:t>
            </w:r>
            <w:r>
              <w:rPr>
                <w:b/>
                <w:i/>
              </w:rPr>
              <w:t xml:space="preserve">en ligne pour les enfants dans les établissements d’enseignement, </w:t>
            </w:r>
            <w:r>
              <w:t>des compétences en matière d’habileté numérique, y compris des compétences critiques à l’égard du monde numérique, afin d’aider les utilisateurs à détecter les tentatives d’abus sexuels comm</w:t>
            </w:r>
            <w:r>
              <w:t>is contre des enfants en ligne</w:t>
            </w:r>
            <w:r>
              <w:rPr>
                <w:b/>
                <w:i/>
              </w:rPr>
              <w:t>, notamment à travers les nouvelles menaces numériques soulevées par l’IA, la RV et le pédopiégeage en ligne,</w:t>
            </w:r>
            <w:r>
              <w:t xml:space="preserve"> et à y remédier, à rechercher un soutien et à empêcher que ces abus ne soient perpétrés</w:t>
            </w:r>
            <w:r>
              <w:rPr>
                <w:b/>
                <w:i/>
              </w:rPr>
              <w:t>. En outre, les États membres</w:t>
            </w:r>
            <w:r>
              <w:rPr>
                <w:b/>
                <w:i/>
              </w:rPr>
              <w:t xml:space="preserve"> devraient veiller à ce que soit dispensée une éducation complète à la sexualité et aux relations, adaptée à l’âge, fondée sur les principes de l’égalité des genres, de la non-discrimination et des droits fondamentaux, et devraient </w:t>
            </w:r>
            <w:r>
              <w:rPr>
                <w:b/>
                <w:i/>
              </w:rPr>
              <w:lastRenderedPageBreak/>
              <w:t>aborder, en particulier,</w:t>
            </w:r>
            <w:r>
              <w:rPr>
                <w:b/>
                <w:i/>
              </w:rPr>
              <w:t xml:space="preserve"> le rôle central du consentement dans les relations sexuelles et souligner que le consentement ne peut être donné que volontairement comme résultat de la volonté libre d’une personne. Les États membres devraient également renforcer la culture numérique et </w:t>
            </w:r>
            <w:r>
              <w:rPr>
                <w:b/>
                <w:i/>
              </w:rPr>
              <w:t xml:space="preserve">adapter l’éducation numérique dans les écoles afin de doter les enfants des outils nécessaires pour naviguer en toute sécurité dans l’espace en ligne. Garantir ces mesures éducatives dans toutes les écoles aide les enfants, leurs familles, les enseignants </w:t>
            </w:r>
            <w:r>
              <w:rPr>
                <w:b/>
                <w:i/>
              </w:rPr>
              <w:t>et les services sociaux à détecter et à signaler les abus</w:t>
            </w:r>
            <w:r>
              <w:t>. Il convient d’accorder une attention particulière à la prévention des abus sexuels et de l’exploitation sexuelle des enfants qui sont pris en charge au sein d’une collectivité plutôt que dans une f</w:t>
            </w:r>
            <w:r>
              <w:t>amille. Si elles ne sont pas encore en place, la mise en place de lignes d’assistance ou de lignes d’urgence dédiées devrait être envisagée.</w:t>
            </w:r>
          </w:p>
        </w:tc>
      </w:tr>
    </w:tbl>
    <w:p w:rsidR="00995B88" w:rsidRPr="00995B88" w:rsidRDefault="00297AF4" w:rsidP="00995B88">
      <w:r>
        <w:rPr>
          <w:rStyle w:val="HideTWBExt"/>
        </w:rPr>
        <w:lastRenderedPageBreak/>
        <w:t>&lt;/Amend&gt;</w:t>
      </w:r>
      <w:bookmarkEnd w:id="22"/>
    </w:p>
    <w:p w:rsidR="00995B88" w:rsidRPr="00995B88" w:rsidRDefault="00297AF4" w:rsidP="00995B88">
      <w:pPr>
        <w:pStyle w:val="AMNumberTabs0"/>
      </w:pPr>
      <w:bookmarkStart w:id="23" w:name="AM15Compr2"/>
      <w:r>
        <w:rPr>
          <w:rStyle w:val="HideTWBExt"/>
        </w:rPr>
        <w:t>&lt;Amend&gt;</w:t>
      </w:r>
      <w:r>
        <w:t>Amendement</w:t>
      </w:r>
      <w:r>
        <w:tab/>
      </w:r>
      <w:r>
        <w:tab/>
      </w:r>
      <w:r>
        <w:rPr>
          <w:rStyle w:val="HideTWBExt"/>
        </w:rPr>
        <w:t>&lt;NumAm&gt;</w:t>
      </w:r>
      <w:r>
        <w:t>27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 xml:space="preserve">Considérant </w:t>
      </w:r>
      <w:r>
        <w:t>43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(43 bis)</w:t>
            </w:r>
            <w:r>
              <w:tab/>
            </w:r>
            <w:r>
              <w:rPr>
                <w:b/>
                <w:i/>
              </w:rPr>
              <w:t xml:space="preserve">Afin de réduire la demande qui favorise toutes les formes d’exploitation sexuelle des enfants, les États membres devraient lancer des campagnes d’information et de </w:t>
            </w:r>
            <w:r>
              <w:rPr>
                <w:b/>
                <w:i/>
              </w:rPr>
              <w:t>sensibilisation à l’intention du grand public afin de l’informer des modifications apportées au droit national par la présente directive, y compris l’application de peines plus sévères, les conséquences juridiques des abus sexuels et de l’exploitation sexu</w:t>
            </w:r>
            <w:r>
              <w:rPr>
                <w:b/>
                <w:i/>
              </w:rPr>
              <w:t xml:space="preserve">elle des enfants et la notion de consentement. Ces campagnes devraient mettre l’accent sur les sanctions sévères encourues par les auteurs d’infractions, mettre en évidence </w:t>
            </w:r>
            <w:r>
              <w:rPr>
                <w:b/>
                <w:i/>
              </w:rPr>
              <w:lastRenderedPageBreak/>
              <w:t>les conséquences à long terme de la participation à de tels crimes, expliquer ce qu</w:t>
            </w:r>
            <w:r>
              <w:rPr>
                <w:b/>
                <w:i/>
              </w:rPr>
              <w:t>e signifie l’absence de consentement et, de manière claire et simple, informer les personnes du cadre juridique en place pour lutter contre l’exploitation sexuelle des enfants.</w:t>
            </w:r>
          </w:p>
        </w:tc>
      </w:tr>
    </w:tbl>
    <w:p w:rsidR="00995B88" w:rsidRPr="00995B88" w:rsidRDefault="00297AF4" w:rsidP="00995B88">
      <w:r>
        <w:rPr>
          <w:rStyle w:val="HideTWBExt"/>
        </w:rPr>
        <w:lastRenderedPageBreak/>
        <w:t>&lt;/Amend&gt;</w:t>
      </w:r>
      <w:bookmarkEnd w:id="23"/>
    </w:p>
    <w:p w:rsidR="00995B88" w:rsidRPr="00995B88" w:rsidRDefault="00297AF4" w:rsidP="00995B88">
      <w:pPr>
        <w:pStyle w:val="AMNumberTabs0"/>
      </w:pPr>
      <w:bookmarkStart w:id="24" w:name="AM15Compr3"/>
      <w:r>
        <w:rPr>
          <w:rStyle w:val="HideTWBExt"/>
        </w:rPr>
        <w:t>&lt;Amend&gt;</w:t>
      </w:r>
      <w:r>
        <w:t>Amendement</w:t>
      </w:r>
      <w:r>
        <w:tab/>
      </w:r>
      <w:r>
        <w:tab/>
      </w:r>
      <w:r>
        <w:rPr>
          <w:rStyle w:val="HideTWBExt"/>
        </w:rPr>
        <w:t>&lt;NumAm&gt;</w:t>
      </w:r>
      <w:r>
        <w:t>28</w:t>
      </w:r>
      <w:r>
        <w:rPr>
          <w:rStyle w:val="HideTWBExt"/>
        </w:rPr>
        <w:t>&lt;/NumAm&gt;</w:t>
      </w:r>
    </w:p>
    <w:p w:rsidR="00995B88" w:rsidRPr="00995B88" w:rsidRDefault="00297AF4" w:rsidP="00995B88">
      <w:pPr>
        <w:pStyle w:val="NormalBold12b"/>
      </w:pPr>
      <w:r>
        <w:rPr>
          <w:rStyle w:val="HideTWBExt"/>
        </w:rPr>
        <w:t>&lt;DocAmend&gt;</w:t>
      </w:r>
      <w:r>
        <w:t>Proposition de directi</w:t>
      </w:r>
      <w:r>
        <w:t>ve</w:t>
      </w:r>
      <w:r>
        <w:rPr>
          <w:rStyle w:val="HideTWBExt"/>
        </w:rPr>
        <w:t>&lt;/DocAmend&gt;</w:t>
      </w:r>
    </w:p>
    <w:p w:rsidR="00995B88" w:rsidRPr="00995B88" w:rsidRDefault="00297AF4" w:rsidP="00995B88">
      <w:pPr>
        <w:pStyle w:val="NormalBold"/>
      </w:pPr>
      <w:r>
        <w:rPr>
          <w:rStyle w:val="HideTWBExt"/>
        </w:rPr>
        <w:t>&lt;Article&gt;</w:t>
      </w:r>
      <w:r>
        <w:t>Considérant 43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(43 ter)</w:t>
            </w:r>
            <w:r>
              <w:tab/>
            </w:r>
            <w:r>
              <w:rPr>
                <w:b/>
                <w:i/>
              </w:rPr>
              <w:t xml:space="preserve">Les États membres devraient mettre en place des programmes d’éducation basés sur les pratiques des parents, des personnes s’occupant </w:t>
            </w:r>
            <w:r>
              <w:rPr>
                <w:b/>
                <w:i/>
              </w:rPr>
              <w:t>d’enfants et des membres de la famille afin de prévenir le partage de nus et de semi-nus d’enfants au moyen d’applications en ligne ou de réseaux sociaux.</w:t>
            </w:r>
          </w:p>
        </w:tc>
      </w:tr>
    </w:tbl>
    <w:p w:rsidR="00995B88" w:rsidRPr="00995B88" w:rsidRDefault="00297AF4" w:rsidP="00995B88">
      <w:r>
        <w:rPr>
          <w:rStyle w:val="HideTWBExt"/>
        </w:rPr>
        <w:t>&lt;/Amend&gt;</w:t>
      </w:r>
      <w:bookmarkEnd w:id="24"/>
    </w:p>
    <w:p w:rsidR="00995B88" w:rsidRPr="00995B88" w:rsidRDefault="00297AF4" w:rsidP="00995B88">
      <w:pPr>
        <w:pStyle w:val="AMNumberTabs0"/>
      </w:pPr>
      <w:bookmarkStart w:id="25" w:name="AM16Compr1"/>
      <w:r>
        <w:rPr>
          <w:rStyle w:val="HideTWBExt"/>
        </w:rPr>
        <w:t>&lt;Amend&gt;</w:t>
      </w:r>
      <w:r>
        <w:t>Amendement</w:t>
      </w:r>
      <w:r>
        <w:tab/>
      </w:r>
      <w:r>
        <w:tab/>
      </w:r>
      <w:r>
        <w:rPr>
          <w:rStyle w:val="HideTWBExt"/>
        </w:rPr>
        <w:t>&lt;NumAm&gt;</w:t>
      </w:r>
      <w:r>
        <w:t>29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Considérant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(46)</w:t>
            </w:r>
            <w:r>
              <w:tab/>
              <w:t xml:space="preserve">Les professionnels susceptibles d’entrer en contact avec des enfants victimes d’abus sexuels et d’exploitation sexuelle devraient recevoir une formation adéquate afin </w:t>
            </w:r>
            <w:r>
              <w:t>d’être en mesure d’identifier ces victimes et de s’occuper d’elles. Afin de pouvoir disposer d’une justice adaptée aux enfants pendant tout le déroulement des enquêtes et des poursuites relatives aux affaires d’abus sexuels et d’exploitation sexuelle d’enf</w:t>
            </w:r>
            <w:r>
              <w:t xml:space="preserve">ants, </w:t>
            </w:r>
            <w:r>
              <w:rPr>
                <w:b/>
                <w:i/>
              </w:rPr>
              <w:t>il convient d’encourager cette formation auprès des</w:t>
            </w:r>
            <w:r>
              <w:t xml:space="preserve"> catégories de personnes suivantes, lorsqu’elles sont susceptibles d’entrer en </w:t>
            </w:r>
            <w:r>
              <w:lastRenderedPageBreak/>
              <w:t>contact avec des enfants victimes:</w:t>
            </w:r>
            <w:r>
              <w:rPr>
                <w:b/>
                <w:i/>
              </w:rPr>
              <w:t xml:space="preserve"> </w:t>
            </w:r>
            <w:r>
              <w:t xml:space="preserve"> agents de police, procureurs, avocats, magistrats et personnel des autorités judicia</w:t>
            </w:r>
            <w:r>
              <w:t>ires, personnel des services d’accueil des enfants et personnel des services de soins de santé; professionnels dans le secteur de l’éducation, y compris les services d’éducation et de soin de la petite enfance, les services sociaux, les personnes qui fourn</w:t>
            </w:r>
            <w:r>
              <w:t>issent une aide aux victimes et les services de justice réparatrice ; cette formation pourrait aussi concerner d’autres groupes de personnes susceptibles de rencontrer, dans l’exercice de leurs fonctions, des enfants victimes d’abus sexuels et d’exploitati</w:t>
            </w:r>
            <w:r>
              <w:t>on sexuelle.</w:t>
            </w:r>
          </w:p>
        </w:tc>
        <w:tc>
          <w:tcPr>
            <w:tcW w:w="4876" w:type="dxa"/>
            <w:tcBorders>
              <w:top w:val="nil"/>
              <w:left w:val="nil"/>
              <w:bottom w:val="nil"/>
              <w:right w:val="nil"/>
            </w:tcBorders>
          </w:tcPr>
          <w:p w:rsidR="00995B88" w:rsidRPr="00995B88" w:rsidRDefault="00297AF4" w:rsidP="005C748F">
            <w:pPr>
              <w:pStyle w:val="Normal6a"/>
            </w:pPr>
            <w:r>
              <w:lastRenderedPageBreak/>
              <w:t>(46)</w:t>
            </w:r>
            <w:r>
              <w:tab/>
              <w:t xml:space="preserve">Les professionnels susceptibles d’entrer en contact avec des enfants victimes d’abus sexuels et d’exploitation sexuelle devraient recevoir une formation adéquate afin d’être en mesure d’identifier ces victimes et de s’occuper d’elles. </w:t>
            </w:r>
            <w:r>
              <w:rPr>
                <w:b/>
                <w:i/>
              </w:rPr>
              <w:t>Ils</w:t>
            </w:r>
            <w:r>
              <w:rPr>
                <w:b/>
                <w:i/>
              </w:rPr>
              <w:t xml:space="preserve"> devraient être spécialement formés pour les traiter en tenant compte de leur traumatisme, de leur genre et de leur spécificité d’enfant. En outre, une formation appropriée sur les différentes réactions aux traumatismes, y compris une compréhension du fige</w:t>
            </w:r>
            <w:r>
              <w:rPr>
                <w:b/>
                <w:i/>
              </w:rPr>
              <w:t xml:space="preserve">ment (une réaction fréquente aux traumatismes dans </w:t>
            </w:r>
            <w:r>
              <w:rPr>
                <w:b/>
                <w:i/>
              </w:rPr>
              <w:lastRenderedPageBreak/>
              <w:t>les cas de viols et d’abus sexuels, qui fait que la victime est incapable de bouger, tendue, immobile et silencieuse) devrait être obligatoire.</w:t>
            </w:r>
            <w:r>
              <w:t xml:space="preserve"> Afin de pouvoir disposer d’une justice adaptée aux enfants </w:t>
            </w:r>
            <w:r>
              <w:rPr>
                <w:b/>
                <w:i/>
              </w:rPr>
              <w:t>et</w:t>
            </w:r>
            <w:r>
              <w:rPr>
                <w:b/>
                <w:i/>
              </w:rPr>
              <w:t xml:space="preserve"> tenant compte de la dimension de genre </w:t>
            </w:r>
            <w:r>
              <w:t xml:space="preserve">pendant tout le déroulement des enquêtes et des poursuites relatives aux affaires d’abus sexuels et d’exploitation sexuelle d’enfants, </w:t>
            </w:r>
            <w:r>
              <w:rPr>
                <w:b/>
                <w:i/>
              </w:rPr>
              <w:t>cette formation devrait être obligatoire pour les</w:t>
            </w:r>
            <w:r>
              <w:t xml:space="preserve"> catégories de personnes suivant</w:t>
            </w:r>
            <w:r>
              <w:t>es, lorsqu’elles sont susceptibles d’entrer en contact avec des enfants victimes: agents de police, procureurs, avocats, magistrats et personnel des autorités judiciaires, personnel des services d’accueil des enfants et personnel des services de soins de s</w:t>
            </w:r>
            <w:r>
              <w:t>anté; professionnels dans le secteur de l’éducation, y compris les services d’éducation et de soin de la petite enfance, les services sociaux, les personnes qui fournissent une aide aux victimes et les services de justice réparatrice ; cette formation pour</w:t>
            </w:r>
            <w:r>
              <w:t>rait aussi concerner d’autres groupes de personnes susceptibles de rencontrer, dans l’exercice de leurs fonctions, des enfants victimes d’abus sexuels et d’exploitation sexuelle.</w:t>
            </w:r>
          </w:p>
        </w:tc>
      </w:tr>
    </w:tbl>
    <w:p w:rsidR="00995B88" w:rsidRPr="00995B88" w:rsidRDefault="00297AF4" w:rsidP="00995B88">
      <w:r>
        <w:rPr>
          <w:rStyle w:val="HideTWBExt"/>
        </w:rPr>
        <w:lastRenderedPageBreak/>
        <w:t>&lt;/Amend&gt;</w:t>
      </w:r>
      <w:bookmarkEnd w:id="25"/>
    </w:p>
    <w:p w:rsidR="00995B88" w:rsidRPr="00995B88" w:rsidRDefault="00297AF4" w:rsidP="00995B88">
      <w:pPr>
        <w:pStyle w:val="AMNumberTabs0"/>
      </w:pPr>
      <w:bookmarkStart w:id="26" w:name="AM16Compr2"/>
      <w:r>
        <w:rPr>
          <w:rStyle w:val="HideTWBExt"/>
        </w:rPr>
        <w:t>&lt;Amend&gt;</w:t>
      </w:r>
      <w:r>
        <w:t>Amendement</w:t>
      </w:r>
      <w:r>
        <w:tab/>
      </w:r>
      <w:r>
        <w:tab/>
      </w:r>
      <w:r>
        <w:rPr>
          <w:rStyle w:val="HideTWBExt"/>
        </w:rPr>
        <w:t>&lt;NumAm&gt;</w:t>
      </w:r>
      <w:r>
        <w:t>30</w:t>
      </w:r>
      <w:r>
        <w:rPr>
          <w:rStyle w:val="HideTWBExt"/>
        </w:rPr>
        <w:t>&lt;/NumAm&gt;</w:t>
      </w:r>
    </w:p>
    <w:p w:rsidR="00995B88" w:rsidRPr="00995B88" w:rsidRDefault="00297AF4" w:rsidP="00995B88">
      <w:pPr>
        <w:pStyle w:val="NormalBold12b"/>
      </w:pPr>
      <w:r>
        <w:rPr>
          <w:rStyle w:val="HideTWBExt"/>
        </w:rPr>
        <w:t>&lt;DocAmend&gt;</w:t>
      </w:r>
      <w:r>
        <w:t xml:space="preserve">Proposition de </w:t>
      </w:r>
      <w:r>
        <w:t>directive</w:t>
      </w:r>
      <w:r>
        <w:rPr>
          <w:rStyle w:val="HideTWBExt"/>
        </w:rPr>
        <w:t>&lt;/DocAmend&gt;</w:t>
      </w:r>
    </w:p>
    <w:p w:rsidR="00995B88" w:rsidRPr="00995B88" w:rsidRDefault="00297AF4" w:rsidP="00995B88">
      <w:pPr>
        <w:pStyle w:val="NormalBold"/>
      </w:pPr>
      <w:r>
        <w:rPr>
          <w:rStyle w:val="HideTWBExt"/>
        </w:rPr>
        <w:t>&lt;Article&gt;</w:t>
      </w:r>
      <w:r>
        <w:t>Considérant 54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(54 bis)</w:t>
            </w:r>
            <w:r>
              <w:tab/>
            </w:r>
            <w:r>
              <w:rPr>
                <w:b/>
                <w:i/>
              </w:rPr>
              <w:t>Les États membres devraient veiller à la collecte et à la communication systématiques des données, ventilées par sexe ou par genre,</w:t>
            </w:r>
            <w:r>
              <w:rPr>
                <w:b/>
                <w:i/>
              </w:rPr>
              <w:t xml:space="preserve"> par groupe d’âge (enfant/adulte) de la victime et de l’auteur de l’infraction, par relation entre la victime et l’auteur de l’infraction et par type d’infraction, selon que la victime souffre d’un handicap, et le contexte dans lequel l’infraction a eu lie</w:t>
            </w:r>
            <w:r>
              <w:rPr>
                <w:b/>
                <w:i/>
              </w:rPr>
              <w:t xml:space="preserve">u, </w:t>
            </w:r>
            <w:r>
              <w:rPr>
                <w:b/>
                <w:i/>
              </w:rPr>
              <w:lastRenderedPageBreak/>
              <w:t>ainsi que par rapport aux formes de discrimination croisées et autres caractéristiques sociodémographiques pertinentes, et les évaluer afin de mettre en œuvre une prévention efficace et de lutter contre les abus sexuels et l’exploitation sexuelle des en</w:t>
            </w:r>
            <w:r>
              <w:rPr>
                <w:b/>
                <w:i/>
              </w:rPr>
              <w:t>fants. Ces données sont essentielles pour analyser les différentes incidences de ces infractions sur les garçons et les filles et pour élaborer des stratégies de prévention ciblées et fondées sur des données probantes et des mesures de soutien adaptées à l</w:t>
            </w:r>
            <w:r>
              <w:rPr>
                <w:b/>
                <w:i/>
              </w:rPr>
              <w:t>eurs besoins spécifiques. Les États membres devraient également intégrer la collecte de données ventilées par sexe et par genre dans le cadre des mesures nationales de collecte de données afin d’évaluer les circonstances aggravantes. Cela permettra de donn</w:t>
            </w:r>
            <w:r>
              <w:rPr>
                <w:b/>
                <w:i/>
              </w:rPr>
              <w:t>er un aperçu des tendances spécifiques au genre en matière d’abus sexuels et d’éclairer les futurs stratégies de prévention et ajustements des politiques.</w:t>
            </w:r>
          </w:p>
        </w:tc>
      </w:tr>
    </w:tbl>
    <w:p w:rsidR="00995B88" w:rsidRPr="00995B88" w:rsidRDefault="00297AF4" w:rsidP="00995B88">
      <w:r>
        <w:rPr>
          <w:rStyle w:val="HideTWBExt"/>
        </w:rPr>
        <w:lastRenderedPageBreak/>
        <w:t>&lt;/Amend&gt;</w:t>
      </w:r>
      <w:bookmarkEnd w:id="26"/>
    </w:p>
    <w:p w:rsidR="00995B88" w:rsidRPr="00995B88" w:rsidRDefault="00297AF4" w:rsidP="00995B88">
      <w:pPr>
        <w:pStyle w:val="AMNumberTabs0"/>
      </w:pPr>
      <w:bookmarkStart w:id="27" w:name="AM1Compr1"/>
      <w:r>
        <w:rPr>
          <w:rStyle w:val="HideTWBExt"/>
        </w:rPr>
        <w:t>&lt;Amend&gt;</w:t>
      </w:r>
      <w:r>
        <w:t>Amendement</w:t>
      </w:r>
      <w:r>
        <w:tab/>
      </w:r>
      <w:r>
        <w:tab/>
      </w:r>
      <w:r>
        <w:rPr>
          <w:rStyle w:val="HideTWBExt"/>
        </w:rPr>
        <w:t>&lt;NumAm&gt;</w:t>
      </w:r>
      <w:r>
        <w:t>31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w:t>
      </w:r>
      <w:r>
        <w:rPr>
          <w:rStyle w:val="HideTWBExt"/>
        </w:rPr>
        <w:t>&gt;</w:t>
      </w:r>
      <w:r>
        <w:t>Article 2 – alinéa 1 – point 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2 bis)</w:t>
            </w:r>
            <w:r>
              <w:tab/>
            </w:r>
            <w:r>
              <w:rPr>
                <w:b/>
                <w:i/>
              </w:rPr>
              <w:t xml:space="preserve">«consentement de l’enfant ayant atteint l’âge de la majorité sexuelle»: toute indication donnée librement, explicite, éclairée et univoque de </w:t>
            </w:r>
            <w:r>
              <w:rPr>
                <w:b/>
                <w:i/>
              </w:rPr>
              <w:t>l’accord de l’enfant à un acte sexuel, dans le contexte des circonstances environnantes résultant de l’exercice du libre arbitre de l’enfant concerné;</w:t>
            </w:r>
          </w:p>
        </w:tc>
      </w:tr>
    </w:tbl>
    <w:p w:rsidR="00995B88" w:rsidRPr="00995B88" w:rsidRDefault="00297AF4" w:rsidP="00995B88">
      <w:r>
        <w:rPr>
          <w:rStyle w:val="HideTWBExt"/>
        </w:rPr>
        <w:t>&lt;/Amend&gt;</w:t>
      </w:r>
      <w:bookmarkEnd w:id="27"/>
    </w:p>
    <w:p w:rsidR="00995B88" w:rsidRPr="00995B88" w:rsidRDefault="00297AF4" w:rsidP="00995B88">
      <w:pPr>
        <w:pStyle w:val="AMNumberTabs0"/>
      </w:pPr>
      <w:bookmarkStart w:id="28" w:name="AM1Compr2"/>
      <w:r>
        <w:rPr>
          <w:rStyle w:val="HideTWBExt"/>
        </w:rPr>
        <w:t>&lt;Amend&gt;</w:t>
      </w:r>
      <w:r>
        <w:t>Amendement</w:t>
      </w:r>
      <w:r>
        <w:tab/>
      </w:r>
      <w:r>
        <w:tab/>
      </w:r>
      <w:r>
        <w:rPr>
          <w:rStyle w:val="HideTWBExt"/>
        </w:rPr>
        <w:t>&lt;NumAm&gt;</w:t>
      </w:r>
      <w:r>
        <w:t>32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 – alinéa 1 – point 3 - sous-point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lastRenderedPageBreak/>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a)</w:t>
            </w:r>
            <w:r>
              <w:tab/>
              <w:t>tout matériel représentant de manière visuelle un enfant se livrant à un comportement sexuellement explicite, réel ou simulé;</w:t>
            </w:r>
          </w:p>
        </w:tc>
        <w:tc>
          <w:tcPr>
            <w:tcW w:w="4876" w:type="dxa"/>
            <w:tcBorders>
              <w:top w:val="nil"/>
              <w:left w:val="nil"/>
              <w:bottom w:val="nil"/>
              <w:right w:val="nil"/>
            </w:tcBorders>
          </w:tcPr>
          <w:p w:rsidR="00995B88" w:rsidRPr="00995B88" w:rsidRDefault="00297AF4" w:rsidP="005C748F">
            <w:pPr>
              <w:pStyle w:val="Normal6a"/>
            </w:pPr>
            <w:r>
              <w:t>a)</w:t>
            </w:r>
            <w:r>
              <w:tab/>
              <w:t xml:space="preserve">tout matériel </w:t>
            </w:r>
            <w:r>
              <w:t>représentant de manière visuelle un enfant se livrant à un comportement sexuellement explicite, réel ou simulé</w:t>
            </w:r>
            <w:r>
              <w:rPr>
                <w:b/>
                <w:i/>
              </w:rPr>
              <w:t>, y compris le matériel créé à l’aide de l’intelligence artificielle, des techniques d’hypertrucage ou des contextes de réalité augmentée, étendue</w:t>
            </w:r>
            <w:r>
              <w:rPr>
                <w:b/>
                <w:i/>
              </w:rPr>
              <w:t xml:space="preserve"> ou virtuelle</w:t>
            </w:r>
            <w:r>
              <w:t>;</w:t>
            </w:r>
          </w:p>
        </w:tc>
      </w:tr>
    </w:tbl>
    <w:p w:rsidR="00995B88" w:rsidRPr="00995B88" w:rsidRDefault="00297AF4" w:rsidP="00995B88">
      <w:r>
        <w:rPr>
          <w:rStyle w:val="HideTWBExt"/>
        </w:rPr>
        <w:t>&lt;/Amend&gt;</w:t>
      </w:r>
      <w:bookmarkEnd w:id="28"/>
    </w:p>
    <w:p w:rsidR="00995B88" w:rsidRPr="00995B88" w:rsidRDefault="00297AF4" w:rsidP="00995B88">
      <w:pPr>
        <w:pStyle w:val="AMNumberTabs0"/>
      </w:pPr>
      <w:bookmarkStart w:id="29" w:name="AM1Compr3"/>
      <w:r>
        <w:rPr>
          <w:rStyle w:val="HideTWBExt"/>
        </w:rPr>
        <w:t>&lt;Amend&gt;</w:t>
      </w:r>
      <w:r>
        <w:t>Amendement</w:t>
      </w:r>
      <w:r>
        <w:tab/>
      </w:r>
      <w:r>
        <w:tab/>
      </w:r>
      <w:r>
        <w:rPr>
          <w:rStyle w:val="HideTWBExt"/>
        </w:rPr>
        <w:t>&lt;NumAm&gt;</w:t>
      </w:r>
      <w:r>
        <w:t>33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 – alinéa 1 – point 3 – sous-point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b)</w:t>
            </w:r>
            <w:r>
              <w:tab/>
              <w:t xml:space="preserve">toute représentation des organes </w:t>
            </w:r>
            <w:r>
              <w:t>sexuels d’un enfant à des fins principalement sexuelles;</w:t>
            </w:r>
          </w:p>
        </w:tc>
        <w:tc>
          <w:tcPr>
            <w:tcW w:w="4876" w:type="dxa"/>
            <w:tcBorders>
              <w:top w:val="nil"/>
              <w:left w:val="nil"/>
              <w:bottom w:val="nil"/>
              <w:right w:val="nil"/>
            </w:tcBorders>
          </w:tcPr>
          <w:p w:rsidR="00995B88" w:rsidRPr="00995B88" w:rsidRDefault="00297AF4" w:rsidP="005C748F">
            <w:pPr>
              <w:pStyle w:val="Normal6a"/>
            </w:pPr>
            <w:r>
              <w:t>b)</w:t>
            </w:r>
            <w:r>
              <w:tab/>
              <w:t xml:space="preserve">toute représentation des organes sexuels </w:t>
            </w:r>
            <w:r>
              <w:rPr>
                <w:b/>
                <w:i/>
              </w:rPr>
              <w:t xml:space="preserve">ou de la zone génitale ou anale </w:t>
            </w:r>
            <w:r>
              <w:t>d’un enfant à des fins principalement sexuelles;</w:t>
            </w:r>
          </w:p>
        </w:tc>
      </w:tr>
    </w:tbl>
    <w:p w:rsidR="00995B88" w:rsidRPr="00995B88" w:rsidRDefault="00297AF4" w:rsidP="00995B88">
      <w:r>
        <w:rPr>
          <w:rStyle w:val="HideTWBExt"/>
        </w:rPr>
        <w:t>&lt;/Amend&gt;</w:t>
      </w:r>
      <w:bookmarkEnd w:id="29"/>
    </w:p>
    <w:p w:rsidR="00995B88" w:rsidRPr="00995B88" w:rsidRDefault="00297AF4" w:rsidP="00995B88">
      <w:pPr>
        <w:pStyle w:val="AMNumberTabs0"/>
      </w:pPr>
      <w:bookmarkStart w:id="30" w:name="AM1Compr4"/>
      <w:r>
        <w:rPr>
          <w:rStyle w:val="HideTWBExt"/>
        </w:rPr>
        <w:t>&lt;Amend&gt;</w:t>
      </w:r>
      <w:r>
        <w:t>Amendement</w:t>
      </w:r>
      <w:r>
        <w:tab/>
      </w:r>
      <w:r>
        <w:tab/>
      </w:r>
      <w:r>
        <w:rPr>
          <w:rStyle w:val="HideTWBExt"/>
        </w:rPr>
        <w:t>&lt;NumAm&gt;</w:t>
      </w:r>
      <w:r>
        <w:t>34</w:t>
      </w:r>
      <w:r>
        <w:rPr>
          <w:rStyle w:val="HideTWBExt"/>
        </w:rPr>
        <w:t>&lt;/NumAm&gt;</w:t>
      </w:r>
    </w:p>
    <w:p w:rsidR="00995B88" w:rsidRPr="00995B88" w:rsidRDefault="00297AF4" w:rsidP="00995B88">
      <w:pPr>
        <w:pStyle w:val="NormalBold12b"/>
      </w:pPr>
      <w:r>
        <w:rPr>
          <w:rStyle w:val="HideTWBExt"/>
        </w:rPr>
        <w:t>&lt;DocAmend&gt;</w:t>
      </w:r>
      <w:r>
        <w:t>Proposition de di</w:t>
      </w:r>
      <w:r>
        <w:t>rective</w:t>
      </w:r>
      <w:r>
        <w:rPr>
          <w:rStyle w:val="HideTWBExt"/>
        </w:rPr>
        <w:t>&lt;/DocAmend&gt;</w:t>
      </w:r>
    </w:p>
    <w:p w:rsidR="00995B88" w:rsidRPr="00995B88" w:rsidRDefault="00297AF4" w:rsidP="00995B88">
      <w:pPr>
        <w:pStyle w:val="NormalBold"/>
      </w:pPr>
      <w:r>
        <w:rPr>
          <w:rStyle w:val="HideTWBExt"/>
        </w:rPr>
        <w:t>&lt;Article&gt;</w:t>
      </w:r>
      <w:r>
        <w:t>Article 2 – alinéa 1 – point 3 – sous-point b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b bis)</w:t>
            </w:r>
            <w:r>
              <w:tab/>
            </w:r>
            <w:r>
              <w:rPr>
                <w:b/>
                <w:i/>
              </w:rPr>
              <w:t xml:space="preserve">matériel qui sexualise un enfant et qui est destiné à des fins sexuelles, sans que la zone génitale ou </w:t>
            </w:r>
            <w:r>
              <w:rPr>
                <w:b/>
                <w:i/>
              </w:rPr>
              <w:t>anale d’un enfant ne soit mise en évidence ou sans qu’un enfant se livrant à un comportement sexuellement explicite, réel ou simulé, ne soit représenté;</w:t>
            </w:r>
          </w:p>
        </w:tc>
      </w:tr>
    </w:tbl>
    <w:p w:rsidR="00995B88" w:rsidRPr="00995B88" w:rsidRDefault="00297AF4" w:rsidP="00995B88">
      <w:r>
        <w:rPr>
          <w:rStyle w:val="HideTWBExt"/>
        </w:rPr>
        <w:t>&lt;/Amend&gt;</w:t>
      </w:r>
      <w:bookmarkEnd w:id="30"/>
    </w:p>
    <w:p w:rsidR="00995B88" w:rsidRPr="00995B88" w:rsidRDefault="00297AF4" w:rsidP="00995B88">
      <w:pPr>
        <w:pStyle w:val="AMNumberTabs0"/>
      </w:pPr>
      <w:bookmarkStart w:id="31" w:name="AM1Compr5"/>
      <w:r>
        <w:rPr>
          <w:rStyle w:val="HideTWBExt"/>
        </w:rPr>
        <w:t>&lt;Amend&gt;</w:t>
      </w:r>
      <w:r>
        <w:t>Amendement</w:t>
      </w:r>
      <w:r>
        <w:tab/>
      </w:r>
      <w:r>
        <w:tab/>
      </w:r>
      <w:r>
        <w:rPr>
          <w:rStyle w:val="HideTWBExt"/>
        </w:rPr>
        <w:t>&lt;NumAm&gt;</w:t>
      </w:r>
      <w:r>
        <w:t>35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 – alinéa 1 – point 3 – sous-point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d)</w:t>
            </w:r>
            <w:r>
              <w:tab/>
              <w:t>des images réalistes</w:t>
            </w:r>
            <w:r>
              <w:rPr>
                <w:b/>
                <w:i/>
              </w:rPr>
              <w:t> </w:t>
            </w:r>
            <w:r>
              <w:t xml:space="preserve">, des </w:t>
            </w:r>
            <w:r>
              <w:lastRenderedPageBreak/>
              <w:t xml:space="preserve">reproductions ou des représentations d’un enfant se livrant à un comportement sexuellement explicite ou des organes sexuels </w:t>
            </w:r>
            <w:r>
              <w:t>d’un enfant à des fins principalement sexuelles;</w:t>
            </w:r>
          </w:p>
        </w:tc>
        <w:tc>
          <w:tcPr>
            <w:tcW w:w="4876" w:type="dxa"/>
            <w:tcBorders>
              <w:top w:val="nil"/>
              <w:left w:val="nil"/>
              <w:bottom w:val="nil"/>
              <w:right w:val="nil"/>
            </w:tcBorders>
          </w:tcPr>
          <w:p w:rsidR="00995B88" w:rsidRPr="00995B88" w:rsidRDefault="00297AF4" w:rsidP="005C748F">
            <w:pPr>
              <w:pStyle w:val="Normal6a"/>
            </w:pPr>
            <w:r>
              <w:lastRenderedPageBreak/>
              <w:t>d)</w:t>
            </w:r>
            <w:r>
              <w:tab/>
              <w:t xml:space="preserve">des images réalistes, des </w:t>
            </w:r>
            <w:r>
              <w:lastRenderedPageBreak/>
              <w:t>reproductions ou des représentations d’un enfant</w:t>
            </w:r>
            <w:r>
              <w:rPr>
                <w:b/>
                <w:i/>
              </w:rPr>
              <w:t>, indépendamment de tout autre élément irréaliste représenté en plus de l’enfant,</w:t>
            </w:r>
            <w:r>
              <w:t xml:space="preserve"> se livrant à un comportement sexuellement explic</w:t>
            </w:r>
            <w:r>
              <w:t>ite ou des organes sexuels d’un enfant à des fins principalement sexuelles;</w:t>
            </w:r>
          </w:p>
        </w:tc>
      </w:tr>
    </w:tbl>
    <w:p w:rsidR="00995B88" w:rsidRPr="00995B88" w:rsidRDefault="00297AF4" w:rsidP="00995B88">
      <w:r>
        <w:rPr>
          <w:rStyle w:val="HideTWBExt"/>
        </w:rPr>
        <w:lastRenderedPageBreak/>
        <w:t>&lt;/Amend&gt;</w:t>
      </w:r>
      <w:bookmarkEnd w:id="31"/>
    </w:p>
    <w:p w:rsidR="00995B88" w:rsidRPr="00995B88" w:rsidRDefault="00297AF4" w:rsidP="00995B88">
      <w:pPr>
        <w:pStyle w:val="AMNumberTabs0"/>
      </w:pPr>
      <w:bookmarkStart w:id="32" w:name="AM1Compr6"/>
      <w:r>
        <w:rPr>
          <w:rStyle w:val="HideTWBExt"/>
        </w:rPr>
        <w:t>&lt;Amend&gt;</w:t>
      </w:r>
      <w:r>
        <w:t>Amendement</w:t>
      </w:r>
      <w:r>
        <w:tab/>
      </w:r>
      <w:r>
        <w:tab/>
      </w:r>
      <w:r>
        <w:rPr>
          <w:rStyle w:val="HideTWBExt"/>
        </w:rPr>
        <w:t>&lt;NumAm&gt;</w:t>
      </w:r>
      <w:r>
        <w:t>36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 – alinéa 1 – point 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proposé par la </w:t>
            </w:r>
            <w:r>
              <w:t>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3 bis)</w:t>
            </w:r>
            <w:r>
              <w:tab/>
            </w:r>
            <w:r>
              <w:rPr>
                <w:b/>
                <w:i/>
              </w:rPr>
              <w:t xml:space="preserve">«manuel d’instructions sur la manière de commettre des abus sexuels sur enfants»: tout matériel, quelle que soit sa forme, destiné à fournir des conseils, des orientations ou des instructions sur la manière de commettre des </w:t>
            </w:r>
            <w:r>
              <w:rPr>
                <w:b/>
                <w:i/>
              </w:rPr>
              <w:t>abus sexuels sur enfants ou des actes d’exploitation sexuelle des enfants ou de sollicitation d’enfants;</w:t>
            </w:r>
          </w:p>
        </w:tc>
      </w:tr>
    </w:tbl>
    <w:p w:rsidR="00995B88" w:rsidRPr="00995B88" w:rsidRDefault="00297AF4" w:rsidP="00995B88">
      <w:r>
        <w:rPr>
          <w:rStyle w:val="HideTWBExt"/>
        </w:rPr>
        <w:t>&lt;/Amend&gt;</w:t>
      </w:r>
      <w:bookmarkEnd w:id="32"/>
    </w:p>
    <w:p w:rsidR="00995B88" w:rsidRPr="00995B88" w:rsidRDefault="00297AF4" w:rsidP="00995B88">
      <w:pPr>
        <w:pStyle w:val="AMNumberTabs0"/>
      </w:pPr>
      <w:bookmarkStart w:id="33" w:name="AM1Compr7"/>
      <w:r>
        <w:rPr>
          <w:rStyle w:val="HideTWBExt"/>
        </w:rPr>
        <w:t>&lt;Amend&gt;</w:t>
      </w:r>
      <w:r>
        <w:t>Amendement</w:t>
      </w:r>
      <w:r>
        <w:tab/>
      </w:r>
      <w:r>
        <w:tab/>
      </w:r>
      <w:r>
        <w:rPr>
          <w:rStyle w:val="HideTWBExt"/>
        </w:rPr>
        <w:t>&lt;NumAm&gt;</w:t>
      </w:r>
      <w:r>
        <w:t>37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 – alinéa 1 – point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w:t>
            </w:r>
            <w:r>
              <w:t>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4)</w:t>
            </w:r>
            <w:r>
              <w:tab/>
            </w:r>
            <w:r>
              <w:rPr>
                <w:b/>
                <w:i/>
              </w:rPr>
              <w:t>« exploitation</w:t>
            </w:r>
            <w:r>
              <w:t xml:space="preserve"> des enfants à des fins de </w:t>
            </w:r>
            <w:r>
              <w:rPr>
                <w:b/>
                <w:i/>
              </w:rPr>
              <w:t>prostitution »</w:t>
            </w:r>
            <w:r>
              <w:t>: le fait d’utiliser un enfant aux fins d’activités sexuelles, en offrant ou en promettant de l’argent ou toute autre forme de rémunération ou de contrepartie e</w:t>
            </w:r>
            <w:r>
              <w:t>n échange de la participation de l’enfant à des activités sexuelles, que ce paiement, cette promesse ou cette contrepartie soit destiné à l’enfant ou à un tiers;</w:t>
            </w:r>
          </w:p>
        </w:tc>
        <w:tc>
          <w:tcPr>
            <w:tcW w:w="4876" w:type="dxa"/>
            <w:tcBorders>
              <w:top w:val="nil"/>
              <w:left w:val="nil"/>
              <w:bottom w:val="nil"/>
              <w:right w:val="nil"/>
            </w:tcBorders>
          </w:tcPr>
          <w:p w:rsidR="00995B88" w:rsidRPr="00995B88" w:rsidRDefault="00297AF4" w:rsidP="005C748F">
            <w:pPr>
              <w:pStyle w:val="Normal6a"/>
            </w:pPr>
            <w:r>
              <w:t>4)</w:t>
            </w:r>
            <w:r>
              <w:tab/>
            </w:r>
            <w:r>
              <w:rPr>
                <w:b/>
                <w:i/>
              </w:rPr>
              <w:t>«exploitation sexuelle</w:t>
            </w:r>
            <w:r>
              <w:t xml:space="preserve"> des enfants à des fins de </w:t>
            </w:r>
            <w:r>
              <w:rPr>
                <w:b/>
                <w:i/>
              </w:rPr>
              <w:t>prostitution»</w:t>
            </w:r>
            <w:r>
              <w:t>: le fait d’utiliser un enfan</w:t>
            </w:r>
            <w:r>
              <w:t>t aux fins d’activités sexuelles, en offrant ou en promettant de l’argent ou toute autre forme de rémunération</w:t>
            </w:r>
            <w:r>
              <w:rPr>
                <w:b/>
                <w:i/>
              </w:rPr>
              <w:t>, de profit, d’avantage, de bénéfice</w:t>
            </w:r>
            <w:r>
              <w:t xml:space="preserve"> ou de contrepartie en échange de la participation de l’enfant à des activités sexuelles, que ce paiement, cet</w:t>
            </w:r>
            <w:r>
              <w:t>te promesse</w:t>
            </w:r>
            <w:r>
              <w:rPr>
                <w:b/>
                <w:i/>
              </w:rPr>
              <w:t>, ce profit, cet avantage, ce bénéfice</w:t>
            </w:r>
            <w:r>
              <w:t xml:space="preserve"> ou cette contrepartie soit destiné à l’enfant ou à un tiers;</w:t>
            </w:r>
          </w:p>
        </w:tc>
      </w:tr>
    </w:tbl>
    <w:p w:rsidR="00995B88" w:rsidRPr="00995B88" w:rsidRDefault="00297AF4" w:rsidP="00995B88">
      <w:r>
        <w:rPr>
          <w:rStyle w:val="HideTWBExt"/>
        </w:rPr>
        <w:t>&lt;/Amend&gt;</w:t>
      </w:r>
      <w:bookmarkEnd w:id="33"/>
    </w:p>
    <w:p w:rsidR="00995B88" w:rsidRPr="00995B88" w:rsidRDefault="00297AF4" w:rsidP="00995B88">
      <w:pPr>
        <w:pStyle w:val="AMNumberTabs0"/>
      </w:pPr>
      <w:bookmarkStart w:id="34" w:name="AM1Compr8"/>
      <w:r>
        <w:rPr>
          <w:rStyle w:val="HideTWBExt"/>
        </w:rPr>
        <w:t>&lt;Amend&gt;</w:t>
      </w:r>
      <w:r>
        <w:t>Amendement</w:t>
      </w:r>
      <w:r>
        <w:tab/>
      </w:r>
      <w:r>
        <w:tab/>
      </w:r>
      <w:r>
        <w:rPr>
          <w:rStyle w:val="HideTWBExt"/>
        </w:rPr>
        <w:t>&lt;NumAm&gt;</w:t>
      </w:r>
      <w:r>
        <w:t>38</w:t>
      </w:r>
      <w:r>
        <w:rPr>
          <w:rStyle w:val="HideTWBExt"/>
        </w:rPr>
        <w:t>&lt;/NumAm&gt;</w:t>
      </w:r>
    </w:p>
    <w:p w:rsidR="00995B88" w:rsidRPr="00995B88" w:rsidRDefault="00297AF4" w:rsidP="00995B88">
      <w:pPr>
        <w:pStyle w:val="NormalBold12b"/>
      </w:pPr>
      <w:r>
        <w:rPr>
          <w:rStyle w:val="HideTWBExt"/>
        </w:rPr>
        <w:lastRenderedPageBreak/>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 xml:space="preserve">Article 2 – alinéa 1 – point 5 – partie </w:t>
      </w:r>
      <w:r>
        <w:t>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5)</w:t>
            </w:r>
            <w:r>
              <w:tab/>
              <w:t>«spectacle</w:t>
            </w:r>
            <w:r>
              <w:rPr>
                <w:b/>
                <w:i/>
              </w:rPr>
              <w:t> </w:t>
            </w:r>
            <w:r>
              <w:t>d’abus sexuels sur enfants»: l’exhibition en direct, pour un public, y compris au moyen des technologies de l’information et de la communication:</w:t>
            </w:r>
          </w:p>
        </w:tc>
        <w:tc>
          <w:tcPr>
            <w:tcW w:w="4876" w:type="dxa"/>
            <w:tcBorders>
              <w:top w:val="nil"/>
              <w:left w:val="nil"/>
              <w:bottom w:val="nil"/>
              <w:right w:val="nil"/>
            </w:tcBorders>
          </w:tcPr>
          <w:p w:rsidR="00995B88" w:rsidRPr="00995B88" w:rsidRDefault="00297AF4" w:rsidP="005C748F">
            <w:pPr>
              <w:pStyle w:val="Normal6a"/>
            </w:pPr>
            <w:r>
              <w:t>5)</w:t>
            </w:r>
            <w:r>
              <w:tab/>
              <w:t>«spectacle</w:t>
            </w:r>
            <w:r>
              <w:rPr>
                <w:b/>
                <w:i/>
              </w:rPr>
              <w:t xml:space="preserve"> </w:t>
            </w:r>
            <w:r>
              <w:t xml:space="preserve">d’abus </w:t>
            </w:r>
            <w:r>
              <w:t>sexuels sur enfants»: l’exhibition en direct, pour un public</w:t>
            </w:r>
            <w:r>
              <w:rPr>
                <w:b/>
                <w:i/>
              </w:rPr>
              <w:t xml:space="preserve"> d’un ou plusieurs individus</w:t>
            </w:r>
            <w:r>
              <w:t>, y compris au moyen des technologies de l’information et de la communication:</w:t>
            </w:r>
          </w:p>
        </w:tc>
      </w:tr>
    </w:tbl>
    <w:p w:rsidR="00995B88" w:rsidRPr="00995B88" w:rsidRDefault="00297AF4" w:rsidP="00995B88">
      <w:r>
        <w:rPr>
          <w:rStyle w:val="HideTWBExt"/>
        </w:rPr>
        <w:t>&lt;/Amend&gt;</w:t>
      </w:r>
      <w:bookmarkEnd w:id="34"/>
    </w:p>
    <w:p w:rsidR="00995B88" w:rsidRPr="00995B88" w:rsidRDefault="00297AF4" w:rsidP="00995B88">
      <w:pPr>
        <w:pStyle w:val="AMNumberTabs0"/>
      </w:pPr>
      <w:bookmarkStart w:id="35" w:name="AM1Compr9"/>
      <w:r>
        <w:rPr>
          <w:rStyle w:val="HideTWBExt"/>
        </w:rPr>
        <w:t>&lt;Amend&gt;</w:t>
      </w:r>
      <w:r>
        <w:t>Amendement</w:t>
      </w:r>
      <w:r>
        <w:tab/>
      </w:r>
      <w:r>
        <w:tab/>
      </w:r>
      <w:r>
        <w:rPr>
          <w:rStyle w:val="HideTWBExt"/>
        </w:rPr>
        <w:t>&lt;NumAm&gt;</w:t>
      </w:r>
      <w:r>
        <w:t>39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 – alinéa 1 – point 5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5 bis)</w:t>
            </w:r>
            <w:r>
              <w:tab/>
            </w:r>
            <w:r>
              <w:rPr>
                <w:b/>
                <w:i/>
              </w:rPr>
              <w:t>«chantage sexuel d’enfants»: le fait de menacer de partager du matériel intime représentant l’enfant victime afin d’obtenir de</w:t>
            </w:r>
            <w:r>
              <w:rPr>
                <w:b/>
                <w:i/>
              </w:rPr>
              <w:t xml:space="preserve"> l’argent, du matériel relatif à des abus sexuels sur enfants ou tout autre bénéfice, sous la menace de partager ce matériel; le chantage sexuel d’enfants peut impliquer une violence fondée sur le genre;</w:t>
            </w:r>
          </w:p>
        </w:tc>
      </w:tr>
    </w:tbl>
    <w:p w:rsidR="00995B88" w:rsidRPr="00995B88" w:rsidRDefault="00297AF4" w:rsidP="00995B88">
      <w:r>
        <w:rPr>
          <w:rStyle w:val="HideTWBExt"/>
        </w:rPr>
        <w:t>&lt;/Amend&gt;</w:t>
      </w:r>
      <w:bookmarkEnd w:id="35"/>
    </w:p>
    <w:p w:rsidR="00995B88" w:rsidRPr="00995B88" w:rsidRDefault="00297AF4" w:rsidP="00995B88">
      <w:pPr>
        <w:pStyle w:val="AMNumberTabs0"/>
      </w:pPr>
      <w:bookmarkStart w:id="36" w:name="AM1Compr10"/>
      <w:r>
        <w:rPr>
          <w:rStyle w:val="HideTWBExt"/>
        </w:rPr>
        <w:t>&lt;Amend&gt;</w:t>
      </w:r>
      <w:r>
        <w:t>Amendement</w:t>
      </w:r>
      <w:r>
        <w:tab/>
      </w:r>
      <w:r>
        <w:tab/>
      </w:r>
      <w:r>
        <w:rPr>
          <w:rStyle w:val="HideTWBExt"/>
        </w:rPr>
        <w:t>&lt;NumAm&gt;</w:t>
      </w:r>
      <w:r>
        <w:t>40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 – alinéa 1 – point 5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5 ter)</w:t>
            </w:r>
            <w:r>
              <w:tab/>
            </w:r>
            <w:r>
              <w:rPr>
                <w:b/>
                <w:i/>
              </w:rPr>
              <w:t xml:space="preserve">«pédopiégeage»: le processus consistant à établir ou à construire une relation avec un </w:t>
            </w:r>
            <w:r>
              <w:rPr>
                <w:b/>
                <w:i/>
              </w:rPr>
              <w:t>enfant, soit en personne, soit en utilisant l’internet ou d’autres technologies numériques pour faciliter un contact sexuel en ligne ou en personne;</w:t>
            </w:r>
          </w:p>
        </w:tc>
      </w:tr>
    </w:tbl>
    <w:p w:rsidR="00995B88" w:rsidRPr="00995B88" w:rsidRDefault="00297AF4" w:rsidP="00995B88">
      <w:r>
        <w:rPr>
          <w:rStyle w:val="HideTWBExt"/>
        </w:rPr>
        <w:t>&lt;/Amend&gt;</w:t>
      </w:r>
      <w:bookmarkEnd w:id="36"/>
    </w:p>
    <w:p w:rsidR="00995B88" w:rsidRPr="00995B88" w:rsidRDefault="00297AF4" w:rsidP="00995B88">
      <w:pPr>
        <w:pStyle w:val="AMNumberTabs0"/>
      </w:pPr>
      <w:bookmarkStart w:id="37" w:name="AM1Compr11"/>
      <w:r>
        <w:rPr>
          <w:rStyle w:val="HideTWBExt"/>
        </w:rPr>
        <w:t>&lt;Amend&gt;</w:t>
      </w:r>
      <w:r>
        <w:t>Amendement</w:t>
      </w:r>
      <w:r>
        <w:tab/>
      </w:r>
      <w:r>
        <w:tab/>
      </w:r>
      <w:r>
        <w:rPr>
          <w:rStyle w:val="HideTWBExt"/>
        </w:rPr>
        <w:t>&lt;NumAm&gt;</w:t>
      </w:r>
      <w:r>
        <w:t>41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 – alinéa 1 – point 5 quater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5 quater)</w:t>
            </w:r>
            <w:r>
              <w:tab/>
            </w:r>
            <w:r>
              <w:rPr>
                <w:b/>
                <w:i/>
              </w:rPr>
              <w:t>«thérapie de conversion»: tout traitement visant à modifier l’orientation sexuelle ou l’identité de genre d’une personne;</w:t>
            </w:r>
          </w:p>
        </w:tc>
      </w:tr>
    </w:tbl>
    <w:p w:rsidR="00995B88" w:rsidRPr="00995B88" w:rsidRDefault="00297AF4" w:rsidP="00995B88">
      <w:r>
        <w:rPr>
          <w:rStyle w:val="HideTWBExt"/>
        </w:rPr>
        <w:t>&lt;/Amend&gt;</w:t>
      </w:r>
      <w:bookmarkEnd w:id="37"/>
    </w:p>
    <w:p w:rsidR="00995B88" w:rsidRPr="00995B88" w:rsidRDefault="00297AF4" w:rsidP="00995B88">
      <w:pPr>
        <w:pStyle w:val="AMNumberTabs0"/>
      </w:pPr>
      <w:bookmarkStart w:id="38" w:name="AM1Compr12"/>
      <w:r>
        <w:rPr>
          <w:rStyle w:val="HideTWBExt"/>
        </w:rPr>
        <w:t>&lt;Amend&gt;</w:t>
      </w:r>
      <w:r>
        <w:t>Amendement</w:t>
      </w:r>
      <w:r>
        <w:tab/>
      </w:r>
      <w:r>
        <w:tab/>
      </w:r>
      <w:r>
        <w:rPr>
          <w:rStyle w:val="HideTWBExt"/>
        </w:rPr>
        <w:t>&lt;NumAm&gt;</w:t>
      </w:r>
      <w:r>
        <w:t>42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 – alinéa 1 – point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8)</w:t>
            </w:r>
            <w:r>
              <w:tab/>
              <w:t xml:space="preserve">«pairs»: personnes d’âges proches ayant atteint un niveau de développement </w:t>
            </w:r>
            <w:r>
              <w:rPr>
                <w:b/>
                <w:i/>
              </w:rPr>
              <w:t>ou</w:t>
            </w:r>
            <w:r>
              <w:t xml:space="preserve"> de maturité psychologique et physique semblable.</w:t>
            </w:r>
          </w:p>
        </w:tc>
        <w:tc>
          <w:tcPr>
            <w:tcW w:w="4876" w:type="dxa"/>
            <w:tcBorders>
              <w:top w:val="nil"/>
              <w:left w:val="nil"/>
              <w:bottom w:val="nil"/>
              <w:right w:val="nil"/>
            </w:tcBorders>
          </w:tcPr>
          <w:p w:rsidR="00995B88" w:rsidRPr="00995B88" w:rsidRDefault="00297AF4" w:rsidP="005C748F">
            <w:pPr>
              <w:pStyle w:val="Normal6a"/>
            </w:pPr>
            <w:r>
              <w:t>8)</w:t>
            </w:r>
            <w:r>
              <w:tab/>
              <w:t xml:space="preserve">«pairs»: personnes d’âges proches ayant atteint un niveau de développement </w:t>
            </w:r>
            <w:r>
              <w:rPr>
                <w:b/>
                <w:i/>
              </w:rPr>
              <w:t>et</w:t>
            </w:r>
            <w:r>
              <w:t xml:space="preserve"> de maturité psychologique et physique semblable.</w:t>
            </w:r>
          </w:p>
        </w:tc>
      </w:tr>
    </w:tbl>
    <w:p w:rsidR="00995B88" w:rsidRPr="00995B88" w:rsidRDefault="00297AF4" w:rsidP="00995B88">
      <w:r>
        <w:rPr>
          <w:rStyle w:val="HideTWBExt"/>
        </w:rPr>
        <w:t>&lt;/Amend&gt;</w:t>
      </w:r>
      <w:bookmarkEnd w:id="38"/>
    </w:p>
    <w:p w:rsidR="00995B88" w:rsidRPr="00995B88" w:rsidRDefault="00297AF4" w:rsidP="00995B88">
      <w:pPr>
        <w:pStyle w:val="AMNumberTabs0"/>
      </w:pPr>
      <w:bookmarkStart w:id="39" w:name="AM1Compr13"/>
      <w:r>
        <w:rPr>
          <w:rStyle w:val="HideTWBExt"/>
        </w:rPr>
        <w:t>&lt;Amend&gt;</w:t>
      </w:r>
      <w:r>
        <w:t>Amendement</w:t>
      </w:r>
      <w:r>
        <w:tab/>
      </w:r>
      <w:r>
        <w:tab/>
      </w:r>
      <w:r>
        <w:rPr>
          <w:rStyle w:val="HideTWBExt"/>
        </w:rPr>
        <w:t>&lt;NumAm&gt;</w:t>
      </w:r>
      <w:r>
        <w:t>43</w:t>
      </w:r>
      <w:r>
        <w:rPr>
          <w:rStyle w:val="HideTWBExt"/>
        </w:rPr>
        <w:t>&lt;/NumAm&gt;</w:t>
      </w:r>
    </w:p>
    <w:p w:rsidR="00995B88" w:rsidRPr="00995B88" w:rsidRDefault="00297AF4" w:rsidP="00995B88">
      <w:pPr>
        <w:pStyle w:val="NormalBold12b"/>
      </w:pPr>
      <w:r>
        <w:rPr>
          <w:rStyle w:val="HideTWBExt"/>
        </w:rPr>
        <w:t>&lt;DocAmend&gt;</w:t>
      </w:r>
      <w:r>
        <w:t xml:space="preserve">Proposition de </w:t>
      </w:r>
      <w:r>
        <w:t>directive</w:t>
      </w:r>
      <w:r>
        <w:rPr>
          <w:rStyle w:val="HideTWBExt"/>
        </w:rPr>
        <w:t>&lt;/DocAmend&gt;</w:t>
      </w:r>
    </w:p>
    <w:p w:rsidR="00995B88" w:rsidRPr="00995B88" w:rsidRDefault="00297AF4" w:rsidP="00995B88">
      <w:pPr>
        <w:pStyle w:val="NormalBold"/>
      </w:pPr>
      <w:r>
        <w:rPr>
          <w:rStyle w:val="HideTWBExt"/>
        </w:rPr>
        <w:t>&lt;Article&gt;</w:t>
      </w:r>
      <w:r>
        <w:t>Article 2 – alinéa 1 – point 8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8 bis)</w:t>
            </w:r>
            <w:r>
              <w:tab/>
            </w:r>
            <w:r>
              <w:rPr>
                <w:b/>
                <w:i/>
              </w:rPr>
              <w:t xml:space="preserve">«technologies de l’information et de la communication»: l’ensemble des outils et ressources technologiques utilisés </w:t>
            </w:r>
            <w:r>
              <w:rPr>
                <w:b/>
                <w:i/>
              </w:rPr>
              <w:t>pour stocker, créer, partager ou échanger des informations sous forme numérique, y compris les smartphones, les ordinateurs, les réseaux sociaux et les autres applications et services de médias;</w:t>
            </w:r>
          </w:p>
        </w:tc>
      </w:tr>
    </w:tbl>
    <w:p w:rsidR="00995B88" w:rsidRPr="00995B88" w:rsidRDefault="00297AF4" w:rsidP="00995B88">
      <w:r>
        <w:rPr>
          <w:rStyle w:val="HideTWBExt"/>
        </w:rPr>
        <w:t>&lt;/Amend&gt;</w:t>
      </w:r>
      <w:bookmarkEnd w:id="39"/>
    </w:p>
    <w:p w:rsidR="00995B88" w:rsidRPr="00995B88" w:rsidRDefault="00297AF4" w:rsidP="00995B88">
      <w:pPr>
        <w:pStyle w:val="AMNumberTabs0"/>
      </w:pPr>
      <w:bookmarkStart w:id="40" w:name="AM1Compr14"/>
      <w:r>
        <w:rPr>
          <w:rStyle w:val="HideTWBExt"/>
        </w:rPr>
        <w:t>&lt;Amend&gt;</w:t>
      </w:r>
      <w:r>
        <w:t>Amendement</w:t>
      </w:r>
      <w:r>
        <w:tab/>
      </w:r>
      <w:r>
        <w:tab/>
      </w:r>
      <w:r>
        <w:rPr>
          <w:rStyle w:val="HideTWBExt"/>
        </w:rPr>
        <w:t>&lt;NumAm&gt;</w:t>
      </w:r>
      <w:r>
        <w:t>44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 – alinéa 1 – point 8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8 ter)</w:t>
            </w:r>
            <w:r>
              <w:tab/>
            </w:r>
            <w:r>
              <w:rPr>
                <w:b/>
                <w:i/>
              </w:rPr>
              <w:t xml:space="preserve">«hébergement»: un service d’hébergement tel qu’il est défini à l’article 3, point g) iii), du </w:t>
            </w:r>
            <w:r>
              <w:rPr>
                <w:b/>
                <w:i/>
              </w:rPr>
              <w:lastRenderedPageBreak/>
              <w:t>règlement (UE) 2022/2065;</w:t>
            </w:r>
          </w:p>
        </w:tc>
      </w:tr>
    </w:tbl>
    <w:p w:rsidR="00995B88" w:rsidRPr="00995B88" w:rsidRDefault="00297AF4" w:rsidP="00995B88">
      <w:r>
        <w:rPr>
          <w:rStyle w:val="HideTWBExt"/>
        </w:rPr>
        <w:lastRenderedPageBreak/>
        <w:t>&lt;/Amend&gt;</w:t>
      </w:r>
      <w:bookmarkEnd w:id="40"/>
    </w:p>
    <w:p w:rsidR="00995B88" w:rsidRPr="00995B88" w:rsidRDefault="00297AF4" w:rsidP="00995B88">
      <w:pPr>
        <w:pStyle w:val="AMNumberTabs0"/>
      </w:pPr>
      <w:bookmarkStart w:id="41" w:name="AM2Compr1"/>
      <w:r>
        <w:rPr>
          <w:rStyle w:val="HideTWBExt"/>
        </w:rPr>
        <w:t>&lt;Amend&gt;</w:t>
      </w:r>
      <w:r>
        <w:t>Amendement</w:t>
      </w:r>
      <w:r>
        <w:tab/>
      </w:r>
      <w:r>
        <w:tab/>
      </w:r>
      <w:r>
        <w:rPr>
          <w:rStyle w:val="HideTWBExt"/>
        </w:rPr>
        <w:t>&lt;NumAm&gt;</w:t>
      </w:r>
      <w:r>
        <w:t>45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 – titre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Infractions liées aux abus sexuels</w:t>
            </w:r>
          </w:p>
        </w:tc>
        <w:tc>
          <w:tcPr>
            <w:tcW w:w="4876" w:type="dxa"/>
            <w:tcBorders>
              <w:top w:val="nil"/>
              <w:left w:val="nil"/>
              <w:bottom w:val="nil"/>
              <w:right w:val="nil"/>
            </w:tcBorders>
          </w:tcPr>
          <w:p w:rsidR="00995B88" w:rsidRPr="00995B88" w:rsidRDefault="00297AF4" w:rsidP="005C748F">
            <w:pPr>
              <w:pStyle w:val="Normal6a"/>
            </w:pPr>
            <w:r>
              <w:t xml:space="preserve">Infractions liées </w:t>
            </w:r>
            <w:r>
              <w:t>aux abus sexuels</w:t>
            </w:r>
            <w:r>
              <w:rPr>
                <w:b/>
                <w:i/>
              </w:rPr>
              <w:t xml:space="preserve"> sur enfants</w:t>
            </w:r>
          </w:p>
        </w:tc>
      </w:tr>
    </w:tbl>
    <w:p w:rsidR="00995B88" w:rsidRPr="00995B88" w:rsidRDefault="00297AF4" w:rsidP="00995B88">
      <w:r>
        <w:rPr>
          <w:rStyle w:val="HideTWBExt"/>
        </w:rPr>
        <w:t>&lt;/Amend&gt;</w:t>
      </w:r>
      <w:bookmarkEnd w:id="41"/>
    </w:p>
    <w:p w:rsidR="00995B88" w:rsidRPr="00995B88" w:rsidRDefault="00297AF4" w:rsidP="00995B88">
      <w:pPr>
        <w:pStyle w:val="AMNumberTabs0"/>
      </w:pPr>
      <w:bookmarkStart w:id="42" w:name="AM2Compr2"/>
      <w:r>
        <w:rPr>
          <w:rStyle w:val="HideTWBExt"/>
        </w:rPr>
        <w:t>&lt;Amend&gt;</w:t>
      </w:r>
      <w:r>
        <w:t>Amendement</w:t>
      </w:r>
      <w:r>
        <w:tab/>
      </w:r>
      <w:r>
        <w:tab/>
      </w:r>
      <w:r>
        <w:rPr>
          <w:rStyle w:val="HideTWBExt"/>
        </w:rPr>
        <w:t>&lt;NumAm&gt;</w:t>
      </w:r>
      <w:r>
        <w:t>46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 – 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1.</w:t>
            </w:r>
            <w:r>
              <w:tab/>
              <w:t xml:space="preserve">Les États membres prennent les mesures </w:t>
            </w:r>
            <w:r>
              <w:t>nécessaires pour que les comportements visés aux paragraphes 2 à 8 soient punissables.</w:t>
            </w:r>
          </w:p>
        </w:tc>
        <w:tc>
          <w:tcPr>
            <w:tcW w:w="4876" w:type="dxa"/>
            <w:tcBorders>
              <w:top w:val="nil"/>
              <w:left w:val="nil"/>
              <w:bottom w:val="nil"/>
              <w:right w:val="nil"/>
            </w:tcBorders>
          </w:tcPr>
          <w:p w:rsidR="00995B88" w:rsidRPr="00995B88" w:rsidRDefault="00297AF4" w:rsidP="005C748F">
            <w:pPr>
              <w:pStyle w:val="Normal6a"/>
            </w:pPr>
            <w:r>
              <w:t>1.</w:t>
            </w:r>
            <w:r>
              <w:tab/>
              <w:t>Les États membres prennent les mesures nécessaires pour que les comportements visés aux paragraphes 2 à 8 soient punissables</w:t>
            </w:r>
            <w:r>
              <w:rPr>
                <w:b/>
                <w:i/>
              </w:rPr>
              <w:t xml:space="preserve">, qu’ils soient commis physiquement ou au </w:t>
            </w:r>
            <w:r>
              <w:rPr>
                <w:b/>
                <w:i/>
              </w:rPr>
              <w:t>moyen des technologies de l’information et de la communication</w:t>
            </w:r>
            <w:r>
              <w:t>.</w:t>
            </w:r>
          </w:p>
        </w:tc>
      </w:tr>
    </w:tbl>
    <w:p w:rsidR="00995B88" w:rsidRPr="00995B88" w:rsidRDefault="00297AF4" w:rsidP="00995B88">
      <w:r>
        <w:rPr>
          <w:rStyle w:val="HideTWBExt"/>
        </w:rPr>
        <w:t>&lt;/Amend&gt;</w:t>
      </w:r>
      <w:bookmarkEnd w:id="42"/>
    </w:p>
    <w:p w:rsidR="00995B88" w:rsidRPr="00995B88" w:rsidRDefault="00297AF4" w:rsidP="00995B88">
      <w:pPr>
        <w:pStyle w:val="AMNumberTabs0"/>
      </w:pPr>
      <w:bookmarkStart w:id="43" w:name="AM2Compr3"/>
      <w:r>
        <w:rPr>
          <w:rStyle w:val="HideTWBExt"/>
        </w:rPr>
        <w:t>&lt;Amend&gt;</w:t>
      </w:r>
      <w:r>
        <w:t>Amendement</w:t>
      </w:r>
      <w:r>
        <w:tab/>
      </w:r>
      <w:r>
        <w:tab/>
      </w:r>
      <w:r>
        <w:rPr>
          <w:rStyle w:val="HideTWBExt"/>
        </w:rPr>
        <w:t>&lt;NumAm&gt;</w:t>
      </w:r>
      <w:r>
        <w:t>47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 – paragraphe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3.</w:t>
            </w:r>
            <w:r>
              <w:tab/>
              <w:t xml:space="preserve">Le </w:t>
            </w:r>
            <w:r>
              <w:t>fait de faire assister, à des fins sexuelles, un enfant</w:t>
            </w:r>
            <w:r>
              <w:rPr>
                <w:b/>
                <w:i/>
              </w:rPr>
              <w:t xml:space="preserve"> qui n’a pas atteint la majorité sexuelle</w:t>
            </w:r>
            <w:r>
              <w:t>, même sans qu’il y participe, à des abus sexuels, est passible d’une peine maximale d’au moins deux</w:t>
            </w:r>
            <w:r>
              <w:rPr>
                <w:b/>
                <w:i/>
              </w:rPr>
              <w:t xml:space="preserve"> </w:t>
            </w:r>
            <w:r>
              <w:t>ans d’emprisonnement.</w:t>
            </w:r>
          </w:p>
        </w:tc>
        <w:tc>
          <w:tcPr>
            <w:tcW w:w="4876" w:type="dxa"/>
            <w:tcBorders>
              <w:top w:val="nil"/>
              <w:left w:val="nil"/>
              <w:bottom w:val="nil"/>
              <w:right w:val="nil"/>
            </w:tcBorders>
          </w:tcPr>
          <w:p w:rsidR="00995B88" w:rsidRPr="00995B88" w:rsidRDefault="00297AF4" w:rsidP="005C748F">
            <w:pPr>
              <w:pStyle w:val="Normal6a"/>
            </w:pPr>
            <w:r>
              <w:t>3.</w:t>
            </w:r>
            <w:r>
              <w:tab/>
              <w:t>Le fait de faire assister, à des f</w:t>
            </w:r>
            <w:r>
              <w:t>ins sexuelles, un enfant, même sans qu’il y participe, à des abus sexuels, est passible d’une peine maximale d’au moins deux</w:t>
            </w:r>
            <w:r>
              <w:rPr>
                <w:b/>
                <w:i/>
              </w:rPr>
              <w:t> </w:t>
            </w:r>
            <w:r>
              <w:t>ans d’emprisonnement.</w:t>
            </w:r>
          </w:p>
        </w:tc>
      </w:tr>
    </w:tbl>
    <w:p w:rsidR="00995B88" w:rsidRPr="00995B88" w:rsidRDefault="00297AF4" w:rsidP="00995B88">
      <w:r>
        <w:rPr>
          <w:rStyle w:val="HideTWBExt"/>
        </w:rPr>
        <w:t>&lt;/Amend&gt;</w:t>
      </w:r>
      <w:bookmarkEnd w:id="43"/>
    </w:p>
    <w:p w:rsidR="00995B88" w:rsidRPr="00995B88" w:rsidRDefault="00297AF4" w:rsidP="00995B88">
      <w:pPr>
        <w:pStyle w:val="AMNumberTabs0"/>
      </w:pPr>
      <w:bookmarkStart w:id="44" w:name="AM2Compr4"/>
      <w:r>
        <w:rPr>
          <w:rStyle w:val="HideTWBExt"/>
        </w:rPr>
        <w:t>&lt;Amend&gt;</w:t>
      </w:r>
      <w:r>
        <w:t>Amendement</w:t>
      </w:r>
      <w:r>
        <w:tab/>
      </w:r>
      <w:r>
        <w:tab/>
      </w:r>
      <w:r>
        <w:rPr>
          <w:rStyle w:val="HideTWBExt"/>
        </w:rPr>
        <w:t>&lt;NumAm&gt;</w:t>
      </w:r>
      <w:r>
        <w:t>48</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w:t>
      </w:r>
      <w:r>
        <w:t xml:space="preserve"> 3 – paragraphe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4.</w:t>
            </w:r>
            <w:r>
              <w:tab/>
              <w:t>Le fait de se livrer à des activités sexuelles avec un enfant qui n’a pas atteint la majorité sexuelle</w:t>
            </w:r>
            <w:r>
              <w:rPr>
                <w:b/>
                <w:i/>
              </w:rPr>
              <w:t> </w:t>
            </w:r>
            <w:r>
              <w:t xml:space="preserve">ou d’amener l’enfant à se livrer à des activités sexuelles avec une autre </w:t>
            </w:r>
            <w:r>
              <w:t>personne est passible d’une peine maximale d’au moins huit ans d’emprisonnement.</w:t>
            </w:r>
          </w:p>
        </w:tc>
        <w:tc>
          <w:tcPr>
            <w:tcW w:w="4876" w:type="dxa"/>
            <w:tcBorders>
              <w:top w:val="nil"/>
              <w:left w:val="nil"/>
              <w:bottom w:val="nil"/>
              <w:right w:val="nil"/>
            </w:tcBorders>
          </w:tcPr>
          <w:p w:rsidR="00995B88" w:rsidRPr="00995B88" w:rsidRDefault="00297AF4" w:rsidP="005C748F">
            <w:pPr>
              <w:pStyle w:val="Normal6a"/>
            </w:pPr>
            <w:r>
              <w:t>4.</w:t>
            </w:r>
            <w:r>
              <w:tab/>
              <w:t>Le fait de se livrer à des activités sexuelles avec un enfant qui n’a pas atteint la majorité sexuelle</w:t>
            </w:r>
            <w:r>
              <w:rPr>
                <w:b/>
                <w:i/>
              </w:rPr>
              <w:t xml:space="preserve"> </w:t>
            </w:r>
            <w:r>
              <w:t>ou d’amener l’enfant à se livrer à des activités sexuelles avec une a</w:t>
            </w:r>
            <w:r>
              <w:t>utre personne</w:t>
            </w:r>
            <w:r>
              <w:rPr>
                <w:b/>
                <w:i/>
              </w:rPr>
              <w:t>, sur lui-même ou avec un objet,</w:t>
            </w:r>
            <w:r>
              <w:t xml:space="preserve"> est passible d’une peine maximale d’au moins huit ans d’emprisonnement.</w:t>
            </w:r>
          </w:p>
        </w:tc>
      </w:tr>
    </w:tbl>
    <w:p w:rsidR="00995B88" w:rsidRPr="00995B88" w:rsidRDefault="00297AF4" w:rsidP="00995B88">
      <w:r>
        <w:rPr>
          <w:rStyle w:val="HideTWBExt"/>
        </w:rPr>
        <w:t>&lt;/Amend&gt;</w:t>
      </w:r>
      <w:bookmarkEnd w:id="44"/>
    </w:p>
    <w:p w:rsidR="00995B88" w:rsidRPr="00995B88" w:rsidRDefault="00297AF4" w:rsidP="00995B88">
      <w:pPr>
        <w:pStyle w:val="AMNumberTabs0"/>
      </w:pPr>
      <w:bookmarkStart w:id="45" w:name="AM2Compr5"/>
      <w:r>
        <w:rPr>
          <w:rStyle w:val="HideTWBExt"/>
        </w:rPr>
        <w:t>&lt;Amend&gt;</w:t>
      </w:r>
      <w:r>
        <w:t>Amendement</w:t>
      </w:r>
      <w:r>
        <w:tab/>
      </w:r>
      <w:r>
        <w:tab/>
      </w:r>
      <w:r>
        <w:rPr>
          <w:rStyle w:val="HideTWBExt"/>
        </w:rPr>
        <w:t>&lt;NumAm&gt;</w:t>
      </w:r>
      <w:r>
        <w:t>49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 – paragraphe 5 – point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a)</w:t>
            </w:r>
            <w:r>
              <w:tab/>
              <w:t>en abusant d’une position reconnue de confiance, d’autorité ou d’influence sur un enfant, est passible d’une peine maximale d’au moins dix ans d’emprisonnement</w:t>
            </w:r>
            <w:r>
              <w:rPr>
                <w:b/>
                <w:i/>
              </w:rPr>
              <w:t xml:space="preserve"> si l’enfant n’a pas atteint la majorité sexuelle et d’au moins six ans d’emprisonnement dans le cas contraire</w:t>
            </w:r>
            <w:r>
              <w:t>; ou</w:t>
            </w:r>
          </w:p>
        </w:tc>
        <w:tc>
          <w:tcPr>
            <w:tcW w:w="4876" w:type="dxa"/>
            <w:tcBorders>
              <w:top w:val="nil"/>
              <w:left w:val="nil"/>
              <w:bottom w:val="nil"/>
              <w:right w:val="nil"/>
            </w:tcBorders>
          </w:tcPr>
          <w:p w:rsidR="00995B88" w:rsidRPr="00995B88" w:rsidRDefault="00297AF4" w:rsidP="005C748F">
            <w:pPr>
              <w:pStyle w:val="Normal6a"/>
            </w:pPr>
            <w:r>
              <w:t>a)</w:t>
            </w:r>
            <w:r>
              <w:tab/>
              <w:t>en abusant d’une position reconnue de confiance, d’autorité ou d’influence sur un enfant, est passible d’une peine maximale d’au moins dix</w:t>
            </w:r>
            <w:r>
              <w:t xml:space="preserve"> ans d’emprisonnement; ou</w:t>
            </w:r>
          </w:p>
        </w:tc>
      </w:tr>
    </w:tbl>
    <w:p w:rsidR="00995B88" w:rsidRPr="00995B88" w:rsidRDefault="00297AF4" w:rsidP="00995B88">
      <w:r>
        <w:rPr>
          <w:rStyle w:val="HideTWBExt"/>
        </w:rPr>
        <w:t>&lt;/Amend&gt;</w:t>
      </w:r>
      <w:bookmarkEnd w:id="45"/>
    </w:p>
    <w:p w:rsidR="00995B88" w:rsidRPr="00995B88" w:rsidRDefault="00297AF4" w:rsidP="00995B88">
      <w:pPr>
        <w:pStyle w:val="AMNumberTabs0"/>
      </w:pPr>
      <w:bookmarkStart w:id="46" w:name="AM2Compr6"/>
      <w:r>
        <w:rPr>
          <w:rStyle w:val="HideTWBExt"/>
        </w:rPr>
        <w:t>&lt;Amend&gt;</w:t>
      </w:r>
      <w:r>
        <w:t>Amendement</w:t>
      </w:r>
      <w:r>
        <w:tab/>
      </w:r>
      <w:r>
        <w:tab/>
      </w:r>
      <w:r>
        <w:rPr>
          <w:rStyle w:val="HideTWBExt"/>
        </w:rPr>
        <w:t>&lt;NumAm&gt;</w:t>
      </w:r>
      <w:r>
        <w:t>50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 – paragraphe 5 – point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b)</w:t>
            </w:r>
            <w:r>
              <w:tab/>
            </w:r>
            <w:r>
              <w:t xml:space="preserve">en abusant d’une situation de particulière vulnérabilité de l’enfant, notamment en raison d’un handicap physique ou mental ou d’une situation de dépendance, est passible d’une peine maximale d’au moins dix ans d’emprisonnement </w:t>
            </w:r>
            <w:r>
              <w:rPr>
                <w:b/>
                <w:i/>
              </w:rPr>
              <w:t>si l’enfant n’a pas atteint l</w:t>
            </w:r>
            <w:r>
              <w:rPr>
                <w:b/>
                <w:i/>
              </w:rPr>
              <w:t>a majorité sexuelle et d’au moins six ans d’emprisonnement dans le cas contraire</w:t>
            </w:r>
            <w:r>
              <w:t>; ou</w:t>
            </w:r>
          </w:p>
        </w:tc>
        <w:tc>
          <w:tcPr>
            <w:tcW w:w="4876" w:type="dxa"/>
            <w:tcBorders>
              <w:top w:val="nil"/>
              <w:left w:val="nil"/>
              <w:bottom w:val="nil"/>
              <w:right w:val="nil"/>
            </w:tcBorders>
          </w:tcPr>
          <w:p w:rsidR="00995B88" w:rsidRPr="00995B88" w:rsidRDefault="00297AF4" w:rsidP="005C748F">
            <w:pPr>
              <w:pStyle w:val="Normal6a"/>
            </w:pPr>
            <w:r>
              <w:t>b)</w:t>
            </w:r>
            <w:r>
              <w:tab/>
              <w:t>en abusant d’une situation de particulière vulnérabilité de l’enfant, notamment en raison d’un handicap physique ou mental</w:t>
            </w:r>
            <w:r>
              <w:rPr>
                <w:b/>
                <w:i/>
              </w:rPr>
              <w:t xml:space="preserve">, par exemple, mais sans s’y limiter, un état </w:t>
            </w:r>
            <w:r>
              <w:rPr>
                <w:b/>
                <w:i/>
              </w:rPr>
              <w:t>d’inconscience, d’ébriété, de figement, de maladie, de sommeil, de peur ou de blessure physique,</w:t>
            </w:r>
            <w:r>
              <w:t xml:space="preserve"> ou d’une situation de dépendance, </w:t>
            </w:r>
            <w:r>
              <w:rPr>
                <w:b/>
                <w:i/>
              </w:rPr>
              <w:t>du fait que l’enfant vit dans un environnement institutionnalisé ou est privé de liberté,</w:t>
            </w:r>
            <w:r>
              <w:t xml:space="preserve"> est passible d’une peine maximale d</w:t>
            </w:r>
            <w:r>
              <w:t>’au moins dix ans d’emprisonnement; ou</w:t>
            </w:r>
          </w:p>
        </w:tc>
      </w:tr>
    </w:tbl>
    <w:p w:rsidR="00995B88" w:rsidRPr="00995B88" w:rsidRDefault="00297AF4" w:rsidP="00995B88">
      <w:r>
        <w:rPr>
          <w:rStyle w:val="HideTWBExt"/>
        </w:rPr>
        <w:lastRenderedPageBreak/>
        <w:t>&lt;/Amend&gt;</w:t>
      </w:r>
      <w:bookmarkEnd w:id="46"/>
    </w:p>
    <w:p w:rsidR="00995B88" w:rsidRPr="00995B88" w:rsidRDefault="00297AF4" w:rsidP="00995B88">
      <w:pPr>
        <w:pStyle w:val="AMNumberTabs0"/>
      </w:pPr>
      <w:bookmarkStart w:id="47" w:name="AM2Compr7"/>
      <w:r>
        <w:rPr>
          <w:rStyle w:val="HideTWBExt"/>
        </w:rPr>
        <w:t>&lt;Amend&gt;</w:t>
      </w:r>
      <w:r>
        <w:t>Amendement</w:t>
      </w:r>
      <w:r>
        <w:tab/>
      </w:r>
      <w:r>
        <w:tab/>
      </w:r>
      <w:r>
        <w:rPr>
          <w:rStyle w:val="HideTWBExt"/>
        </w:rPr>
        <w:t>&lt;NumAm&gt;</w:t>
      </w:r>
      <w:r>
        <w:t>51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 – paragraphe 5 – point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c)</w:t>
            </w:r>
            <w:r>
              <w:tab/>
              <w:t xml:space="preserve">en faisant usage de </w:t>
            </w:r>
            <w:r>
              <w:t>la contrainte, de la force ou de menaces, est passible d’une peine maximale d’au moins</w:t>
            </w:r>
            <w:r>
              <w:rPr>
                <w:b/>
                <w:i/>
              </w:rPr>
              <w:t> </w:t>
            </w:r>
            <w:r>
              <w:t>douze</w:t>
            </w:r>
            <w:r>
              <w:rPr>
                <w:b/>
                <w:i/>
              </w:rPr>
              <w:t xml:space="preserve"> ans d’emprisonnement si l’enfant n’a pas atteint la majorité sexuelle et d’au moins</w:t>
            </w:r>
            <w:r>
              <w:t> </w:t>
            </w:r>
            <w:r>
              <w:rPr>
                <w:b/>
                <w:i/>
              </w:rPr>
              <w:t xml:space="preserve">sept </w:t>
            </w:r>
            <w:r>
              <w:t>ans d’emprisonnement</w:t>
            </w:r>
            <w:r>
              <w:rPr>
                <w:b/>
                <w:i/>
              </w:rPr>
              <w:t xml:space="preserve"> dans le cas contraire</w:t>
            </w:r>
            <w:r>
              <w:t>.</w:t>
            </w:r>
          </w:p>
        </w:tc>
        <w:tc>
          <w:tcPr>
            <w:tcW w:w="4876" w:type="dxa"/>
            <w:tcBorders>
              <w:top w:val="nil"/>
              <w:left w:val="nil"/>
              <w:bottom w:val="nil"/>
              <w:right w:val="nil"/>
            </w:tcBorders>
          </w:tcPr>
          <w:p w:rsidR="00995B88" w:rsidRPr="00995B88" w:rsidRDefault="00297AF4" w:rsidP="005C748F">
            <w:pPr>
              <w:pStyle w:val="Normal6a"/>
            </w:pPr>
            <w:r>
              <w:t>c)</w:t>
            </w:r>
            <w:r>
              <w:tab/>
            </w:r>
            <w:r>
              <w:t xml:space="preserve">en faisant usage de la contrainte, de </w:t>
            </w:r>
            <w:r>
              <w:rPr>
                <w:b/>
                <w:i/>
              </w:rPr>
              <w:t xml:space="preserve">l’extorsion, de </w:t>
            </w:r>
            <w:r>
              <w:t>la force ou de menaces, est passible d’une peine maximale d’au moins</w:t>
            </w:r>
            <w:r>
              <w:rPr>
                <w:b/>
                <w:i/>
              </w:rPr>
              <w:t xml:space="preserve"> </w:t>
            </w:r>
            <w:r>
              <w:t>douze ans d’emprisonnement.</w:t>
            </w:r>
          </w:p>
        </w:tc>
      </w:tr>
    </w:tbl>
    <w:p w:rsidR="00995B88" w:rsidRPr="00995B88" w:rsidRDefault="00297AF4" w:rsidP="00995B88">
      <w:r>
        <w:rPr>
          <w:rStyle w:val="HideTWBExt"/>
        </w:rPr>
        <w:t>&lt;/Amend&gt;</w:t>
      </w:r>
      <w:bookmarkEnd w:id="47"/>
    </w:p>
    <w:p w:rsidR="00995B88" w:rsidRPr="00995B88" w:rsidRDefault="00297AF4" w:rsidP="00995B88">
      <w:pPr>
        <w:pStyle w:val="AMNumberTabs0"/>
      </w:pPr>
      <w:bookmarkStart w:id="48" w:name="AM2Compr8"/>
      <w:r>
        <w:rPr>
          <w:rStyle w:val="HideTWBExt"/>
        </w:rPr>
        <w:t>&lt;Amend&gt;</w:t>
      </w:r>
      <w:r>
        <w:t>Amendement</w:t>
      </w:r>
      <w:r>
        <w:tab/>
      </w:r>
      <w:r>
        <w:tab/>
      </w:r>
      <w:r>
        <w:rPr>
          <w:rStyle w:val="HideTWBExt"/>
        </w:rPr>
        <w:t>&lt;NumAm&gt;</w:t>
      </w:r>
      <w:r>
        <w:t>52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w:t>
      </w:r>
      <w:r>
        <w:t>icle 3 – paragraphe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6.</w:t>
            </w:r>
            <w:r>
              <w:tab/>
              <w:t xml:space="preserve">Le fait de contraindre ou de forcer un enfant à se livrer à des activités sexuelles avec un tiers, ou de le menacer à de telles fins, est passible d’une peine maximale d’au </w:t>
            </w:r>
            <w:r>
              <w:t>moins douze</w:t>
            </w:r>
            <w:r>
              <w:rPr>
                <w:b/>
                <w:i/>
              </w:rPr>
              <w:t xml:space="preserve"> ans d’emprisonnement si l’enfant n’a pas atteint la majorité sexuelle et d’au moins</w:t>
            </w:r>
            <w:r>
              <w:t> </w:t>
            </w:r>
            <w:r>
              <w:rPr>
                <w:b/>
                <w:i/>
              </w:rPr>
              <w:t xml:space="preserve">sept </w:t>
            </w:r>
            <w:r>
              <w:t>ans d’emprisonnement</w:t>
            </w:r>
            <w:r>
              <w:rPr>
                <w:b/>
                <w:i/>
              </w:rPr>
              <w:t xml:space="preserve"> dans le cas contraire</w:t>
            </w:r>
            <w:r>
              <w:t>.</w:t>
            </w:r>
          </w:p>
        </w:tc>
        <w:tc>
          <w:tcPr>
            <w:tcW w:w="4876" w:type="dxa"/>
            <w:tcBorders>
              <w:top w:val="nil"/>
              <w:left w:val="nil"/>
              <w:bottom w:val="nil"/>
              <w:right w:val="nil"/>
            </w:tcBorders>
          </w:tcPr>
          <w:p w:rsidR="00995B88" w:rsidRPr="00995B88" w:rsidRDefault="00297AF4" w:rsidP="005C748F">
            <w:pPr>
              <w:pStyle w:val="Normal6a"/>
            </w:pPr>
            <w:r>
              <w:t>6.</w:t>
            </w:r>
            <w:r>
              <w:tab/>
              <w:t xml:space="preserve">Le fait de contraindre ou de forcer un enfant à se livrer à des activités sexuelles avec un tiers, ou de le </w:t>
            </w:r>
            <w:r>
              <w:t>menacer à de telles fins, est passible d’une peine maximale d’au moins douze ans d’emprisonnement.</w:t>
            </w:r>
          </w:p>
        </w:tc>
      </w:tr>
    </w:tbl>
    <w:p w:rsidR="00995B88" w:rsidRPr="00995B88" w:rsidRDefault="00297AF4" w:rsidP="00995B88">
      <w:r>
        <w:rPr>
          <w:rStyle w:val="HideTWBExt"/>
        </w:rPr>
        <w:t>&lt;/Amend&gt;</w:t>
      </w:r>
      <w:bookmarkEnd w:id="48"/>
    </w:p>
    <w:p w:rsidR="00995B88" w:rsidRPr="00995B88" w:rsidRDefault="00297AF4" w:rsidP="00995B88">
      <w:pPr>
        <w:pStyle w:val="AMNumberTabs0"/>
      </w:pPr>
      <w:bookmarkStart w:id="49" w:name="AM2Compr9"/>
      <w:r>
        <w:rPr>
          <w:rStyle w:val="HideTWBExt"/>
        </w:rPr>
        <w:t>&lt;Amend&gt;</w:t>
      </w:r>
      <w:r>
        <w:t>Amendement</w:t>
      </w:r>
      <w:r>
        <w:tab/>
      </w:r>
      <w:r>
        <w:tab/>
      </w:r>
      <w:r>
        <w:rPr>
          <w:rStyle w:val="HideTWBExt"/>
        </w:rPr>
        <w:t>&lt;NumAm&gt;</w:t>
      </w:r>
      <w:r>
        <w:t>53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 – paragraphe 7 – point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w:t>
            </w:r>
            <w:r>
              <w:t>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b)</w:t>
            </w:r>
            <w:r>
              <w:tab/>
              <w:t>le fait d’amener un enfant n’ayant pas atteint la majorité sexuelle à se livrer avec une autre personne à tout acte de pénétration vaginale, anale ou orale à caractère sexuel, avec toute partie du corps ou avec un o</w:t>
            </w:r>
            <w:r>
              <w:t>bjet.</w:t>
            </w:r>
          </w:p>
        </w:tc>
        <w:tc>
          <w:tcPr>
            <w:tcW w:w="4876" w:type="dxa"/>
            <w:tcBorders>
              <w:top w:val="nil"/>
              <w:left w:val="nil"/>
              <w:bottom w:val="nil"/>
              <w:right w:val="nil"/>
            </w:tcBorders>
          </w:tcPr>
          <w:p w:rsidR="00995B88" w:rsidRPr="00995B88" w:rsidRDefault="00297AF4" w:rsidP="005C748F">
            <w:pPr>
              <w:pStyle w:val="Normal6a"/>
            </w:pPr>
            <w:r>
              <w:t>b)</w:t>
            </w:r>
            <w:r>
              <w:tab/>
              <w:t>le fait d’amener un enfant n’ayant pas atteint la majorité sexuelle à se livrer avec une autre personne</w:t>
            </w:r>
            <w:r>
              <w:rPr>
                <w:b/>
                <w:i/>
              </w:rPr>
              <w:t>, sur lui-même ou avec un objet</w:t>
            </w:r>
            <w:r>
              <w:t xml:space="preserve"> à tout acte de pénétration vaginale, anale ou orale à caractère sexuel, avec toute partie du corps ou avec un ob</w:t>
            </w:r>
            <w:r>
              <w:t>jet.</w:t>
            </w:r>
          </w:p>
        </w:tc>
      </w:tr>
    </w:tbl>
    <w:p w:rsidR="00995B88" w:rsidRPr="00995B88" w:rsidRDefault="00297AF4" w:rsidP="00995B88">
      <w:r>
        <w:rPr>
          <w:rStyle w:val="HideTWBExt"/>
        </w:rPr>
        <w:lastRenderedPageBreak/>
        <w:t>&lt;/Amend&gt;</w:t>
      </w:r>
      <w:bookmarkEnd w:id="49"/>
    </w:p>
    <w:p w:rsidR="00995B88" w:rsidRPr="00995B88" w:rsidRDefault="00297AF4" w:rsidP="00995B88">
      <w:pPr>
        <w:pStyle w:val="AMNumberTabs0"/>
      </w:pPr>
      <w:bookmarkStart w:id="50" w:name="AM2Compr10"/>
      <w:r>
        <w:rPr>
          <w:rStyle w:val="HideTWBExt"/>
        </w:rPr>
        <w:t>&lt;Amend&gt;</w:t>
      </w:r>
      <w:r>
        <w:t>Amendement</w:t>
      </w:r>
      <w:r>
        <w:tab/>
      </w:r>
      <w:r>
        <w:tab/>
      </w:r>
      <w:r>
        <w:rPr>
          <w:rStyle w:val="HideTWBExt"/>
        </w:rPr>
        <w:t>&lt;NumAm&gt;</w:t>
      </w:r>
      <w:r>
        <w:t>54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 – paragraphe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8.</w:t>
            </w:r>
            <w:r>
              <w:tab/>
            </w:r>
            <w:r>
              <w:t xml:space="preserve">Lorsque l’enfant a atteint la majorité sexuelle et ne consent pas à l’acte, le comportement prévu au paragraphe 7 est passible d’une peine maximale d’au moins </w:t>
            </w:r>
            <w:r>
              <w:rPr>
                <w:b/>
                <w:i/>
              </w:rPr>
              <w:t xml:space="preserve">dix </w:t>
            </w:r>
            <w:r>
              <w:t>ans d’emprisonnement.</w:t>
            </w:r>
          </w:p>
        </w:tc>
        <w:tc>
          <w:tcPr>
            <w:tcW w:w="4876" w:type="dxa"/>
            <w:tcBorders>
              <w:top w:val="nil"/>
              <w:left w:val="nil"/>
              <w:bottom w:val="nil"/>
              <w:right w:val="nil"/>
            </w:tcBorders>
          </w:tcPr>
          <w:p w:rsidR="00995B88" w:rsidRPr="00995B88" w:rsidRDefault="00297AF4" w:rsidP="005C748F">
            <w:pPr>
              <w:pStyle w:val="Normal6a"/>
            </w:pPr>
            <w:r>
              <w:t>8.</w:t>
            </w:r>
            <w:r>
              <w:tab/>
              <w:t xml:space="preserve">Lorsque l’enfant a atteint la majorité sexuelle et ne consent pas à </w:t>
            </w:r>
            <w:r>
              <w:t xml:space="preserve">l’acte, le comportement prévu au paragraphe 7 est passible d’une peine maximale d’au moins </w:t>
            </w:r>
            <w:r>
              <w:rPr>
                <w:b/>
                <w:i/>
              </w:rPr>
              <w:t>douze </w:t>
            </w:r>
            <w:r>
              <w:t>ans d’emprisonnement.</w:t>
            </w:r>
          </w:p>
        </w:tc>
      </w:tr>
    </w:tbl>
    <w:p w:rsidR="00995B88" w:rsidRPr="00995B88" w:rsidRDefault="00297AF4" w:rsidP="00995B88">
      <w:r>
        <w:rPr>
          <w:rStyle w:val="HideTWBExt"/>
        </w:rPr>
        <w:t>&lt;/Amend&gt;</w:t>
      </w:r>
      <w:bookmarkEnd w:id="50"/>
    </w:p>
    <w:p w:rsidR="00995B88" w:rsidRPr="00995B88" w:rsidRDefault="00297AF4" w:rsidP="00995B88">
      <w:pPr>
        <w:pStyle w:val="AMNumberTabs0"/>
      </w:pPr>
      <w:bookmarkStart w:id="51" w:name="AM2Compr11"/>
      <w:r>
        <w:rPr>
          <w:rStyle w:val="HideTWBExt"/>
        </w:rPr>
        <w:t>&lt;Amend&gt;</w:t>
      </w:r>
      <w:r>
        <w:t>Amendement</w:t>
      </w:r>
      <w:r>
        <w:tab/>
      </w:r>
      <w:r>
        <w:tab/>
      </w:r>
      <w:r>
        <w:rPr>
          <w:rStyle w:val="HideTWBExt"/>
        </w:rPr>
        <w:t>&lt;NumAm&gt;</w:t>
      </w:r>
      <w:r>
        <w:t>55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 – paragraphe 9 – point a</w:t>
      </w:r>
      <w:r>
        <w:rPr>
          <w:rStyle w:val="HideTWBExt"/>
        </w:rPr>
        <w:t>&lt;</w:t>
      </w:r>
      <w:r>
        <w:rPr>
          <w:rStyle w:val="HideTWBExt"/>
        </w:rPr>
        <w: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a)</w:t>
            </w:r>
            <w:r>
              <w:tab/>
              <w:t xml:space="preserve">par acte non consenti, on entende un acte qui est accompli sans que l’enfant ait donné son consentement de son plein gré, comme résultat de sa volonté libre considérée dans le contexte des </w:t>
            </w:r>
            <w:r>
              <w:t>circonstances qui l’entourent, ou lorsque l’enfant n’est pas en mesure de se forger une volonté libre en raison de la présence des circonstances mentionnées au paragraphe 5, ou en raison d’autres circonstances, y compris son état physique ou mental, par ex</w:t>
            </w:r>
            <w:r>
              <w:t>emple un état d’inconscience, d’ébriété, de figement (freezing), de maladie</w:t>
            </w:r>
            <w:r>
              <w:rPr>
                <w:b/>
                <w:i/>
              </w:rPr>
              <w:t xml:space="preserve"> ou</w:t>
            </w:r>
            <w:r>
              <w:t xml:space="preserve"> de blessure physique.</w:t>
            </w:r>
          </w:p>
        </w:tc>
        <w:tc>
          <w:tcPr>
            <w:tcW w:w="4876" w:type="dxa"/>
            <w:tcBorders>
              <w:top w:val="nil"/>
              <w:left w:val="nil"/>
              <w:bottom w:val="nil"/>
              <w:right w:val="nil"/>
            </w:tcBorders>
          </w:tcPr>
          <w:p w:rsidR="00995B88" w:rsidRPr="00995B88" w:rsidRDefault="00297AF4" w:rsidP="005C748F">
            <w:pPr>
              <w:pStyle w:val="Normal6a"/>
            </w:pPr>
            <w:r>
              <w:t>a)</w:t>
            </w:r>
            <w:r>
              <w:tab/>
            </w:r>
            <w:r>
              <w:rPr>
                <w:b/>
                <w:i/>
              </w:rPr>
              <w:t>le consentement soit donné volontairement comme résultat de la volonté libre et soit considéré dans le contexte des circonstances environnantes;</w:t>
            </w:r>
            <w:r>
              <w:t xml:space="preserve"> par act</w:t>
            </w:r>
            <w:r>
              <w:t>e non consenti, on entende un acte qui est accompli sans que l’enfant ait donné son consentement</w:t>
            </w:r>
            <w:r>
              <w:rPr>
                <w:b/>
                <w:i/>
              </w:rPr>
              <w:t xml:space="preserve"> explicite</w:t>
            </w:r>
            <w:r>
              <w:t xml:space="preserve"> de son plein gré, comme résultat de sa volonté libre considérée dans le contexte des circonstances qui l’entourent, ou lorsque l’enfant n’est pas en </w:t>
            </w:r>
            <w:r>
              <w:t xml:space="preserve">mesure de se forger une volonté libre en raison de la présence des circonstances mentionnées au paragraphe 5, ou en raison d’autres circonstances, y compris son état physique ou mental, par exemple un état d’inconscience, </w:t>
            </w:r>
            <w:r>
              <w:rPr>
                <w:b/>
                <w:i/>
              </w:rPr>
              <w:t xml:space="preserve">de sommeil, de peur, </w:t>
            </w:r>
            <w:r>
              <w:t>d’ébriété</w:t>
            </w:r>
            <w:r>
              <w:rPr>
                <w:b/>
                <w:i/>
              </w:rPr>
              <w:t>, de</w:t>
            </w:r>
            <w:r>
              <w:rPr>
                <w:b/>
                <w:i/>
              </w:rPr>
              <w:t xml:space="preserve"> soumission chimique</w:t>
            </w:r>
            <w:r>
              <w:t>, de figement (freezing), de maladie</w:t>
            </w:r>
            <w:r>
              <w:rPr>
                <w:b/>
                <w:i/>
              </w:rPr>
              <w:t>,</w:t>
            </w:r>
            <w:r>
              <w:t xml:space="preserve"> de blessure physique</w:t>
            </w:r>
            <w:r>
              <w:rPr>
                <w:b/>
                <w:i/>
              </w:rPr>
              <w:t xml:space="preserve"> ou de handicap ou le fait de se trouver dans une situation particulièrement vulnérable pour d’autres raisons</w:t>
            </w:r>
            <w:r>
              <w:t>.</w:t>
            </w:r>
          </w:p>
        </w:tc>
      </w:tr>
    </w:tbl>
    <w:p w:rsidR="00995B88" w:rsidRPr="00995B88" w:rsidRDefault="00297AF4" w:rsidP="00995B88">
      <w:r>
        <w:rPr>
          <w:rStyle w:val="HideTWBExt"/>
        </w:rPr>
        <w:t>&lt;/Amend&gt;</w:t>
      </w:r>
      <w:bookmarkEnd w:id="51"/>
    </w:p>
    <w:p w:rsidR="00995B88" w:rsidRPr="00995B88" w:rsidRDefault="00297AF4" w:rsidP="00995B88">
      <w:pPr>
        <w:pStyle w:val="AMNumberTabs0"/>
      </w:pPr>
      <w:bookmarkStart w:id="52" w:name="AM2Compr12"/>
      <w:r>
        <w:rPr>
          <w:rStyle w:val="HideTWBExt"/>
        </w:rPr>
        <w:t>&lt;Amend&gt;</w:t>
      </w:r>
      <w:r>
        <w:t>Amendement</w:t>
      </w:r>
      <w:r>
        <w:tab/>
      </w:r>
      <w:r>
        <w:tab/>
      </w:r>
      <w:r>
        <w:rPr>
          <w:rStyle w:val="HideTWBExt"/>
        </w:rPr>
        <w:t>&lt;NumAm&gt;</w:t>
      </w:r>
      <w:r>
        <w:t>56</w:t>
      </w:r>
      <w:r>
        <w:rPr>
          <w:rStyle w:val="HideTWBExt"/>
        </w:rPr>
        <w:t>&lt;/NumAm&gt;</w:t>
      </w:r>
    </w:p>
    <w:p w:rsidR="00995B88" w:rsidRPr="00995B88" w:rsidRDefault="00297AF4" w:rsidP="00995B88">
      <w:pPr>
        <w:pStyle w:val="NormalBold12b"/>
      </w:pPr>
      <w:r>
        <w:rPr>
          <w:rStyle w:val="HideTWBExt"/>
        </w:rPr>
        <w:lastRenderedPageBreak/>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 – paragraphe 9 – point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c)</w:t>
            </w:r>
            <w:r>
              <w:tab/>
            </w:r>
            <w:r>
              <w:rPr>
                <w:b/>
                <w:i/>
              </w:rPr>
              <w:t xml:space="preserve">l’absence de consentement ne puisse être réfutée exclusivement par </w:t>
            </w:r>
            <w:r>
              <w:t xml:space="preserve">le silence de l’enfant, son absence de résistance </w:t>
            </w:r>
            <w:r>
              <w:t>verbale ou physique</w:t>
            </w:r>
            <w:r>
              <w:rPr>
                <w:b/>
                <w:i/>
              </w:rPr>
              <w:t xml:space="preserve"> ou</w:t>
            </w:r>
            <w:r>
              <w:t xml:space="preserve"> son comportement sexuel </w:t>
            </w:r>
            <w:r>
              <w:rPr>
                <w:b/>
                <w:i/>
              </w:rPr>
              <w:t>antérieur</w:t>
            </w:r>
            <w:r>
              <w:t>.</w:t>
            </w:r>
          </w:p>
        </w:tc>
        <w:tc>
          <w:tcPr>
            <w:tcW w:w="4876" w:type="dxa"/>
            <w:tcBorders>
              <w:top w:val="nil"/>
              <w:left w:val="nil"/>
              <w:bottom w:val="nil"/>
              <w:right w:val="nil"/>
            </w:tcBorders>
          </w:tcPr>
          <w:p w:rsidR="00995B88" w:rsidRPr="00995B88" w:rsidRDefault="00297AF4" w:rsidP="005C748F">
            <w:pPr>
              <w:pStyle w:val="Normal6a"/>
            </w:pPr>
            <w:r>
              <w:t>c)</w:t>
            </w:r>
            <w:r>
              <w:tab/>
              <w:t>le silence de l’enfant, son absence de résistance verbale ou physique</w:t>
            </w:r>
            <w:r>
              <w:rPr>
                <w:b/>
                <w:i/>
              </w:rPr>
              <w:t>,</w:t>
            </w:r>
            <w:r>
              <w:t xml:space="preserve"> son comportement sexuel </w:t>
            </w:r>
            <w:r>
              <w:rPr>
                <w:b/>
                <w:i/>
              </w:rPr>
              <w:t>passé</w:t>
            </w:r>
            <w:r>
              <w:rPr>
                <w:b/>
                <w:i/>
              </w:rPr>
              <w:t xml:space="preserve"> ou toute relation passée ou présente avec l’auteur de l’infraction ne puissent être considérés comme un consentement</w:t>
            </w:r>
            <w:r>
              <w:t>.</w:t>
            </w:r>
          </w:p>
        </w:tc>
      </w:tr>
    </w:tbl>
    <w:p w:rsidR="00995B88" w:rsidRPr="00995B88" w:rsidRDefault="00297AF4" w:rsidP="00995B88">
      <w:r>
        <w:rPr>
          <w:rStyle w:val="HideTWBExt"/>
        </w:rPr>
        <w:t>&lt;/Amend&gt;</w:t>
      </w:r>
      <w:bookmarkEnd w:id="52"/>
    </w:p>
    <w:p w:rsidR="00995B88" w:rsidRPr="00995B88" w:rsidRDefault="00297AF4" w:rsidP="00995B88">
      <w:pPr>
        <w:pStyle w:val="AMNumberTabs0"/>
      </w:pPr>
      <w:bookmarkStart w:id="53" w:name="AM2Compr13"/>
      <w:r>
        <w:rPr>
          <w:rStyle w:val="HideTWBExt"/>
        </w:rPr>
        <w:t>&lt;Amend&gt;</w:t>
      </w:r>
      <w:r>
        <w:t>Amendement</w:t>
      </w:r>
      <w:r>
        <w:tab/>
      </w:r>
      <w:r>
        <w:tab/>
      </w:r>
      <w:r>
        <w:rPr>
          <w:rStyle w:val="HideTWBExt"/>
        </w:rPr>
        <w:t>&lt;NumAm&gt;</w:t>
      </w:r>
      <w:r>
        <w:t>57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4 – paragraphe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2.</w:t>
            </w:r>
            <w:r>
              <w:tab/>
              <w:t>Le fait de favoriser la participation d’un enfant ou de le recruter pour qu’il participe à des spectacles</w:t>
            </w:r>
            <w:r>
              <w:rPr>
                <w:b/>
                <w:i/>
              </w:rPr>
              <w:t> </w:t>
            </w:r>
            <w:r>
              <w:t>d’abus sexuels sur enfants</w:t>
            </w:r>
            <w:r>
              <w:rPr>
                <w:b/>
                <w:i/>
              </w:rPr>
              <w:t> </w:t>
            </w:r>
            <w:r>
              <w:t xml:space="preserve">, ou de tirer profit de cette participation ou d’exploiter l’enfant de </w:t>
            </w:r>
            <w:r>
              <w:t>toute autre manière à de telles fins, est passible d’une peine maximale d’au moins cinq</w:t>
            </w:r>
            <w:r>
              <w:rPr>
                <w:b/>
                <w:i/>
              </w:rPr>
              <w:t xml:space="preserve"> ans d’emprisonnement si l’enfant n’a pas atteint la majorité sexuelle et d’au moins deux </w:t>
            </w:r>
            <w:r>
              <w:t>ans d’emprisonnement</w:t>
            </w:r>
            <w:r>
              <w:rPr>
                <w:b/>
                <w:i/>
              </w:rPr>
              <w:t xml:space="preserve"> dans le cas contraire</w:t>
            </w:r>
            <w:r>
              <w:t>.</w:t>
            </w:r>
          </w:p>
        </w:tc>
        <w:tc>
          <w:tcPr>
            <w:tcW w:w="4876" w:type="dxa"/>
            <w:tcBorders>
              <w:top w:val="nil"/>
              <w:left w:val="nil"/>
              <w:bottom w:val="nil"/>
              <w:right w:val="nil"/>
            </w:tcBorders>
          </w:tcPr>
          <w:p w:rsidR="00995B88" w:rsidRPr="00995B88" w:rsidRDefault="00297AF4" w:rsidP="005C748F">
            <w:pPr>
              <w:pStyle w:val="Normal6a"/>
            </w:pPr>
            <w:r>
              <w:t>2.</w:t>
            </w:r>
            <w:r>
              <w:tab/>
              <w:t>Le fait de favoriser la particip</w:t>
            </w:r>
            <w:r>
              <w:t>ation d’un enfant ou de le recruter pour qu’il participe à des spectacles</w:t>
            </w:r>
            <w:r>
              <w:rPr>
                <w:b/>
                <w:i/>
              </w:rPr>
              <w:t xml:space="preserve"> </w:t>
            </w:r>
            <w:r>
              <w:t>d’abus sexuels sur enfants, ou de tirer profit de cette participation ou d’exploiter l’enfant de toute autre manière à de telles fins, est passible d’une peine maximale d’au moins ci</w:t>
            </w:r>
            <w:r>
              <w:t>nq</w:t>
            </w:r>
            <w:r>
              <w:rPr>
                <w:b/>
                <w:i/>
              </w:rPr>
              <w:t> </w:t>
            </w:r>
            <w:r>
              <w:t>ans d’emprisonnement.</w:t>
            </w:r>
          </w:p>
        </w:tc>
      </w:tr>
    </w:tbl>
    <w:p w:rsidR="00995B88" w:rsidRPr="00995B88" w:rsidRDefault="00297AF4" w:rsidP="00995B88">
      <w:r>
        <w:rPr>
          <w:rStyle w:val="HideTWBExt"/>
        </w:rPr>
        <w:t>&lt;/Amend&gt;</w:t>
      </w:r>
      <w:bookmarkEnd w:id="53"/>
    </w:p>
    <w:p w:rsidR="00995B88" w:rsidRPr="00995B88" w:rsidRDefault="00297AF4" w:rsidP="00995B88">
      <w:pPr>
        <w:pStyle w:val="AMNumberTabs0"/>
      </w:pPr>
      <w:bookmarkStart w:id="54" w:name="AM2Compr14"/>
      <w:r>
        <w:rPr>
          <w:rStyle w:val="HideTWBExt"/>
        </w:rPr>
        <w:t>&lt;Amend&gt;</w:t>
      </w:r>
      <w:r>
        <w:t>Amendement</w:t>
      </w:r>
      <w:r>
        <w:tab/>
      </w:r>
      <w:r>
        <w:tab/>
      </w:r>
      <w:r>
        <w:rPr>
          <w:rStyle w:val="HideTWBExt"/>
        </w:rPr>
        <w:t>&lt;NumAm&gt;</w:t>
      </w:r>
      <w:r>
        <w:t>58</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4 – paragraphe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3.</w:t>
            </w:r>
            <w:r>
              <w:tab/>
              <w:t>Le fait de contraindre ou de forcer un enfant</w:t>
            </w:r>
            <w:r>
              <w:t xml:space="preserve"> à participer à des spectacles</w:t>
            </w:r>
            <w:r>
              <w:rPr>
                <w:b/>
                <w:i/>
              </w:rPr>
              <w:t> </w:t>
            </w:r>
            <w:r>
              <w:t>d’abus sexuels sur enfants</w:t>
            </w:r>
            <w:r>
              <w:rPr>
                <w:b/>
                <w:i/>
              </w:rPr>
              <w:t> </w:t>
            </w:r>
            <w:r>
              <w:t>, ou de le menacer à de telles fins est passible d’une peine maximale d’au moins huit</w:t>
            </w:r>
            <w:r>
              <w:rPr>
                <w:b/>
                <w:i/>
              </w:rPr>
              <w:t xml:space="preserve"> </w:t>
            </w:r>
            <w:r>
              <w:t>ans d’emprisonnement</w:t>
            </w:r>
            <w:r>
              <w:rPr>
                <w:b/>
                <w:i/>
              </w:rPr>
              <w:t xml:space="preserve"> si l’enfant n’a pas atteint la majorité sexuelle et d’au moins cinq ans d’emprisonnement da</w:t>
            </w:r>
            <w:r>
              <w:rPr>
                <w:b/>
                <w:i/>
              </w:rPr>
              <w:t xml:space="preserve">ns le cas </w:t>
            </w:r>
            <w:r>
              <w:rPr>
                <w:b/>
                <w:i/>
              </w:rPr>
              <w:lastRenderedPageBreak/>
              <w:t>contraire</w:t>
            </w:r>
            <w:r>
              <w:t>.</w:t>
            </w:r>
          </w:p>
        </w:tc>
        <w:tc>
          <w:tcPr>
            <w:tcW w:w="4876" w:type="dxa"/>
            <w:tcBorders>
              <w:top w:val="nil"/>
              <w:left w:val="nil"/>
              <w:bottom w:val="nil"/>
              <w:right w:val="nil"/>
            </w:tcBorders>
          </w:tcPr>
          <w:p w:rsidR="00995B88" w:rsidRPr="00995B88" w:rsidRDefault="00297AF4" w:rsidP="005C748F">
            <w:pPr>
              <w:pStyle w:val="Normal6a"/>
            </w:pPr>
            <w:r>
              <w:lastRenderedPageBreak/>
              <w:t>3.</w:t>
            </w:r>
            <w:r>
              <w:tab/>
              <w:t>Le fait de contraindre ou de forcer un enfant à participer à des spectacles</w:t>
            </w:r>
            <w:r>
              <w:rPr>
                <w:b/>
                <w:i/>
              </w:rPr>
              <w:t xml:space="preserve"> </w:t>
            </w:r>
            <w:r>
              <w:t>d’abus sexuels sur enfants, ou de le menacer à de telles fins est passible d’une peine maximale d’au moins huit</w:t>
            </w:r>
            <w:r>
              <w:rPr>
                <w:b/>
                <w:i/>
              </w:rPr>
              <w:t> </w:t>
            </w:r>
            <w:r>
              <w:t>ans d’emprisonnement.</w:t>
            </w:r>
          </w:p>
        </w:tc>
      </w:tr>
    </w:tbl>
    <w:p w:rsidR="00995B88" w:rsidRPr="00995B88" w:rsidRDefault="00297AF4" w:rsidP="00995B88">
      <w:r>
        <w:rPr>
          <w:rStyle w:val="HideTWBExt"/>
        </w:rPr>
        <w:t>&lt;/Amend&gt;</w:t>
      </w:r>
      <w:bookmarkEnd w:id="54"/>
    </w:p>
    <w:p w:rsidR="00995B88" w:rsidRPr="00995B88" w:rsidRDefault="00297AF4" w:rsidP="00995B88">
      <w:pPr>
        <w:pStyle w:val="AMNumberTabs0"/>
      </w:pPr>
      <w:bookmarkStart w:id="55" w:name="AM2Compr15"/>
      <w:r>
        <w:rPr>
          <w:rStyle w:val="HideTWBExt"/>
        </w:rPr>
        <w:t>&lt;Amend&gt;</w:t>
      </w:r>
      <w:r>
        <w:t>Amendement</w:t>
      </w:r>
      <w:r>
        <w:tab/>
      </w:r>
      <w:r>
        <w:tab/>
      </w:r>
      <w:r>
        <w:rPr>
          <w:rStyle w:val="HideTWBExt"/>
        </w:rPr>
        <w:t>&lt;NumAm&gt;</w:t>
      </w:r>
      <w:r>
        <w:t>59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4 – paragraphe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4.</w:t>
            </w:r>
            <w:r>
              <w:tab/>
              <w:t>Le fait d’assister en connaissance de cause à des spectacles</w:t>
            </w:r>
            <w:r>
              <w:rPr>
                <w:b/>
                <w:i/>
              </w:rPr>
              <w:t> </w:t>
            </w:r>
            <w:r>
              <w:t>d’abus sexuels sur enfants</w:t>
            </w:r>
            <w:r>
              <w:t xml:space="preserve"> impliquant la participation d’un enfant est passible d’une peine maximale d’au moins deux</w:t>
            </w:r>
            <w:r>
              <w:rPr>
                <w:b/>
                <w:i/>
              </w:rPr>
              <w:t xml:space="preserve"> </w:t>
            </w:r>
            <w:r>
              <w:t>ans d’emprisonnement</w:t>
            </w:r>
            <w:r>
              <w:rPr>
                <w:b/>
                <w:i/>
              </w:rPr>
              <w:t xml:space="preserve"> si l’enfant n’a pas atteint la majorité sexuelle et d’au moins un an d’emprisonnement dans le cas contraire</w:t>
            </w:r>
            <w:r>
              <w:t>.</w:t>
            </w:r>
          </w:p>
        </w:tc>
        <w:tc>
          <w:tcPr>
            <w:tcW w:w="4876" w:type="dxa"/>
            <w:tcBorders>
              <w:top w:val="nil"/>
              <w:left w:val="nil"/>
              <w:bottom w:val="nil"/>
              <w:right w:val="nil"/>
            </w:tcBorders>
          </w:tcPr>
          <w:p w:rsidR="00995B88" w:rsidRPr="00995B88" w:rsidRDefault="00297AF4" w:rsidP="005C748F">
            <w:pPr>
              <w:pStyle w:val="Normal6a"/>
            </w:pPr>
            <w:r>
              <w:t>4.</w:t>
            </w:r>
            <w:r>
              <w:tab/>
              <w:t>Le fait d’assister en connaissan</w:t>
            </w:r>
            <w:r>
              <w:t>ce de cause à des spectacles</w:t>
            </w:r>
            <w:r>
              <w:rPr>
                <w:b/>
                <w:i/>
              </w:rPr>
              <w:t xml:space="preserve"> </w:t>
            </w:r>
            <w:r>
              <w:t>d’abus sexuels sur enfants impliquant la participation d’un enfant est passible d’une peine maximale d’au moins deux</w:t>
            </w:r>
            <w:r>
              <w:rPr>
                <w:b/>
                <w:i/>
              </w:rPr>
              <w:t> </w:t>
            </w:r>
            <w:r>
              <w:t>ans d’emprisonnement.</w:t>
            </w:r>
          </w:p>
        </w:tc>
      </w:tr>
    </w:tbl>
    <w:p w:rsidR="00995B88" w:rsidRPr="00995B88" w:rsidRDefault="00297AF4" w:rsidP="00995B88">
      <w:r>
        <w:rPr>
          <w:rStyle w:val="HideTWBExt"/>
        </w:rPr>
        <w:t>&lt;/Amend&gt;</w:t>
      </w:r>
      <w:bookmarkEnd w:id="55"/>
    </w:p>
    <w:p w:rsidR="00995B88" w:rsidRPr="00995B88" w:rsidRDefault="00297AF4" w:rsidP="00995B88">
      <w:pPr>
        <w:pStyle w:val="AMNumberTabs0"/>
      </w:pPr>
      <w:bookmarkStart w:id="56" w:name="AM2Compr16"/>
      <w:r>
        <w:rPr>
          <w:rStyle w:val="HideTWBExt"/>
        </w:rPr>
        <w:t>&lt;Amend&gt;</w:t>
      </w:r>
      <w:r>
        <w:t>Amendement</w:t>
      </w:r>
      <w:r>
        <w:tab/>
      </w:r>
      <w:r>
        <w:tab/>
      </w:r>
      <w:r>
        <w:rPr>
          <w:rStyle w:val="HideTWBExt"/>
        </w:rPr>
        <w:t>&lt;NumAm&gt;</w:t>
      </w:r>
      <w:r>
        <w:t>60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4 – paragraphe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5.</w:t>
            </w:r>
            <w:r>
              <w:tab/>
              <w:t xml:space="preserve">Le fait de favoriser la participation d’un enfant à </w:t>
            </w:r>
            <w:r>
              <w:rPr>
                <w:b/>
                <w:i/>
              </w:rPr>
              <w:t>l’ exploitation</w:t>
            </w:r>
            <w:r>
              <w:t xml:space="preserve"> à des fins de prostitution ou de le recruter à cette fin, ou d’en tirer profit ou d’exploiter un enfant de toute autre manière à de telles fins, est passible d’une peine maximale d’au moins huit</w:t>
            </w:r>
            <w:r>
              <w:rPr>
                <w:b/>
                <w:i/>
              </w:rPr>
              <w:t xml:space="preserve"> ans d’emprisonnement si l’enfant n’a pas atteint la majorité</w:t>
            </w:r>
            <w:r>
              <w:rPr>
                <w:b/>
                <w:i/>
              </w:rPr>
              <w:t xml:space="preserve"> sexuelle et d’au moins cinq </w:t>
            </w:r>
            <w:r>
              <w:t>ans d’emprisonnement</w:t>
            </w:r>
            <w:r>
              <w:rPr>
                <w:b/>
                <w:i/>
              </w:rPr>
              <w:t xml:space="preserve"> dans le cas contraire</w:t>
            </w:r>
            <w:r>
              <w:t>.</w:t>
            </w:r>
          </w:p>
        </w:tc>
        <w:tc>
          <w:tcPr>
            <w:tcW w:w="4876" w:type="dxa"/>
            <w:tcBorders>
              <w:top w:val="nil"/>
              <w:left w:val="nil"/>
              <w:bottom w:val="nil"/>
              <w:right w:val="nil"/>
            </w:tcBorders>
          </w:tcPr>
          <w:p w:rsidR="00995B88" w:rsidRPr="00995B88" w:rsidRDefault="00297AF4" w:rsidP="005C748F">
            <w:pPr>
              <w:pStyle w:val="Normal6a"/>
            </w:pPr>
            <w:r>
              <w:t>5.</w:t>
            </w:r>
            <w:r>
              <w:tab/>
              <w:t xml:space="preserve">Le fait de favoriser la participation d’un enfant à </w:t>
            </w:r>
            <w:r>
              <w:rPr>
                <w:b/>
                <w:i/>
              </w:rPr>
              <w:t>l’exploitation</w:t>
            </w:r>
            <w:r>
              <w:t xml:space="preserve"> à des fins de prostitution ou de le recruter à cette fin, ou d’en tirer profit ou d’exploiter un enfant de toute </w:t>
            </w:r>
            <w:r>
              <w:t>autre manière à de telles fins, est passible d’une peine maximale d’au moins huit</w:t>
            </w:r>
            <w:r>
              <w:rPr>
                <w:b/>
                <w:i/>
              </w:rPr>
              <w:t> </w:t>
            </w:r>
            <w:r>
              <w:t>ans d’emprisonnement.</w:t>
            </w:r>
          </w:p>
        </w:tc>
      </w:tr>
    </w:tbl>
    <w:p w:rsidR="00995B88" w:rsidRPr="00995B88" w:rsidRDefault="00297AF4" w:rsidP="00995B88">
      <w:r>
        <w:rPr>
          <w:rStyle w:val="HideTWBExt"/>
        </w:rPr>
        <w:t>&lt;/Amend&gt;</w:t>
      </w:r>
      <w:bookmarkEnd w:id="56"/>
    </w:p>
    <w:p w:rsidR="00995B88" w:rsidRPr="00995B88" w:rsidRDefault="00297AF4" w:rsidP="00995B88">
      <w:pPr>
        <w:pStyle w:val="AMNumberTabs0"/>
      </w:pPr>
      <w:bookmarkStart w:id="57" w:name="AM2Compr17"/>
      <w:r>
        <w:rPr>
          <w:rStyle w:val="HideTWBExt"/>
        </w:rPr>
        <w:t>&lt;Amend&gt;</w:t>
      </w:r>
      <w:r>
        <w:t>Amendement</w:t>
      </w:r>
      <w:r>
        <w:tab/>
      </w:r>
      <w:r>
        <w:tab/>
      </w:r>
      <w:r>
        <w:rPr>
          <w:rStyle w:val="HideTWBExt"/>
        </w:rPr>
        <w:t>&lt;NumAm&gt;</w:t>
      </w:r>
      <w:r>
        <w:t>61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4 – paragraphe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w:t>
            </w:r>
            <w:r>
              <w:t xml:space="preserve">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6.</w:t>
            </w:r>
            <w:r>
              <w:tab/>
              <w:t xml:space="preserve">Le fait de contraindre ou de forcer un enfant à se livrer à </w:t>
            </w:r>
            <w:r>
              <w:rPr>
                <w:b/>
                <w:i/>
              </w:rPr>
              <w:t>l’ exploitation</w:t>
            </w:r>
            <w:r>
              <w:t xml:space="preserve"> à des fins de prostitution</w:t>
            </w:r>
            <w:r>
              <w:rPr>
                <w:b/>
                <w:i/>
              </w:rPr>
              <w:t xml:space="preserve"> </w:t>
            </w:r>
            <w:r>
              <w:t xml:space="preserve">, ou de le menacer à de </w:t>
            </w:r>
            <w:r>
              <w:lastRenderedPageBreak/>
              <w:t>telles fins, est passible d’une peine maximale d’au moins dix</w:t>
            </w:r>
            <w:r>
              <w:rPr>
                <w:b/>
                <w:i/>
              </w:rPr>
              <w:t xml:space="preserve"> </w:t>
            </w:r>
            <w:r>
              <w:t>ans d’emprisonnement</w:t>
            </w:r>
            <w:r>
              <w:rPr>
                <w:b/>
                <w:i/>
              </w:rPr>
              <w:t xml:space="preserve"> si l’enfant </w:t>
            </w:r>
            <w:r>
              <w:rPr>
                <w:b/>
                <w:i/>
              </w:rPr>
              <w:t>n’a pas atteint la majorité sexuelle et d’au moins cinq ans d’emprisonnement dans le cas contraire</w:t>
            </w:r>
            <w:r>
              <w:t>.</w:t>
            </w:r>
          </w:p>
        </w:tc>
        <w:tc>
          <w:tcPr>
            <w:tcW w:w="4876" w:type="dxa"/>
            <w:tcBorders>
              <w:top w:val="nil"/>
              <w:left w:val="nil"/>
              <w:bottom w:val="nil"/>
              <w:right w:val="nil"/>
            </w:tcBorders>
          </w:tcPr>
          <w:p w:rsidR="00995B88" w:rsidRPr="00995B88" w:rsidRDefault="00297AF4" w:rsidP="005C748F">
            <w:pPr>
              <w:pStyle w:val="Normal6a"/>
            </w:pPr>
            <w:r>
              <w:lastRenderedPageBreak/>
              <w:t>6.</w:t>
            </w:r>
            <w:r>
              <w:tab/>
              <w:t xml:space="preserve">Le fait de contraindre ou de forcer un enfant à se livrer à </w:t>
            </w:r>
            <w:r>
              <w:rPr>
                <w:b/>
                <w:i/>
              </w:rPr>
              <w:t>l’exploitation</w:t>
            </w:r>
            <w:r>
              <w:t xml:space="preserve"> à des fins de prostitution, ou de le menacer à de </w:t>
            </w:r>
            <w:r>
              <w:lastRenderedPageBreak/>
              <w:t>telles fins, est passible d’</w:t>
            </w:r>
            <w:r>
              <w:t>une peine maximale d’au moins dix</w:t>
            </w:r>
            <w:r>
              <w:rPr>
                <w:b/>
                <w:i/>
              </w:rPr>
              <w:t> </w:t>
            </w:r>
            <w:r>
              <w:t>ans d’emprisonnement.</w:t>
            </w:r>
          </w:p>
        </w:tc>
      </w:tr>
    </w:tbl>
    <w:p w:rsidR="00995B88" w:rsidRPr="00995B88" w:rsidRDefault="00297AF4" w:rsidP="00995B88">
      <w:r>
        <w:rPr>
          <w:rStyle w:val="HideTWBExt"/>
        </w:rPr>
        <w:lastRenderedPageBreak/>
        <w:t>&lt;/Amend&gt;</w:t>
      </w:r>
      <w:bookmarkEnd w:id="57"/>
    </w:p>
    <w:p w:rsidR="00995B88" w:rsidRPr="00995B88" w:rsidRDefault="00297AF4" w:rsidP="00995B88">
      <w:pPr>
        <w:pStyle w:val="AMNumberTabs0"/>
      </w:pPr>
      <w:bookmarkStart w:id="58" w:name="AM2Compr18"/>
      <w:r>
        <w:rPr>
          <w:rStyle w:val="HideTWBExt"/>
        </w:rPr>
        <w:t>&lt;Amend&gt;</w:t>
      </w:r>
      <w:r>
        <w:t>Amendement</w:t>
      </w:r>
      <w:r>
        <w:tab/>
      </w:r>
      <w:r>
        <w:tab/>
      </w:r>
      <w:r>
        <w:rPr>
          <w:rStyle w:val="HideTWBExt"/>
        </w:rPr>
        <w:t>&lt;NumAm&gt;</w:t>
      </w:r>
      <w:r>
        <w:t>62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4 – paragraphe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7.</w:t>
            </w:r>
            <w:r>
              <w:tab/>
            </w:r>
            <w:r>
              <w:t xml:space="preserve">Le fait de se livrer à des activités sexuelles avec un enfant, en recourant à </w:t>
            </w:r>
            <w:r>
              <w:rPr>
                <w:b/>
                <w:i/>
              </w:rPr>
              <w:t>l’ exploitation</w:t>
            </w:r>
            <w:r>
              <w:t xml:space="preserve"> à des fins de prostitution</w:t>
            </w:r>
            <w:r>
              <w:rPr>
                <w:b/>
                <w:i/>
              </w:rPr>
              <w:t xml:space="preserve"> </w:t>
            </w:r>
            <w:r>
              <w:t>, est passible d’une peine maximale d’au moins huit</w:t>
            </w:r>
            <w:r>
              <w:rPr>
                <w:b/>
                <w:i/>
              </w:rPr>
              <w:t xml:space="preserve"> ans d’emprisonnement si l’enfant n’a pas atteint la majorité sexuelle et d’au moins</w:t>
            </w:r>
            <w:r>
              <w:t> </w:t>
            </w:r>
            <w:r>
              <w:rPr>
                <w:b/>
                <w:i/>
              </w:rPr>
              <w:t xml:space="preserve">quatre </w:t>
            </w:r>
            <w:r>
              <w:t>ans d’emprisonnement</w:t>
            </w:r>
            <w:r>
              <w:rPr>
                <w:b/>
                <w:i/>
              </w:rPr>
              <w:t xml:space="preserve"> dans le cas contraire</w:t>
            </w:r>
            <w:r>
              <w:t>.</w:t>
            </w:r>
          </w:p>
        </w:tc>
        <w:tc>
          <w:tcPr>
            <w:tcW w:w="4876" w:type="dxa"/>
            <w:tcBorders>
              <w:top w:val="nil"/>
              <w:left w:val="nil"/>
              <w:bottom w:val="nil"/>
              <w:right w:val="nil"/>
            </w:tcBorders>
          </w:tcPr>
          <w:p w:rsidR="00995B88" w:rsidRPr="00995B88" w:rsidRDefault="00297AF4" w:rsidP="005C748F">
            <w:pPr>
              <w:pStyle w:val="Normal6a"/>
            </w:pPr>
            <w:r>
              <w:t>7.</w:t>
            </w:r>
            <w:r>
              <w:tab/>
              <w:t xml:space="preserve">Le fait de se livrer à des activités sexuelles avec un enfant, en recourant à </w:t>
            </w:r>
            <w:r>
              <w:rPr>
                <w:b/>
                <w:i/>
              </w:rPr>
              <w:t>l’exploitation</w:t>
            </w:r>
            <w:r>
              <w:t xml:space="preserve"> à des fins de prostitution, est passible d’une peine maximale d’au moins huit ans d’emprisonnement.</w:t>
            </w:r>
          </w:p>
        </w:tc>
      </w:tr>
    </w:tbl>
    <w:p w:rsidR="00995B88" w:rsidRPr="00995B88" w:rsidRDefault="00297AF4" w:rsidP="00995B88">
      <w:r>
        <w:rPr>
          <w:rStyle w:val="HideTWBExt"/>
        </w:rPr>
        <w:t>&lt;/Amend</w:t>
      </w:r>
      <w:r>
        <w:rPr>
          <w:rStyle w:val="HideTWBExt"/>
        </w:rPr>
        <w:t>&gt;</w:t>
      </w:r>
      <w:bookmarkEnd w:id="58"/>
    </w:p>
    <w:p w:rsidR="00995B88" w:rsidRPr="00995B88" w:rsidRDefault="00297AF4" w:rsidP="00995B88">
      <w:pPr>
        <w:pStyle w:val="AMNumberTabs0"/>
      </w:pPr>
      <w:bookmarkStart w:id="59" w:name="AM2Compr19"/>
      <w:r>
        <w:rPr>
          <w:rStyle w:val="HideTWBExt"/>
        </w:rPr>
        <w:t>&lt;Amend&gt;</w:t>
      </w:r>
      <w:r>
        <w:t>Amendement</w:t>
      </w:r>
      <w:r>
        <w:tab/>
      </w:r>
      <w:r>
        <w:tab/>
      </w:r>
      <w:r>
        <w:rPr>
          <w:rStyle w:val="HideTWBExt"/>
        </w:rPr>
        <w:t>&lt;NumAm&gt;</w:t>
      </w:r>
      <w:r>
        <w:t>63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4 – paragraphe 7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7 bis.</w:t>
            </w:r>
            <w:r>
              <w:tab/>
            </w:r>
            <w:r>
              <w:rPr>
                <w:b/>
                <w:i/>
              </w:rPr>
              <w:t>Le fait de contraindre ou de forcer un enfant à partager du</w:t>
            </w:r>
            <w:r>
              <w:rPr>
                <w:b/>
                <w:i/>
              </w:rPr>
              <w:t xml:space="preserve"> matériel intime le représentant sous la menace de partager ce matériel est passible d’une peine maximale d’au moins huit ans d’emprisonnement.</w:t>
            </w:r>
          </w:p>
        </w:tc>
      </w:tr>
    </w:tbl>
    <w:p w:rsidR="00995B88" w:rsidRPr="00995B88" w:rsidRDefault="00297AF4" w:rsidP="00995B88">
      <w:r>
        <w:rPr>
          <w:rStyle w:val="HideTWBExt"/>
        </w:rPr>
        <w:t>&lt;/Amend&gt;</w:t>
      </w:r>
      <w:bookmarkEnd w:id="59"/>
    </w:p>
    <w:p w:rsidR="00995B88" w:rsidRPr="00995B88" w:rsidRDefault="00297AF4" w:rsidP="00995B88">
      <w:pPr>
        <w:pStyle w:val="AMNumberTabs0"/>
      </w:pPr>
      <w:bookmarkStart w:id="60" w:name="AM2Compr20"/>
      <w:r>
        <w:rPr>
          <w:rStyle w:val="HideTWBExt"/>
        </w:rPr>
        <w:t>&lt;Amend&gt;</w:t>
      </w:r>
      <w:r>
        <w:t>Amendement</w:t>
      </w:r>
      <w:r>
        <w:tab/>
      </w:r>
      <w:r>
        <w:tab/>
      </w:r>
      <w:r>
        <w:rPr>
          <w:rStyle w:val="HideTWBExt"/>
        </w:rPr>
        <w:t>&lt;NumAm&gt;</w:t>
      </w:r>
      <w:r>
        <w:t>64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 xml:space="preserve">Article 4 </w:t>
      </w:r>
      <w:r>
        <w:t>– paragraphe 7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7 ter.</w:t>
            </w:r>
            <w:r>
              <w:tab/>
            </w:r>
            <w:r>
              <w:rPr>
                <w:b/>
                <w:i/>
              </w:rPr>
              <w:t xml:space="preserve">Le fait de contraindre ou de forcer un enfant à participer à des activités </w:t>
            </w:r>
            <w:r>
              <w:rPr>
                <w:b/>
                <w:i/>
              </w:rPr>
              <w:lastRenderedPageBreak/>
              <w:t xml:space="preserve">sexuelles dans le cadre d’une pratique de thérapie de conversion est passible d’une </w:t>
            </w:r>
            <w:r>
              <w:rPr>
                <w:b/>
                <w:i/>
              </w:rPr>
              <w:t>peine maximale d’au moins huit ans d’emprisonnement.</w:t>
            </w:r>
          </w:p>
        </w:tc>
      </w:tr>
    </w:tbl>
    <w:p w:rsidR="00995B88" w:rsidRPr="00995B88" w:rsidRDefault="00297AF4" w:rsidP="00995B88">
      <w:r>
        <w:rPr>
          <w:rStyle w:val="HideTWBExt"/>
        </w:rPr>
        <w:lastRenderedPageBreak/>
        <w:t>&lt;/Amend&gt;</w:t>
      </w:r>
      <w:bookmarkEnd w:id="60"/>
    </w:p>
    <w:p w:rsidR="00995B88" w:rsidRPr="00995B88" w:rsidRDefault="00297AF4" w:rsidP="00995B88">
      <w:pPr>
        <w:pStyle w:val="AMNumberTabs0"/>
      </w:pPr>
      <w:bookmarkStart w:id="61" w:name="AM2Compr21"/>
      <w:r>
        <w:rPr>
          <w:rStyle w:val="HideTWBExt"/>
        </w:rPr>
        <w:t>&lt;Amend&gt;</w:t>
      </w:r>
      <w:r>
        <w:t>Amendement</w:t>
      </w:r>
      <w:r>
        <w:tab/>
      </w:r>
      <w:r>
        <w:tab/>
      </w:r>
      <w:r>
        <w:rPr>
          <w:rStyle w:val="HideTWBExt"/>
        </w:rPr>
        <w:t>&lt;NumAm&gt;</w:t>
      </w:r>
      <w:r>
        <w:t>65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4 – paragraphe 7 quater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7 quater.</w:t>
            </w:r>
            <w:r>
              <w:tab/>
            </w:r>
            <w:r>
              <w:rPr>
                <w:b/>
                <w:i/>
              </w:rPr>
              <w:t>Le fait de pédopiéger un enfant dans le but de se livrer à des activités sexuelles avec lui est passible d’une peine maximale d’au moins huit ans d’emprisonnement.</w:t>
            </w:r>
          </w:p>
        </w:tc>
      </w:tr>
    </w:tbl>
    <w:p w:rsidR="00995B88" w:rsidRPr="00995B88" w:rsidRDefault="00297AF4" w:rsidP="00995B88">
      <w:r>
        <w:rPr>
          <w:rStyle w:val="HideTWBExt"/>
        </w:rPr>
        <w:t>&lt;/Amend&gt;</w:t>
      </w:r>
      <w:bookmarkEnd w:id="61"/>
    </w:p>
    <w:p w:rsidR="00995B88" w:rsidRPr="00995B88" w:rsidRDefault="00297AF4" w:rsidP="00995B88">
      <w:pPr>
        <w:pStyle w:val="AMNumberTabs0"/>
      </w:pPr>
      <w:bookmarkStart w:id="62" w:name="AM3Compr1"/>
      <w:r>
        <w:rPr>
          <w:rStyle w:val="HideTWBExt"/>
        </w:rPr>
        <w:t>&lt;Amend&gt;</w:t>
      </w:r>
      <w:r>
        <w:t>Amendement</w:t>
      </w:r>
      <w:r>
        <w:tab/>
      </w:r>
      <w:r>
        <w:tab/>
      </w:r>
      <w:r>
        <w:rPr>
          <w:rStyle w:val="HideTWBExt"/>
        </w:rPr>
        <w:t>&lt;NumAm&gt;</w:t>
      </w:r>
      <w:r>
        <w:t>66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5 – paragraphe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4.</w:t>
            </w:r>
            <w:r>
              <w:tab/>
              <w:t>La distribution, la diffusion ou la transmission de</w:t>
            </w:r>
            <w:r>
              <w:rPr>
                <w:b/>
                <w:i/>
              </w:rPr>
              <w:t> </w:t>
            </w:r>
            <w:r>
              <w:t>matériel relatif à des abus sexuels sur enfants est passible d’une peine maximale d’au moins deux</w:t>
            </w:r>
            <w:r>
              <w:rPr>
                <w:b/>
                <w:i/>
              </w:rPr>
              <w:t xml:space="preserve"> </w:t>
            </w:r>
            <w:r>
              <w:t>ans d’emprisonnement.</w:t>
            </w:r>
          </w:p>
        </w:tc>
        <w:tc>
          <w:tcPr>
            <w:tcW w:w="4876" w:type="dxa"/>
            <w:tcBorders>
              <w:top w:val="nil"/>
              <w:left w:val="nil"/>
              <w:bottom w:val="nil"/>
              <w:right w:val="nil"/>
            </w:tcBorders>
          </w:tcPr>
          <w:p w:rsidR="00995B88" w:rsidRPr="00995B88" w:rsidRDefault="00297AF4" w:rsidP="005C748F">
            <w:pPr>
              <w:pStyle w:val="Normal6a"/>
            </w:pPr>
            <w:r>
              <w:t>4.</w:t>
            </w:r>
            <w:r>
              <w:tab/>
              <w:t>La distribution, la diffusion ou la transmission de</w:t>
            </w:r>
            <w:r>
              <w:rPr>
                <w:b/>
                <w:i/>
              </w:rPr>
              <w:t xml:space="preserve"> </w:t>
            </w:r>
            <w:r>
              <w:t xml:space="preserve">matériel relatif à des abus sexuels sur enfants </w:t>
            </w:r>
            <w:r>
              <w:rPr>
                <w:b/>
                <w:i/>
              </w:rPr>
              <w:t xml:space="preserve">par quelque moyen que ce soit </w:t>
            </w:r>
            <w:r>
              <w:t>est passible d’une peine maximale d’au moins deux</w:t>
            </w:r>
            <w:r>
              <w:rPr>
                <w:b/>
                <w:i/>
              </w:rPr>
              <w:t> </w:t>
            </w:r>
            <w:r>
              <w:t>ans d’emprisonnement.</w:t>
            </w:r>
          </w:p>
        </w:tc>
      </w:tr>
    </w:tbl>
    <w:p w:rsidR="00995B88" w:rsidRPr="00995B88" w:rsidRDefault="00297AF4" w:rsidP="00995B88">
      <w:r>
        <w:rPr>
          <w:rStyle w:val="HideTWBExt"/>
        </w:rPr>
        <w:t>&lt;/Amend&gt;</w:t>
      </w:r>
      <w:bookmarkEnd w:id="62"/>
    </w:p>
    <w:p w:rsidR="00995B88" w:rsidRPr="00995B88" w:rsidRDefault="00297AF4" w:rsidP="00995B88">
      <w:pPr>
        <w:pStyle w:val="AMNumberTabs0"/>
      </w:pPr>
      <w:bookmarkStart w:id="63" w:name="AM3Compr2"/>
      <w:r>
        <w:rPr>
          <w:rStyle w:val="HideTWBExt"/>
        </w:rPr>
        <w:t>&lt;Amend&gt;</w:t>
      </w:r>
      <w:r>
        <w:t>Amendement</w:t>
      </w:r>
      <w:r>
        <w:tab/>
      </w:r>
      <w:r>
        <w:tab/>
      </w:r>
      <w:r>
        <w:rPr>
          <w:rStyle w:val="HideTWBExt"/>
        </w:rPr>
        <w:t>&lt;NumAm&gt;</w:t>
      </w:r>
      <w:r>
        <w:t>67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5 – paragraphe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5.</w:t>
            </w:r>
            <w:r>
              <w:tab/>
              <w:t>Le fait d’offrir, de fournir ou de mettre à disposition</w:t>
            </w:r>
            <w:r>
              <w:rPr>
                <w:b/>
                <w:i/>
              </w:rPr>
              <w:t> </w:t>
            </w:r>
            <w:r>
              <w:t xml:space="preserve">du matériel relatif à des abus sexuels sur </w:t>
            </w:r>
            <w:r>
              <w:t>enfants est passible d’une peine maximale d’au moins deux</w:t>
            </w:r>
            <w:r>
              <w:rPr>
                <w:b/>
                <w:i/>
              </w:rPr>
              <w:t xml:space="preserve"> </w:t>
            </w:r>
            <w:r>
              <w:t>ans d’emprisonnement.</w:t>
            </w:r>
          </w:p>
        </w:tc>
        <w:tc>
          <w:tcPr>
            <w:tcW w:w="4876" w:type="dxa"/>
            <w:tcBorders>
              <w:top w:val="nil"/>
              <w:left w:val="nil"/>
              <w:bottom w:val="nil"/>
              <w:right w:val="nil"/>
            </w:tcBorders>
          </w:tcPr>
          <w:p w:rsidR="00995B88" w:rsidRPr="00995B88" w:rsidRDefault="00297AF4" w:rsidP="005C748F">
            <w:pPr>
              <w:pStyle w:val="Normal6a"/>
            </w:pPr>
            <w:r>
              <w:t>5.</w:t>
            </w:r>
            <w:r>
              <w:tab/>
              <w:t xml:space="preserve">Le fait </w:t>
            </w:r>
            <w:r>
              <w:rPr>
                <w:b/>
                <w:i/>
              </w:rPr>
              <w:t xml:space="preserve">d’héberger, </w:t>
            </w:r>
            <w:r>
              <w:t>d’offrir, de fournir ou de mettre à disposition</w:t>
            </w:r>
            <w:r>
              <w:rPr>
                <w:b/>
                <w:i/>
              </w:rPr>
              <w:t xml:space="preserve"> </w:t>
            </w:r>
            <w:r>
              <w:t xml:space="preserve">du matériel relatif à des abus sexuels sur enfants </w:t>
            </w:r>
            <w:r>
              <w:rPr>
                <w:b/>
                <w:i/>
              </w:rPr>
              <w:t xml:space="preserve">par quelque moyen que ce soit </w:t>
            </w:r>
            <w:r>
              <w:t>est passible d’une peine</w:t>
            </w:r>
            <w:r>
              <w:t xml:space="preserve"> maximale d’au moins deux</w:t>
            </w:r>
            <w:r>
              <w:rPr>
                <w:b/>
                <w:i/>
              </w:rPr>
              <w:t> </w:t>
            </w:r>
            <w:r>
              <w:t>ans d’emprisonnement.</w:t>
            </w:r>
          </w:p>
        </w:tc>
      </w:tr>
    </w:tbl>
    <w:p w:rsidR="00995B88" w:rsidRPr="00995B88" w:rsidRDefault="00297AF4" w:rsidP="00995B88">
      <w:r>
        <w:rPr>
          <w:rStyle w:val="HideTWBExt"/>
        </w:rPr>
        <w:t>&lt;/Amend&gt;</w:t>
      </w:r>
      <w:bookmarkEnd w:id="63"/>
    </w:p>
    <w:p w:rsidR="00995B88" w:rsidRPr="00995B88" w:rsidRDefault="00297AF4" w:rsidP="00995B88">
      <w:pPr>
        <w:pStyle w:val="AMNumberTabs0"/>
      </w:pPr>
      <w:bookmarkStart w:id="64" w:name="AM3Compr3"/>
      <w:r>
        <w:rPr>
          <w:rStyle w:val="HideTWBExt"/>
        </w:rPr>
        <w:lastRenderedPageBreak/>
        <w:t>&lt;Amend&gt;</w:t>
      </w:r>
      <w:r>
        <w:t>Amendement</w:t>
      </w:r>
      <w:r>
        <w:tab/>
      </w:r>
      <w:r>
        <w:tab/>
      </w:r>
      <w:r>
        <w:rPr>
          <w:rStyle w:val="HideTWBExt"/>
        </w:rPr>
        <w:t>&lt;NumAm&gt;</w:t>
      </w:r>
      <w:r>
        <w:t>68</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5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jc w:val="center"/>
            </w:pPr>
            <w:r>
              <w:rPr>
                <w:b/>
                <w:i/>
              </w:rPr>
              <w:t>Article 5 bis</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jc w:val="center"/>
            </w:pPr>
            <w:r>
              <w:rPr>
                <w:b/>
                <w:i/>
              </w:rPr>
              <w:t>Infractions liées aux manuels d’instructions sur la manière de commettre des abus sexuels sur enfants</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1.</w:t>
            </w:r>
            <w:r>
              <w:rPr>
                <w:b/>
                <w:i/>
              </w:rPr>
              <w:tab/>
              <w:t xml:space="preserve">Les États membres prennent les mesures nécessaires pour que les comportements intentionnels visés aux paragraphes 2 à 4, lorsqu’ils sont commis sans </w:t>
            </w:r>
            <w:r>
              <w:rPr>
                <w:b/>
                <w:i/>
              </w:rPr>
              <w:t>droit, soient punissables.</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2.</w:t>
            </w:r>
            <w:r>
              <w:rPr>
                <w:b/>
                <w:i/>
              </w:rPr>
              <w:tab/>
              <w:t>La distribution ou la diffusion de manuels d’instructions sur la manière de commettre des abus sexuels sur enfants est passible d’une peine maximale d’au moins deux ans d’emprisonnement.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3.</w:t>
            </w:r>
            <w:r>
              <w:rPr>
                <w:b/>
                <w:i/>
              </w:rPr>
              <w:tab/>
              <w:t xml:space="preserve">Le fait d’offrir, de fournir ou </w:t>
            </w:r>
            <w:r>
              <w:rPr>
                <w:b/>
                <w:i/>
              </w:rPr>
              <w:t>de mettre à disposition des manuels d’instructions sur la manière de commettre des abus sexuels sur enfants est passible d’une peine maximale d’au moins deux ans d’emprisonnement.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4.</w:t>
            </w:r>
            <w:r>
              <w:rPr>
                <w:b/>
                <w:i/>
              </w:rPr>
              <w:tab/>
              <w:t>La production de manuels d’instructions sur la manière de commettre des</w:t>
            </w:r>
            <w:r>
              <w:rPr>
                <w:b/>
                <w:i/>
              </w:rPr>
              <w:t xml:space="preserve"> abus sexuels sur enfants est passible d’une peine maximale d’au moins trois ans d’emprisonnement.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5.</w:t>
            </w:r>
            <w:r>
              <w:rPr>
                <w:b/>
                <w:i/>
              </w:rPr>
              <w:tab/>
              <w:t>L’article 5, paragraphes 7 et 8, s’applique mutatis mutandis aux manuels d’instructions sur la manière de commettre des abus sexuels sur enfants.</w:t>
            </w:r>
          </w:p>
        </w:tc>
      </w:tr>
    </w:tbl>
    <w:p w:rsidR="00995B88" w:rsidRPr="00995B88" w:rsidRDefault="00297AF4" w:rsidP="00995B88">
      <w:r>
        <w:rPr>
          <w:rStyle w:val="HideTWBExt"/>
        </w:rPr>
        <w:t>&lt;/Amend&gt;</w:t>
      </w:r>
      <w:bookmarkEnd w:id="64"/>
    </w:p>
    <w:p w:rsidR="00995B88" w:rsidRPr="00995B88" w:rsidRDefault="00297AF4" w:rsidP="00995B88">
      <w:pPr>
        <w:pStyle w:val="AMNumberTabs0"/>
      </w:pPr>
      <w:bookmarkStart w:id="65" w:name="AM3Compr4"/>
      <w:r>
        <w:rPr>
          <w:rStyle w:val="HideTWBExt"/>
        </w:rPr>
        <w:t>&lt;Amend&gt;</w:t>
      </w:r>
      <w:r>
        <w:t>Amendement</w:t>
      </w:r>
      <w:r>
        <w:tab/>
      </w:r>
      <w:r>
        <w:tab/>
      </w:r>
      <w:r>
        <w:rPr>
          <w:rStyle w:val="HideTWBExt"/>
        </w:rPr>
        <w:t>&lt;NumAm&gt;</w:t>
      </w:r>
      <w:r>
        <w:t>69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6 – paragraphe 1 – point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a)</w:t>
            </w:r>
            <w:r>
              <w:tab/>
            </w:r>
            <w:r>
              <w:t xml:space="preserve">le fait de proposer, au moyen des </w:t>
            </w:r>
            <w:r>
              <w:lastRenderedPageBreak/>
              <w:t xml:space="preserve">technologies de l’information et de la communication, une rencontre à un enfant soit en ligne soit en personne , dans le but de commettre l’une des infractions visées à l’article 3, </w:t>
            </w:r>
            <w:r>
              <w:rPr>
                <w:b/>
                <w:i/>
              </w:rPr>
              <w:t>paragraphe</w:t>
            </w:r>
            <w:r>
              <w:t> </w:t>
            </w:r>
            <w:r>
              <w:rPr>
                <w:b/>
                <w:i/>
              </w:rPr>
              <w:t xml:space="preserve">s </w:t>
            </w:r>
            <w:r>
              <w:t>4, 5, 6 et</w:t>
            </w:r>
            <w:r>
              <w:rPr>
                <w:b/>
                <w:i/>
              </w:rPr>
              <w:t xml:space="preserve"> 7</w:t>
            </w:r>
            <w:r>
              <w:t>, et à l’articl</w:t>
            </w:r>
            <w:r>
              <w:t>e 5, paragraphe 6, lorsque cette proposition a été suivie d’actes matériels conduisant à ladite rencontre, est passible d’une peine maximale d’au moins un an d’emprisonnement;</w:t>
            </w:r>
          </w:p>
        </w:tc>
        <w:tc>
          <w:tcPr>
            <w:tcW w:w="4876" w:type="dxa"/>
            <w:tcBorders>
              <w:top w:val="nil"/>
              <w:left w:val="nil"/>
              <w:bottom w:val="nil"/>
              <w:right w:val="nil"/>
            </w:tcBorders>
          </w:tcPr>
          <w:p w:rsidR="00995B88" w:rsidRPr="00995B88" w:rsidRDefault="00297AF4" w:rsidP="005C748F">
            <w:pPr>
              <w:pStyle w:val="Normal6a"/>
            </w:pPr>
            <w:r>
              <w:lastRenderedPageBreak/>
              <w:t>a)</w:t>
            </w:r>
            <w:r>
              <w:tab/>
              <w:t xml:space="preserve">le fait de proposer, au moyen des </w:t>
            </w:r>
            <w:r>
              <w:lastRenderedPageBreak/>
              <w:t>technologies de l’information et de la comm</w:t>
            </w:r>
            <w:r>
              <w:t xml:space="preserve">unication, une rencontre à un enfant soit en ligne soit en personne , dans le but de commettre l’une des infractions visées à l’article 3, </w:t>
            </w:r>
            <w:r>
              <w:rPr>
                <w:b/>
                <w:i/>
              </w:rPr>
              <w:t>paragraphes</w:t>
            </w:r>
            <w:r>
              <w:t> 4, 5, 6</w:t>
            </w:r>
            <w:r>
              <w:rPr>
                <w:b/>
                <w:i/>
              </w:rPr>
              <w:t>, 7</w:t>
            </w:r>
            <w:r>
              <w:t xml:space="preserve"> et</w:t>
            </w:r>
            <w:r>
              <w:rPr>
                <w:b/>
                <w:i/>
              </w:rPr>
              <w:t> 8, à l’article 4</w:t>
            </w:r>
            <w:r>
              <w:t>,</w:t>
            </w:r>
            <w:r>
              <w:rPr>
                <w:b/>
                <w:i/>
              </w:rPr>
              <w:t xml:space="preserve"> paragraphes 2, 3, 5 et 6</w:t>
            </w:r>
            <w:r>
              <w:t xml:space="preserve"> et à l’article 5, paragraphe 6, lorsque cette pr</w:t>
            </w:r>
            <w:r>
              <w:t>oposition a été suivie d’actes matériels conduisant à ladite rencontre, est passible d’une peine maximale d’au moins un an d’emprisonnement;</w:t>
            </w:r>
          </w:p>
        </w:tc>
      </w:tr>
    </w:tbl>
    <w:p w:rsidR="00995B88" w:rsidRPr="00995B88" w:rsidRDefault="00297AF4" w:rsidP="00995B88">
      <w:r>
        <w:rPr>
          <w:rStyle w:val="HideTWBExt"/>
        </w:rPr>
        <w:lastRenderedPageBreak/>
        <w:t>&lt;/Amend&gt;</w:t>
      </w:r>
      <w:bookmarkEnd w:id="65"/>
    </w:p>
    <w:p w:rsidR="00995B88" w:rsidRPr="00995B88" w:rsidRDefault="00297AF4" w:rsidP="00995B88">
      <w:pPr>
        <w:pStyle w:val="AMNumberTabs0"/>
      </w:pPr>
      <w:bookmarkStart w:id="66" w:name="AM3Compr5"/>
      <w:r>
        <w:rPr>
          <w:rStyle w:val="HideTWBExt"/>
        </w:rPr>
        <w:t>&lt;Amend&gt;</w:t>
      </w:r>
      <w:r>
        <w:t>Amendement</w:t>
      </w:r>
      <w:r>
        <w:tab/>
      </w:r>
      <w:r>
        <w:tab/>
      </w:r>
      <w:r>
        <w:rPr>
          <w:rStyle w:val="HideTWBExt"/>
        </w:rPr>
        <w:t>&lt;NumAm&gt;</w:t>
      </w:r>
      <w:r>
        <w:t>70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6 – p</w:t>
      </w:r>
      <w:r>
        <w:t>aragraphe 1 – point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b)</w:t>
            </w:r>
            <w:r>
              <w:tab/>
              <w:t>les comportements prévus au premier alinéa sont passibles d’une peine maximale d’au moins deux ans d’emprisonnement en cas de recours à la contrainte, à la force</w:t>
            </w:r>
            <w:r>
              <w:rPr>
                <w:b/>
                <w:i/>
              </w:rPr>
              <w:t xml:space="preserve"> ou</w:t>
            </w:r>
            <w:r>
              <w:t xml:space="preserve"> à des menaces.</w:t>
            </w:r>
          </w:p>
        </w:tc>
        <w:tc>
          <w:tcPr>
            <w:tcW w:w="4876" w:type="dxa"/>
            <w:tcBorders>
              <w:top w:val="nil"/>
              <w:left w:val="nil"/>
              <w:bottom w:val="nil"/>
              <w:right w:val="nil"/>
            </w:tcBorders>
          </w:tcPr>
          <w:p w:rsidR="00995B88" w:rsidRPr="00995B88" w:rsidRDefault="00297AF4" w:rsidP="005C748F">
            <w:pPr>
              <w:pStyle w:val="Normal6a"/>
            </w:pPr>
            <w:r>
              <w:t>b)</w:t>
            </w:r>
            <w:r>
              <w:tab/>
              <w:t>les comportements prévus au premier alinéa sont passibles d’une peine maximale d’au moins deux ans d’emprisonnement en cas de recours à la contrainte, à la force</w:t>
            </w:r>
            <w:r>
              <w:rPr>
                <w:b/>
                <w:i/>
              </w:rPr>
              <w:t>,</w:t>
            </w:r>
            <w:r>
              <w:t xml:space="preserve"> à des menaces</w:t>
            </w:r>
            <w:r>
              <w:rPr>
                <w:b/>
                <w:i/>
              </w:rPr>
              <w:t>, à l’intimidation ou au pédopiégeage</w:t>
            </w:r>
            <w:r>
              <w:t>.</w:t>
            </w:r>
          </w:p>
        </w:tc>
      </w:tr>
    </w:tbl>
    <w:p w:rsidR="00995B88" w:rsidRPr="00995B88" w:rsidRDefault="00297AF4" w:rsidP="00995B88">
      <w:r>
        <w:rPr>
          <w:rStyle w:val="HideTWBExt"/>
        </w:rPr>
        <w:t>&lt;/Amend&gt;</w:t>
      </w:r>
      <w:bookmarkEnd w:id="66"/>
    </w:p>
    <w:p w:rsidR="00995B88" w:rsidRPr="00995B88" w:rsidRDefault="00297AF4" w:rsidP="00995B88">
      <w:pPr>
        <w:pStyle w:val="AMNumberTabs0"/>
      </w:pPr>
      <w:bookmarkStart w:id="67" w:name="AM3Compr6"/>
      <w:r>
        <w:rPr>
          <w:rStyle w:val="HideTWBExt"/>
        </w:rPr>
        <w:t>&lt;Amend&gt;</w:t>
      </w:r>
      <w:r>
        <w:t>Amendement</w:t>
      </w:r>
      <w:r>
        <w:tab/>
      </w:r>
      <w:r>
        <w:tab/>
      </w:r>
      <w:r>
        <w:rPr>
          <w:rStyle w:val="HideTWBExt"/>
        </w:rPr>
        <w:t>&lt;NumAm&gt;</w:t>
      </w:r>
      <w:r>
        <w:t>71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6 – paragraphe 2 – alinéa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Les États membres prennent les mesures nécessaires pour que soit</w:t>
            </w:r>
            <w:r>
              <w:rPr>
                <w:b/>
                <w:i/>
              </w:rPr>
              <w:t> </w:t>
            </w:r>
            <w:r>
              <w:t>passible d’une</w:t>
            </w:r>
            <w:r>
              <w:t xml:space="preserve"> peine maximale d’au moins six</w:t>
            </w:r>
            <w:r>
              <w:rPr>
                <w:b/>
                <w:i/>
              </w:rPr>
              <w:t xml:space="preserve"> </w:t>
            </w:r>
            <w:r>
              <w:t>mois d’emprisonnement toute tentative de commettre, au moyen des technologies de l’information et de la communication, les infractions visées à l’article 5, paragraphes 2 et</w:t>
            </w:r>
            <w:r>
              <w:rPr>
                <w:b/>
                <w:i/>
              </w:rPr>
              <w:t xml:space="preserve"> 3</w:t>
            </w:r>
            <w:r>
              <w:t>, de la part d’un adulte sollicitant un enfant afi</w:t>
            </w:r>
            <w:r>
              <w:t>n qu’il lui fournisse</w:t>
            </w:r>
            <w:r>
              <w:rPr>
                <w:b/>
                <w:i/>
              </w:rPr>
              <w:t> </w:t>
            </w:r>
            <w:r>
              <w:t>du matériel relatif à des abus sexuels sur enfants</w:t>
            </w:r>
            <w:r>
              <w:rPr>
                <w:b/>
                <w:i/>
              </w:rPr>
              <w:t xml:space="preserve"> </w:t>
            </w:r>
            <w:r>
              <w:t>.</w:t>
            </w:r>
          </w:p>
        </w:tc>
        <w:tc>
          <w:tcPr>
            <w:tcW w:w="4876" w:type="dxa"/>
            <w:tcBorders>
              <w:top w:val="nil"/>
              <w:left w:val="nil"/>
              <w:bottom w:val="nil"/>
              <w:right w:val="nil"/>
            </w:tcBorders>
          </w:tcPr>
          <w:p w:rsidR="00995B88" w:rsidRPr="00995B88" w:rsidRDefault="00297AF4" w:rsidP="005C748F">
            <w:pPr>
              <w:pStyle w:val="Normal6a"/>
            </w:pPr>
            <w:r>
              <w:t>Les États membres prennent les mesures nécessaires pour que soit</w:t>
            </w:r>
            <w:r>
              <w:rPr>
                <w:b/>
                <w:i/>
              </w:rPr>
              <w:t xml:space="preserve"> </w:t>
            </w:r>
            <w:r>
              <w:t>passible d’une peine maximale d’au moins six</w:t>
            </w:r>
            <w:r>
              <w:rPr>
                <w:b/>
                <w:i/>
              </w:rPr>
              <w:t> </w:t>
            </w:r>
            <w:r>
              <w:t>mois d’emprisonnement toute tentative de commettre, au moyen des techno</w:t>
            </w:r>
            <w:r>
              <w:t>logies de l’information et de la communication, les infractions visées à l’article 5, paragraphes 2</w:t>
            </w:r>
            <w:r>
              <w:rPr>
                <w:b/>
                <w:i/>
              </w:rPr>
              <w:t>, 3</w:t>
            </w:r>
            <w:r>
              <w:t xml:space="preserve"> et</w:t>
            </w:r>
            <w:r>
              <w:rPr>
                <w:b/>
                <w:i/>
              </w:rPr>
              <w:t> 6</w:t>
            </w:r>
            <w:r>
              <w:t>, de la part d’un adulte sollicitant un enfant afin qu’il lui fournisse</w:t>
            </w:r>
            <w:r>
              <w:rPr>
                <w:b/>
                <w:i/>
              </w:rPr>
              <w:t xml:space="preserve"> </w:t>
            </w:r>
            <w:r>
              <w:t>du matériel relatif à des abus sexuels sur enfants.</w:t>
            </w:r>
          </w:p>
        </w:tc>
      </w:tr>
    </w:tbl>
    <w:p w:rsidR="00995B88" w:rsidRPr="00995B88" w:rsidRDefault="00297AF4" w:rsidP="00995B88">
      <w:r>
        <w:rPr>
          <w:rStyle w:val="HideTWBExt"/>
        </w:rPr>
        <w:t>&lt;/Amend&gt;</w:t>
      </w:r>
      <w:bookmarkEnd w:id="67"/>
    </w:p>
    <w:p w:rsidR="00995B88" w:rsidRPr="00995B88" w:rsidRDefault="00297AF4" w:rsidP="00995B88">
      <w:pPr>
        <w:pStyle w:val="AMNumberTabs0"/>
      </w:pPr>
      <w:bookmarkStart w:id="68" w:name="AM3Compr7"/>
      <w:r>
        <w:rPr>
          <w:rStyle w:val="HideTWBExt"/>
        </w:rPr>
        <w:lastRenderedPageBreak/>
        <w:t>&lt;Amend&gt;</w:t>
      </w:r>
      <w:r>
        <w:t>Amendeme</w:t>
      </w:r>
      <w:r>
        <w:t>nt</w:t>
      </w:r>
      <w:r>
        <w:tab/>
      </w:r>
      <w:r>
        <w:tab/>
      </w:r>
      <w:r>
        <w:rPr>
          <w:rStyle w:val="HideTWBExt"/>
        </w:rPr>
        <w:t>&lt;NumAm&gt;</w:t>
      </w:r>
      <w:r>
        <w:t>72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7 – 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 xml:space="preserve">Les États membres prennent les mesures nécessaires pour que soit passible d’une peine maximale </w:t>
            </w:r>
            <w:r>
              <w:t>d’au moins trois ans d’emprisonnement le fait de promettre ou d’offrir intentionnellement à quiconque de l’argent ou toute autre forme de rémunération ou de contrepartie, afin de l’amener à commettre l’une des infractions énumérées à l’article 3, paragraph</w:t>
            </w:r>
            <w:r>
              <w:t>es 4, 5, 6, 7 et 8, à l’article 4, paragraphes 2</w:t>
            </w:r>
            <w:r>
              <w:rPr>
                <w:b/>
                <w:i/>
              </w:rPr>
              <w:t xml:space="preserve"> et 3</w:t>
            </w:r>
            <w:r>
              <w:t>, et à l’article 5, paragraphe 6.</w:t>
            </w:r>
          </w:p>
        </w:tc>
        <w:tc>
          <w:tcPr>
            <w:tcW w:w="4876" w:type="dxa"/>
            <w:tcBorders>
              <w:top w:val="nil"/>
              <w:left w:val="nil"/>
              <w:bottom w:val="nil"/>
              <w:right w:val="nil"/>
            </w:tcBorders>
          </w:tcPr>
          <w:p w:rsidR="00995B88" w:rsidRPr="00995B88" w:rsidRDefault="00297AF4" w:rsidP="005C748F">
            <w:pPr>
              <w:pStyle w:val="Normal6a"/>
            </w:pPr>
            <w:r>
              <w:t>Les États membres prennent les mesures nécessaires pour que soit passible d’une peine maximale d’au moins trois ans d’emprisonnement le fait de promettre ou d’offrir int</w:t>
            </w:r>
            <w:r>
              <w:t>entionnellement à quiconque de l’argent ou toute autre forme de rémunération ou de contrepartie, afin de l’amener à commettre l’une des infractions énumérées à l’article 3, paragraphes 4, 5, 6, 7 et 8, à l’article 4, paragraphes 2</w:t>
            </w:r>
            <w:r>
              <w:rPr>
                <w:b/>
                <w:i/>
              </w:rPr>
              <w:t>, 3, 5, 6 et 7</w:t>
            </w:r>
            <w:r>
              <w:t>, et à l’art</w:t>
            </w:r>
            <w:r>
              <w:t>icle 5, paragraphe 6.</w:t>
            </w:r>
          </w:p>
        </w:tc>
      </w:tr>
    </w:tbl>
    <w:p w:rsidR="00995B88" w:rsidRPr="00995B88" w:rsidRDefault="00297AF4" w:rsidP="00995B88">
      <w:r>
        <w:rPr>
          <w:rStyle w:val="HideTWBExt"/>
        </w:rPr>
        <w:t>&lt;/Amend&gt;</w:t>
      </w:r>
      <w:bookmarkEnd w:id="68"/>
    </w:p>
    <w:p w:rsidR="00995B88" w:rsidRPr="00995B88" w:rsidRDefault="00297AF4" w:rsidP="00995B88">
      <w:pPr>
        <w:pStyle w:val="AMNumberTabs0"/>
      </w:pPr>
      <w:bookmarkStart w:id="69" w:name="AM4Compr1"/>
      <w:r>
        <w:rPr>
          <w:rStyle w:val="HideTWBExt"/>
        </w:rPr>
        <w:t>&lt;Amend&gt;</w:t>
      </w:r>
      <w:r>
        <w:t>Amendement</w:t>
      </w:r>
      <w:r>
        <w:tab/>
      </w:r>
      <w:r>
        <w:tab/>
      </w:r>
      <w:r>
        <w:rPr>
          <w:rStyle w:val="HideTWBExt"/>
        </w:rPr>
        <w:t>&lt;NumAm&gt;</w:t>
      </w:r>
      <w:r>
        <w:t>73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10 – 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1.</w:t>
            </w:r>
            <w:r>
              <w:tab/>
            </w:r>
            <w:r>
              <w:rPr>
                <w:b/>
                <w:i/>
              </w:rPr>
              <w:t>Il appartient aux</w:t>
            </w:r>
            <w:r>
              <w:t xml:space="preserve"> États membres </w:t>
            </w:r>
            <w:r>
              <w:rPr>
                <w:b/>
                <w:i/>
              </w:rPr>
              <w:t>de décider si</w:t>
            </w:r>
            <w:r>
              <w:t xml:space="preserve"> l’article 3, paragraphes 2 et</w:t>
            </w:r>
            <w:r>
              <w:rPr>
                <w:b/>
                <w:i/>
              </w:rPr>
              <w:t xml:space="preserve"> 4,</w:t>
            </w:r>
            <w:r>
              <w:t xml:space="preserve"> s’applique aux activités sexuelles consenties entre pairs, pour autant que les actes en question n’aient pas impliqué d’abus.</w:t>
            </w:r>
          </w:p>
        </w:tc>
        <w:tc>
          <w:tcPr>
            <w:tcW w:w="4876" w:type="dxa"/>
            <w:tcBorders>
              <w:top w:val="nil"/>
              <w:left w:val="nil"/>
              <w:bottom w:val="nil"/>
              <w:right w:val="nil"/>
            </w:tcBorders>
          </w:tcPr>
          <w:p w:rsidR="00995B88" w:rsidRPr="00995B88" w:rsidRDefault="00297AF4" w:rsidP="005C748F">
            <w:pPr>
              <w:pStyle w:val="Normal6a"/>
            </w:pPr>
            <w:r>
              <w:t>1.</w:t>
            </w:r>
            <w:r>
              <w:tab/>
            </w:r>
            <w:r>
              <w:rPr>
                <w:b/>
                <w:i/>
              </w:rPr>
              <w:t>Les</w:t>
            </w:r>
            <w:r>
              <w:t xml:space="preserve"> États membres </w:t>
            </w:r>
            <w:r>
              <w:rPr>
                <w:b/>
                <w:i/>
              </w:rPr>
              <w:t>veillent à ce que</w:t>
            </w:r>
            <w:r>
              <w:t xml:space="preserve"> l’article 3, paragraphes 2</w:t>
            </w:r>
            <w:r>
              <w:rPr>
                <w:b/>
                <w:i/>
              </w:rPr>
              <w:t>, 4</w:t>
            </w:r>
            <w:r>
              <w:t xml:space="preserve"> et</w:t>
            </w:r>
            <w:r>
              <w:rPr>
                <w:b/>
                <w:i/>
              </w:rPr>
              <w:t> 7, ne</w:t>
            </w:r>
            <w:r>
              <w:t xml:space="preserve"> s’applique</w:t>
            </w:r>
            <w:r>
              <w:rPr>
                <w:b/>
                <w:i/>
              </w:rPr>
              <w:t xml:space="preserve"> pas</w:t>
            </w:r>
            <w:r>
              <w:t xml:space="preserve"> aux</w:t>
            </w:r>
            <w:r>
              <w:t xml:space="preserve"> activités sexuelles consenties entre pairs, pour autant que les actes en question n’aient pas impliqué d’abus</w:t>
            </w:r>
            <w:r>
              <w:rPr>
                <w:b/>
                <w:i/>
              </w:rPr>
              <w:t xml:space="preserve"> ni d’autre acte constitutif de violence sexuelle</w:t>
            </w:r>
            <w:r>
              <w:t>.</w:t>
            </w:r>
          </w:p>
        </w:tc>
      </w:tr>
    </w:tbl>
    <w:p w:rsidR="00995B88" w:rsidRPr="00995B88" w:rsidRDefault="00297AF4" w:rsidP="00995B88">
      <w:r>
        <w:rPr>
          <w:rStyle w:val="HideTWBExt"/>
        </w:rPr>
        <w:t>&lt;/Amend&gt;</w:t>
      </w:r>
      <w:bookmarkEnd w:id="69"/>
    </w:p>
    <w:p w:rsidR="00995B88" w:rsidRPr="00995B88" w:rsidRDefault="00297AF4" w:rsidP="00995B88">
      <w:pPr>
        <w:pStyle w:val="AMNumberTabs0"/>
      </w:pPr>
      <w:bookmarkStart w:id="70" w:name="AM4Compr2"/>
      <w:r>
        <w:rPr>
          <w:rStyle w:val="HideTWBExt"/>
        </w:rPr>
        <w:t>&lt;Amend&gt;</w:t>
      </w:r>
      <w:r>
        <w:t>Amendement</w:t>
      </w:r>
      <w:r>
        <w:tab/>
      </w:r>
      <w:r>
        <w:tab/>
      </w:r>
      <w:r>
        <w:rPr>
          <w:rStyle w:val="HideTWBExt"/>
        </w:rPr>
        <w:t>&lt;NumAm&gt;</w:t>
      </w:r>
      <w:r>
        <w:t>74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10 – paragraphe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2.</w:t>
            </w:r>
            <w:r>
              <w:tab/>
              <w:t xml:space="preserve">Il appartient aux États membres de décider si l’article 4, paragraphe 4, s’applique à un spectacle ayant lieu dans le contexte de relations consenties lorsque </w:t>
            </w:r>
            <w:r>
              <w:t xml:space="preserve">l’enfant a atteint la majorité sexuelle ou entre pairs , pour autant que les actes en </w:t>
            </w:r>
            <w:r>
              <w:lastRenderedPageBreak/>
              <w:t>question n’aient pas impliqué d’abus</w:t>
            </w:r>
            <w:r>
              <w:rPr>
                <w:b/>
                <w:i/>
              </w:rPr>
              <w:t xml:space="preserve"> ni d’exploitation</w:t>
            </w:r>
            <w:r>
              <w:t>, ni la remise d’argent ou d’autres formes de rémunération ou de contrepartie en échange de ce spectacle.</w:t>
            </w:r>
          </w:p>
        </w:tc>
        <w:tc>
          <w:tcPr>
            <w:tcW w:w="4876" w:type="dxa"/>
            <w:tcBorders>
              <w:top w:val="nil"/>
              <w:left w:val="nil"/>
              <w:bottom w:val="nil"/>
              <w:right w:val="nil"/>
            </w:tcBorders>
          </w:tcPr>
          <w:p w:rsidR="00995B88" w:rsidRPr="00995B88" w:rsidRDefault="00297AF4" w:rsidP="005C748F">
            <w:pPr>
              <w:pStyle w:val="Normal6a"/>
            </w:pPr>
            <w:r>
              <w:lastRenderedPageBreak/>
              <w:t>2.</w:t>
            </w:r>
            <w:r>
              <w:tab/>
              <w:t>Il appa</w:t>
            </w:r>
            <w:r>
              <w:t xml:space="preserve">rtient aux États membres de décider si l’article 4, paragraphe 4, s’applique à un spectacle ayant lieu dans le contexte de relations consenties lorsque l’enfant a atteint la majorité sexuelle ou entre pairs , pour autant que les actes en </w:t>
            </w:r>
            <w:r>
              <w:lastRenderedPageBreak/>
              <w:t>question n’aient p</w:t>
            </w:r>
            <w:r>
              <w:t>as impliqué d’abus</w:t>
            </w:r>
            <w:r>
              <w:rPr>
                <w:b/>
                <w:i/>
              </w:rPr>
              <w:t>, d’exploitation, de contrainte, de force, de menace ou d’intimidation</w:t>
            </w:r>
            <w:r>
              <w:t>, ni la remise d’argent ou d’autres formes de rémunération ou de contrepartie en échange de ce spectacle.</w:t>
            </w:r>
          </w:p>
        </w:tc>
      </w:tr>
    </w:tbl>
    <w:p w:rsidR="00995B88" w:rsidRPr="00995B88" w:rsidRDefault="00297AF4" w:rsidP="00995B88">
      <w:r>
        <w:rPr>
          <w:rStyle w:val="HideTWBExt"/>
        </w:rPr>
        <w:lastRenderedPageBreak/>
        <w:t>&lt;/Amend&gt;</w:t>
      </w:r>
      <w:bookmarkEnd w:id="70"/>
    </w:p>
    <w:p w:rsidR="00995B88" w:rsidRPr="00995B88" w:rsidRDefault="00297AF4" w:rsidP="00995B88">
      <w:pPr>
        <w:pStyle w:val="AMNumberTabs0"/>
      </w:pPr>
      <w:bookmarkStart w:id="71" w:name="AM4Compr3"/>
      <w:r>
        <w:rPr>
          <w:rStyle w:val="HideTWBExt"/>
        </w:rPr>
        <w:t>&lt;Amend&gt;</w:t>
      </w:r>
      <w:r>
        <w:t>Amendement</w:t>
      </w:r>
      <w:r>
        <w:tab/>
      </w:r>
      <w:r>
        <w:tab/>
      </w:r>
      <w:r>
        <w:rPr>
          <w:rStyle w:val="HideTWBExt"/>
        </w:rPr>
        <w:t>&lt;NumAm&gt;</w:t>
      </w:r>
      <w:r>
        <w:t>75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10 – paragraphe 3 – alinéa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 xml:space="preserve">lorsque ce matériel est produit et détenu avec le consentement des enfants impliqués et uniquement pour l’usage privé </w:t>
            </w:r>
            <w:r>
              <w:t>des personnes concernées et pour autant que les actes n’aient pas impliqué d’abus.</w:t>
            </w:r>
          </w:p>
        </w:tc>
        <w:tc>
          <w:tcPr>
            <w:tcW w:w="4876" w:type="dxa"/>
            <w:tcBorders>
              <w:top w:val="nil"/>
              <w:left w:val="nil"/>
              <w:bottom w:val="nil"/>
              <w:right w:val="nil"/>
            </w:tcBorders>
          </w:tcPr>
          <w:p w:rsidR="00995B88" w:rsidRPr="00995B88" w:rsidRDefault="00297AF4" w:rsidP="005C748F">
            <w:pPr>
              <w:pStyle w:val="Normal6a"/>
            </w:pPr>
            <w:r>
              <w:t>lorsque ce matériel est produit et détenu avec le consentement des enfants impliqués et uniquement pour l’usage privé des personnes concernées et pour autant que les actes n</w:t>
            </w:r>
            <w:r>
              <w:t>’aient pas impliqué d’abus</w:t>
            </w:r>
            <w:r>
              <w:rPr>
                <w:b/>
                <w:i/>
              </w:rPr>
              <w:t>, d’exploitation, de contrainte, de force, de menace ni d’intimidation</w:t>
            </w:r>
            <w:r>
              <w:t>.</w:t>
            </w:r>
          </w:p>
        </w:tc>
      </w:tr>
    </w:tbl>
    <w:p w:rsidR="00995B88" w:rsidRPr="00995B88" w:rsidRDefault="00297AF4" w:rsidP="00995B88">
      <w:r>
        <w:rPr>
          <w:rStyle w:val="HideTWBExt"/>
        </w:rPr>
        <w:t>&lt;/Amend&gt;</w:t>
      </w:r>
      <w:bookmarkEnd w:id="71"/>
    </w:p>
    <w:p w:rsidR="00995B88" w:rsidRPr="00995B88" w:rsidRDefault="00297AF4" w:rsidP="00995B88">
      <w:pPr>
        <w:pStyle w:val="AMNumberTabs0"/>
      </w:pPr>
      <w:bookmarkStart w:id="72" w:name="AM4Compr4"/>
      <w:r>
        <w:rPr>
          <w:rStyle w:val="HideTWBExt"/>
        </w:rPr>
        <w:t>&lt;Amend&gt;</w:t>
      </w:r>
      <w:r>
        <w:t>Amendement</w:t>
      </w:r>
      <w:r>
        <w:tab/>
      </w:r>
      <w:r>
        <w:tab/>
      </w:r>
      <w:r>
        <w:rPr>
          <w:rStyle w:val="HideTWBExt"/>
        </w:rPr>
        <w:t>&lt;NumAm&gt;</w:t>
      </w:r>
      <w:r>
        <w:t>76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10 – paragraphe 5 – alinéa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w:t>
            </w:r>
            <w:r>
              <w:t>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Aux fins des paragraphes 1 à</w:t>
            </w:r>
            <w:r>
              <w:rPr>
                <w:b/>
                <w:i/>
              </w:rPr>
              <w:t xml:space="preserve"> </w:t>
            </w:r>
            <w:r>
              <w:t>4, un enfant ayant atteint l’âge de la majorité sexuelle ne peut être considéré comme ayant consenti à une activité que si le consentement a été donné de son plein gré, comme résultat de sa</w:t>
            </w:r>
            <w:r>
              <w:t xml:space="preserve"> volonté libre de l’enfant considérée dans le contexte des circonstances qui l’entourent.</w:t>
            </w:r>
          </w:p>
        </w:tc>
        <w:tc>
          <w:tcPr>
            <w:tcW w:w="4876" w:type="dxa"/>
            <w:tcBorders>
              <w:top w:val="nil"/>
              <w:left w:val="nil"/>
              <w:bottom w:val="nil"/>
              <w:right w:val="nil"/>
            </w:tcBorders>
          </w:tcPr>
          <w:p w:rsidR="00995B88" w:rsidRPr="00995B88" w:rsidRDefault="00297AF4" w:rsidP="005C748F">
            <w:pPr>
              <w:pStyle w:val="Normal6a"/>
            </w:pPr>
            <w:r>
              <w:t>Aux fins des paragraphes 1 à</w:t>
            </w:r>
            <w:r>
              <w:rPr>
                <w:b/>
                <w:i/>
              </w:rPr>
              <w:t> </w:t>
            </w:r>
            <w:r>
              <w:t>4, un enfant ayant atteint l’âge de la majorité sexuelle ne peut être considéré comme ayant consenti à une activité que si le consentemen</w:t>
            </w:r>
            <w:r>
              <w:t>t a été donné</w:t>
            </w:r>
            <w:r>
              <w:rPr>
                <w:b/>
                <w:i/>
              </w:rPr>
              <w:t xml:space="preserve"> explicitement et</w:t>
            </w:r>
            <w:r>
              <w:t xml:space="preserve"> de son plein gré, comme résultat de sa volonté libre de l’enfant considérée dans le contexte des circonstances qui l’entourent.</w:t>
            </w:r>
          </w:p>
        </w:tc>
      </w:tr>
    </w:tbl>
    <w:p w:rsidR="00995B88" w:rsidRPr="00995B88" w:rsidRDefault="00297AF4" w:rsidP="00995B88">
      <w:r>
        <w:rPr>
          <w:rStyle w:val="HideTWBExt"/>
        </w:rPr>
        <w:t>&lt;/Amend&gt;</w:t>
      </w:r>
      <w:bookmarkEnd w:id="72"/>
    </w:p>
    <w:p w:rsidR="00995B88" w:rsidRPr="00995B88" w:rsidRDefault="00297AF4" w:rsidP="00995B88">
      <w:pPr>
        <w:pStyle w:val="AMNumberTabs0"/>
      </w:pPr>
      <w:bookmarkStart w:id="73" w:name="AM4Compr5"/>
      <w:r>
        <w:rPr>
          <w:rStyle w:val="HideTWBExt"/>
        </w:rPr>
        <w:t>&lt;Amend&gt;</w:t>
      </w:r>
      <w:r>
        <w:t>Amendement</w:t>
      </w:r>
      <w:r>
        <w:tab/>
      </w:r>
      <w:r>
        <w:tab/>
      </w:r>
      <w:r>
        <w:rPr>
          <w:rStyle w:val="HideTWBExt"/>
        </w:rPr>
        <w:t>&lt;NumAm&gt;</w:t>
      </w:r>
      <w:r>
        <w:t>77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10 – paragraphe 5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rPr>
                <w:b/>
                <w:i/>
              </w:rPr>
              <w:t xml:space="preserve">L’absence de consentement ne peut être </w:t>
            </w:r>
            <w:r>
              <w:rPr>
                <w:b/>
                <w:i/>
              </w:rPr>
              <w:lastRenderedPageBreak/>
              <w:t xml:space="preserve">réfutée exclusivement par </w:t>
            </w:r>
            <w:r>
              <w:t>le silence de l’enfant, son absence de résistance verbale ou physique</w:t>
            </w:r>
            <w:r>
              <w:rPr>
                <w:b/>
                <w:i/>
              </w:rPr>
              <w:t xml:space="preserve"> ou</w:t>
            </w:r>
            <w:r>
              <w:t xml:space="preserve"> son comportement passé.</w:t>
            </w:r>
          </w:p>
        </w:tc>
        <w:tc>
          <w:tcPr>
            <w:tcW w:w="4876" w:type="dxa"/>
            <w:tcBorders>
              <w:top w:val="nil"/>
              <w:left w:val="nil"/>
              <w:bottom w:val="nil"/>
              <w:right w:val="nil"/>
            </w:tcBorders>
          </w:tcPr>
          <w:p w:rsidR="00995B88" w:rsidRPr="00995B88" w:rsidRDefault="00297AF4" w:rsidP="005C748F">
            <w:pPr>
              <w:pStyle w:val="Normal6a"/>
            </w:pPr>
            <w:r>
              <w:lastRenderedPageBreak/>
              <w:t xml:space="preserve">Le silence de l’enfant, son absence de </w:t>
            </w:r>
            <w:r>
              <w:lastRenderedPageBreak/>
              <w:t>résistance verbale ou physique</w:t>
            </w:r>
            <w:r>
              <w:rPr>
                <w:b/>
                <w:i/>
              </w:rPr>
              <w:t>,</w:t>
            </w:r>
            <w:r>
              <w:t xml:space="preserve"> son comportement passé</w:t>
            </w:r>
            <w:r>
              <w:rPr>
                <w:b/>
                <w:i/>
              </w:rPr>
              <w:t xml:space="preserve"> ou toute relation passée ou présente avec l’auteur de l’infraction ne peuvent être considérés comme un consentement</w:t>
            </w:r>
            <w:r>
              <w:t>.</w:t>
            </w:r>
          </w:p>
        </w:tc>
      </w:tr>
    </w:tbl>
    <w:p w:rsidR="00995B88" w:rsidRPr="00995B88" w:rsidRDefault="00297AF4" w:rsidP="00995B88">
      <w:r>
        <w:rPr>
          <w:rStyle w:val="HideTWBExt"/>
        </w:rPr>
        <w:lastRenderedPageBreak/>
        <w:t>&lt;/Amend&gt;</w:t>
      </w:r>
      <w:bookmarkEnd w:id="73"/>
    </w:p>
    <w:p w:rsidR="00995B88" w:rsidRPr="00995B88" w:rsidRDefault="00297AF4" w:rsidP="00995B88">
      <w:pPr>
        <w:pStyle w:val="AMNumberTabs0"/>
      </w:pPr>
      <w:bookmarkStart w:id="74" w:name="AM4Compr6"/>
      <w:r>
        <w:rPr>
          <w:rStyle w:val="HideTWBExt"/>
        </w:rPr>
        <w:t>&lt;Amend&gt;</w:t>
      </w:r>
      <w:r>
        <w:t>Ame</w:t>
      </w:r>
      <w:r>
        <w:t>ndement</w:t>
      </w:r>
      <w:r>
        <w:tab/>
      </w:r>
      <w:r>
        <w:tab/>
      </w:r>
      <w:r>
        <w:rPr>
          <w:rStyle w:val="HideTWBExt"/>
        </w:rPr>
        <w:t>&lt;NumAm&gt;</w:t>
      </w:r>
      <w:r>
        <w:t>78</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10 – paragraphe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6.</w:t>
            </w:r>
            <w:r>
              <w:tab/>
              <w:t xml:space="preserve">Le partage </w:t>
            </w:r>
            <w:r>
              <w:rPr>
                <w:b/>
                <w:i/>
              </w:rPr>
              <w:t>consensuel</w:t>
            </w:r>
            <w:r>
              <w:t xml:space="preserve"> d’images ou </w:t>
            </w:r>
            <w:r>
              <w:rPr>
                <w:b/>
                <w:i/>
              </w:rPr>
              <w:t xml:space="preserve">de </w:t>
            </w:r>
            <w:r>
              <w:t xml:space="preserve">vidéos intimes ne </w:t>
            </w:r>
            <w:r>
              <w:rPr>
                <w:b/>
                <w:i/>
              </w:rPr>
              <w:t>saurait</w:t>
            </w:r>
            <w:r>
              <w:t xml:space="preserve"> être </w:t>
            </w:r>
            <w:r>
              <w:rPr>
                <w:b/>
                <w:i/>
              </w:rPr>
              <w:t>interprété</w:t>
            </w:r>
            <w:r>
              <w:t xml:space="preserve"> comme un consentement à tout partage ou diffusion ultérieur de cette même image ou vidéo.</w:t>
            </w:r>
          </w:p>
        </w:tc>
        <w:tc>
          <w:tcPr>
            <w:tcW w:w="4876" w:type="dxa"/>
            <w:tcBorders>
              <w:top w:val="nil"/>
              <w:left w:val="nil"/>
              <w:bottom w:val="nil"/>
              <w:right w:val="nil"/>
            </w:tcBorders>
          </w:tcPr>
          <w:p w:rsidR="00995B88" w:rsidRPr="00995B88" w:rsidRDefault="00297AF4" w:rsidP="005C748F">
            <w:pPr>
              <w:pStyle w:val="Normal6a"/>
            </w:pPr>
            <w:r>
              <w:t>6.</w:t>
            </w:r>
            <w:r>
              <w:tab/>
            </w:r>
            <w:r>
              <w:rPr>
                <w:b/>
                <w:i/>
              </w:rPr>
              <w:t xml:space="preserve">La production et </w:t>
            </w:r>
            <w:r>
              <w:t xml:space="preserve">le partage </w:t>
            </w:r>
            <w:r>
              <w:rPr>
                <w:b/>
                <w:i/>
              </w:rPr>
              <w:t>consensuels</w:t>
            </w:r>
            <w:r>
              <w:t xml:space="preserve"> d’images ou vidéos intimes </w:t>
            </w:r>
            <w:r>
              <w:rPr>
                <w:b/>
                <w:i/>
              </w:rPr>
              <w:t xml:space="preserve">ou de matériel similaire </w:t>
            </w:r>
            <w:r>
              <w:t xml:space="preserve">ne </w:t>
            </w:r>
            <w:r>
              <w:rPr>
                <w:b/>
                <w:i/>
              </w:rPr>
              <w:t>sauraient</w:t>
            </w:r>
            <w:r>
              <w:t xml:space="preserve"> être </w:t>
            </w:r>
            <w:r>
              <w:rPr>
                <w:b/>
                <w:i/>
              </w:rPr>
              <w:t>interprétés</w:t>
            </w:r>
            <w:r>
              <w:t xml:space="preserve"> comme un consentement à tout partage ou </w:t>
            </w:r>
            <w:r>
              <w:t>diffusion ultérieur de cette même image ou vidéo</w:t>
            </w:r>
            <w:r>
              <w:rPr>
                <w:b/>
                <w:i/>
              </w:rPr>
              <w:t xml:space="preserve"> ou de matériel similaire</w:t>
            </w:r>
            <w:r>
              <w:t>.</w:t>
            </w:r>
          </w:p>
        </w:tc>
      </w:tr>
    </w:tbl>
    <w:p w:rsidR="00995B88" w:rsidRPr="00995B88" w:rsidRDefault="00297AF4" w:rsidP="00995B88">
      <w:r>
        <w:rPr>
          <w:rStyle w:val="HideTWBExt"/>
        </w:rPr>
        <w:t>&lt;/Amend&gt;</w:t>
      </w:r>
      <w:bookmarkEnd w:id="74"/>
    </w:p>
    <w:p w:rsidR="00995B88" w:rsidRPr="00995B88" w:rsidRDefault="00297AF4" w:rsidP="00995B88">
      <w:pPr>
        <w:pStyle w:val="AMNumberTabs0"/>
      </w:pPr>
      <w:bookmarkStart w:id="75" w:name="AM4Compr7"/>
      <w:r>
        <w:rPr>
          <w:rStyle w:val="HideTWBExt"/>
        </w:rPr>
        <w:t>&lt;Amend&gt;</w:t>
      </w:r>
      <w:r>
        <w:t>Amendement</w:t>
      </w:r>
      <w:r>
        <w:tab/>
      </w:r>
      <w:r>
        <w:tab/>
      </w:r>
      <w:r>
        <w:rPr>
          <w:rStyle w:val="HideTWBExt"/>
        </w:rPr>
        <w:t>&lt;NumAm&gt;</w:t>
      </w:r>
      <w:r>
        <w:t>79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11 – alinéa 1 – point b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proposé par la </w:t>
            </w:r>
            <w:r>
              <w:t>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b bis)</w:t>
            </w:r>
            <w:r>
              <w:tab/>
            </w:r>
            <w:r>
              <w:rPr>
                <w:b/>
                <w:i/>
              </w:rPr>
              <w:t>l’infraction a été commise en présence d’un autre enfant;</w:t>
            </w:r>
          </w:p>
        </w:tc>
      </w:tr>
    </w:tbl>
    <w:p w:rsidR="00995B88" w:rsidRPr="00995B88" w:rsidRDefault="00297AF4" w:rsidP="00995B88">
      <w:r>
        <w:rPr>
          <w:rStyle w:val="HideTWBExt"/>
        </w:rPr>
        <w:t>&lt;/Amend&gt;</w:t>
      </w:r>
      <w:bookmarkEnd w:id="75"/>
    </w:p>
    <w:p w:rsidR="00995B88" w:rsidRPr="00995B88" w:rsidRDefault="00297AF4" w:rsidP="00995B88">
      <w:pPr>
        <w:pStyle w:val="AMNumberTabs0"/>
      </w:pPr>
      <w:bookmarkStart w:id="76" w:name="AM4Compr8"/>
      <w:r>
        <w:rPr>
          <w:rStyle w:val="HideTWBExt"/>
        </w:rPr>
        <w:t>&lt;Amend&gt;</w:t>
      </w:r>
      <w:r>
        <w:t>Amendement</w:t>
      </w:r>
      <w:r>
        <w:tab/>
      </w:r>
      <w:r>
        <w:tab/>
      </w:r>
      <w:r>
        <w:rPr>
          <w:rStyle w:val="HideTWBExt"/>
        </w:rPr>
        <w:t>&lt;NumAm&gt;</w:t>
      </w:r>
      <w:r>
        <w:t>80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11 – alinéa 1 – point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proposé par la </w:t>
            </w:r>
            <w:r>
              <w:t>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g)</w:t>
            </w:r>
            <w:r>
              <w:tab/>
              <w:t>l’infraction a été commise en ayant recours à des actes de violence grave ou a causé un préjudice grave à l’enfant</w:t>
            </w:r>
            <w:r>
              <w:rPr>
                <w:b/>
                <w:i/>
              </w:rPr>
              <w:t> </w:t>
            </w:r>
            <w:r>
              <w:t>;</w:t>
            </w:r>
          </w:p>
        </w:tc>
        <w:tc>
          <w:tcPr>
            <w:tcW w:w="4876" w:type="dxa"/>
            <w:tcBorders>
              <w:top w:val="nil"/>
              <w:left w:val="nil"/>
              <w:bottom w:val="nil"/>
              <w:right w:val="nil"/>
            </w:tcBorders>
          </w:tcPr>
          <w:p w:rsidR="00995B88" w:rsidRPr="00995B88" w:rsidRDefault="00297AF4" w:rsidP="005C748F">
            <w:pPr>
              <w:pStyle w:val="Normal6a"/>
            </w:pPr>
            <w:r>
              <w:t>g)</w:t>
            </w:r>
            <w:r>
              <w:tab/>
              <w:t xml:space="preserve">l’infraction a été commise en ayant recours à des actes de violence grave ou a causé un préjudice </w:t>
            </w:r>
            <w:r>
              <w:rPr>
                <w:b/>
                <w:i/>
              </w:rPr>
              <w:t>physique et/</w:t>
            </w:r>
            <w:r>
              <w:rPr>
                <w:b/>
                <w:i/>
              </w:rPr>
              <w:t xml:space="preserve">ou psychologique </w:t>
            </w:r>
            <w:r>
              <w:t>grave à l’enfant;</w:t>
            </w:r>
          </w:p>
        </w:tc>
      </w:tr>
    </w:tbl>
    <w:p w:rsidR="00995B88" w:rsidRPr="00995B88" w:rsidRDefault="00297AF4" w:rsidP="00995B88">
      <w:r>
        <w:rPr>
          <w:rStyle w:val="HideTWBExt"/>
        </w:rPr>
        <w:t>&lt;/Amend&gt;</w:t>
      </w:r>
      <w:bookmarkEnd w:id="76"/>
    </w:p>
    <w:p w:rsidR="00995B88" w:rsidRPr="00995B88" w:rsidRDefault="00297AF4" w:rsidP="00995B88">
      <w:pPr>
        <w:pStyle w:val="AMNumberTabs0"/>
      </w:pPr>
      <w:bookmarkStart w:id="77" w:name="AM4Compr9"/>
      <w:r>
        <w:rPr>
          <w:rStyle w:val="HideTWBExt"/>
        </w:rPr>
        <w:t>&lt;Amend&gt;</w:t>
      </w:r>
      <w:r>
        <w:t>Amendement</w:t>
      </w:r>
      <w:r>
        <w:tab/>
      </w:r>
      <w:r>
        <w:tab/>
      </w:r>
      <w:r>
        <w:rPr>
          <w:rStyle w:val="HideTWBExt"/>
        </w:rPr>
        <w:t>&lt;NumAm&gt;</w:t>
      </w:r>
      <w:r>
        <w:t>81</w:t>
      </w:r>
      <w:r>
        <w:rPr>
          <w:rStyle w:val="HideTWBExt"/>
        </w:rPr>
        <w:t>&lt;/NumAm&gt;</w:t>
      </w:r>
    </w:p>
    <w:p w:rsidR="00995B88" w:rsidRPr="00995B88" w:rsidRDefault="00297AF4" w:rsidP="00995B88">
      <w:pPr>
        <w:pStyle w:val="NormalBold12b"/>
      </w:pPr>
      <w:r>
        <w:rPr>
          <w:rStyle w:val="HideTWBExt"/>
        </w:rPr>
        <w:lastRenderedPageBreak/>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11 – alinéa 1 – point g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g bis)</w:t>
            </w:r>
            <w:r>
              <w:tab/>
            </w:r>
            <w:r>
              <w:rPr>
                <w:b/>
                <w:i/>
              </w:rPr>
              <w:t>l’infraction a entraîné un handicap chez l’enfant;</w:t>
            </w:r>
          </w:p>
        </w:tc>
      </w:tr>
    </w:tbl>
    <w:p w:rsidR="00995B88" w:rsidRPr="00995B88" w:rsidRDefault="00297AF4" w:rsidP="00995B88">
      <w:r>
        <w:rPr>
          <w:rStyle w:val="HideTWBExt"/>
        </w:rPr>
        <w:t>&lt;/Amend&gt;</w:t>
      </w:r>
      <w:bookmarkEnd w:id="77"/>
    </w:p>
    <w:p w:rsidR="00995B88" w:rsidRPr="00995B88" w:rsidRDefault="00297AF4" w:rsidP="00995B88">
      <w:pPr>
        <w:pStyle w:val="AMNumberTabs0"/>
      </w:pPr>
      <w:bookmarkStart w:id="78" w:name="AM4Compr10"/>
      <w:r>
        <w:rPr>
          <w:rStyle w:val="HideTWBExt"/>
        </w:rPr>
        <w:t>&lt;Amend&gt;</w:t>
      </w:r>
      <w:r>
        <w:t>Amendement</w:t>
      </w:r>
      <w:r>
        <w:tab/>
      </w:r>
      <w:r>
        <w:tab/>
      </w:r>
      <w:r>
        <w:rPr>
          <w:rStyle w:val="HideTWBExt"/>
        </w:rPr>
        <w:t>&lt;NumAm&gt;</w:t>
      </w:r>
      <w:r>
        <w:t>82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11 – alinéa 1 – point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h)</w:t>
            </w:r>
            <w:r>
              <w:tab/>
              <w:t>l’infraction</w:t>
            </w:r>
            <w:r>
              <w:t xml:space="preserve"> a été commise de manière répétée;</w:t>
            </w:r>
          </w:p>
        </w:tc>
        <w:tc>
          <w:tcPr>
            <w:tcW w:w="4876" w:type="dxa"/>
            <w:tcBorders>
              <w:top w:val="nil"/>
              <w:left w:val="nil"/>
              <w:bottom w:val="nil"/>
              <w:right w:val="nil"/>
            </w:tcBorders>
          </w:tcPr>
          <w:p w:rsidR="00995B88" w:rsidRPr="00995B88" w:rsidRDefault="00297AF4" w:rsidP="005C748F">
            <w:pPr>
              <w:pStyle w:val="Normal6a"/>
            </w:pPr>
            <w:r>
              <w:t>h)</w:t>
            </w:r>
            <w:r>
              <w:tab/>
              <w:t>l’infraction a été commise de manière répétée</w:t>
            </w:r>
            <w:r>
              <w:rPr>
                <w:b/>
                <w:i/>
              </w:rPr>
              <w:t xml:space="preserve"> et/ou continue au cours d’une période déterminée</w:t>
            </w:r>
            <w:r>
              <w:t>;</w:t>
            </w:r>
          </w:p>
        </w:tc>
      </w:tr>
    </w:tbl>
    <w:p w:rsidR="00995B88" w:rsidRPr="00995B88" w:rsidRDefault="00297AF4" w:rsidP="00995B88">
      <w:r>
        <w:rPr>
          <w:rStyle w:val="HideTWBExt"/>
        </w:rPr>
        <w:t>&lt;/Amend&gt;</w:t>
      </w:r>
      <w:bookmarkEnd w:id="78"/>
    </w:p>
    <w:p w:rsidR="00995B88" w:rsidRPr="00995B88" w:rsidRDefault="00297AF4" w:rsidP="00995B88">
      <w:pPr>
        <w:pStyle w:val="AMNumberTabs0"/>
      </w:pPr>
      <w:bookmarkStart w:id="79" w:name="AM4Compr11"/>
      <w:r>
        <w:rPr>
          <w:rStyle w:val="HideTWBExt"/>
        </w:rPr>
        <w:t>&lt;Amend&gt;</w:t>
      </w:r>
      <w:r>
        <w:t>Amendement</w:t>
      </w:r>
      <w:r>
        <w:tab/>
      </w:r>
      <w:r>
        <w:tab/>
      </w:r>
      <w:r>
        <w:rPr>
          <w:rStyle w:val="HideTWBExt"/>
        </w:rPr>
        <w:t>&lt;NumAm&gt;</w:t>
      </w:r>
      <w:r>
        <w:t>83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 xml:space="preserve">Article 11 – alinéa </w:t>
      </w:r>
      <w:r>
        <w:t>1 – point h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h bis)</w:t>
            </w:r>
            <w:r>
              <w:tab/>
            </w:r>
            <w:r>
              <w:rPr>
                <w:b/>
                <w:i/>
              </w:rPr>
              <w:t>l’intention de l’infraction était de préserver ou de rétablir le prétendu «honneur» d’une personne, d’une famille, d’une communauté ou d’un autre groupe similaire;</w:t>
            </w:r>
          </w:p>
        </w:tc>
      </w:tr>
    </w:tbl>
    <w:p w:rsidR="00995B88" w:rsidRPr="00995B88" w:rsidRDefault="00297AF4" w:rsidP="00995B88">
      <w:r>
        <w:rPr>
          <w:rStyle w:val="HideTWBExt"/>
        </w:rPr>
        <w:t>&lt;/Amend&gt;</w:t>
      </w:r>
      <w:bookmarkEnd w:id="79"/>
    </w:p>
    <w:p w:rsidR="00995B88" w:rsidRPr="00995B88" w:rsidRDefault="00297AF4" w:rsidP="00995B88">
      <w:pPr>
        <w:pStyle w:val="AMNumberTabs0"/>
      </w:pPr>
      <w:bookmarkStart w:id="80" w:name="AM4Compr12"/>
      <w:r>
        <w:rPr>
          <w:rStyle w:val="HideTWBExt"/>
        </w:rPr>
        <w:t>&lt;Amend&gt;</w:t>
      </w:r>
      <w:r>
        <w:t>Amendement</w:t>
      </w:r>
      <w:r>
        <w:tab/>
      </w:r>
      <w:r>
        <w:tab/>
      </w:r>
      <w:r>
        <w:rPr>
          <w:rStyle w:val="HideTWBExt"/>
        </w:rPr>
        <w:t>&lt;NumAm&gt;</w:t>
      </w:r>
      <w:r>
        <w:t>84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11 – alinéa 1 – point j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j bis)</w:t>
            </w:r>
            <w:r>
              <w:tab/>
            </w:r>
            <w:r>
              <w:rPr>
                <w:b/>
                <w:i/>
              </w:rPr>
              <w:t xml:space="preserve">l’infraction a été motivée par des </w:t>
            </w:r>
            <w:r>
              <w:rPr>
                <w:b/>
                <w:i/>
              </w:rPr>
              <w:t xml:space="preserve">discriminations fondées sur le genre, le sexe, la race, la couleur, les origines ethniques ou sociales, les caractéristiques génétiques, la langue, la religion ou les convictions, les opinions politiques ou toute autre opinion, l’appartenance à une </w:t>
            </w:r>
            <w:r>
              <w:rPr>
                <w:b/>
                <w:i/>
              </w:rPr>
              <w:lastRenderedPageBreak/>
              <w:t>minorit</w:t>
            </w:r>
            <w:r>
              <w:rPr>
                <w:b/>
                <w:i/>
              </w:rPr>
              <w:t>é nationale, la fortune, la naissance, un handicap, l’âge ou l’orientation sexuelle;</w:t>
            </w:r>
          </w:p>
        </w:tc>
      </w:tr>
    </w:tbl>
    <w:p w:rsidR="00995B88" w:rsidRPr="00995B88" w:rsidRDefault="00297AF4" w:rsidP="00995B88">
      <w:r>
        <w:rPr>
          <w:rStyle w:val="HideTWBExt"/>
        </w:rPr>
        <w:lastRenderedPageBreak/>
        <w:t>&lt;/Amend&gt;</w:t>
      </w:r>
      <w:bookmarkEnd w:id="80"/>
    </w:p>
    <w:p w:rsidR="00995B88" w:rsidRPr="00995B88" w:rsidRDefault="00297AF4" w:rsidP="00995B88">
      <w:pPr>
        <w:pStyle w:val="AMNumberTabs0"/>
      </w:pPr>
      <w:bookmarkStart w:id="81" w:name="AM4Compr13"/>
      <w:r>
        <w:rPr>
          <w:rStyle w:val="HideTWBExt"/>
        </w:rPr>
        <w:t>&lt;Amend&gt;</w:t>
      </w:r>
      <w:r>
        <w:t>Amendement</w:t>
      </w:r>
      <w:r>
        <w:tab/>
      </w:r>
      <w:r>
        <w:tab/>
      </w:r>
      <w:r>
        <w:rPr>
          <w:rStyle w:val="HideTWBExt"/>
        </w:rPr>
        <w:t>&lt;NumAm&gt;</w:t>
      </w:r>
      <w:r>
        <w:t>85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11 – alinéa 1 – point j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w:t>
            </w:r>
            <w:r>
              <w:t>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j ter)</w:t>
            </w:r>
            <w:r>
              <w:tab/>
            </w:r>
            <w:r>
              <w:rPr>
                <w:b/>
                <w:i/>
              </w:rPr>
              <w:t>l’auteur de l’infraction a, par la force ou la contrainte, obligé une ou plusieurs autres personnes à participer à l’infraction;</w:t>
            </w:r>
          </w:p>
        </w:tc>
      </w:tr>
    </w:tbl>
    <w:p w:rsidR="00995B88" w:rsidRPr="00995B88" w:rsidRDefault="00297AF4" w:rsidP="00995B88">
      <w:r>
        <w:rPr>
          <w:rStyle w:val="HideTWBExt"/>
        </w:rPr>
        <w:t>&lt;/Amend&gt;</w:t>
      </w:r>
      <w:bookmarkEnd w:id="81"/>
    </w:p>
    <w:p w:rsidR="00995B88" w:rsidRPr="00995B88" w:rsidRDefault="00297AF4" w:rsidP="00995B88">
      <w:pPr>
        <w:pStyle w:val="AMNumberTabs0"/>
      </w:pPr>
      <w:bookmarkStart w:id="82" w:name="AM4Compr14"/>
      <w:r>
        <w:rPr>
          <w:rStyle w:val="HideTWBExt"/>
        </w:rPr>
        <w:t>&lt;Amend&gt;</w:t>
      </w:r>
      <w:r>
        <w:t>Amendement</w:t>
      </w:r>
      <w:r>
        <w:tab/>
      </w:r>
      <w:r>
        <w:tab/>
      </w:r>
      <w:r>
        <w:rPr>
          <w:rStyle w:val="HideTWBExt"/>
        </w:rPr>
        <w:t>&lt;NumAm&gt;</w:t>
      </w:r>
      <w:r>
        <w:t>86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11 – alinéa 1 – point j quater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j quater)</w:t>
            </w:r>
            <w:r>
              <w:tab/>
            </w:r>
            <w:r>
              <w:rPr>
                <w:b/>
                <w:i/>
              </w:rPr>
              <w:t>l’infraction a été commise dans le cadre d’une pratique de thérapie de conversion.</w:t>
            </w:r>
          </w:p>
        </w:tc>
      </w:tr>
    </w:tbl>
    <w:p w:rsidR="00995B88" w:rsidRPr="00995B88" w:rsidRDefault="00297AF4" w:rsidP="00995B88">
      <w:r>
        <w:rPr>
          <w:rStyle w:val="HideTWBExt"/>
        </w:rPr>
        <w:t>&lt;/Amend&gt;</w:t>
      </w:r>
      <w:bookmarkEnd w:id="82"/>
    </w:p>
    <w:p w:rsidR="00995B88" w:rsidRPr="00995B88" w:rsidRDefault="00297AF4" w:rsidP="00995B88">
      <w:pPr>
        <w:pStyle w:val="AMNumberTabs0"/>
      </w:pPr>
      <w:bookmarkStart w:id="83" w:name="AM4Compr15"/>
      <w:r>
        <w:rPr>
          <w:rStyle w:val="HideTWBExt"/>
        </w:rPr>
        <w:t>&lt;Amend&gt;</w:t>
      </w:r>
      <w:r>
        <w:t>Amendement</w:t>
      </w:r>
      <w:r>
        <w:tab/>
      </w:r>
      <w:r>
        <w:tab/>
      </w:r>
      <w:r>
        <w:rPr>
          <w:rStyle w:val="HideTWBExt"/>
        </w:rPr>
        <w:t>&lt;NumAm&gt;</w:t>
      </w:r>
      <w:r>
        <w:t>87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12 – 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1.</w:t>
            </w:r>
            <w:r>
              <w:tab/>
              <w:t xml:space="preserve">Afin de prévenir les risques de réitération des infractions, les États membres prennent les mesures </w:t>
            </w:r>
            <w:r>
              <w:t xml:space="preserve">nécessaires pour qu’une personne physique, qui a été condamnée pour l’une des infractions visées aux articles 3 à 9 puisse être empêchée, à titre provisoire ou définitif, d’exercer des activités au moins professionnelles impliquant des contacts directs et </w:t>
            </w:r>
            <w:r>
              <w:t>réguliers avec des enfants.</w:t>
            </w:r>
          </w:p>
        </w:tc>
        <w:tc>
          <w:tcPr>
            <w:tcW w:w="4876" w:type="dxa"/>
            <w:tcBorders>
              <w:top w:val="nil"/>
              <w:left w:val="nil"/>
              <w:bottom w:val="nil"/>
              <w:right w:val="nil"/>
            </w:tcBorders>
          </w:tcPr>
          <w:p w:rsidR="00995B88" w:rsidRPr="00995B88" w:rsidRDefault="00297AF4" w:rsidP="005C748F">
            <w:pPr>
              <w:pStyle w:val="Normal6a"/>
            </w:pPr>
            <w:r>
              <w:t>1.</w:t>
            </w:r>
            <w:r>
              <w:tab/>
              <w:t>Afin de prévenir les risques de réitération des infractions, les États membres prennent les mesures nécessaires pour qu’une personne physique, qui a été condamnée pour l’une des infractions visées aux articles 3 à 9 puisse êt</w:t>
            </w:r>
            <w:r>
              <w:t xml:space="preserve">re empêchée, à titre provisoire ou définitif, d’exercer des activités au moins professionnelles </w:t>
            </w:r>
            <w:r>
              <w:rPr>
                <w:b/>
                <w:i/>
              </w:rPr>
              <w:t xml:space="preserve">et bénévoles organisées </w:t>
            </w:r>
            <w:r>
              <w:t>impliquant des contacts directs et réguliers avec des enfants.</w:t>
            </w:r>
          </w:p>
        </w:tc>
      </w:tr>
    </w:tbl>
    <w:p w:rsidR="00995B88" w:rsidRPr="00995B88" w:rsidRDefault="00297AF4" w:rsidP="00995B88">
      <w:r>
        <w:rPr>
          <w:rStyle w:val="HideTWBExt"/>
        </w:rPr>
        <w:lastRenderedPageBreak/>
        <w:t>&lt;/Amend&gt;</w:t>
      </w:r>
      <w:bookmarkEnd w:id="83"/>
    </w:p>
    <w:p w:rsidR="00995B88" w:rsidRPr="00995B88" w:rsidRDefault="00297AF4" w:rsidP="00995B88">
      <w:pPr>
        <w:pStyle w:val="AMNumberTabs0"/>
      </w:pPr>
      <w:bookmarkStart w:id="84" w:name="AM5Compr1"/>
      <w:r>
        <w:rPr>
          <w:rStyle w:val="HideTWBExt"/>
        </w:rPr>
        <w:t>&lt;Amend&gt;</w:t>
      </w:r>
      <w:r>
        <w:t>Amendement</w:t>
      </w:r>
      <w:r>
        <w:tab/>
      </w:r>
      <w:r>
        <w:tab/>
      </w:r>
      <w:r>
        <w:rPr>
          <w:rStyle w:val="HideTWBExt"/>
        </w:rPr>
        <w:t>&lt;NumAm&gt;</w:t>
      </w:r>
      <w:r>
        <w:t>88</w:t>
      </w:r>
      <w:r>
        <w:rPr>
          <w:rStyle w:val="HideTWBExt"/>
        </w:rPr>
        <w:t>&lt;/NumAm&gt;</w:t>
      </w:r>
    </w:p>
    <w:p w:rsidR="00995B88" w:rsidRPr="00995B88" w:rsidRDefault="00297AF4" w:rsidP="00995B88">
      <w:pPr>
        <w:pStyle w:val="NormalBold12b"/>
      </w:pPr>
      <w:r>
        <w:rPr>
          <w:rStyle w:val="HideTWBExt"/>
        </w:rPr>
        <w:t>&lt;DocAmend&gt;</w:t>
      </w:r>
      <w:r>
        <w:t>Proposition de d</w:t>
      </w:r>
      <w:r>
        <w:t>irective</w:t>
      </w:r>
      <w:r>
        <w:rPr>
          <w:rStyle w:val="HideTWBExt"/>
        </w:rPr>
        <w:t>&lt;/DocAmend&gt;</w:t>
      </w:r>
    </w:p>
    <w:p w:rsidR="00995B88" w:rsidRPr="00995B88" w:rsidRDefault="00297AF4" w:rsidP="00995B88">
      <w:pPr>
        <w:pStyle w:val="NormalBold"/>
      </w:pPr>
      <w:r>
        <w:rPr>
          <w:rStyle w:val="HideTWBExt"/>
        </w:rPr>
        <w:t>&lt;Article&gt;</w:t>
      </w:r>
      <w:r>
        <w:t>Article 16 – paragraphe 2 – alinéa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Les États membres prennent les mesures nécessaires pour permettre que les infractions visées à l’article 3, à l’article 4, paragraphes 2, 3, 5, 6 et 7 , toute infraction grave visée à l’article 5, paragraphe 6, lorsque du matériel relatif à des abus sexuel</w:t>
            </w:r>
            <w:r>
              <w:t>s sur enfants tel que visé à l’article 2 , point 3) a) et b) , a été utilisé, et les infractions définies aux articles 7 et 8 donnent lieu à des poursuites pendant une période suffisamment longue après que la victime a atteint l’âge de la majorité et propo</w:t>
            </w:r>
            <w:r>
              <w:t xml:space="preserve">rtionnelle à la gravité de l’infraction </w:t>
            </w:r>
            <w:r>
              <w:rPr>
                <w:b/>
                <w:i/>
              </w:rPr>
              <w:t>concerné</w:t>
            </w:r>
            <w:r>
              <w:t>.</w:t>
            </w:r>
          </w:p>
        </w:tc>
        <w:tc>
          <w:tcPr>
            <w:tcW w:w="4876" w:type="dxa"/>
            <w:tcBorders>
              <w:top w:val="nil"/>
              <w:left w:val="nil"/>
              <w:bottom w:val="nil"/>
              <w:right w:val="nil"/>
            </w:tcBorders>
          </w:tcPr>
          <w:p w:rsidR="00995B88" w:rsidRPr="00995B88" w:rsidRDefault="00297AF4" w:rsidP="005C748F">
            <w:pPr>
              <w:pStyle w:val="Normal6a"/>
            </w:pPr>
            <w:r>
              <w:t>Les États membres prennent les mesures nécessaires pour permettre que les infractions visées à l’article 3, à l’article 4, paragraphes 2, 3, 5, 6 et 7 , toute infraction grave visée à l’article 5, paragraph</w:t>
            </w:r>
            <w:r>
              <w:t xml:space="preserve">e 6, lorsque du matériel relatif à des abus sexuels sur enfants tel que visé à l’article 2 , point 3) a) et b) , a été utilisé, et les infractions définies aux articles 7 et 8 donnent lieu à des poursuites pendant une période suffisamment longue après que </w:t>
            </w:r>
            <w:r>
              <w:t xml:space="preserve">la victime a atteint l’âge de la majorité </w:t>
            </w:r>
            <w:r>
              <w:rPr>
                <w:b/>
                <w:i/>
              </w:rPr>
              <w:t xml:space="preserve">pour garantir le droit d’accès à la justice de chaque victime, </w:t>
            </w:r>
            <w:r>
              <w:t xml:space="preserve">et proportionnelle à la gravité de l’infraction </w:t>
            </w:r>
            <w:r>
              <w:rPr>
                <w:b/>
                <w:i/>
              </w:rPr>
              <w:t>concernée</w:t>
            </w:r>
            <w:r>
              <w:t>.</w:t>
            </w:r>
          </w:p>
        </w:tc>
      </w:tr>
    </w:tbl>
    <w:p w:rsidR="00995B88" w:rsidRPr="00995B88" w:rsidRDefault="00297AF4" w:rsidP="00995B88">
      <w:r>
        <w:rPr>
          <w:rStyle w:val="HideTWBExt"/>
        </w:rPr>
        <w:t>&lt;/Amend&gt;</w:t>
      </w:r>
      <w:bookmarkEnd w:id="84"/>
    </w:p>
    <w:p w:rsidR="00995B88" w:rsidRPr="00995B88" w:rsidRDefault="00297AF4" w:rsidP="00995B88">
      <w:pPr>
        <w:pStyle w:val="AMNumberTabs0"/>
      </w:pPr>
      <w:bookmarkStart w:id="85" w:name="AM5Compr2"/>
      <w:r>
        <w:rPr>
          <w:rStyle w:val="HideTWBExt"/>
        </w:rPr>
        <w:t>&lt;Amend&gt;</w:t>
      </w:r>
      <w:r>
        <w:t>Amendement</w:t>
      </w:r>
      <w:r>
        <w:tab/>
      </w:r>
      <w:r>
        <w:tab/>
      </w:r>
      <w:r>
        <w:rPr>
          <w:rStyle w:val="HideTWBExt"/>
        </w:rPr>
        <w:t>&lt;NumAm&gt;</w:t>
      </w:r>
      <w:r>
        <w:t>89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16 – paragraphe 2 – alinéa 2 – point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a)</w:t>
            </w:r>
            <w:r>
              <w:tab/>
              <w:t xml:space="preserve">au moins </w:t>
            </w:r>
            <w:r>
              <w:rPr>
                <w:b/>
                <w:i/>
              </w:rPr>
              <w:t>20</w:t>
            </w:r>
            <w:r>
              <w:t xml:space="preserve"> ans à compter de la date à laquelle la victime a atteint l’âge de la majorité, pour les infractions passibles d’une peine </w:t>
            </w:r>
            <w:r>
              <w:t>maximale d’au moins trois ans d’emprisonnement en vertu de la présente directive;</w:t>
            </w:r>
          </w:p>
        </w:tc>
        <w:tc>
          <w:tcPr>
            <w:tcW w:w="4876" w:type="dxa"/>
            <w:tcBorders>
              <w:top w:val="nil"/>
              <w:left w:val="nil"/>
              <w:bottom w:val="nil"/>
              <w:right w:val="nil"/>
            </w:tcBorders>
          </w:tcPr>
          <w:p w:rsidR="00995B88" w:rsidRPr="00995B88" w:rsidRDefault="00297AF4" w:rsidP="005C748F">
            <w:pPr>
              <w:pStyle w:val="Normal6a"/>
            </w:pPr>
            <w:r>
              <w:t>a)</w:t>
            </w:r>
            <w:r>
              <w:tab/>
              <w:t xml:space="preserve">au moins </w:t>
            </w:r>
            <w:r>
              <w:rPr>
                <w:b/>
                <w:i/>
              </w:rPr>
              <w:t>30</w:t>
            </w:r>
            <w:r>
              <w:t> ans à compter de la date à laquelle la victime a atteint l’âge de la majorité, pour les infractions passibles d’une peine maximale d’au moins trois ans d’empri</w:t>
            </w:r>
            <w:r>
              <w:t>sonnement en vertu de la présente directive;</w:t>
            </w:r>
          </w:p>
        </w:tc>
      </w:tr>
    </w:tbl>
    <w:p w:rsidR="00995B88" w:rsidRPr="00995B88" w:rsidRDefault="00297AF4" w:rsidP="00995B88">
      <w:r>
        <w:rPr>
          <w:rStyle w:val="HideTWBExt"/>
        </w:rPr>
        <w:t>&lt;/Amend&gt;</w:t>
      </w:r>
      <w:bookmarkEnd w:id="85"/>
    </w:p>
    <w:p w:rsidR="00995B88" w:rsidRPr="00995B88" w:rsidRDefault="00297AF4" w:rsidP="00995B88">
      <w:pPr>
        <w:pStyle w:val="AMNumberTabs0"/>
      </w:pPr>
      <w:bookmarkStart w:id="86" w:name="AM5Compr3"/>
      <w:r>
        <w:rPr>
          <w:rStyle w:val="HideTWBExt"/>
        </w:rPr>
        <w:t>&lt;Amend&gt;</w:t>
      </w:r>
      <w:r>
        <w:t>Amendement</w:t>
      </w:r>
      <w:r>
        <w:tab/>
      </w:r>
      <w:r>
        <w:tab/>
      </w:r>
      <w:r>
        <w:rPr>
          <w:rStyle w:val="HideTWBExt"/>
        </w:rPr>
        <w:t>&lt;NumAm&gt;</w:t>
      </w:r>
      <w:r>
        <w:t>90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16 – paragraphe 2 – alinéa 2 – point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b)</w:t>
            </w:r>
            <w:r>
              <w:tab/>
            </w:r>
            <w:r>
              <w:t xml:space="preserve">au moins </w:t>
            </w:r>
            <w:r>
              <w:rPr>
                <w:b/>
                <w:i/>
              </w:rPr>
              <w:t>25</w:t>
            </w:r>
            <w:r>
              <w:t xml:space="preserve"> ans à compter de la </w:t>
            </w:r>
            <w:r>
              <w:lastRenderedPageBreak/>
              <w:t>date à laquelle la victime a atteint l’âge de la majorité, pour les infractions passibles d’une peine maximale d’au moins cinq ans d’emprisonnement en vertu de la présente directive;</w:t>
            </w:r>
          </w:p>
        </w:tc>
        <w:tc>
          <w:tcPr>
            <w:tcW w:w="4876" w:type="dxa"/>
            <w:tcBorders>
              <w:top w:val="nil"/>
              <w:left w:val="nil"/>
              <w:bottom w:val="nil"/>
              <w:right w:val="nil"/>
            </w:tcBorders>
          </w:tcPr>
          <w:p w:rsidR="00995B88" w:rsidRPr="00995B88" w:rsidRDefault="00297AF4" w:rsidP="005C748F">
            <w:pPr>
              <w:pStyle w:val="Normal6a"/>
            </w:pPr>
            <w:r>
              <w:lastRenderedPageBreak/>
              <w:t>b)</w:t>
            </w:r>
            <w:r>
              <w:tab/>
              <w:t xml:space="preserve">au moins </w:t>
            </w:r>
            <w:r>
              <w:rPr>
                <w:b/>
                <w:i/>
              </w:rPr>
              <w:t>35</w:t>
            </w:r>
            <w:r>
              <w:t xml:space="preserve"> ans à compter de la </w:t>
            </w:r>
            <w:r>
              <w:lastRenderedPageBreak/>
              <w:t>date à</w:t>
            </w:r>
            <w:r>
              <w:t xml:space="preserve"> laquelle la victime a atteint l’âge de la majorité, pour les infractions passibles d’une peine maximale d’au moins cinq ans d’emprisonnement en vertu de la présente directive;</w:t>
            </w:r>
          </w:p>
        </w:tc>
      </w:tr>
    </w:tbl>
    <w:p w:rsidR="00995B88" w:rsidRPr="00995B88" w:rsidRDefault="00297AF4" w:rsidP="00995B88">
      <w:r>
        <w:rPr>
          <w:rStyle w:val="HideTWBExt"/>
        </w:rPr>
        <w:lastRenderedPageBreak/>
        <w:t>&lt;/Amend&gt;</w:t>
      </w:r>
      <w:bookmarkEnd w:id="86"/>
    </w:p>
    <w:p w:rsidR="00995B88" w:rsidRPr="00995B88" w:rsidRDefault="00297AF4" w:rsidP="00995B88">
      <w:pPr>
        <w:pStyle w:val="AMNumberTabs0"/>
      </w:pPr>
      <w:bookmarkStart w:id="87" w:name="AM5Compr4"/>
      <w:r>
        <w:rPr>
          <w:rStyle w:val="HideTWBExt"/>
        </w:rPr>
        <w:t>&lt;Amend&gt;</w:t>
      </w:r>
      <w:r>
        <w:t>Amendement</w:t>
      </w:r>
      <w:r>
        <w:tab/>
      </w:r>
      <w:r>
        <w:tab/>
      </w:r>
      <w:r>
        <w:rPr>
          <w:rStyle w:val="HideTWBExt"/>
        </w:rPr>
        <w:t>&lt;NumAm&gt;</w:t>
      </w:r>
      <w:r>
        <w:t>91</w:t>
      </w:r>
      <w:r>
        <w:rPr>
          <w:rStyle w:val="HideTWBExt"/>
        </w:rPr>
        <w:t>&lt;/NumAm&gt;</w:t>
      </w:r>
    </w:p>
    <w:p w:rsidR="00995B88" w:rsidRPr="00995B88" w:rsidRDefault="00297AF4" w:rsidP="00995B88">
      <w:pPr>
        <w:pStyle w:val="NormalBold12b"/>
      </w:pPr>
      <w:r>
        <w:rPr>
          <w:rStyle w:val="HideTWBExt"/>
        </w:rPr>
        <w:t>&lt;DocAmend&gt;</w:t>
      </w:r>
      <w:r>
        <w:t>Proposition de directi</w:t>
      </w:r>
      <w:r>
        <w:t>ve</w:t>
      </w:r>
      <w:r>
        <w:rPr>
          <w:rStyle w:val="HideTWBExt"/>
        </w:rPr>
        <w:t>&lt;/DocAmend&gt;</w:t>
      </w:r>
    </w:p>
    <w:p w:rsidR="00995B88" w:rsidRPr="00995B88" w:rsidRDefault="00297AF4" w:rsidP="00995B88">
      <w:pPr>
        <w:pStyle w:val="NormalBold"/>
      </w:pPr>
      <w:r>
        <w:rPr>
          <w:rStyle w:val="HideTWBExt"/>
        </w:rPr>
        <w:t>&lt;Article&gt;</w:t>
      </w:r>
      <w:r>
        <w:t>Article 16 – paragraphe 2 – alinéa 2 – point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c)</w:t>
            </w:r>
            <w:r>
              <w:tab/>
            </w:r>
            <w:r>
              <w:rPr>
                <w:b/>
                <w:i/>
              </w:rPr>
              <w:t>au moins 30 ans à compter de la date à laquelle la victime a atteint l’âge de la majorité, pour les</w:t>
            </w:r>
            <w:r>
              <w:t xml:space="preserve"> infractions passibles d’une peine maximale d’au moins huit</w:t>
            </w:r>
            <w:r>
              <w:rPr>
                <w:b/>
                <w:i/>
              </w:rPr>
              <w:t xml:space="preserve"> </w:t>
            </w:r>
            <w:r>
              <w:t>ans d’emprisonnement en vertu de la présente directive;</w:t>
            </w:r>
          </w:p>
        </w:tc>
        <w:tc>
          <w:tcPr>
            <w:tcW w:w="4876" w:type="dxa"/>
            <w:tcBorders>
              <w:top w:val="nil"/>
              <w:left w:val="nil"/>
              <w:bottom w:val="nil"/>
              <w:right w:val="nil"/>
            </w:tcBorders>
          </w:tcPr>
          <w:p w:rsidR="00995B88" w:rsidRPr="00995B88" w:rsidRDefault="00297AF4" w:rsidP="005C748F">
            <w:pPr>
              <w:pStyle w:val="Normal6a"/>
            </w:pPr>
            <w:r>
              <w:t>c)</w:t>
            </w:r>
            <w:r>
              <w:tab/>
            </w:r>
            <w:r>
              <w:rPr>
                <w:b/>
                <w:i/>
              </w:rPr>
              <w:t>aucun délai de prescription ne s’applique aux</w:t>
            </w:r>
            <w:r>
              <w:t xml:space="preserve"> infractions passibles d’une peine maximale d’au moins huit</w:t>
            </w:r>
            <w:r>
              <w:rPr>
                <w:b/>
                <w:i/>
              </w:rPr>
              <w:t> </w:t>
            </w:r>
            <w:r>
              <w:t>ans d’emprisonnement en vertu de</w:t>
            </w:r>
            <w:r>
              <w:t xml:space="preserve"> la présente directive;</w:t>
            </w:r>
          </w:p>
        </w:tc>
      </w:tr>
    </w:tbl>
    <w:p w:rsidR="00995B88" w:rsidRPr="00995B88" w:rsidRDefault="00297AF4" w:rsidP="00995B88">
      <w:r>
        <w:rPr>
          <w:rStyle w:val="HideTWBExt"/>
        </w:rPr>
        <w:t>&lt;/Amend&gt;</w:t>
      </w:r>
      <w:bookmarkEnd w:id="87"/>
    </w:p>
    <w:p w:rsidR="00995B88" w:rsidRPr="00995B88" w:rsidRDefault="00297AF4" w:rsidP="00995B88">
      <w:pPr>
        <w:pStyle w:val="AMNumberTabs0"/>
      </w:pPr>
      <w:bookmarkStart w:id="88" w:name="AM5Compr5"/>
      <w:r>
        <w:rPr>
          <w:rStyle w:val="HideTWBExt"/>
        </w:rPr>
        <w:t>&lt;Amend&gt;</w:t>
      </w:r>
      <w:r>
        <w:t>Amendement</w:t>
      </w:r>
      <w:r>
        <w:tab/>
      </w:r>
      <w:r>
        <w:tab/>
      </w:r>
      <w:r>
        <w:rPr>
          <w:rStyle w:val="HideTWBExt"/>
        </w:rPr>
        <w:t>&lt;NumAm&gt;</w:t>
      </w:r>
      <w:r>
        <w:t>92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16 – paragraphe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4.</w:t>
            </w:r>
            <w:r>
              <w:tab/>
              <w:t xml:space="preserve">Les États membres veillent à ce que les </w:t>
            </w:r>
            <w:r>
              <w:t>personnes, les unités et les services chargés des enquêtes et des poursuites concernant les infractions prévues aux articles 3 à 9 disposent de suffisamment de personnel, d’expertise et d’outils d’enquête efficaces pour pouvoir enquêter et engager des pour</w:t>
            </w:r>
            <w:r>
              <w:t>suites de manière efficace à l’encontre de ces infractions, notamment celles commises au moyen des technologies de l’information et de la communication, conformément aux règles applicables du droit de l’Union et du droit national. S’il y a lieu, ces outils</w:t>
            </w:r>
            <w:r>
              <w:t xml:space="preserve"> comprennent des outils d’enquête spéciaux, tels que ceux utilisés dans les affaires de criminalité organisée ou d’autres formes graves de criminalité, comme la possibilité de mener des enquêtes discrètes.</w:t>
            </w:r>
          </w:p>
        </w:tc>
        <w:tc>
          <w:tcPr>
            <w:tcW w:w="4876" w:type="dxa"/>
            <w:tcBorders>
              <w:top w:val="nil"/>
              <w:left w:val="nil"/>
              <w:bottom w:val="nil"/>
              <w:right w:val="nil"/>
            </w:tcBorders>
          </w:tcPr>
          <w:p w:rsidR="00995B88" w:rsidRPr="00995B88" w:rsidRDefault="00297AF4" w:rsidP="005C748F">
            <w:pPr>
              <w:pStyle w:val="Normal6a"/>
            </w:pPr>
            <w:r>
              <w:t>4.</w:t>
            </w:r>
            <w:r>
              <w:tab/>
              <w:t>Les États membres veillent à ce que les personn</w:t>
            </w:r>
            <w:r>
              <w:t xml:space="preserve">es, les unités et les services chargés des enquêtes et des poursuites concernant les infractions prévues aux articles 3 à 9 disposent de suffisamment de personnel, d’expertise et d’outils d’enquête efficaces pour pouvoir enquêter et engager des poursuites </w:t>
            </w:r>
            <w:r>
              <w:t>de manière efficace à l’encontre de ces infractions, notamment celles commises au moyen des technologies de l’information et de la communication, conformément aux règles applicables du droit de l’Union et du droit national. S’il y a lieu, ces outils compre</w:t>
            </w:r>
            <w:r>
              <w:t xml:space="preserve">nnent des </w:t>
            </w:r>
            <w:r>
              <w:rPr>
                <w:b/>
                <w:i/>
              </w:rPr>
              <w:t xml:space="preserve">experts en psychologie médico-légale et des </w:t>
            </w:r>
            <w:r>
              <w:t xml:space="preserve">outils d’enquête spéciaux, tels que ceux utilisés dans les affaires de criminalité organisée ou d’autres formes graves de criminalité, </w:t>
            </w:r>
            <w:r>
              <w:lastRenderedPageBreak/>
              <w:t>comme la possibilité de mener des enquêtes discrètes.</w:t>
            </w:r>
          </w:p>
        </w:tc>
      </w:tr>
    </w:tbl>
    <w:p w:rsidR="00995B88" w:rsidRPr="00995B88" w:rsidRDefault="00297AF4" w:rsidP="00995B88">
      <w:r>
        <w:rPr>
          <w:rStyle w:val="HideTWBExt"/>
        </w:rPr>
        <w:lastRenderedPageBreak/>
        <w:t>&lt;/Amend&gt;</w:t>
      </w:r>
      <w:bookmarkEnd w:id="88"/>
    </w:p>
    <w:p w:rsidR="00995B88" w:rsidRPr="00995B88" w:rsidRDefault="00297AF4" w:rsidP="00995B88">
      <w:pPr>
        <w:pStyle w:val="AMNumberTabs0"/>
      </w:pPr>
      <w:bookmarkStart w:id="89" w:name="AM5Compr6"/>
      <w:r>
        <w:rPr>
          <w:rStyle w:val="HideTWBExt"/>
        </w:rPr>
        <w:t>&lt;Am</w:t>
      </w:r>
      <w:r>
        <w:rPr>
          <w:rStyle w:val="HideTWBExt"/>
        </w:rPr>
        <w:t>end&gt;</w:t>
      </w:r>
      <w:r>
        <w:t>Amendement</w:t>
      </w:r>
      <w:r>
        <w:tab/>
      </w:r>
      <w:r>
        <w:tab/>
      </w:r>
      <w:r>
        <w:rPr>
          <w:rStyle w:val="HideTWBExt"/>
        </w:rPr>
        <w:t>&lt;NumAm&gt;</w:t>
      </w:r>
      <w:r>
        <w:t>93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17 – paragraphe 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3 bis.</w:t>
            </w:r>
            <w:r>
              <w:tab/>
            </w:r>
            <w:r>
              <w:rPr>
                <w:b/>
                <w:i/>
              </w:rPr>
              <w:t xml:space="preserve">Les États membres veillent à ce que tous les professionnels et </w:t>
            </w:r>
            <w:r>
              <w:rPr>
                <w:b/>
                <w:i/>
              </w:rPr>
              <w:t>bénévoles travaillant en contact étroit avec des enfants soient informés et formés sur la manière de détecter et de signaler les abus et l’exploitation sexuels des enfants, dans le respect de l’intérêt supérieur de l’enfant.</w:t>
            </w:r>
          </w:p>
        </w:tc>
      </w:tr>
    </w:tbl>
    <w:p w:rsidR="00995B88" w:rsidRPr="00995B88" w:rsidRDefault="00297AF4" w:rsidP="00995B88">
      <w:r>
        <w:rPr>
          <w:rStyle w:val="HideTWBExt"/>
        </w:rPr>
        <w:t>&lt;/Amend&gt;</w:t>
      </w:r>
      <w:bookmarkEnd w:id="89"/>
    </w:p>
    <w:p w:rsidR="00995B88" w:rsidRPr="00995B88" w:rsidRDefault="00297AF4" w:rsidP="00995B88">
      <w:pPr>
        <w:pStyle w:val="AMNumberTabs0"/>
      </w:pPr>
      <w:bookmarkStart w:id="90" w:name="AM5Compr7"/>
      <w:r>
        <w:rPr>
          <w:rStyle w:val="HideTWBExt"/>
        </w:rPr>
        <w:t>&lt;Amend&gt;</w:t>
      </w:r>
      <w:r>
        <w:t>Amendement</w:t>
      </w:r>
      <w:r>
        <w:tab/>
      </w:r>
      <w:r>
        <w:tab/>
      </w:r>
      <w:r>
        <w:rPr>
          <w:rStyle w:val="HideTWBExt"/>
        </w:rPr>
        <w:t>&lt;N</w:t>
      </w:r>
      <w:r>
        <w:rPr>
          <w:rStyle w:val="HideTWBExt"/>
        </w:rPr>
        <w:t>umAm&gt;</w:t>
      </w:r>
      <w:r>
        <w:t>94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18 – 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1.</w:t>
            </w:r>
            <w:r>
              <w:tab/>
              <w:t>Outre les droits des victimes lors du dépôt d’une plainte prévus à l’article 5 de la directive</w:t>
            </w:r>
            <w:r>
              <w:rPr>
                <w:b/>
                <w:i/>
              </w:rPr>
              <w:t xml:space="preserve"> </w:t>
            </w:r>
            <w:r>
              <w:t>2012/29/UE et à l’article</w:t>
            </w:r>
            <w:r>
              <w:rPr>
                <w:b/>
                <w:i/>
              </w:rPr>
              <w:t xml:space="preserve"> </w:t>
            </w:r>
            <w:r>
              <w:t>5 bis de la directive</w:t>
            </w:r>
            <w:r>
              <w:rPr>
                <w:b/>
                <w:i/>
              </w:rPr>
              <w:t xml:space="preserve"> </w:t>
            </w:r>
            <w:r>
              <w:t>(UE).../... [proposition de directive modifiant la directive</w:t>
            </w:r>
            <w:r>
              <w:rPr>
                <w:b/>
                <w:i/>
              </w:rPr>
              <w:t xml:space="preserve"> </w:t>
            </w:r>
            <w:r>
              <w:t>2012/29 établissant des normes minimales concernant les droits, le soutien et la protection des victimes de la criminalité], les États membres veil</w:t>
            </w:r>
            <w:r>
              <w:t>lent à ce que les victimes puissent signaler aux autorités compétentes, de manière simple et accessible, les infractions prévues aux articles 3 à</w:t>
            </w:r>
            <w:r>
              <w:rPr>
                <w:b/>
                <w:i/>
              </w:rPr>
              <w:t xml:space="preserve"> </w:t>
            </w:r>
            <w:r>
              <w:t>9 de la présente directive. Cela inclut la possibilité de signaler ces infractions pénales, et de présenter de</w:t>
            </w:r>
            <w:r>
              <w:t>s éléments de preuve lorsque c’est possible, au moyen de technologies de l’information et de la communication facilement accessibles et simples à utiliser.</w:t>
            </w:r>
          </w:p>
        </w:tc>
        <w:tc>
          <w:tcPr>
            <w:tcW w:w="4876" w:type="dxa"/>
            <w:tcBorders>
              <w:top w:val="nil"/>
              <w:left w:val="nil"/>
              <w:bottom w:val="nil"/>
              <w:right w:val="nil"/>
            </w:tcBorders>
          </w:tcPr>
          <w:p w:rsidR="00995B88" w:rsidRPr="00995B88" w:rsidRDefault="00297AF4" w:rsidP="005C748F">
            <w:pPr>
              <w:pStyle w:val="Normal6a"/>
            </w:pPr>
            <w:r>
              <w:t>1.</w:t>
            </w:r>
            <w:r>
              <w:tab/>
              <w:t>Outre les droits des victimes lors du dépôt d’une plainte prévus à l’article 5 de la directive</w:t>
            </w:r>
            <w:r>
              <w:rPr>
                <w:b/>
                <w:i/>
              </w:rPr>
              <w:t> </w:t>
            </w:r>
            <w:r>
              <w:t>20</w:t>
            </w:r>
            <w:r>
              <w:t>12/29/UE et à l’article</w:t>
            </w:r>
            <w:r>
              <w:rPr>
                <w:b/>
                <w:i/>
              </w:rPr>
              <w:t> </w:t>
            </w:r>
            <w:r>
              <w:t>5 bis de la directive</w:t>
            </w:r>
            <w:r>
              <w:rPr>
                <w:b/>
                <w:i/>
              </w:rPr>
              <w:t> </w:t>
            </w:r>
            <w:r>
              <w:t>(UE).../... [proposition de directive modifiant la directive</w:t>
            </w:r>
            <w:r>
              <w:rPr>
                <w:b/>
                <w:i/>
              </w:rPr>
              <w:t> </w:t>
            </w:r>
            <w:r>
              <w:t>2012/29 établissant des normes minimales concernant les droits, le soutien et la protection des victimes de la criminalité], les États membres veille</w:t>
            </w:r>
            <w:r>
              <w:t>nt à ce que les victimes puissent</w:t>
            </w:r>
            <w:r>
              <w:rPr>
                <w:b/>
                <w:i/>
              </w:rPr>
              <w:t>, au moyen de mécanismes diversifiés,</w:t>
            </w:r>
            <w:r>
              <w:t xml:space="preserve"> signaler aux autorités compétentes, de manière simple et accessible, les infractions prévues aux articles 3 à</w:t>
            </w:r>
            <w:r>
              <w:rPr>
                <w:b/>
                <w:i/>
              </w:rPr>
              <w:t> </w:t>
            </w:r>
            <w:r>
              <w:t>9 de la présente directive. Cela inclut la possibilité de signaler ces infr</w:t>
            </w:r>
            <w:r>
              <w:t>actions pénales, et de présenter des éléments de preuve lorsque c’est possible, au moyen de technologies de l’information et de la communication facilement accessibles et simples à utiliser.</w:t>
            </w:r>
          </w:p>
        </w:tc>
      </w:tr>
    </w:tbl>
    <w:p w:rsidR="00995B88" w:rsidRPr="00995B88" w:rsidRDefault="00297AF4" w:rsidP="00995B88">
      <w:r>
        <w:rPr>
          <w:rStyle w:val="HideTWBExt"/>
        </w:rPr>
        <w:lastRenderedPageBreak/>
        <w:t>&lt;/Amend&gt;</w:t>
      </w:r>
      <w:bookmarkEnd w:id="90"/>
    </w:p>
    <w:p w:rsidR="00995B88" w:rsidRPr="00995B88" w:rsidRDefault="00297AF4" w:rsidP="00995B88">
      <w:pPr>
        <w:pStyle w:val="AMNumberTabs0"/>
      </w:pPr>
      <w:bookmarkStart w:id="91" w:name="AM5Compr8"/>
      <w:r>
        <w:rPr>
          <w:rStyle w:val="HideTWBExt"/>
        </w:rPr>
        <w:t>&lt;Amend&gt;</w:t>
      </w:r>
      <w:r>
        <w:t>Amendement</w:t>
      </w:r>
      <w:r>
        <w:tab/>
      </w:r>
      <w:r>
        <w:tab/>
      </w:r>
      <w:r>
        <w:rPr>
          <w:rStyle w:val="HideTWBExt"/>
        </w:rPr>
        <w:t>&lt;NumAm&gt;</w:t>
      </w:r>
      <w:r>
        <w:t>95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18 – paragraphe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2.</w:t>
            </w:r>
            <w:r>
              <w:tab/>
            </w:r>
            <w:r>
              <w:t xml:space="preserve">Les États membres veillent à ce que les procédures de signalement visées au paragraphe 1 soient sûres, confidentielles et conçues de façon et dans </w:t>
            </w:r>
            <w:proofErr w:type="gramStart"/>
            <w:r>
              <w:t>un langage adaptés</w:t>
            </w:r>
            <w:proofErr w:type="gramEnd"/>
            <w:r>
              <w:t xml:space="preserve"> aux enfants, en fonction de </w:t>
            </w:r>
            <w:r>
              <w:rPr>
                <w:b/>
                <w:i/>
              </w:rPr>
              <w:t>leur âge</w:t>
            </w:r>
            <w:r>
              <w:t xml:space="preserve"> et de </w:t>
            </w:r>
            <w:r>
              <w:rPr>
                <w:b/>
                <w:i/>
              </w:rPr>
              <w:t>leur</w:t>
            </w:r>
            <w:r>
              <w:t xml:space="preserve"> maturité. Ils veillent à ce que le signale</w:t>
            </w:r>
            <w:r>
              <w:t>ment ne soit pas subordonné au consentement parental.</w:t>
            </w:r>
          </w:p>
        </w:tc>
        <w:tc>
          <w:tcPr>
            <w:tcW w:w="4876" w:type="dxa"/>
            <w:tcBorders>
              <w:top w:val="nil"/>
              <w:left w:val="nil"/>
              <w:bottom w:val="nil"/>
              <w:right w:val="nil"/>
            </w:tcBorders>
          </w:tcPr>
          <w:p w:rsidR="00995B88" w:rsidRPr="00995B88" w:rsidRDefault="00297AF4" w:rsidP="005C748F">
            <w:pPr>
              <w:pStyle w:val="Normal6a"/>
            </w:pPr>
            <w:r>
              <w:t>2.</w:t>
            </w:r>
            <w:r>
              <w:tab/>
              <w:t xml:space="preserve">Les États membres veillent à ce que les procédures de signalement visées au paragraphe 1 soient sûres, confidentielles et conçues de façon et dans un langage </w:t>
            </w:r>
            <w:r>
              <w:rPr>
                <w:b/>
                <w:i/>
              </w:rPr>
              <w:t xml:space="preserve">accessibles et </w:t>
            </w:r>
            <w:r>
              <w:t xml:space="preserve">adaptés aux enfants, en </w:t>
            </w:r>
            <w:r>
              <w:rPr>
                <w:b/>
                <w:i/>
              </w:rPr>
              <w:t>te</w:t>
            </w:r>
            <w:r>
              <w:rPr>
                <w:b/>
                <w:i/>
              </w:rPr>
              <w:t xml:space="preserve">nant compte de la dimension de genre et des traumatismes, en </w:t>
            </w:r>
            <w:r>
              <w:t xml:space="preserve">fonction de </w:t>
            </w:r>
            <w:r>
              <w:rPr>
                <w:b/>
                <w:i/>
              </w:rPr>
              <w:t>l’âge</w:t>
            </w:r>
            <w:r>
              <w:t xml:space="preserve"> et de </w:t>
            </w:r>
            <w:r>
              <w:rPr>
                <w:b/>
                <w:i/>
              </w:rPr>
              <w:t>la</w:t>
            </w:r>
            <w:r>
              <w:t xml:space="preserve"> maturité</w:t>
            </w:r>
            <w:r>
              <w:rPr>
                <w:b/>
                <w:i/>
              </w:rPr>
              <w:t xml:space="preserve"> de la victime</w:t>
            </w:r>
            <w:r>
              <w:t>. Ils veillent à ce que le signalement ne soit pas subordonné au consentement parental.</w:t>
            </w:r>
          </w:p>
        </w:tc>
      </w:tr>
    </w:tbl>
    <w:p w:rsidR="00995B88" w:rsidRPr="00995B88" w:rsidRDefault="00297AF4" w:rsidP="00995B88">
      <w:r>
        <w:rPr>
          <w:rStyle w:val="HideTWBExt"/>
        </w:rPr>
        <w:t>&lt;/Amend&gt;</w:t>
      </w:r>
      <w:bookmarkEnd w:id="91"/>
    </w:p>
    <w:p w:rsidR="00995B88" w:rsidRPr="00995B88" w:rsidRDefault="00297AF4" w:rsidP="00995B88">
      <w:pPr>
        <w:pStyle w:val="AMNumberTabs0"/>
      </w:pPr>
      <w:bookmarkStart w:id="92" w:name="AM5Compr9"/>
      <w:r>
        <w:rPr>
          <w:rStyle w:val="HideTWBExt"/>
        </w:rPr>
        <w:t>&lt;Amend&gt;</w:t>
      </w:r>
      <w:r>
        <w:t>Amendement</w:t>
      </w:r>
      <w:r>
        <w:tab/>
      </w:r>
      <w:r>
        <w:tab/>
      </w:r>
      <w:r>
        <w:rPr>
          <w:rStyle w:val="HideTWBExt"/>
        </w:rPr>
        <w:t>&lt;NumAm&gt;</w:t>
      </w:r>
      <w:r>
        <w:t>96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20 – 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1.</w:t>
            </w:r>
            <w:r>
              <w:tab/>
              <w:t>Les enfants victimes des infractions visées aux articles</w:t>
            </w:r>
            <w:r>
              <w:rPr>
                <w:b/>
                <w:i/>
              </w:rPr>
              <w:t xml:space="preserve"> </w:t>
            </w:r>
            <w:r>
              <w:t xml:space="preserve">3 à 9 bénéficient d’une assistance, d’une aide et d’une protection, </w:t>
            </w:r>
            <w:r>
              <w:t>conformément aux articles 21 et</w:t>
            </w:r>
            <w:r>
              <w:rPr>
                <w:b/>
                <w:i/>
              </w:rPr>
              <w:t xml:space="preserve"> </w:t>
            </w:r>
            <w:r>
              <w:t>22</w:t>
            </w:r>
            <w:r>
              <w:rPr>
                <w:b/>
                <w:i/>
              </w:rPr>
              <w:t xml:space="preserve"> </w:t>
            </w:r>
            <w:r>
              <w:t>, compte tenu de l’intérêt supérieur de l’enfant.</w:t>
            </w:r>
          </w:p>
        </w:tc>
        <w:tc>
          <w:tcPr>
            <w:tcW w:w="4876" w:type="dxa"/>
            <w:tcBorders>
              <w:top w:val="nil"/>
              <w:left w:val="nil"/>
              <w:bottom w:val="nil"/>
              <w:right w:val="nil"/>
            </w:tcBorders>
          </w:tcPr>
          <w:p w:rsidR="00995B88" w:rsidRPr="00995B88" w:rsidRDefault="00297AF4" w:rsidP="005C748F">
            <w:pPr>
              <w:pStyle w:val="Normal6a"/>
            </w:pPr>
            <w:r>
              <w:t>1.</w:t>
            </w:r>
            <w:r>
              <w:tab/>
              <w:t>Les enfants victimes des infractions visées aux articles</w:t>
            </w:r>
            <w:r>
              <w:rPr>
                <w:b/>
                <w:i/>
              </w:rPr>
              <w:t> </w:t>
            </w:r>
            <w:r>
              <w:t>3 à 9 bénéficient d’une assistance, d’une aide et d’une protection, conformément aux articles 21 et</w:t>
            </w:r>
            <w:r>
              <w:rPr>
                <w:b/>
                <w:i/>
              </w:rPr>
              <w:t> </w:t>
            </w:r>
            <w:r>
              <w:t xml:space="preserve">22, compte </w:t>
            </w:r>
            <w:r>
              <w:t xml:space="preserve">tenu </w:t>
            </w:r>
            <w:r>
              <w:rPr>
                <w:b/>
                <w:i/>
              </w:rPr>
              <w:t xml:space="preserve">d’une éventuelle discrimination intersectionnelle et </w:t>
            </w:r>
            <w:r>
              <w:t>de l’intérêt supérieur de l’enfant.</w:t>
            </w:r>
          </w:p>
        </w:tc>
      </w:tr>
    </w:tbl>
    <w:p w:rsidR="00995B88" w:rsidRPr="00995B88" w:rsidRDefault="00297AF4" w:rsidP="00995B88">
      <w:r>
        <w:rPr>
          <w:rStyle w:val="HideTWBExt"/>
        </w:rPr>
        <w:t>&lt;/Amend&gt;</w:t>
      </w:r>
      <w:bookmarkEnd w:id="92"/>
    </w:p>
    <w:p w:rsidR="00995B88" w:rsidRPr="00995B88" w:rsidRDefault="00297AF4" w:rsidP="00995B88">
      <w:pPr>
        <w:pStyle w:val="AMNumberTabs0"/>
      </w:pPr>
      <w:bookmarkStart w:id="93" w:name="AM5Compr10"/>
      <w:r>
        <w:rPr>
          <w:rStyle w:val="HideTWBExt"/>
        </w:rPr>
        <w:t>&lt;Amend&gt;</w:t>
      </w:r>
      <w:r>
        <w:t>Amendement</w:t>
      </w:r>
      <w:r>
        <w:tab/>
      </w:r>
      <w:r>
        <w:tab/>
      </w:r>
      <w:r>
        <w:rPr>
          <w:rStyle w:val="HideTWBExt"/>
        </w:rPr>
        <w:t>&lt;NumAm&gt;</w:t>
      </w:r>
      <w:r>
        <w:t>97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20 – paragraphe 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w:t>
            </w:r>
            <w:r>
              <w:t>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2 bis.</w:t>
            </w:r>
            <w:r>
              <w:tab/>
            </w:r>
            <w:r>
              <w:rPr>
                <w:b/>
                <w:i/>
              </w:rPr>
              <w:t xml:space="preserve">Les États membres veillent à ce que des services de soins de santé complets, gratuits et facilement accessibles, y compris des soins de santé sexuelle et génésique, soient fournis aux </w:t>
            </w:r>
            <w:r>
              <w:rPr>
                <w:b/>
                <w:i/>
              </w:rPr>
              <w:lastRenderedPageBreak/>
              <w:t>enfants victimes d’abus se</w:t>
            </w:r>
            <w:r>
              <w:rPr>
                <w:b/>
                <w:i/>
              </w:rPr>
              <w:t>xuels ou d’exploitation sexuelle. Ces services comprennent l’accès à un avortement sûr et légal, à la contraception d’urgence, au dépistage et à la prophylaxie post-exposition pour les infections sexuellement transmissibles.</w:t>
            </w:r>
          </w:p>
        </w:tc>
      </w:tr>
    </w:tbl>
    <w:p w:rsidR="00995B88" w:rsidRPr="00995B88" w:rsidRDefault="00297AF4" w:rsidP="00995B88">
      <w:r>
        <w:rPr>
          <w:rStyle w:val="HideTWBExt"/>
        </w:rPr>
        <w:lastRenderedPageBreak/>
        <w:t>&lt;/Amend&gt;</w:t>
      </w:r>
      <w:bookmarkEnd w:id="93"/>
    </w:p>
    <w:p w:rsidR="00995B88" w:rsidRPr="00995B88" w:rsidRDefault="00297AF4" w:rsidP="00995B88">
      <w:pPr>
        <w:pStyle w:val="AMNumberTabs0"/>
      </w:pPr>
      <w:bookmarkStart w:id="94" w:name="AM6Compr1"/>
      <w:r>
        <w:rPr>
          <w:rStyle w:val="HideTWBExt"/>
        </w:rPr>
        <w:t>&lt;Amend&gt;</w:t>
      </w:r>
      <w:r>
        <w:t>Amendement</w:t>
      </w:r>
      <w:r>
        <w:tab/>
      </w:r>
      <w:r>
        <w:tab/>
      </w:r>
      <w:r>
        <w:rPr>
          <w:rStyle w:val="HideTWBExt"/>
        </w:rPr>
        <w:t>&lt;NumAm&gt;</w:t>
      </w:r>
      <w:r>
        <w:t>98</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21 – 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1.</w:t>
            </w:r>
            <w:r>
              <w:tab/>
              <w:t>Les États membres prennent les mesures nécessaires pour qu’une assistance et une aide</w:t>
            </w:r>
            <w:r>
              <w:rPr>
                <w:b/>
                <w:i/>
              </w:rPr>
              <w:t> </w:t>
            </w:r>
            <w:r>
              <w:t xml:space="preserve">spécialisée </w:t>
            </w:r>
            <w:r>
              <w:t>et appropriée</w:t>
            </w:r>
            <w:r>
              <w:rPr>
                <w:b/>
                <w:i/>
              </w:rPr>
              <w:t> </w:t>
            </w:r>
            <w:r>
              <w:t xml:space="preserve">soient apportées aux victimes </w:t>
            </w:r>
            <w:r>
              <w:rPr>
                <w:b/>
                <w:i/>
              </w:rPr>
              <w:t>avant</w:t>
            </w:r>
            <w:r>
              <w:t xml:space="preserve">, pendant et </w:t>
            </w:r>
            <w:r>
              <w:rPr>
                <w:b/>
                <w:i/>
              </w:rPr>
              <w:t>durant une période suffisante</w:t>
            </w:r>
            <w:r>
              <w:t xml:space="preserve"> après la clôture de la procédure pénale afin de leur permettre d’exercer les droits qui leur sont conférés par la</w:t>
            </w:r>
            <w:r>
              <w:rPr>
                <w:b/>
                <w:i/>
              </w:rPr>
              <w:t> </w:t>
            </w:r>
            <w:r>
              <w:t>directive</w:t>
            </w:r>
            <w:r>
              <w:rPr>
                <w:b/>
                <w:i/>
              </w:rPr>
              <w:t xml:space="preserve"> </w:t>
            </w:r>
            <w:r>
              <w:t>2012/29/UE</w:t>
            </w:r>
            <w:r>
              <w:rPr>
                <w:b/>
                <w:i/>
              </w:rPr>
              <w:t xml:space="preserve"> </w:t>
            </w:r>
            <w:r>
              <w:t>,</w:t>
            </w:r>
            <w:r>
              <w:rPr>
                <w:b/>
                <w:i/>
              </w:rPr>
              <w:t> </w:t>
            </w:r>
            <w:r>
              <w:t>par la directive</w:t>
            </w:r>
            <w:r>
              <w:rPr>
                <w:b/>
                <w:i/>
              </w:rPr>
              <w:t xml:space="preserve"> </w:t>
            </w:r>
            <w:r>
              <w:t>(UE) …/… [</w:t>
            </w:r>
            <w:r>
              <w:t>proposition de directive modifiant la directive</w:t>
            </w:r>
            <w:r>
              <w:rPr>
                <w:b/>
                <w:i/>
              </w:rPr>
              <w:t xml:space="preserve"> </w:t>
            </w:r>
            <w:r>
              <w:t>2012/29 établissant des normes minimales concernant les droits, le soutien et la protection des victimes de la criminalité] et par la présente directive. Les États membres veillent notamment à ce que les vict</w:t>
            </w:r>
            <w:r>
              <w:t>imes des infractions prévues aux articles 3 à 9 aient accès à des services d’aide ciblés et intégrés destinés aux enfants, conformément à l’article 9 bis de la directive (UE).../... [proposition de directive modifiant la directive 2012/29 établissant des n</w:t>
            </w:r>
            <w:r>
              <w:t>ormes minimales concernant les droits, le soutien et la protection des victimes de la criminalité]. Les États membres adoptent en particulier les mesures nécessaires pour assurer la protection des enfants qui signalent des cas d’abus au sein de leur famill</w:t>
            </w:r>
            <w:r>
              <w:t>e.</w:t>
            </w:r>
          </w:p>
        </w:tc>
        <w:tc>
          <w:tcPr>
            <w:tcW w:w="4876" w:type="dxa"/>
            <w:tcBorders>
              <w:top w:val="nil"/>
              <w:left w:val="nil"/>
              <w:bottom w:val="nil"/>
              <w:right w:val="nil"/>
            </w:tcBorders>
          </w:tcPr>
          <w:p w:rsidR="00995B88" w:rsidRPr="00995B88" w:rsidRDefault="00297AF4" w:rsidP="005C748F">
            <w:pPr>
              <w:pStyle w:val="Normal6a"/>
            </w:pPr>
            <w:r>
              <w:t>1.</w:t>
            </w:r>
            <w:r>
              <w:tab/>
              <w:t>Les États membres prennent les mesures nécessaires pour qu’une assistance et une aide</w:t>
            </w:r>
            <w:r>
              <w:rPr>
                <w:b/>
                <w:i/>
              </w:rPr>
              <w:t xml:space="preserve"> </w:t>
            </w:r>
            <w:r>
              <w:t>spécialisée et appropriée</w:t>
            </w:r>
            <w:r>
              <w:rPr>
                <w:b/>
                <w:i/>
              </w:rPr>
              <w:t xml:space="preserve">, notamment des services tenant compte de la dimension de genre et répondant aux besoins spécifiques des filles et des femmes, </w:t>
            </w:r>
            <w:r>
              <w:t>soient appor</w:t>
            </w:r>
            <w:r>
              <w:t xml:space="preserve">tées aux victimes </w:t>
            </w:r>
            <w:r>
              <w:rPr>
                <w:b/>
                <w:i/>
              </w:rPr>
              <w:t>et aux survivants dès qu’un signalement est effectué</w:t>
            </w:r>
            <w:r>
              <w:t xml:space="preserve">, pendant </w:t>
            </w:r>
            <w:r>
              <w:rPr>
                <w:b/>
                <w:i/>
              </w:rPr>
              <w:t xml:space="preserve">la procédure pénale </w:t>
            </w:r>
            <w:r>
              <w:t xml:space="preserve">et </w:t>
            </w:r>
            <w:r>
              <w:rPr>
                <w:b/>
                <w:i/>
              </w:rPr>
              <w:t>aussi longtemps que nécessaire</w:t>
            </w:r>
            <w:r>
              <w:t xml:space="preserve"> après la clôture de la procédure pénale afin de leur permettre d’exercer les droits qui leur sont conférés par la</w:t>
            </w:r>
            <w:r>
              <w:rPr>
                <w:b/>
                <w:i/>
              </w:rPr>
              <w:t xml:space="preserve"> </w:t>
            </w:r>
            <w:r>
              <w:t>directiv</w:t>
            </w:r>
            <w:r>
              <w:t>e</w:t>
            </w:r>
            <w:r>
              <w:rPr>
                <w:b/>
                <w:i/>
              </w:rPr>
              <w:t> </w:t>
            </w:r>
            <w:r>
              <w:t>2012/29/UE,</w:t>
            </w:r>
            <w:r>
              <w:rPr>
                <w:b/>
                <w:i/>
              </w:rPr>
              <w:t xml:space="preserve"> </w:t>
            </w:r>
            <w:r>
              <w:t>par la directive</w:t>
            </w:r>
            <w:r>
              <w:rPr>
                <w:b/>
                <w:i/>
              </w:rPr>
              <w:t> </w:t>
            </w:r>
            <w:r>
              <w:t>(UE) …/… [proposition de directive modifiant la directive</w:t>
            </w:r>
            <w:r>
              <w:rPr>
                <w:b/>
                <w:i/>
              </w:rPr>
              <w:t> </w:t>
            </w:r>
            <w:r>
              <w:t>2012/29 établissant des normes minimales concernant les droits, le soutien et la protection des victimes de la criminalité] et par la présente directive. Les États mem</w:t>
            </w:r>
            <w:r>
              <w:t>bres veillent notamment à ce que les victimes des infractions prévues aux articles 3 à 9 aient accès à des services d’aide ciblés et intégrés destinés aux enfants, conformément à l’article 9 bis de la directive (UE).../... [proposition de directive modifia</w:t>
            </w:r>
            <w:r>
              <w:t xml:space="preserve">nt la directive 2012/29 établissant des normes minimales concernant les droits, le soutien et la protection des victimes de la criminalité]. Les États membres adoptent en particulier les mesures nécessaires pour assurer la protection </w:t>
            </w:r>
            <w:r>
              <w:rPr>
                <w:b/>
                <w:i/>
              </w:rPr>
              <w:t>et un soutien spécifiq</w:t>
            </w:r>
            <w:r>
              <w:rPr>
                <w:b/>
                <w:i/>
              </w:rPr>
              <w:t xml:space="preserve">ue </w:t>
            </w:r>
            <w:r>
              <w:t xml:space="preserve">des </w:t>
            </w:r>
            <w:r>
              <w:lastRenderedPageBreak/>
              <w:t>enfants qui signalent des cas d’abus au sein de leur famille</w:t>
            </w:r>
            <w:r>
              <w:rPr>
                <w:b/>
                <w:i/>
              </w:rPr>
              <w:t>, en accordant une attention particulière au fait que ces cas peuvent également impliquer des violences fondées sur le genre</w:t>
            </w:r>
            <w:r>
              <w:t>.</w:t>
            </w:r>
          </w:p>
        </w:tc>
      </w:tr>
    </w:tbl>
    <w:p w:rsidR="00995B88" w:rsidRPr="00995B88" w:rsidRDefault="00297AF4" w:rsidP="00995B88">
      <w:r>
        <w:rPr>
          <w:rStyle w:val="HideTWBExt"/>
        </w:rPr>
        <w:lastRenderedPageBreak/>
        <w:t>&lt;/Amend&gt;</w:t>
      </w:r>
      <w:bookmarkEnd w:id="94"/>
    </w:p>
    <w:p w:rsidR="00995B88" w:rsidRPr="00995B88" w:rsidRDefault="00297AF4" w:rsidP="00995B88">
      <w:pPr>
        <w:pStyle w:val="AMNumberTabs0"/>
      </w:pPr>
      <w:bookmarkStart w:id="95" w:name="AM6Compr2"/>
      <w:r>
        <w:rPr>
          <w:rStyle w:val="HideTWBExt"/>
        </w:rPr>
        <w:t>&lt;Amend&gt;</w:t>
      </w:r>
      <w:r>
        <w:t>Amendement</w:t>
      </w:r>
      <w:r>
        <w:tab/>
      </w:r>
      <w:r>
        <w:tab/>
      </w:r>
      <w:r>
        <w:rPr>
          <w:rStyle w:val="HideTWBExt"/>
        </w:rPr>
        <w:t>&lt;NumAm&gt;</w:t>
      </w:r>
      <w:r>
        <w:t>99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21 – paragraphe 1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1 bis.</w:t>
            </w:r>
            <w:r>
              <w:tab/>
            </w:r>
            <w:r>
              <w:rPr>
                <w:b/>
                <w:i/>
              </w:rPr>
              <w:t xml:space="preserve">Les États membres mettent en place des structures interagences pluridisciplinaires adaptées à l’âge pour </w:t>
            </w:r>
            <w:r>
              <w:rPr>
                <w:b/>
                <w:i/>
              </w:rPr>
              <w:t>faire face aux abus sexuels et à l’exploitation sexuelle d’enfants conformément aux normes du modèle Barnahus, en veillant à ce que les sensibilités liées au genre, aux traumatismes et aux handicaps soient prises en considération lors des contacts avec les</w:t>
            </w:r>
            <w:r>
              <w:rPr>
                <w:b/>
                <w:i/>
              </w:rPr>
              <w:t xml:space="preserve"> victimes, et à ce que ces centres soient dotés de professionnels adéquatement formés.</w:t>
            </w:r>
          </w:p>
        </w:tc>
      </w:tr>
    </w:tbl>
    <w:p w:rsidR="00995B88" w:rsidRPr="00995B88" w:rsidRDefault="00297AF4" w:rsidP="00995B88">
      <w:r>
        <w:rPr>
          <w:rStyle w:val="HideTWBExt"/>
        </w:rPr>
        <w:t>&lt;/Amend&gt;</w:t>
      </w:r>
      <w:bookmarkEnd w:id="95"/>
    </w:p>
    <w:p w:rsidR="00995B88" w:rsidRPr="00995B88" w:rsidRDefault="00297AF4" w:rsidP="00995B88">
      <w:pPr>
        <w:pStyle w:val="AMNumberTabs0"/>
      </w:pPr>
      <w:bookmarkStart w:id="96" w:name="AM6Compr3"/>
      <w:r>
        <w:rPr>
          <w:rStyle w:val="HideTWBExt"/>
        </w:rPr>
        <w:t>&lt;Amend&gt;</w:t>
      </w:r>
      <w:r>
        <w:t>Amendement</w:t>
      </w:r>
      <w:r>
        <w:tab/>
      </w:r>
      <w:r>
        <w:tab/>
      </w:r>
      <w:r>
        <w:rPr>
          <w:rStyle w:val="HideTWBExt"/>
        </w:rPr>
        <w:t>&lt;NumAm&gt;</w:t>
      </w:r>
      <w:r>
        <w:t>100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21 – paragraphe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proposé par la </w:t>
            </w:r>
            <w:r>
              <w:t>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2.</w:t>
            </w:r>
            <w:r>
              <w:tab/>
              <w:t>Les victimes reçoivent des soins médicaux coordonnés et adaptés à leur âge, un soutien émotionnel, psychosocial, psychologique</w:t>
            </w:r>
            <w:r>
              <w:rPr>
                <w:b/>
                <w:i/>
              </w:rPr>
              <w:t xml:space="preserve"> et</w:t>
            </w:r>
            <w:r>
              <w:t xml:space="preserve"> éducatif, ainsi que toute autre aide appropriée, adaptée en particulier aux situations d’abus sexuel</w:t>
            </w:r>
            <w:r>
              <w:t>s.</w:t>
            </w:r>
          </w:p>
        </w:tc>
        <w:tc>
          <w:tcPr>
            <w:tcW w:w="4876" w:type="dxa"/>
            <w:tcBorders>
              <w:top w:val="nil"/>
              <w:left w:val="nil"/>
              <w:bottom w:val="nil"/>
              <w:right w:val="nil"/>
            </w:tcBorders>
          </w:tcPr>
          <w:p w:rsidR="00995B88" w:rsidRPr="00995B88" w:rsidRDefault="00297AF4" w:rsidP="005C748F">
            <w:pPr>
              <w:pStyle w:val="Normal6a"/>
            </w:pPr>
            <w:r>
              <w:t>2.</w:t>
            </w:r>
            <w:r>
              <w:tab/>
              <w:t xml:space="preserve">Les victimes reçoivent des soins médicaux </w:t>
            </w:r>
            <w:r>
              <w:rPr>
                <w:b/>
                <w:i/>
              </w:rPr>
              <w:t xml:space="preserve">complets, spécialisés, </w:t>
            </w:r>
            <w:r>
              <w:t xml:space="preserve">coordonnés et adaptés à </w:t>
            </w:r>
            <w:r>
              <w:rPr>
                <w:b/>
                <w:i/>
              </w:rPr>
              <w:t xml:space="preserve">leurs besoins et à </w:t>
            </w:r>
            <w:r>
              <w:t xml:space="preserve">leur âge, </w:t>
            </w:r>
            <w:r>
              <w:rPr>
                <w:b/>
                <w:i/>
              </w:rPr>
              <w:t xml:space="preserve">à leur genre et à leur traumatisme, y compris l’accès à des services de santé sexuelle et génésique, </w:t>
            </w:r>
            <w:r>
              <w:t>un soutien émotionnel, psychoso</w:t>
            </w:r>
            <w:r>
              <w:t>cial, psychologique</w:t>
            </w:r>
            <w:r>
              <w:rPr>
                <w:b/>
                <w:i/>
              </w:rPr>
              <w:t>, juridique,</w:t>
            </w:r>
            <w:r>
              <w:t xml:space="preserve"> éducatif</w:t>
            </w:r>
            <w:r>
              <w:rPr>
                <w:b/>
                <w:i/>
              </w:rPr>
              <w:t xml:space="preserve"> et administratif</w:t>
            </w:r>
            <w:r>
              <w:t>, ainsi que toute autre aide appropriée, adaptée en particulier aux situations d’abus sexuels</w:t>
            </w:r>
            <w:r>
              <w:rPr>
                <w:b/>
                <w:i/>
              </w:rPr>
              <w:t xml:space="preserve">, une attention particulière étant accordée au </w:t>
            </w:r>
            <w:r>
              <w:rPr>
                <w:b/>
                <w:i/>
              </w:rPr>
              <w:lastRenderedPageBreak/>
              <w:t>rétablissement à long terme des enfants victimes et surviva</w:t>
            </w:r>
            <w:r>
              <w:rPr>
                <w:b/>
                <w:i/>
              </w:rPr>
              <w:t>nts</w:t>
            </w:r>
            <w:r>
              <w:t>.</w:t>
            </w:r>
          </w:p>
        </w:tc>
      </w:tr>
    </w:tbl>
    <w:p w:rsidR="00995B88" w:rsidRPr="00995B88" w:rsidRDefault="00297AF4" w:rsidP="00995B88">
      <w:r>
        <w:rPr>
          <w:rStyle w:val="HideTWBExt"/>
        </w:rPr>
        <w:lastRenderedPageBreak/>
        <w:t>&lt;/Amend&gt;</w:t>
      </w:r>
      <w:bookmarkEnd w:id="96"/>
    </w:p>
    <w:p w:rsidR="00995B88" w:rsidRPr="00995B88" w:rsidRDefault="00297AF4" w:rsidP="00995B88">
      <w:pPr>
        <w:pStyle w:val="AMNumberTabs0"/>
      </w:pPr>
      <w:bookmarkStart w:id="97" w:name="AM6Compr4"/>
      <w:r>
        <w:rPr>
          <w:rStyle w:val="HideTWBExt"/>
        </w:rPr>
        <w:t>&lt;Amend&gt;</w:t>
      </w:r>
      <w:r>
        <w:t>Amendement</w:t>
      </w:r>
      <w:r>
        <w:tab/>
      </w:r>
      <w:r>
        <w:tab/>
      </w:r>
      <w:r>
        <w:rPr>
          <w:rStyle w:val="HideTWBExt"/>
        </w:rPr>
        <w:t>&lt;NumAm&gt;</w:t>
      </w:r>
      <w:r>
        <w:t>101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21 – paragraphe 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2 bis.</w:t>
            </w:r>
            <w:r>
              <w:tab/>
            </w:r>
            <w:r>
              <w:rPr>
                <w:b/>
                <w:i/>
              </w:rPr>
              <w:t xml:space="preserve">Les victimes reçoivent, à leur demande et </w:t>
            </w:r>
            <w:r>
              <w:rPr>
                <w:b/>
                <w:i/>
              </w:rPr>
              <w:t>avec la possibilité d’y renoncer, des informations concernant tout matériel relatif à des abus sexuels sur enfants les représentant qui est ou a été diffusé dans l’Union.</w:t>
            </w:r>
          </w:p>
        </w:tc>
      </w:tr>
    </w:tbl>
    <w:p w:rsidR="00995B88" w:rsidRPr="00995B88" w:rsidRDefault="00297AF4" w:rsidP="00995B88">
      <w:r>
        <w:rPr>
          <w:rStyle w:val="HideTWBExt"/>
        </w:rPr>
        <w:t>&lt;/Amend&gt;</w:t>
      </w:r>
      <w:bookmarkEnd w:id="97"/>
    </w:p>
    <w:p w:rsidR="00995B88" w:rsidRPr="00995B88" w:rsidRDefault="00297AF4" w:rsidP="00995B88">
      <w:pPr>
        <w:pStyle w:val="AMNumberTabs0"/>
      </w:pPr>
      <w:bookmarkStart w:id="98" w:name="AM6Compr5"/>
      <w:r>
        <w:rPr>
          <w:rStyle w:val="HideTWBExt"/>
        </w:rPr>
        <w:t>&lt;Amend&gt;</w:t>
      </w:r>
      <w:r>
        <w:t>Amendement</w:t>
      </w:r>
      <w:r>
        <w:tab/>
      </w:r>
      <w:r>
        <w:tab/>
      </w:r>
      <w:r>
        <w:rPr>
          <w:rStyle w:val="HideTWBExt"/>
        </w:rPr>
        <w:t>&lt;NumAm&gt;</w:t>
      </w:r>
      <w:r>
        <w:t>102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21 – paragraphe 2 ter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2 ter.</w:t>
            </w:r>
            <w:r>
              <w:tab/>
            </w:r>
            <w:r>
              <w:rPr>
                <w:b/>
                <w:i/>
              </w:rPr>
              <w:t xml:space="preserve">Les États membres prennent, en particulier, des mesures spécifiques pour aider et soutenir les victimes et les survivants </w:t>
            </w:r>
            <w:r>
              <w:rPr>
                <w:b/>
                <w:i/>
              </w:rPr>
              <w:t xml:space="preserve">particulièrement vulnérables, notamment en raison d’un handicap mental ou physique, conformément à l’article 26, point c), de la directive (UE) …/… [proposition de directive modifiant la directive 2012/29/UE établissant des normes minimales concernant les </w:t>
            </w:r>
            <w:r>
              <w:rPr>
                <w:b/>
                <w:i/>
              </w:rPr>
              <w:t>droits, le soutien et la protection des victimes de la criminalité] de la proposition de refonte de la directive sur les droits des victimes (2023/0250(COD)).</w:t>
            </w:r>
          </w:p>
        </w:tc>
      </w:tr>
    </w:tbl>
    <w:p w:rsidR="00995B88" w:rsidRPr="00995B88" w:rsidRDefault="00297AF4" w:rsidP="00995B88">
      <w:r>
        <w:rPr>
          <w:rStyle w:val="HideTWBExt"/>
        </w:rPr>
        <w:t>&lt;/Amend&gt;</w:t>
      </w:r>
      <w:bookmarkEnd w:id="98"/>
    </w:p>
    <w:p w:rsidR="00995B88" w:rsidRPr="00995B88" w:rsidRDefault="00297AF4" w:rsidP="00995B88">
      <w:pPr>
        <w:pStyle w:val="AMNumberTabs0"/>
      </w:pPr>
      <w:bookmarkStart w:id="99" w:name="AM6Compr6"/>
      <w:r>
        <w:rPr>
          <w:rStyle w:val="HideTWBExt"/>
        </w:rPr>
        <w:t>&lt;Amend&gt;</w:t>
      </w:r>
      <w:r>
        <w:t>Amendement</w:t>
      </w:r>
      <w:r>
        <w:tab/>
      </w:r>
      <w:r>
        <w:tab/>
      </w:r>
      <w:r>
        <w:rPr>
          <w:rStyle w:val="HideTWBExt"/>
        </w:rPr>
        <w:t>&lt;NumAm&gt;</w:t>
      </w:r>
      <w:r>
        <w:t>103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w:t>
      </w:r>
      <w:r>
        <w:rPr>
          <w:rStyle w:val="HideTWBExt"/>
        </w:rPr>
        <w:t>ticle&gt;</w:t>
      </w:r>
      <w:r>
        <w:t>Article 21 – paragraphe 3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lastRenderedPageBreak/>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3 bis.</w:t>
            </w:r>
            <w:r>
              <w:tab/>
            </w:r>
            <w:r>
              <w:rPr>
                <w:b/>
                <w:i/>
              </w:rPr>
              <w:t xml:space="preserve">Les familles des victimes d’abus sexuels bénéficient d’informations, d’un soutien et d’une assistance accessibles et personnalisés, adaptés à </w:t>
            </w:r>
            <w:r>
              <w:rPr>
                <w:b/>
                <w:i/>
              </w:rPr>
              <w:t>l’âge, au genre et aux traumatismes.</w:t>
            </w:r>
          </w:p>
        </w:tc>
      </w:tr>
    </w:tbl>
    <w:p w:rsidR="00995B88" w:rsidRPr="00995B88" w:rsidRDefault="00297AF4" w:rsidP="00995B88">
      <w:r>
        <w:rPr>
          <w:rStyle w:val="HideTWBExt"/>
        </w:rPr>
        <w:t>&lt;/Amend&gt;</w:t>
      </w:r>
      <w:bookmarkEnd w:id="99"/>
    </w:p>
    <w:p w:rsidR="00995B88" w:rsidRPr="00995B88" w:rsidRDefault="00297AF4" w:rsidP="00995B88">
      <w:pPr>
        <w:pStyle w:val="AMNumberTabs0"/>
      </w:pPr>
      <w:bookmarkStart w:id="100" w:name="AM6Compr7"/>
      <w:r>
        <w:rPr>
          <w:rStyle w:val="HideTWBExt"/>
        </w:rPr>
        <w:t>&lt;Amend&gt;</w:t>
      </w:r>
      <w:r>
        <w:t>Amendement</w:t>
      </w:r>
      <w:r>
        <w:tab/>
      </w:r>
      <w:r>
        <w:tab/>
      </w:r>
      <w:r>
        <w:rPr>
          <w:rStyle w:val="HideTWBExt"/>
        </w:rPr>
        <w:t>&lt;NumAm&gt;</w:t>
      </w:r>
      <w:r>
        <w:t>104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21 – paragraphe 9 – point c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c bis)</w:t>
            </w:r>
            <w:r>
              <w:tab/>
            </w:r>
            <w:r>
              <w:rPr>
                <w:b/>
                <w:i/>
              </w:rPr>
              <w:t>en</w:t>
            </w:r>
            <w:r>
              <w:rPr>
                <w:b/>
                <w:i/>
              </w:rPr>
              <w:t xml:space="preserve"> veillant à ce que les informations collectées incluent les bonnes pratiques pour répondre aux besoins spécifiques des filles et des femmes victimes d’abus et d’exploitation sexuels;</w:t>
            </w:r>
          </w:p>
        </w:tc>
      </w:tr>
    </w:tbl>
    <w:p w:rsidR="00995B88" w:rsidRPr="00995B88" w:rsidRDefault="00297AF4" w:rsidP="00995B88">
      <w:r>
        <w:rPr>
          <w:rStyle w:val="HideTWBExt"/>
        </w:rPr>
        <w:t>&lt;/Amend&gt;</w:t>
      </w:r>
      <w:bookmarkEnd w:id="100"/>
    </w:p>
    <w:p w:rsidR="00995B88" w:rsidRPr="00995B88" w:rsidRDefault="00297AF4" w:rsidP="00995B88">
      <w:pPr>
        <w:pStyle w:val="AMNumberTabs0"/>
      </w:pPr>
      <w:bookmarkStart w:id="101" w:name="AM6Compr8"/>
      <w:r>
        <w:rPr>
          <w:rStyle w:val="HideTWBExt"/>
        </w:rPr>
        <w:t>&lt;Amend&gt;</w:t>
      </w:r>
      <w:r>
        <w:t>Amendement</w:t>
      </w:r>
      <w:r>
        <w:tab/>
      </w:r>
      <w:r>
        <w:tab/>
      </w:r>
      <w:r>
        <w:rPr>
          <w:rStyle w:val="HideTWBExt"/>
        </w:rPr>
        <w:t>&lt;NumAm&gt;</w:t>
      </w:r>
      <w:r>
        <w:t>105</w:t>
      </w:r>
      <w:r>
        <w:rPr>
          <w:rStyle w:val="HideTWBExt"/>
        </w:rPr>
        <w:t>&lt;/NumAm&gt;</w:t>
      </w:r>
    </w:p>
    <w:p w:rsidR="00995B88" w:rsidRPr="00995B88" w:rsidRDefault="00297AF4" w:rsidP="00995B88">
      <w:pPr>
        <w:pStyle w:val="NormalBold12b"/>
      </w:pPr>
      <w:r>
        <w:rPr>
          <w:rStyle w:val="HideTWBExt"/>
        </w:rPr>
        <w:t>&lt;DocAmend&gt;</w:t>
      </w:r>
      <w:r>
        <w:t xml:space="preserve">Proposition de </w:t>
      </w:r>
      <w:r>
        <w:t>directive</w:t>
      </w:r>
      <w:r>
        <w:rPr>
          <w:rStyle w:val="HideTWBExt"/>
        </w:rPr>
        <w:t>&lt;/DocAmend&gt;</w:t>
      </w:r>
    </w:p>
    <w:p w:rsidR="00995B88" w:rsidRPr="00995B88" w:rsidRDefault="00297AF4" w:rsidP="00995B88">
      <w:pPr>
        <w:pStyle w:val="NormalBold"/>
      </w:pPr>
      <w:r>
        <w:rPr>
          <w:rStyle w:val="HideTWBExt"/>
        </w:rPr>
        <w:t>&lt;Article&gt;</w:t>
      </w:r>
      <w:r>
        <w:t>Article 22 – paragraphe 1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1 bis.</w:t>
            </w:r>
            <w:r>
              <w:tab/>
            </w:r>
            <w:r>
              <w:rPr>
                <w:b/>
                <w:i/>
              </w:rPr>
              <w:t xml:space="preserve">Les États membres veillent à ce que les enfants victimes soient autorisés à participer à la procédure pénale et reçoivent </w:t>
            </w:r>
            <w:r>
              <w:rPr>
                <w:b/>
                <w:i/>
              </w:rPr>
              <w:t>sans tarder une aide et une protection appropriées à tous les stades de l’enquête et de la procédure pénales, en tenant dûment compte du point de vue, des besoins, des vulnérabilités spécifiques et des préoccupations de l’enfant, de manière à éviter une se</w:t>
            </w:r>
            <w:r>
              <w:rPr>
                <w:b/>
                <w:i/>
              </w:rPr>
              <w:t>conde victimisation.</w:t>
            </w:r>
          </w:p>
        </w:tc>
      </w:tr>
    </w:tbl>
    <w:p w:rsidR="00995B88" w:rsidRPr="00995B88" w:rsidRDefault="00297AF4" w:rsidP="00995B88">
      <w:r>
        <w:rPr>
          <w:rStyle w:val="HideTWBExt"/>
        </w:rPr>
        <w:t>&lt;/Amend&gt;</w:t>
      </w:r>
      <w:bookmarkEnd w:id="101"/>
    </w:p>
    <w:p w:rsidR="00995B88" w:rsidRPr="00995B88" w:rsidRDefault="00297AF4" w:rsidP="00995B88">
      <w:pPr>
        <w:pStyle w:val="AMNumberTabs0"/>
      </w:pPr>
      <w:bookmarkStart w:id="102" w:name="AM6Compr9"/>
      <w:r>
        <w:rPr>
          <w:rStyle w:val="HideTWBExt"/>
        </w:rPr>
        <w:t>&lt;Amend&gt;</w:t>
      </w:r>
      <w:r>
        <w:t>Amendement</w:t>
      </w:r>
      <w:r>
        <w:tab/>
      </w:r>
      <w:r>
        <w:tab/>
      </w:r>
      <w:r>
        <w:rPr>
          <w:rStyle w:val="HideTWBExt"/>
        </w:rPr>
        <w:t>&lt;NumAm&gt;</w:t>
      </w:r>
      <w:r>
        <w:t>106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22 – paragraphe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lastRenderedPageBreak/>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2.</w:t>
            </w:r>
            <w:r>
              <w:tab/>
              <w:t>Les États membres veillent à ce que les enfants</w:t>
            </w:r>
            <w:r>
              <w:t xml:space="preserve"> victimes aient accès sans délai à des conseils juridiques et, en fonction du rôle attribué aux victimes dans le système judiciaire concerné, à une représentation juridique, y compris aux fins d’une demande d’indemnisation. Les conseils juridiques et la re</w:t>
            </w:r>
            <w:r>
              <w:t>présentation juridiques sont gratuits</w:t>
            </w:r>
            <w:r>
              <w:rPr>
                <w:b/>
                <w:i/>
              </w:rPr>
              <w:t xml:space="preserve"> lorsque la victime n’a pas de ressources financières suffisantes</w:t>
            </w:r>
            <w:r>
              <w:t>.</w:t>
            </w:r>
          </w:p>
        </w:tc>
        <w:tc>
          <w:tcPr>
            <w:tcW w:w="4876" w:type="dxa"/>
            <w:tcBorders>
              <w:top w:val="nil"/>
              <w:left w:val="nil"/>
              <w:bottom w:val="nil"/>
              <w:right w:val="nil"/>
            </w:tcBorders>
          </w:tcPr>
          <w:p w:rsidR="00995B88" w:rsidRPr="00995B88" w:rsidRDefault="00297AF4" w:rsidP="005C748F">
            <w:pPr>
              <w:pStyle w:val="Normal6a"/>
            </w:pPr>
            <w:r>
              <w:t>2.</w:t>
            </w:r>
            <w:r>
              <w:tab/>
              <w:t>Les États membres veillent à ce que les enfants victimes aient accès sans délai à des conseils juridiques et, en fonction du rôle attribué aux victim</w:t>
            </w:r>
            <w:r>
              <w:t>es dans le système judiciaire concerné, à une représentation juridique, y compris aux fins d’une demande d’indemnisation. Les conseils juridiques et la représentation juridiques sont gratuits.</w:t>
            </w:r>
          </w:p>
        </w:tc>
      </w:tr>
    </w:tbl>
    <w:p w:rsidR="00995B88" w:rsidRPr="00995B88" w:rsidRDefault="00297AF4" w:rsidP="00995B88">
      <w:r>
        <w:rPr>
          <w:rStyle w:val="HideTWBExt"/>
        </w:rPr>
        <w:t>&lt;/Amend&gt;</w:t>
      </w:r>
      <w:bookmarkEnd w:id="102"/>
    </w:p>
    <w:p w:rsidR="00995B88" w:rsidRPr="00995B88" w:rsidRDefault="00297AF4" w:rsidP="00995B88">
      <w:pPr>
        <w:pStyle w:val="AMNumberTabs0"/>
      </w:pPr>
      <w:bookmarkStart w:id="103" w:name="AM6Compr10"/>
      <w:r>
        <w:rPr>
          <w:rStyle w:val="HideTWBExt"/>
        </w:rPr>
        <w:t>&lt;Amend&gt;</w:t>
      </w:r>
      <w:r>
        <w:t>Amendement</w:t>
      </w:r>
      <w:r>
        <w:tab/>
      </w:r>
      <w:r>
        <w:tab/>
      </w:r>
      <w:r>
        <w:rPr>
          <w:rStyle w:val="HideTWBExt"/>
        </w:rPr>
        <w:t>&lt;NumAm&gt;</w:t>
      </w:r>
      <w:r>
        <w:t>107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22 – paragraphe 3 – point b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b bis)</w:t>
            </w:r>
            <w:r>
              <w:tab/>
            </w:r>
            <w:r>
              <w:rPr>
                <w:b/>
                <w:i/>
              </w:rPr>
              <w:t>des mesures permettant d’éviter tout contact visuel entre la victime et l’auteur de l’infraction,</w:t>
            </w:r>
            <w:r>
              <w:rPr>
                <w:b/>
                <w:i/>
              </w:rPr>
              <w:t xml:space="preserve"> y compris pendant la déposition, par le recours à des moyens adéquats, notamment des technologies de communication, soient introduites;</w:t>
            </w:r>
          </w:p>
        </w:tc>
      </w:tr>
    </w:tbl>
    <w:p w:rsidR="00995B88" w:rsidRPr="00995B88" w:rsidRDefault="00297AF4" w:rsidP="00995B88">
      <w:r>
        <w:rPr>
          <w:rStyle w:val="HideTWBExt"/>
        </w:rPr>
        <w:t>&lt;/Amend&gt;</w:t>
      </w:r>
      <w:bookmarkEnd w:id="103"/>
    </w:p>
    <w:p w:rsidR="00995B88" w:rsidRPr="00995B88" w:rsidRDefault="00297AF4" w:rsidP="00995B88">
      <w:pPr>
        <w:pStyle w:val="AMNumberTabs0"/>
      </w:pPr>
      <w:bookmarkStart w:id="104" w:name="AM6Compr11"/>
      <w:r>
        <w:rPr>
          <w:rStyle w:val="HideTWBExt"/>
        </w:rPr>
        <w:t>&lt;Amend&gt;</w:t>
      </w:r>
      <w:r>
        <w:t>Amendement</w:t>
      </w:r>
      <w:r>
        <w:tab/>
      </w:r>
      <w:r>
        <w:tab/>
      </w:r>
      <w:r>
        <w:rPr>
          <w:rStyle w:val="HideTWBExt"/>
        </w:rPr>
        <w:t>&lt;NumAm&gt;</w:t>
      </w:r>
      <w:r>
        <w:t>108</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 xml:space="preserve">Article 22 – </w:t>
      </w:r>
      <w:r>
        <w:t>paragraphe 3 – point f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f bis)</w:t>
            </w:r>
            <w:r>
              <w:tab/>
            </w:r>
            <w:r>
              <w:rPr>
                <w:b/>
                <w:i/>
              </w:rPr>
              <w:t xml:space="preserve">des mesures appropriées soient prises pour garantir que l’enfant victime puisse communiquer efficacement son témoignage, y compris l’accès à des </w:t>
            </w:r>
            <w:r>
              <w:rPr>
                <w:b/>
                <w:i/>
              </w:rPr>
              <w:t>interprètes si nécessaire;</w:t>
            </w:r>
          </w:p>
        </w:tc>
      </w:tr>
    </w:tbl>
    <w:p w:rsidR="00995B88" w:rsidRPr="00995B88" w:rsidRDefault="00297AF4" w:rsidP="00995B88">
      <w:r>
        <w:rPr>
          <w:rStyle w:val="HideTWBExt"/>
        </w:rPr>
        <w:t>&lt;/Amend&gt;</w:t>
      </w:r>
      <w:bookmarkEnd w:id="104"/>
    </w:p>
    <w:p w:rsidR="00995B88" w:rsidRPr="00995B88" w:rsidRDefault="00297AF4" w:rsidP="00995B88">
      <w:pPr>
        <w:pStyle w:val="AMNumberTabs0"/>
      </w:pPr>
      <w:bookmarkStart w:id="105" w:name="AM6Compr12"/>
      <w:r>
        <w:rPr>
          <w:rStyle w:val="HideTWBExt"/>
        </w:rPr>
        <w:t>&lt;Amend&gt;</w:t>
      </w:r>
      <w:r>
        <w:t>Amendement</w:t>
      </w:r>
      <w:r>
        <w:tab/>
      </w:r>
      <w:r>
        <w:tab/>
      </w:r>
      <w:r>
        <w:rPr>
          <w:rStyle w:val="HideTWBExt"/>
        </w:rPr>
        <w:t>&lt;NumAm&gt;</w:t>
      </w:r>
      <w:r>
        <w:t>109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22 – paragraphe 3 – point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lastRenderedPageBreak/>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g)</w:t>
            </w:r>
            <w:r>
              <w:tab/>
              <w:t xml:space="preserve">les examens médicaux de </w:t>
            </w:r>
            <w:r>
              <w:t>l’enfant victime aux fins de la procédure pénale soient aussi limités que possible et effectués par des professionnels formés à cet effet.</w:t>
            </w:r>
          </w:p>
        </w:tc>
        <w:tc>
          <w:tcPr>
            <w:tcW w:w="4876" w:type="dxa"/>
            <w:tcBorders>
              <w:top w:val="nil"/>
              <w:left w:val="nil"/>
              <w:bottom w:val="nil"/>
              <w:right w:val="nil"/>
            </w:tcBorders>
          </w:tcPr>
          <w:p w:rsidR="00995B88" w:rsidRPr="00995B88" w:rsidRDefault="00297AF4" w:rsidP="005C748F">
            <w:pPr>
              <w:pStyle w:val="Normal6a"/>
            </w:pPr>
            <w:r>
              <w:t>g)</w:t>
            </w:r>
            <w:r>
              <w:tab/>
              <w:t>les examens médicaux de l’enfant victime aux fins de la procédure pénale soient aussi limités que possible et effe</w:t>
            </w:r>
            <w:r>
              <w:t>ctués par des professionnels formés à cet effet</w:t>
            </w:r>
            <w:r>
              <w:rPr>
                <w:b/>
                <w:i/>
              </w:rPr>
              <w:t>, en utilisant des approches adaptées à sa spécificité d’enfant, à son genre et à son traumatisme, et en tenant compte des besoins des enfants handicapés</w:t>
            </w:r>
            <w:r>
              <w:t>.</w:t>
            </w:r>
          </w:p>
        </w:tc>
      </w:tr>
    </w:tbl>
    <w:p w:rsidR="00995B88" w:rsidRPr="00995B88" w:rsidRDefault="00297AF4" w:rsidP="00995B88">
      <w:r>
        <w:rPr>
          <w:rStyle w:val="HideTWBExt"/>
        </w:rPr>
        <w:t>&lt;/Amend&gt;</w:t>
      </w:r>
      <w:bookmarkEnd w:id="105"/>
    </w:p>
    <w:p w:rsidR="00995B88" w:rsidRPr="00995B88" w:rsidRDefault="00297AF4" w:rsidP="00995B88">
      <w:pPr>
        <w:pStyle w:val="AMNumberTabs0"/>
      </w:pPr>
      <w:bookmarkStart w:id="106" w:name="AM7Compr1"/>
      <w:r>
        <w:rPr>
          <w:rStyle w:val="HideTWBExt"/>
        </w:rPr>
        <w:t>&lt;Amend&gt;</w:t>
      </w:r>
      <w:r>
        <w:t>Amendement</w:t>
      </w:r>
      <w:r>
        <w:tab/>
      </w:r>
      <w:r>
        <w:tab/>
      </w:r>
      <w:r>
        <w:rPr>
          <w:rStyle w:val="HideTWBExt"/>
        </w:rPr>
        <w:t>&lt;NumAm&gt;</w:t>
      </w:r>
      <w:r>
        <w:t>110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23 – paragraphe 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2 bis.</w:t>
            </w:r>
            <w:r>
              <w:tab/>
            </w:r>
            <w:r>
              <w:rPr>
                <w:b/>
                <w:i/>
              </w:rPr>
              <w:t>Les États membres veillent à ce que leurs autorités compétentes versent directement à la victime,</w:t>
            </w:r>
            <w:r>
              <w:rPr>
                <w:b/>
                <w:i/>
              </w:rPr>
              <w:t xml:space="preserve"> dans les meilleurs délais, l’indemnisation sur laquelle il a été statué. Les autorités compétentes sont subrogées dans le droit de la victime à l’égard de l’auteur de l’infraction à concurrence du montant de l’indemnisation sur laquelle il a été statué.</w:t>
            </w:r>
          </w:p>
        </w:tc>
      </w:tr>
    </w:tbl>
    <w:p w:rsidR="00995B88" w:rsidRPr="00995B88" w:rsidRDefault="00297AF4" w:rsidP="00995B88">
      <w:r>
        <w:rPr>
          <w:rStyle w:val="HideTWBExt"/>
        </w:rPr>
        <w:t>&lt;/Amend&gt;</w:t>
      </w:r>
      <w:bookmarkEnd w:id="106"/>
    </w:p>
    <w:p w:rsidR="00995B88" w:rsidRPr="00995B88" w:rsidRDefault="00297AF4" w:rsidP="00995B88">
      <w:pPr>
        <w:pStyle w:val="AMNumberTabs0"/>
      </w:pPr>
      <w:bookmarkStart w:id="107" w:name="AM7Compr2"/>
      <w:r>
        <w:rPr>
          <w:rStyle w:val="HideTWBExt"/>
        </w:rPr>
        <w:t>&lt;Amend&gt;</w:t>
      </w:r>
      <w:r>
        <w:t>Amendement</w:t>
      </w:r>
      <w:r>
        <w:tab/>
      </w:r>
      <w:r>
        <w:tab/>
      </w:r>
      <w:r>
        <w:rPr>
          <w:rStyle w:val="HideTWBExt"/>
        </w:rPr>
        <w:t>&lt;NumAm&gt;</w:t>
      </w:r>
      <w:r>
        <w:t>111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23 – paragraphe 3 – point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a)</w:t>
            </w:r>
            <w:r>
              <w:tab/>
              <w:t xml:space="preserve">au moins </w:t>
            </w:r>
            <w:r>
              <w:rPr>
                <w:b/>
                <w:i/>
              </w:rPr>
              <w:t>20</w:t>
            </w:r>
            <w:r>
              <w:t xml:space="preserve"> ans à compter de la date à laquelle la victime </w:t>
            </w:r>
            <w:r>
              <w:t>a atteint l’âge de la majorité, pour les infractions passibles d’une peine maximale d’au moins trois ans d’emprisonnement en vertu de la présente directive;</w:t>
            </w:r>
          </w:p>
        </w:tc>
        <w:tc>
          <w:tcPr>
            <w:tcW w:w="4876" w:type="dxa"/>
            <w:tcBorders>
              <w:top w:val="nil"/>
              <w:left w:val="nil"/>
              <w:bottom w:val="nil"/>
              <w:right w:val="nil"/>
            </w:tcBorders>
          </w:tcPr>
          <w:p w:rsidR="00995B88" w:rsidRPr="00995B88" w:rsidRDefault="00297AF4" w:rsidP="005C748F">
            <w:pPr>
              <w:pStyle w:val="Normal6a"/>
            </w:pPr>
            <w:r>
              <w:t>a)</w:t>
            </w:r>
            <w:r>
              <w:tab/>
              <w:t xml:space="preserve">au moins </w:t>
            </w:r>
            <w:r>
              <w:rPr>
                <w:b/>
                <w:i/>
              </w:rPr>
              <w:t>30</w:t>
            </w:r>
            <w:r>
              <w:t xml:space="preserve"> ans à compter de la date à laquelle la victime a atteint l’âge de la majorité, pour </w:t>
            </w:r>
            <w:r>
              <w:t>les infractions passibles d’une peine maximale d’au moins trois ans d’emprisonnement en vertu de la présente directive;</w:t>
            </w:r>
          </w:p>
        </w:tc>
      </w:tr>
    </w:tbl>
    <w:p w:rsidR="00995B88" w:rsidRPr="00995B88" w:rsidRDefault="00297AF4" w:rsidP="00995B88">
      <w:r>
        <w:rPr>
          <w:rStyle w:val="HideTWBExt"/>
        </w:rPr>
        <w:t>&lt;/Amend&gt;</w:t>
      </w:r>
      <w:bookmarkEnd w:id="107"/>
    </w:p>
    <w:p w:rsidR="00995B88" w:rsidRPr="00995B88" w:rsidRDefault="00297AF4" w:rsidP="00995B88">
      <w:pPr>
        <w:pStyle w:val="AMNumberTabs0"/>
      </w:pPr>
      <w:bookmarkStart w:id="108" w:name="AM7Compr3"/>
      <w:r>
        <w:rPr>
          <w:rStyle w:val="HideTWBExt"/>
        </w:rPr>
        <w:t>&lt;Amend&gt;</w:t>
      </w:r>
      <w:r>
        <w:t>Amendement</w:t>
      </w:r>
      <w:r>
        <w:tab/>
      </w:r>
      <w:r>
        <w:tab/>
      </w:r>
      <w:r>
        <w:rPr>
          <w:rStyle w:val="HideTWBExt"/>
        </w:rPr>
        <w:t>&lt;NumAm&gt;</w:t>
      </w:r>
      <w:r>
        <w:t>112</w:t>
      </w:r>
      <w:r>
        <w:rPr>
          <w:rStyle w:val="HideTWBExt"/>
        </w:rPr>
        <w:t>&lt;/NumAm&gt;</w:t>
      </w:r>
    </w:p>
    <w:p w:rsidR="00995B88" w:rsidRPr="00995B88" w:rsidRDefault="00297AF4" w:rsidP="00995B88">
      <w:pPr>
        <w:pStyle w:val="NormalBold12b"/>
      </w:pPr>
      <w:r>
        <w:rPr>
          <w:rStyle w:val="HideTWBExt"/>
        </w:rPr>
        <w:lastRenderedPageBreak/>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23 – paragraphe 3 – point</w:t>
      </w:r>
      <w:r>
        <w:t xml:space="preserve">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b)</w:t>
            </w:r>
            <w:r>
              <w:tab/>
              <w:t xml:space="preserve">au moins </w:t>
            </w:r>
            <w:r>
              <w:rPr>
                <w:b/>
                <w:i/>
              </w:rPr>
              <w:t>25</w:t>
            </w:r>
            <w:r>
              <w:t> ans à compter de la date à laquelle la victime a atteint l’âge de la majorité, pour les infractions passibles d’une peine maximale d’au moins cinq ans d’emprisonnement en vertu de la</w:t>
            </w:r>
            <w:r>
              <w:t xml:space="preserve"> présente directive;</w:t>
            </w:r>
          </w:p>
        </w:tc>
        <w:tc>
          <w:tcPr>
            <w:tcW w:w="4876" w:type="dxa"/>
            <w:tcBorders>
              <w:top w:val="nil"/>
              <w:left w:val="nil"/>
              <w:bottom w:val="nil"/>
              <w:right w:val="nil"/>
            </w:tcBorders>
          </w:tcPr>
          <w:p w:rsidR="00995B88" w:rsidRPr="00995B88" w:rsidRDefault="00297AF4" w:rsidP="005C748F">
            <w:pPr>
              <w:pStyle w:val="Normal6a"/>
            </w:pPr>
            <w:r>
              <w:t>b)</w:t>
            </w:r>
            <w:r>
              <w:tab/>
              <w:t xml:space="preserve">au moins </w:t>
            </w:r>
            <w:r>
              <w:rPr>
                <w:b/>
                <w:i/>
              </w:rPr>
              <w:t>35</w:t>
            </w:r>
            <w:r>
              <w:t> ans à compter de la date à laquelle la victime a atteint l’âge de la majorité, pour les infractions passibles d’une peine maximale d’au moins cinq ans d’emprisonnement en vertu de la présente directive;</w:t>
            </w:r>
          </w:p>
        </w:tc>
      </w:tr>
    </w:tbl>
    <w:p w:rsidR="00995B88" w:rsidRPr="00995B88" w:rsidRDefault="00297AF4" w:rsidP="00995B88">
      <w:r>
        <w:rPr>
          <w:rStyle w:val="HideTWBExt"/>
        </w:rPr>
        <w:t>&lt;/Amend&gt;</w:t>
      </w:r>
      <w:bookmarkEnd w:id="108"/>
    </w:p>
    <w:p w:rsidR="00995B88" w:rsidRPr="00995B88" w:rsidRDefault="00297AF4" w:rsidP="00995B88">
      <w:pPr>
        <w:pStyle w:val="AMNumberTabs0"/>
      </w:pPr>
      <w:bookmarkStart w:id="109" w:name="AM7Compr4"/>
      <w:r>
        <w:rPr>
          <w:rStyle w:val="HideTWBExt"/>
        </w:rPr>
        <w:t>&lt;Amend&gt;</w:t>
      </w:r>
      <w:r>
        <w:t>Amendement</w:t>
      </w:r>
      <w:r>
        <w:tab/>
      </w:r>
      <w:r>
        <w:tab/>
      </w:r>
      <w:r>
        <w:rPr>
          <w:rStyle w:val="HideTWBExt"/>
        </w:rPr>
        <w:t>&lt;NumAm&gt;</w:t>
      </w:r>
      <w:r>
        <w:t>113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23 – paragraphe 3 – point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c)</w:t>
            </w:r>
            <w:r>
              <w:tab/>
            </w:r>
            <w:r>
              <w:rPr>
                <w:b/>
                <w:i/>
              </w:rPr>
              <w:t>au moins 30 ans à compter</w:t>
            </w:r>
            <w:r>
              <w:t xml:space="preserve"> de </w:t>
            </w:r>
            <w:r>
              <w:rPr>
                <w:b/>
                <w:i/>
              </w:rPr>
              <w:t xml:space="preserve">la date à laquelle la victime a atteint l’âge </w:t>
            </w:r>
            <w:r>
              <w:rPr>
                <w:b/>
                <w:i/>
              </w:rPr>
              <w:t>de la majorité, pour les</w:t>
            </w:r>
            <w:r>
              <w:t xml:space="preserve"> infractions passibles d’une peine maximale d’au moins huit</w:t>
            </w:r>
            <w:r>
              <w:rPr>
                <w:b/>
                <w:i/>
              </w:rPr>
              <w:t xml:space="preserve"> </w:t>
            </w:r>
            <w:r>
              <w:t>ans d’emprisonnement en vertu de la présente directive.</w:t>
            </w:r>
          </w:p>
        </w:tc>
        <w:tc>
          <w:tcPr>
            <w:tcW w:w="4876" w:type="dxa"/>
            <w:tcBorders>
              <w:top w:val="nil"/>
              <w:left w:val="nil"/>
              <w:bottom w:val="nil"/>
              <w:right w:val="nil"/>
            </w:tcBorders>
          </w:tcPr>
          <w:p w:rsidR="00995B88" w:rsidRPr="00995B88" w:rsidRDefault="00297AF4" w:rsidP="005C748F">
            <w:pPr>
              <w:pStyle w:val="Normal6a"/>
            </w:pPr>
            <w:r>
              <w:t>c)</w:t>
            </w:r>
            <w:r>
              <w:tab/>
            </w:r>
            <w:r>
              <w:rPr>
                <w:b/>
                <w:i/>
              </w:rPr>
              <w:t>aucun délai</w:t>
            </w:r>
            <w:r>
              <w:t xml:space="preserve"> de </w:t>
            </w:r>
            <w:r>
              <w:rPr>
                <w:b/>
                <w:i/>
              </w:rPr>
              <w:t>prescription ne s’applique aux</w:t>
            </w:r>
            <w:r>
              <w:t xml:space="preserve"> infractions passibles d’une peine maximale d’au moins huit</w:t>
            </w:r>
            <w:r>
              <w:rPr>
                <w:b/>
                <w:i/>
              </w:rPr>
              <w:t> </w:t>
            </w:r>
            <w:r>
              <w:t>ans d’em</w:t>
            </w:r>
            <w:r>
              <w:t>prisonnement en vertu de la présente directive.</w:t>
            </w:r>
          </w:p>
        </w:tc>
      </w:tr>
    </w:tbl>
    <w:p w:rsidR="00995B88" w:rsidRPr="00995B88" w:rsidRDefault="00297AF4" w:rsidP="00995B88">
      <w:r>
        <w:rPr>
          <w:rStyle w:val="HideTWBExt"/>
        </w:rPr>
        <w:t>&lt;/Amend&gt;</w:t>
      </w:r>
      <w:bookmarkEnd w:id="109"/>
    </w:p>
    <w:p w:rsidR="00995B88" w:rsidRPr="00995B88" w:rsidRDefault="00297AF4" w:rsidP="00995B88">
      <w:pPr>
        <w:pStyle w:val="AMNumberTabs0"/>
      </w:pPr>
      <w:bookmarkStart w:id="110" w:name="AM8Compr1"/>
      <w:r>
        <w:rPr>
          <w:rStyle w:val="HideTWBExt"/>
        </w:rPr>
        <w:t>&lt;Amend&gt;</w:t>
      </w:r>
      <w:r>
        <w:t>Amendement</w:t>
      </w:r>
      <w:r>
        <w:tab/>
      </w:r>
      <w:r>
        <w:tab/>
      </w:r>
      <w:r>
        <w:rPr>
          <w:rStyle w:val="HideTWBExt"/>
        </w:rPr>
        <w:t>&lt;NumAm&gt;</w:t>
      </w:r>
      <w:r>
        <w:t>114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28 – 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1.</w:t>
            </w:r>
            <w:r>
              <w:tab/>
              <w:t xml:space="preserve">Pour décourager et </w:t>
            </w:r>
            <w:r>
              <w:t xml:space="preserve">réduire la demande qui favorise toutes les formes d’exploitation sexuelle des enfants, les États membres prennent les mesures appropriées, telles que l’éducation et la formation, des campagnes d’information et de sensibilisation sur les conséquences à vie </w:t>
            </w:r>
            <w:r>
              <w:t xml:space="preserve">des abus sexuels et de l’exploitation sexuelle des enfants, sur leur caractère illégal et sur la possibilité, pour les personnes craignant de commettre des infractions de cette nature, d’avoir accès à des programmes ou des mesures </w:t>
            </w:r>
            <w:r>
              <w:lastRenderedPageBreak/>
              <w:t>d’intervention spécialisé</w:t>
            </w:r>
            <w:r>
              <w:t>s et efficaces.</w:t>
            </w:r>
          </w:p>
        </w:tc>
        <w:tc>
          <w:tcPr>
            <w:tcW w:w="4876" w:type="dxa"/>
            <w:tcBorders>
              <w:top w:val="nil"/>
              <w:left w:val="nil"/>
              <w:bottom w:val="nil"/>
              <w:right w:val="nil"/>
            </w:tcBorders>
          </w:tcPr>
          <w:p w:rsidR="00995B88" w:rsidRPr="00995B88" w:rsidRDefault="00297AF4" w:rsidP="005C748F">
            <w:pPr>
              <w:pStyle w:val="Normal6a"/>
            </w:pPr>
            <w:r>
              <w:lastRenderedPageBreak/>
              <w:t>1.</w:t>
            </w:r>
            <w:r>
              <w:tab/>
              <w:t xml:space="preserve">Pour décourager et réduire la demande qui favorise toutes les formes d’exploitation sexuelle des enfants, les États membres prennent les mesures appropriées, telles que l’éducation et la formation, </w:t>
            </w:r>
            <w:r>
              <w:rPr>
                <w:b/>
                <w:i/>
              </w:rPr>
              <w:t>y compris une éducation complète à la s</w:t>
            </w:r>
            <w:r>
              <w:rPr>
                <w:b/>
                <w:i/>
              </w:rPr>
              <w:t xml:space="preserve">exualité, adaptée au genre et à l’âge, </w:t>
            </w:r>
            <w:r>
              <w:t>des campagnes d’information et de sensibilisation sur les conséquences à vie des abus sexuels et de l’exploitation sexuelle des enfants, sur leur caractère illégal et sur la possibilité, pour les personnes craignant d</w:t>
            </w:r>
            <w:r>
              <w:t xml:space="preserve">e commettre des infractions de cette nature, d’avoir accès à </w:t>
            </w:r>
            <w:r>
              <w:lastRenderedPageBreak/>
              <w:t>des programmes ou des mesures d’intervention spécialisés et efficaces</w:t>
            </w:r>
            <w:r>
              <w:rPr>
                <w:b/>
                <w:i/>
              </w:rPr>
              <w:t>, y compris un soutien et un suivi psychologiques, tout en garantissant la confidentialité et l’anonymat</w:t>
            </w:r>
            <w:r>
              <w:t>.</w:t>
            </w:r>
          </w:p>
        </w:tc>
      </w:tr>
    </w:tbl>
    <w:p w:rsidR="00995B88" w:rsidRPr="00995B88" w:rsidRDefault="00297AF4" w:rsidP="00995B88">
      <w:r>
        <w:rPr>
          <w:rStyle w:val="HideTWBExt"/>
        </w:rPr>
        <w:lastRenderedPageBreak/>
        <w:t>&lt;/Amend&gt;</w:t>
      </w:r>
      <w:bookmarkEnd w:id="110"/>
    </w:p>
    <w:p w:rsidR="00995B88" w:rsidRPr="00995B88" w:rsidRDefault="00297AF4" w:rsidP="00995B88">
      <w:pPr>
        <w:pStyle w:val="AMNumberTabs0"/>
      </w:pPr>
      <w:bookmarkStart w:id="111" w:name="AM8Compr2"/>
      <w:r>
        <w:rPr>
          <w:rStyle w:val="HideTWBExt"/>
        </w:rPr>
        <w:t>&lt;Amend&gt;</w:t>
      </w:r>
      <w:r>
        <w:t>Ame</w:t>
      </w:r>
      <w:r>
        <w:t>ndement</w:t>
      </w:r>
      <w:r>
        <w:tab/>
      </w:r>
      <w:r>
        <w:tab/>
      </w:r>
      <w:r>
        <w:rPr>
          <w:rStyle w:val="HideTWBExt"/>
        </w:rPr>
        <w:t>&lt;NumAm&gt;</w:t>
      </w:r>
      <w:r>
        <w:t>115</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28 – paragraphe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2.</w:t>
            </w:r>
            <w:r>
              <w:tab/>
              <w:t>Les États membres engagent les actions appropriées, y compris par l’internet, telles que</w:t>
            </w:r>
            <w:r>
              <w:t xml:space="preserve"> des campagnes d’information et de sensibilisation, des programmes ou matériels de recherche, d’éducation et de formation, le cas échéant en coopération avec des organisations pertinentes de la société civile et d’autres parties intéressées, afin de sensib</w:t>
            </w:r>
            <w:r>
              <w:t>iliser l’opinion à ce problème et de réduire le risque que des enfants ne deviennent victimes d’abus sexuels ou d’exploitation sexuelle.</w:t>
            </w:r>
          </w:p>
        </w:tc>
        <w:tc>
          <w:tcPr>
            <w:tcW w:w="4876" w:type="dxa"/>
            <w:tcBorders>
              <w:top w:val="nil"/>
              <w:left w:val="nil"/>
              <w:bottom w:val="nil"/>
              <w:right w:val="nil"/>
            </w:tcBorders>
          </w:tcPr>
          <w:p w:rsidR="00995B88" w:rsidRPr="00995B88" w:rsidRDefault="00297AF4" w:rsidP="005C748F">
            <w:pPr>
              <w:pStyle w:val="Normal6a"/>
            </w:pPr>
            <w:r>
              <w:t>2.</w:t>
            </w:r>
            <w:r>
              <w:tab/>
              <w:t>Les États membres engagent les actions appropriées, y compris par l’internet, telles que des campagnes d’information</w:t>
            </w:r>
            <w:r>
              <w:t xml:space="preserve"> et de sensibilisation, des programmes ou matériels de recherche, d’éducation et de formation, </w:t>
            </w:r>
            <w:r>
              <w:rPr>
                <w:b/>
                <w:i/>
              </w:rPr>
              <w:t xml:space="preserve">y compris une éducation complète à la sexualité et aux relations, adaptée à l’âge, fondée sur les principes de l’égalité des genres, de la non-discrimination et </w:t>
            </w:r>
            <w:r>
              <w:rPr>
                <w:b/>
                <w:i/>
              </w:rPr>
              <w:t xml:space="preserve">des droits fondamentaux, et abordent, en particulier, le rôle central du consentement dans les relations sexuelles, en soulignant que le consentement ne peut être donné que volontairement comme résultat de la volonté libre de la personne concernée, </w:t>
            </w:r>
            <w:r>
              <w:t xml:space="preserve">le cas </w:t>
            </w:r>
            <w:r>
              <w:t>échéant en coopération avec des organisations pertinentes de la société civile et d’autres parties intéressées, afin de sensibiliser l’opinion à ce problème</w:t>
            </w:r>
            <w:r>
              <w:rPr>
                <w:b/>
                <w:i/>
              </w:rPr>
              <w:t>, d’aider les enfants à reconnaître la violence sexuelle et à comprendre leurs droits,</w:t>
            </w:r>
            <w:r>
              <w:t xml:space="preserve"> et de réduire</w:t>
            </w:r>
            <w:r>
              <w:rPr>
                <w:b/>
                <w:i/>
              </w:rPr>
              <w:t xml:space="preserve"> ainsi</w:t>
            </w:r>
            <w:r>
              <w:t xml:space="preserve"> le risque que des enfants ne deviennent victimes d’abus sexuels ou</w:t>
            </w:r>
            <w:r>
              <w:rPr>
                <w:b/>
                <w:i/>
              </w:rPr>
              <w:t xml:space="preserve"> d’exploitation sexuelle, que ce soit physiquement ou au moyen des technologies de l’information et de la communication.</w:t>
            </w:r>
            <w:r>
              <w:t xml:space="preserve"> </w:t>
            </w:r>
            <w:r>
              <w:rPr>
                <w:b/>
                <w:i/>
              </w:rPr>
              <w:t>Les États membres veillent à ce que cette action intègre une p</w:t>
            </w:r>
            <w:r>
              <w:rPr>
                <w:b/>
                <w:i/>
              </w:rPr>
              <w:t>erspective de genre, en remédiant aux vulnérabilités spécifiques des filles et des garçons face aux différentes formes d’abus sexuels et d’exploitation sexuelle.</w:t>
            </w:r>
          </w:p>
        </w:tc>
      </w:tr>
    </w:tbl>
    <w:p w:rsidR="00995B88" w:rsidRPr="00995B88" w:rsidRDefault="00297AF4" w:rsidP="00995B88">
      <w:r>
        <w:rPr>
          <w:rStyle w:val="HideTWBExt"/>
        </w:rPr>
        <w:t>&lt;/Amend&gt;</w:t>
      </w:r>
      <w:bookmarkEnd w:id="111"/>
    </w:p>
    <w:p w:rsidR="00995B88" w:rsidRPr="00995B88" w:rsidRDefault="00297AF4" w:rsidP="00995B88">
      <w:pPr>
        <w:pStyle w:val="AMNumberTabs0"/>
      </w:pPr>
      <w:bookmarkStart w:id="112" w:name="AM8Compr3"/>
      <w:r>
        <w:rPr>
          <w:rStyle w:val="HideTWBExt"/>
        </w:rPr>
        <w:lastRenderedPageBreak/>
        <w:t>&lt;Amend&gt;</w:t>
      </w:r>
      <w:r>
        <w:t>Amendement</w:t>
      </w:r>
      <w:r>
        <w:tab/>
      </w:r>
      <w:r>
        <w:tab/>
      </w:r>
      <w:r>
        <w:rPr>
          <w:rStyle w:val="HideTWBExt"/>
        </w:rPr>
        <w:t>&lt;NumAm&gt;</w:t>
      </w:r>
      <w:r>
        <w:t>116</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28 – paragraphe 2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2 bis.</w:t>
            </w:r>
            <w:r>
              <w:tab/>
            </w:r>
            <w:r>
              <w:rPr>
                <w:b/>
                <w:i/>
              </w:rPr>
              <w:t xml:space="preserve">Les États membres élaborent des campagnes et des programmes de sensibilisation destinés aux enfants, afin de leur faire prendre conscience que </w:t>
            </w:r>
            <w:r>
              <w:rPr>
                <w:b/>
                <w:i/>
              </w:rPr>
              <w:t>les relations sexuelles non consenties sont considérées comme une infraction pénale, et œuvrent en faveur de la compréhension du fait que le consentement doit être donné volontairement comme résultat de la volonté libre d’une personne, du respect mutuel et</w:t>
            </w:r>
            <w:r>
              <w:rPr>
                <w:b/>
                <w:i/>
              </w:rPr>
              <w:t xml:space="preserve"> du droit à l’intégrité sexuelle et à l’autonomie corporelle. Ce matériel est adapté à l’évolution des capacités des personnes auxquelles il s’adresse.</w:t>
            </w:r>
          </w:p>
        </w:tc>
      </w:tr>
    </w:tbl>
    <w:p w:rsidR="00995B88" w:rsidRPr="00995B88" w:rsidRDefault="00297AF4" w:rsidP="00995B88">
      <w:r>
        <w:rPr>
          <w:rStyle w:val="HideTWBExt"/>
        </w:rPr>
        <w:t>&lt;/Amend&gt;</w:t>
      </w:r>
      <w:bookmarkEnd w:id="112"/>
    </w:p>
    <w:p w:rsidR="00995B88" w:rsidRPr="00995B88" w:rsidRDefault="00297AF4" w:rsidP="00995B88">
      <w:pPr>
        <w:pStyle w:val="AMNumberTabs0"/>
      </w:pPr>
      <w:bookmarkStart w:id="113" w:name="AM8Compr4"/>
      <w:r>
        <w:rPr>
          <w:rStyle w:val="HideTWBExt"/>
        </w:rPr>
        <w:t>&lt;Amend&gt;</w:t>
      </w:r>
      <w:r>
        <w:t>Amendement</w:t>
      </w:r>
      <w:r>
        <w:tab/>
      </w:r>
      <w:r>
        <w:tab/>
      </w:r>
      <w:r>
        <w:rPr>
          <w:rStyle w:val="HideTWBExt"/>
        </w:rPr>
        <w:t>&lt;NumAm&gt;</w:t>
      </w:r>
      <w:r>
        <w:t>117</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28 – paragraphe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3.</w:t>
            </w:r>
            <w:r>
              <w:tab/>
              <w:t>Les États membres favorisent la formation régulière , notamment en matière de justice adaptée aux enfants, des professionnels, des juges et des fonctionnaires susceptibles</w:t>
            </w:r>
            <w:r>
              <w:t xml:space="preserve"> d’entrer en contact avec des enfants victimes d’abus sexuels ou d’exploitation sexuelle, notamment les professionnels de la protection de l’enfance, les professionnels du droit, les enseignants et éducateurs, les juges aux affaires familiales et les polic</w:t>
            </w:r>
            <w:r>
              <w:t>iers de terrain, visant à leur permettre d’identifier les enfants victimes et victimes potentielles d’abus sexuels ou d’exploitation sexuelle et de les prendre en charge.</w:t>
            </w:r>
          </w:p>
        </w:tc>
        <w:tc>
          <w:tcPr>
            <w:tcW w:w="4876" w:type="dxa"/>
            <w:tcBorders>
              <w:top w:val="nil"/>
              <w:left w:val="nil"/>
              <w:bottom w:val="nil"/>
              <w:right w:val="nil"/>
            </w:tcBorders>
          </w:tcPr>
          <w:p w:rsidR="00995B88" w:rsidRPr="00995B88" w:rsidRDefault="00297AF4" w:rsidP="005C748F">
            <w:pPr>
              <w:pStyle w:val="Normal6a"/>
            </w:pPr>
            <w:r>
              <w:t>3.</w:t>
            </w:r>
            <w:r>
              <w:tab/>
              <w:t xml:space="preserve">Les États membres </w:t>
            </w:r>
            <w:r>
              <w:rPr>
                <w:b/>
                <w:i/>
              </w:rPr>
              <w:t xml:space="preserve">assurent et </w:t>
            </w:r>
            <w:r>
              <w:t xml:space="preserve">favorisent la formation régulière </w:t>
            </w:r>
            <w:r>
              <w:rPr>
                <w:b/>
                <w:i/>
              </w:rPr>
              <w:t>et spécialisée</w:t>
            </w:r>
            <w:r>
              <w:t>, no</w:t>
            </w:r>
            <w:r>
              <w:t>tamment en matière de justice adaptée aux enfants</w:t>
            </w:r>
            <w:r>
              <w:rPr>
                <w:b/>
                <w:i/>
              </w:rPr>
              <w:t xml:space="preserve"> et de sensibilité au genre</w:t>
            </w:r>
            <w:r>
              <w:t>, des professionnels, des juges et des fonctionnaires susceptibles d’entrer en contact avec des enfants victimes d’abus sexuels ou d’exploitation sexuelle, notamment les profession</w:t>
            </w:r>
            <w:r>
              <w:t xml:space="preserve">nels de la protection de l’enfance, les professionnels du droit, les </w:t>
            </w:r>
            <w:r>
              <w:rPr>
                <w:b/>
                <w:i/>
              </w:rPr>
              <w:t xml:space="preserve">professionnels de la garde d’enfants, les professionnels de la santé, les </w:t>
            </w:r>
            <w:r>
              <w:t>enseignants et éducateurs, les juges aux affaires familiales et les policiers de terrain, visant à leur permettre</w:t>
            </w:r>
            <w:r>
              <w:t xml:space="preserve"> </w:t>
            </w:r>
            <w:r>
              <w:rPr>
                <w:b/>
                <w:i/>
              </w:rPr>
              <w:t xml:space="preserve">de détecter des signes précoces d’abus, </w:t>
            </w:r>
            <w:r>
              <w:t xml:space="preserve">d’identifier les enfants victimes et victimes potentielles </w:t>
            </w:r>
            <w:r>
              <w:lastRenderedPageBreak/>
              <w:t xml:space="preserve">d’abus sexuels ou d’exploitation sexuelle et de les prendre en charge. </w:t>
            </w:r>
            <w:r>
              <w:rPr>
                <w:b/>
                <w:i/>
              </w:rPr>
              <w:t>Ces formations sont axées sur les droits de l’homme, centrées sur les victimes et tie</w:t>
            </w:r>
            <w:r>
              <w:rPr>
                <w:b/>
                <w:i/>
              </w:rPr>
              <w:t>nnent compte du genre, du handicap et de la spécificité d’enfant des victimes.</w:t>
            </w:r>
          </w:p>
        </w:tc>
      </w:tr>
    </w:tbl>
    <w:p w:rsidR="00995B88" w:rsidRPr="00995B88" w:rsidRDefault="00297AF4" w:rsidP="00995B88">
      <w:r>
        <w:rPr>
          <w:rStyle w:val="HideTWBExt"/>
        </w:rPr>
        <w:lastRenderedPageBreak/>
        <w:t>&lt;/Amend&gt;</w:t>
      </w:r>
      <w:bookmarkEnd w:id="113"/>
    </w:p>
    <w:p w:rsidR="00995B88" w:rsidRPr="00995B88" w:rsidRDefault="00297AF4" w:rsidP="00995B88">
      <w:pPr>
        <w:pStyle w:val="AMNumberTabs0"/>
      </w:pPr>
      <w:bookmarkStart w:id="114" w:name="AM8Compr5"/>
      <w:r>
        <w:rPr>
          <w:rStyle w:val="HideTWBExt"/>
        </w:rPr>
        <w:t>&lt;Amend&gt;</w:t>
      </w:r>
      <w:r>
        <w:t>Amendement</w:t>
      </w:r>
      <w:r>
        <w:tab/>
      </w:r>
      <w:r>
        <w:tab/>
      </w:r>
      <w:r>
        <w:rPr>
          <w:rStyle w:val="HideTWBExt"/>
        </w:rPr>
        <w:t>&lt;NumAm&gt;</w:t>
      </w:r>
      <w:r>
        <w:t>118</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28 – paragraphe 4 – alinéa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proposé par la </w:t>
            </w:r>
            <w:r>
              <w:t>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 xml:space="preserve">Les États membres prennent les mesures appropriées pour </w:t>
            </w:r>
            <w:r>
              <w:rPr>
                <w:b/>
                <w:i/>
              </w:rPr>
              <w:t>améliorer</w:t>
            </w:r>
            <w:r>
              <w:t xml:space="preserve"> la prévention des abus sexuels sur enfants au sein </w:t>
            </w:r>
            <w:r>
              <w:rPr>
                <w:b/>
                <w:i/>
              </w:rPr>
              <w:t xml:space="preserve">des </w:t>
            </w:r>
            <w:r>
              <w:t>collectivités, notamment les écoles, les hôpitaux, les services d’aide sociale, les clubs sportifs ou les commun</w:t>
            </w:r>
            <w:r>
              <w:t>autés religieuses.</w:t>
            </w:r>
          </w:p>
        </w:tc>
        <w:tc>
          <w:tcPr>
            <w:tcW w:w="4876" w:type="dxa"/>
            <w:tcBorders>
              <w:top w:val="nil"/>
              <w:left w:val="nil"/>
              <w:bottom w:val="nil"/>
              <w:right w:val="nil"/>
            </w:tcBorders>
          </w:tcPr>
          <w:p w:rsidR="00995B88" w:rsidRPr="00995B88" w:rsidRDefault="00297AF4" w:rsidP="005C748F">
            <w:pPr>
              <w:pStyle w:val="Normal6a"/>
            </w:pPr>
            <w:r>
              <w:t xml:space="preserve">Les États membres prennent les mesures appropriées pour </w:t>
            </w:r>
            <w:r>
              <w:rPr>
                <w:b/>
                <w:i/>
              </w:rPr>
              <w:t>veiller à</w:t>
            </w:r>
            <w:r>
              <w:t xml:space="preserve"> la prévention des abus sexuels sur enfants au sein </w:t>
            </w:r>
            <w:r>
              <w:rPr>
                <w:b/>
                <w:i/>
              </w:rPr>
              <w:t xml:space="preserve">de toutes les </w:t>
            </w:r>
            <w:r>
              <w:t xml:space="preserve">collectivités </w:t>
            </w:r>
            <w:r>
              <w:rPr>
                <w:b/>
                <w:i/>
              </w:rPr>
              <w:t>et organisations dont le personnel et les bénévoles travaillent en contact étroit avec des e</w:t>
            </w:r>
            <w:r>
              <w:rPr>
                <w:b/>
                <w:i/>
              </w:rPr>
              <w:t>nfants</w:t>
            </w:r>
            <w:r>
              <w:t>, notamment les écoles, les hôpitaux</w:t>
            </w:r>
            <w:r>
              <w:rPr>
                <w:b/>
                <w:i/>
              </w:rPr>
              <w:t>, les centres de jour</w:t>
            </w:r>
            <w:r>
              <w:t>, les services d’aide sociale, les clubs sportifs ou les communautés religieuses.</w:t>
            </w:r>
          </w:p>
        </w:tc>
      </w:tr>
    </w:tbl>
    <w:p w:rsidR="00995B88" w:rsidRPr="00995B88" w:rsidRDefault="00297AF4" w:rsidP="00995B88">
      <w:r>
        <w:rPr>
          <w:rStyle w:val="HideTWBExt"/>
        </w:rPr>
        <w:t>&lt;/Amend&gt;</w:t>
      </w:r>
      <w:bookmarkEnd w:id="114"/>
    </w:p>
    <w:p w:rsidR="00995B88" w:rsidRPr="00995B88" w:rsidRDefault="00297AF4" w:rsidP="00995B88">
      <w:pPr>
        <w:pStyle w:val="AMNumberTabs0"/>
      </w:pPr>
      <w:bookmarkStart w:id="115" w:name="AM8Compr6"/>
      <w:r>
        <w:rPr>
          <w:rStyle w:val="HideTWBExt"/>
        </w:rPr>
        <w:t>&lt;Amend&gt;</w:t>
      </w:r>
      <w:r>
        <w:t>Amendement</w:t>
      </w:r>
      <w:r>
        <w:tab/>
      </w:r>
      <w:r>
        <w:tab/>
      </w:r>
      <w:r>
        <w:rPr>
          <w:rStyle w:val="HideTWBExt"/>
        </w:rPr>
        <w:t>&lt;NumAm&gt;</w:t>
      </w:r>
      <w:r>
        <w:t>119</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28 – paragraphe 4 – alinéa 2 – point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a)</w:t>
            </w:r>
            <w:r>
              <w:tab/>
              <w:t xml:space="preserve">des activités spécifiques de formation et de sensibilisation à l’intention du personnel travaillant </w:t>
            </w:r>
            <w:r>
              <w:rPr>
                <w:b/>
                <w:i/>
              </w:rPr>
              <w:t>dans</w:t>
            </w:r>
            <w:r>
              <w:t xml:space="preserve"> de </w:t>
            </w:r>
            <w:r>
              <w:rPr>
                <w:b/>
                <w:i/>
              </w:rPr>
              <w:t>tels environnements</w:t>
            </w:r>
            <w:r>
              <w:t>;</w:t>
            </w:r>
          </w:p>
        </w:tc>
        <w:tc>
          <w:tcPr>
            <w:tcW w:w="4876" w:type="dxa"/>
            <w:tcBorders>
              <w:top w:val="nil"/>
              <w:left w:val="nil"/>
              <w:bottom w:val="nil"/>
              <w:right w:val="nil"/>
            </w:tcBorders>
          </w:tcPr>
          <w:p w:rsidR="00995B88" w:rsidRPr="00995B88" w:rsidRDefault="00297AF4" w:rsidP="005C748F">
            <w:pPr>
              <w:pStyle w:val="Normal6a"/>
            </w:pPr>
            <w:r>
              <w:t>a)</w:t>
            </w:r>
            <w:r>
              <w:tab/>
            </w:r>
            <w:r>
              <w:t xml:space="preserve">des activités spécifiques de formation et de sensibilisation à l’intention du personnel </w:t>
            </w:r>
            <w:r>
              <w:rPr>
                <w:b/>
                <w:i/>
              </w:rPr>
              <w:t xml:space="preserve">et des bénévoles </w:t>
            </w:r>
            <w:r>
              <w:t xml:space="preserve">travaillant </w:t>
            </w:r>
            <w:r>
              <w:rPr>
                <w:b/>
                <w:i/>
              </w:rPr>
              <w:t>en contact étroit avec des enfants, y compris sur la manière</w:t>
            </w:r>
            <w:r>
              <w:t xml:space="preserve"> de </w:t>
            </w:r>
            <w:r>
              <w:rPr>
                <w:b/>
                <w:i/>
              </w:rPr>
              <w:t>prévenir, de déterminer et de fournir une réponse adaptée à l’âge, au genre</w:t>
            </w:r>
            <w:r>
              <w:rPr>
                <w:b/>
                <w:i/>
              </w:rPr>
              <w:t xml:space="preserve"> et aux traumatismes face aux abus sexuels et à l’exploitation sexuelle d’enfants</w:t>
            </w:r>
            <w:r>
              <w:t>;</w:t>
            </w:r>
          </w:p>
        </w:tc>
      </w:tr>
    </w:tbl>
    <w:p w:rsidR="00995B88" w:rsidRPr="00995B88" w:rsidRDefault="00297AF4" w:rsidP="00995B88">
      <w:r>
        <w:rPr>
          <w:rStyle w:val="HideTWBExt"/>
        </w:rPr>
        <w:t>&lt;/Amend&gt;</w:t>
      </w:r>
      <w:bookmarkEnd w:id="115"/>
    </w:p>
    <w:p w:rsidR="00995B88" w:rsidRPr="00995B88" w:rsidRDefault="00297AF4" w:rsidP="00995B88">
      <w:pPr>
        <w:pStyle w:val="AMNumberTabs0"/>
      </w:pPr>
      <w:bookmarkStart w:id="116" w:name="AM8Compr7"/>
      <w:r>
        <w:rPr>
          <w:rStyle w:val="HideTWBExt"/>
        </w:rPr>
        <w:t>&lt;Amend&gt;</w:t>
      </w:r>
      <w:r>
        <w:t>Amendement</w:t>
      </w:r>
      <w:r>
        <w:tab/>
      </w:r>
      <w:r>
        <w:tab/>
      </w:r>
      <w:r>
        <w:rPr>
          <w:rStyle w:val="HideTWBExt"/>
        </w:rPr>
        <w:t>&lt;NumAm&gt;</w:t>
      </w:r>
      <w:r>
        <w:t>120</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28 – paragraphe 4 – alinéa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proposé par la </w:t>
            </w:r>
            <w:r>
              <w:t>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Les mesures de prévention accordent une attention particulière à la nécessité de protéger les enfants particulièrement vulnérables, notamment ceux souffrant d’un handicap mental ou physique.</w:t>
            </w:r>
          </w:p>
        </w:tc>
        <w:tc>
          <w:tcPr>
            <w:tcW w:w="4876" w:type="dxa"/>
            <w:tcBorders>
              <w:top w:val="nil"/>
              <w:left w:val="nil"/>
              <w:bottom w:val="nil"/>
              <w:right w:val="nil"/>
            </w:tcBorders>
          </w:tcPr>
          <w:p w:rsidR="00995B88" w:rsidRPr="00995B88" w:rsidRDefault="00297AF4" w:rsidP="005C748F">
            <w:pPr>
              <w:pStyle w:val="Normal6a"/>
            </w:pPr>
            <w:r>
              <w:t xml:space="preserve">Les mesures de prévention accordent une attention particulière à la nécessité de protéger les enfants particulièrement vulnérables, notamment ceux </w:t>
            </w:r>
            <w:r>
              <w:rPr>
                <w:b/>
                <w:i/>
              </w:rPr>
              <w:t>issus de minorités raciales et ethniques, les enfants en situation de migration, les enfants LGBTIQ+, les enf</w:t>
            </w:r>
            <w:r>
              <w:rPr>
                <w:b/>
                <w:i/>
              </w:rPr>
              <w:t xml:space="preserve">ants vivant dans la pauvreté et les enfants </w:t>
            </w:r>
            <w:r>
              <w:t>souffrant d’un handicap mental ou physique</w:t>
            </w:r>
            <w:r>
              <w:rPr>
                <w:b/>
                <w:i/>
              </w:rPr>
              <w:t xml:space="preserve"> ou dont l’état de santé est précaire</w:t>
            </w:r>
            <w:r>
              <w:t>.</w:t>
            </w:r>
          </w:p>
        </w:tc>
      </w:tr>
    </w:tbl>
    <w:p w:rsidR="00995B88" w:rsidRPr="00995B88" w:rsidRDefault="00297AF4" w:rsidP="00995B88">
      <w:r>
        <w:rPr>
          <w:rStyle w:val="HideTWBExt"/>
        </w:rPr>
        <w:t>&lt;/Amend&gt;</w:t>
      </w:r>
      <w:bookmarkEnd w:id="116"/>
    </w:p>
    <w:p w:rsidR="00995B88" w:rsidRPr="00995B88" w:rsidRDefault="00297AF4" w:rsidP="00995B88">
      <w:pPr>
        <w:pStyle w:val="AMNumberTabs0"/>
      </w:pPr>
      <w:bookmarkStart w:id="117" w:name="AM8Compr8"/>
      <w:r>
        <w:rPr>
          <w:rStyle w:val="HideTWBExt"/>
        </w:rPr>
        <w:t>&lt;Amend&gt;</w:t>
      </w:r>
      <w:r>
        <w:t>Amendement</w:t>
      </w:r>
      <w:r>
        <w:tab/>
      </w:r>
      <w:r>
        <w:tab/>
      </w:r>
      <w:r>
        <w:rPr>
          <w:rStyle w:val="HideTWBExt"/>
        </w:rPr>
        <w:t>&lt;NumAm&gt;</w:t>
      </w:r>
      <w:r>
        <w:t>121</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28 – paragraphe 5 – </w:t>
      </w:r>
      <w:r>
        <w:t>point c bis (nouveau)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995B88" w:rsidP="005C748F">
            <w:pPr>
              <w:pStyle w:val="Normal6a"/>
            </w:pPr>
          </w:p>
        </w:tc>
        <w:tc>
          <w:tcPr>
            <w:tcW w:w="4876" w:type="dxa"/>
            <w:tcBorders>
              <w:top w:val="nil"/>
              <w:left w:val="nil"/>
              <w:bottom w:val="nil"/>
              <w:right w:val="nil"/>
            </w:tcBorders>
          </w:tcPr>
          <w:p w:rsidR="00995B88" w:rsidRPr="00995B88" w:rsidRDefault="00297AF4" w:rsidP="005C748F">
            <w:pPr>
              <w:pStyle w:val="Normal6a"/>
            </w:pPr>
            <w:r>
              <w:rPr>
                <w:b/>
                <w:i/>
              </w:rPr>
              <w:t>c bis)</w:t>
            </w:r>
            <w:r>
              <w:tab/>
            </w:r>
            <w:r>
              <w:rPr>
                <w:b/>
                <w:i/>
              </w:rPr>
              <w:t>en les soutenant dans l’élaboration de campagnes d’information et de sensibilisation.</w:t>
            </w:r>
          </w:p>
        </w:tc>
      </w:tr>
    </w:tbl>
    <w:p w:rsidR="00995B88" w:rsidRPr="00995B88" w:rsidRDefault="00297AF4" w:rsidP="00995B88">
      <w:r>
        <w:rPr>
          <w:rStyle w:val="HideTWBExt"/>
        </w:rPr>
        <w:t>&lt;/Amend&gt;</w:t>
      </w:r>
      <w:bookmarkEnd w:id="117"/>
    </w:p>
    <w:p w:rsidR="00995B88" w:rsidRPr="00995B88" w:rsidRDefault="00297AF4" w:rsidP="00995B88">
      <w:pPr>
        <w:pStyle w:val="AMNumberTabs0"/>
      </w:pPr>
      <w:bookmarkStart w:id="118" w:name="AM9Compr1"/>
      <w:r>
        <w:rPr>
          <w:rStyle w:val="HideTWBExt"/>
        </w:rPr>
        <w:t>&lt;Amend&gt;</w:t>
      </w:r>
      <w:r>
        <w:t>Amendement</w:t>
      </w:r>
      <w:r>
        <w:tab/>
      </w:r>
      <w:r>
        <w:tab/>
      </w:r>
      <w:r>
        <w:rPr>
          <w:rStyle w:val="HideTWBExt"/>
        </w:rPr>
        <w:t>&lt;NumAm&gt;</w:t>
      </w:r>
      <w:r>
        <w:t>122</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29 – paragraphe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1.</w:t>
            </w:r>
            <w:r>
              <w:tab/>
              <w:t xml:space="preserve">Sans préjudice des programmes ou mesures d’intervention imposés par les autorités judiciaires compétentes en application du droit national, les États </w:t>
            </w:r>
            <w:r>
              <w:t>membres prennent les mesures nécessaires pour que des programmes ou mesures d’intervention spécialisés et efficaces soient proposés en vue de prévenir et de réduire au minimum les risques de réitération d’infractions à caractère sexuel à l’encontre d’enfan</w:t>
            </w:r>
            <w:r>
              <w:t xml:space="preserve">ts. Ces programmes ou mesures doivent être accessibles à tout moment durant la procédure pénale, et être proposés en milieu carcéral et à l’extérieur, </w:t>
            </w:r>
            <w:r>
              <w:lastRenderedPageBreak/>
              <w:t>conformément au droit national.</w:t>
            </w:r>
          </w:p>
        </w:tc>
        <w:tc>
          <w:tcPr>
            <w:tcW w:w="4876" w:type="dxa"/>
            <w:tcBorders>
              <w:top w:val="nil"/>
              <w:left w:val="nil"/>
              <w:bottom w:val="nil"/>
              <w:right w:val="nil"/>
            </w:tcBorders>
          </w:tcPr>
          <w:p w:rsidR="00995B88" w:rsidRPr="00995B88" w:rsidRDefault="00297AF4" w:rsidP="005C748F">
            <w:pPr>
              <w:pStyle w:val="Normal6a"/>
            </w:pPr>
            <w:r>
              <w:lastRenderedPageBreak/>
              <w:t>1.</w:t>
            </w:r>
            <w:r>
              <w:tab/>
              <w:t>Sans préjudice des programmes ou mesures d’intervention imposés par le</w:t>
            </w:r>
            <w:r>
              <w:t xml:space="preserve">s autorités judiciaires compétentes en application du droit national, les États membres prennent les mesures nécessaires pour que des programmes ou mesures d’intervention spécialisés et efficaces soient proposés en vue de prévenir et de réduire au minimum </w:t>
            </w:r>
            <w:r>
              <w:t>les risques de réitération d’infractions à caractère sexuel à l’encontre d’enfants. Ces programmes ou mesures doivent être accessibles à tout moment durant la procédure pénale, et être proposés en milieu carcéral et à l’extérieur, conformément au droit nat</w:t>
            </w:r>
            <w:r>
              <w:t xml:space="preserve">ional. </w:t>
            </w:r>
            <w:r>
              <w:rPr>
                <w:b/>
                <w:i/>
              </w:rPr>
              <w:t xml:space="preserve">Les États </w:t>
            </w:r>
            <w:r>
              <w:rPr>
                <w:b/>
                <w:i/>
              </w:rPr>
              <w:lastRenderedPageBreak/>
              <w:t>membres encouragent la participation des auteurs à ces programmes.</w:t>
            </w:r>
          </w:p>
        </w:tc>
      </w:tr>
    </w:tbl>
    <w:p w:rsidR="00995B88" w:rsidRPr="00995B88" w:rsidRDefault="00297AF4" w:rsidP="00995B88">
      <w:r>
        <w:rPr>
          <w:rStyle w:val="HideTWBExt"/>
        </w:rPr>
        <w:lastRenderedPageBreak/>
        <w:t>&lt;/Amend&gt;</w:t>
      </w:r>
      <w:bookmarkEnd w:id="118"/>
    </w:p>
    <w:p w:rsidR="00995B88" w:rsidRPr="00995B88" w:rsidRDefault="00297AF4" w:rsidP="00995B88">
      <w:pPr>
        <w:pStyle w:val="AMNumberTabs0"/>
      </w:pPr>
      <w:bookmarkStart w:id="119" w:name="AM9Compr2"/>
      <w:r>
        <w:rPr>
          <w:rStyle w:val="HideTWBExt"/>
        </w:rPr>
        <w:t>&lt;Amend&gt;</w:t>
      </w:r>
      <w:r>
        <w:t>Amendement</w:t>
      </w:r>
      <w:r>
        <w:tab/>
      </w:r>
      <w:r>
        <w:tab/>
      </w:r>
      <w:r>
        <w:rPr>
          <w:rStyle w:val="HideTWBExt"/>
        </w:rPr>
        <w:t>&lt;NumAm&gt;</w:t>
      </w:r>
      <w:r>
        <w:t>123</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31 – paragraphe 2 – partie introductive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 xml:space="preserve">Texte </w:t>
            </w:r>
            <w:r>
              <w:t>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2.</w:t>
            </w:r>
            <w:r>
              <w:tab/>
              <w:t>Les statistiques comprennent les données suivantes, ventilées par sexe, par âge de la victime et de l’auteur de l’infraction, par relation entre la victime et l’auteur de l’infraction et par type d’infraction:</w:t>
            </w:r>
          </w:p>
        </w:tc>
        <w:tc>
          <w:tcPr>
            <w:tcW w:w="4876" w:type="dxa"/>
            <w:tcBorders>
              <w:top w:val="nil"/>
              <w:left w:val="nil"/>
              <w:bottom w:val="nil"/>
              <w:right w:val="nil"/>
            </w:tcBorders>
          </w:tcPr>
          <w:p w:rsidR="00995B88" w:rsidRPr="00995B88" w:rsidRDefault="00297AF4" w:rsidP="005C748F">
            <w:pPr>
              <w:pStyle w:val="Normal6a"/>
            </w:pPr>
            <w:r>
              <w:t>2.</w:t>
            </w:r>
            <w:r>
              <w:tab/>
            </w:r>
            <w:r>
              <w:t xml:space="preserve">Les statistiques comprennent les données suivantes, ventilées </w:t>
            </w:r>
            <w:r>
              <w:rPr>
                <w:b/>
                <w:i/>
              </w:rPr>
              <w:t xml:space="preserve">au moins </w:t>
            </w:r>
            <w:r>
              <w:t>par sexe</w:t>
            </w:r>
            <w:r>
              <w:rPr>
                <w:b/>
                <w:i/>
              </w:rPr>
              <w:t>, par genre</w:t>
            </w:r>
            <w:r>
              <w:t>, par âge de la victime et de l’auteur de l’infraction, par relation entre la victime et l’auteur de l’infraction et par type d’infraction</w:t>
            </w:r>
            <w:r>
              <w:rPr>
                <w:b/>
                <w:i/>
              </w:rPr>
              <w:t xml:space="preserve"> et circonstances aggravante</w:t>
            </w:r>
            <w:r>
              <w:rPr>
                <w:b/>
                <w:i/>
              </w:rPr>
              <w:t>s</w:t>
            </w:r>
            <w:r>
              <w:t>:</w:t>
            </w:r>
          </w:p>
        </w:tc>
      </w:tr>
    </w:tbl>
    <w:p w:rsidR="00995B88" w:rsidRPr="00995B88" w:rsidRDefault="00297AF4" w:rsidP="00995B88">
      <w:r>
        <w:rPr>
          <w:rStyle w:val="HideTWBExt"/>
        </w:rPr>
        <w:t>&lt;/Amend&gt;</w:t>
      </w:r>
      <w:bookmarkEnd w:id="119"/>
    </w:p>
    <w:p w:rsidR="00995B88" w:rsidRPr="00995B88" w:rsidRDefault="00297AF4" w:rsidP="00995B88">
      <w:pPr>
        <w:pStyle w:val="AMNumberTabs0"/>
      </w:pPr>
      <w:bookmarkStart w:id="120" w:name="AM9Compr3"/>
      <w:r>
        <w:rPr>
          <w:rStyle w:val="HideTWBExt"/>
        </w:rPr>
        <w:t>&lt;Amend&gt;</w:t>
      </w:r>
      <w:r>
        <w:t>Amendement</w:t>
      </w:r>
      <w:r>
        <w:tab/>
      </w:r>
      <w:r>
        <w:tab/>
      </w:r>
      <w:r>
        <w:rPr>
          <w:rStyle w:val="HideTWBExt"/>
        </w:rPr>
        <w:t>&lt;NumAm&gt;</w:t>
      </w:r>
      <w:r>
        <w:t>124</w:t>
      </w:r>
      <w:r>
        <w:rPr>
          <w:rStyle w:val="HideTWBExt"/>
        </w:rPr>
        <w:t>&lt;/NumAm&gt;</w:t>
      </w:r>
    </w:p>
    <w:p w:rsidR="00995B88" w:rsidRPr="00995B88" w:rsidRDefault="00297AF4" w:rsidP="00995B88">
      <w:pPr>
        <w:pStyle w:val="NormalBold12b"/>
      </w:pPr>
      <w:r>
        <w:rPr>
          <w:rStyle w:val="HideTWBExt"/>
        </w:rPr>
        <w:t>&lt;DocAmend&gt;</w:t>
      </w:r>
      <w:r>
        <w:t>Proposition de directive</w:t>
      </w:r>
      <w:r>
        <w:rPr>
          <w:rStyle w:val="HideTWBExt"/>
        </w:rPr>
        <w:t>&lt;/DocAmend&gt;</w:t>
      </w:r>
    </w:p>
    <w:p w:rsidR="00995B88" w:rsidRPr="00995B88" w:rsidRDefault="00297AF4" w:rsidP="00995B88">
      <w:pPr>
        <w:pStyle w:val="NormalBold"/>
      </w:pPr>
      <w:r>
        <w:rPr>
          <w:rStyle w:val="HideTWBExt"/>
        </w:rPr>
        <w:t>&lt;Article&gt;</w:t>
      </w:r>
      <w:r>
        <w:t>Article 31 – paragraphe 2 – point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D185D" w:rsidTr="005C748F">
        <w:trPr>
          <w:trHeight w:hRule="exact" w:val="240"/>
          <w:jc w:val="center"/>
        </w:trPr>
        <w:tc>
          <w:tcPr>
            <w:tcW w:w="9752" w:type="dxa"/>
            <w:gridSpan w:val="2"/>
            <w:tcBorders>
              <w:top w:val="nil"/>
              <w:left w:val="nil"/>
              <w:bottom w:val="nil"/>
              <w:right w:val="nil"/>
            </w:tcBorders>
          </w:tcPr>
          <w:p w:rsidR="00995B88" w:rsidRPr="00995B88" w:rsidRDefault="00995B88" w:rsidP="005C748F"/>
        </w:tc>
      </w:tr>
      <w:tr w:rsidR="00AD185D" w:rsidTr="005C748F">
        <w:trPr>
          <w:trHeight w:val="240"/>
          <w:jc w:val="center"/>
        </w:trPr>
        <w:tc>
          <w:tcPr>
            <w:tcW w:w="4876" w:type="dxa"/>
            <w:tcBorders>
              <w:top w:val="nil"/>
              <w:left w:val="nil"/>
              <w:bottom w:val="nil"/>
              <w:right w:val="nil"/>
            </w:tcBorders>
          </w:tcPr>
          <w:p w:rsidR="00995B88" w:rsidRPr="00995B88" w:rsidRDefault="00297AF4" w:rsidP="005C748F">
            <w:pPr>
              <w:pStyle w:val="AmColumnHeading"/>
            </w:pPr>
            <w:r>
              <w:t>Texte proposé par la Commission</w:t>
            </w:r>
          </w:p>
        </w:tc>
        <w:tc>
          <w:tcPr>
            <w:tcW w:w="4876" w:type="dxa"/>
            <w:tcBorders>
              <w:top w:val="nil"/>
              <w:left w:val="nil"/>
              <w:bottom w:val="nil"/>
              <w:right w:val="nil"/>
            </w:tcBorders>
          </w:tcPr>
          <w:p w:rsidR="00995B88" w:rsidRPr="00995B88" w:rsidRDefault="00297AF4" w:rsidP="005C748F">
            <w:pPr>
              <w:pStyle w:val="AmColumnHeading"/>
            </w:pPr>
            <w:r>
              <w:t>Amendement</w:t>
            </w:r>
          </w:p>
        </w:tc>
      </w:tr>
      <w:tr w:rsidR="00AD185D" w:rsidTr="005C748F">
        <w:trPr>
          <w:jc w:val="center"/>
        </w:trPr>
        <w:tc>
          <w:tcPr>
            <w:tcW w:w="4876" w:type="dxa"/>
            <w:tcBorders>
              <w:top w:val="nil"/>
              <w:left w:val="nil"/>
              <w:bottom w:val="nil"/>
              <w:right w:val="nil"/>
            </w:tcBorders>
          </w:tcPr>
          <w:p w:rsidR="00995B88" w:rsidRPr="00995B88" w:rsidRDefault="00297AF4" w:rsidP="005C748F">
            <w:pPr>
              <w:pStyle w:val="Normal6a"/>
            </w:pPr>
            <w:r>
              <w:t>b)</w:t>
            </w:r>
            <w:r>
              <w:tab/>
              <w:t>le nombre annuel de personnes poursuivies et condamnées</w:t>
            </w:r>
            <w:r>
              <w:t xml:space="preserve"> pour les infractions prévues aux articles</w:t>
            </w:r>
            <w:r>
              <w:rPr>
                <w:b/>
                <w:i/>
              </w:rPr>
              <w:t xml:space="preserve"> </w:t>
            </w:r>
            <w:r>
              <w:t>3 à</w:t>
            </w:r>
            <w:r>
              <w:rPr>
                <w:b/>
                <w:i/>
              </w:rPr>
              <w:t xml:space="preserve"> </w:t>
            </w:r>
            <w:r>
              <w:t>9, obtenu auprès de sources administratives nationales;</w:t>
            </w:r>
          </w:p>
        </w:tc>
        <w:tc>
          <w:tcPr>
            <w:tcW w:w="4876" w:type="dxa"/>
            <w:tcBorders>
              <w:top w:val="nil"/>
              <w:left w:val="nil"/>
              <w:bottom w:val="nil"/>
              <w:right w:val="nil"/>
            </w:tcBorders>
          </w:tcPr>
          <w:p w:rsidR="00995B88" w:rsidRPr="00995B88" w:rsidRDefault="00297AF4" w:rsidP="005C748F">
            <w:pPr>
              <w:pStyle w:val="Normal6a"/>
            </w:pPr>
            <w:r>
              <w:t>b)</w:t>
            </w:r>
            <w:r>
              <w:tab/>
              <w:t xml:space="preserve">le nombre annuel </w:t>
            </w:r>
            <w:r>
              <w:rPr>
                <w:b/>
                <w:i/>
              </w:rPr>
              <w:t xml:space="preserve">d’infractions signalées, </w:t>
            </w:r>
            <w:r>
              <w:t>de personnes poursuivies et condamnées pour les infractions prévues aux articles</w:t>
            </w:r>
            <w:r>
              <w:rPr>
                <w:b/>
                <w:i/>
              </w:rPr>
              <w:t> </w:t>
            </w:r>
            <w:r>
              <w:t>3 à</w:t>
            </w:r>
            <w:r>
              <w:rPr>
                <w:b/>
                <w:i/>
              </w:rPr>
              <w:t> </w:t>
            </w:r>
            <w:r>
              <w:t xml:space="preserve">9, obtenu auprès de </w:t>
            </w:r>
            <w:r>
              <w:t>sources administratives nationales;</w:t>
            </w:r>
          </w:p>
        </w:tc>
      </w:tr>
    </w:tbl>
    <w:p w:rsidR="00995B88" w:rsidRPr="00995B88" w:rsidRDefault="00297AF4" w:rsidP="00995B88">
      <w:r>
        <w:rPr>
          <w:rStyle w:val="HideTWBExt"/>
        </w:rPr>
        <w:t>&lt;/Amend&gt;</w:t>
      </w:r>
      <w:bookmarkEnd w:id="120"/>
    </w:p>
    <w:p w:rsidR="00995B88" w:rsidRPr="00995B88" w:rsidRDefault="00995B88" w:rsidP="00995B88">
      <w:pPr>
        <w:rPr>
          <w:rStyle w:val="HideTWBExt"/>
          <w:noProof w:val="0"/>
        </w:rPr>
      </w:pPr>
    </w:p>
    <w:p w:rsidR="00995B88" w:rsidRPr="00995B88" w:rsidRDefault="00297AF4" w:rsidP="00995B88">
      <w:pPr>
        <w:pStyle w:val="AMNumberTabs0"/>
        <w:keepNext/>
      </w:pPr>
      <w:r>
        <w:rPr>
          <w:rStyle w:val="HideTWBExt"/>
        </w:rPr>
        <w:t>&lt;/RepeatBlock-Amend&gt;</w:t>
      </w:r>
      <w:bookmarkEnd w:id="3"/>
    </w:p>
    <w:p w:rsidR="005809AE" w:rsidRPr="00995B88" w:rsidRDefault="005809AE" w:rsidP="00995B88">
      <w:pPr>
        <w:pStyle w:val="Normal12a"/>
        <w:sectPr w:rsidR="005809AE" w:rsidRPr="00995B88" w:rsidSect="00995B8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5809AE" w:rsidRPr="00995B88" w:rsidRDefault="005809AE">
      <w:pPr>
        <w:widowControl/>
      </w:pPr>
    </w:p>
    <w:p w:rsidR="005809AE" w:rsidRPr="00995B88" w:rsidRDefault="00297AF4" w:rsidP="00095CD0">
      <w:pPr>
        <w:pStyle w:val="PageHeadingNotTOC"/>
      </w:pPr>
      <w:bookmarkStart w:id="121" w:name="FootprintPageAD"/>
      <w:r>
        <w:t>ANNEXE: ENTITÉS OU PERSONNES</w:t>
      </w:r>
      <w:r>
        <w:br/>
        <w:t>DONT LA RAPPORTEURE POUR AVIS A REÇU DES CONTRIBUTIONS</w:t>
      </w:r>
    </w:p>
    <w:p w:rsidR="005809AE" w:rsidRPr="00995B88" w:rsidRDefault="00297AF4" w:rsidP="00095CD0">
      <w:pPr>
        <w:pStyle w:val="Normal24a"/>
      </w:pPr>
      <w:r>
        <w:rPr>
          <w:rStyle w:val="HideTWBExt"/>
        </w:rPr>
        <w:t>&lt;FootprintIntro&gt;</w:t>
      </w:r>
      <w:bookmarkStart w:id="122" w:name="iStart"/>
      <w:bookmarkStart w:id="123" w:name="iEnd"/>
      <w:bookmarkEnd w:id="122"/>
      <w:bookmarkEnd w:id="123"/>
      <w:r>
        <w:t xml:space="preserve">Conformément à l’article 8 de l’annexe I du règlement intérieur, la rapporteure pour </w:t>
      </w:r>
      <w:r>
        <w:t>avis déclare avoir reçu des contributions des entités ou personnes suivantes pour l’élaboration de l’avis:</w:t>
      </w:r>
      <w:r>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AD185D" w:rsidTr="008A31E8">
        <w:tc>
          <w:tcPr>
            <w:tcW w:w="9060" w:type="dxa"/>
            <w:shd w:val="clear" w:color="auto" w:fill="auto"/>
          </w:tcPr>
          <w:p w:rsidR="005809AE" w:rsidRPr="00995B88" w:rsidRDefault="00297AF4" w:rsidP="005809AE">
            <w:pPr>
              <w:pStyle w:val="NormalBoldCenter"/>
            </w:pPr>
            <w:r>
              <w:t>Entité et/ou personne</w:t>
            </w:r>
          </w:p>
        </w:tc>
      </w:tr>
      <w:tr w:rsidR="00AD185D" w:rsidRPr="00A716A5" w:rsidTr="008A31E8">
        <w:tc>
          <w:tcPr>
            <w:tcW w:w="9060" w:type="dxa"/>
            <w:shd w:val="clear" w:color="auto" w:fill="auto"/>
          </w:tcPr>
          <w:p w:rsidR="005809AE" w:rsidRPr="00A716A5" w:rsidRDefault="00297AF4" w:rsidP="005809AE">
            <w:pPr>
              <w:pStyle w:val="NormalBoldCenter"/>
              <w:jc w:val="left"/>
              <w:rPr>
                <w:lang w:val="en-GB"/>
              </w:rPr>
            </w:pPr>
            <w:r w:rsidRPr="00A716A5">
              <w:rPr>
                <w:rStyle w:val="Strong"/>
                <w:shd w:val="clear" w:color="auto" w:fill="FFFFFF"/>
                <w:lang w:val="en-GB"/>
              </w:rPr>
              <w:t>The French Coordination for the European Women’s Lobby</w:t>
            </w:r>
          </w:p>
        </w:tc>
      </w:tr>
      <w:tr w:rsidR="00AD185D" w:rsidRPr="00A716A5" w:rsidTr="008A31E8">
        <w:tc>
          <w:tcPr>
            <w:tcW w:w="9060" w:type="dxa"/>
            <w:shd w:val="clear" w:color="auto" w:fill="auto"/>
          </w:tcPr>
          <w:p w:rsidR="005809AE" w:rsidRPr="00A716A5" w:rsidRDefault="00297AF4" w:rsidP="005809AE">
            <w:pPr>
              <w:pStyle w:val="NormalSingle"/>
              <w:rPr>
                <w:lang w:val="en-GB"/>
              </w:rPr>
            </w:pPr>
            <w:r w:rsidRPr="00A716A5">
              <w:rPr>
                <w:lang w:val="en-GB"/>
              </w:rPr>
              <w:t>ECLAG - Ending Child Sexual Abuse Group</w:t>
            </w:r>
          </w:p>
        </w:tc>
      </w:tr>
    </w:tbl>
    <w:p w:rsidR="005809AE" w:rsidRPr="00995B88" w:rsidRDefault="00297AF4" w:rsidP="00095CD0">
      <w:pPr>
        <w:pStyle w:val="Footprint12b"/>
      </w:pPr>
      <w:r>
        <w:t xml:space="preserve">La liste </w:t>
      </w:r>
      <w:r>
        <w:t>ci-dessus est établie sous la responsabilité exclusive de la rapporteure pour avis.</w:t>
      </w:r>
    </w:p>
    <w:p w:rsidR="005809AE" w:rsidRPr="00995B88" w:rsidRDefault="005809AE" w:rsidP="005809AE"/>
    <w:bookmarkEnd w:id="121"/>
    <w:p w:rsidR="008B3186" w:rsidRPr="00995B88" w:rsidRDefault="00297AF4" w:rsidP="008B3186">
      <w:r>
        <w:br w:type="page"/>
      </w:r>
    </w:p>
    <w:p w:rsidR="008B3186" w:rsidRPr="00995B88" w:rsidRDefault="00297AF4" w:rsidP="008B3186">
      <w:pPr>
        <w:pStyle w:val="PageHeadingNotTOC"/>
      </w:pPr>
      <w:bookmarkStart w:id="124" w:name="ProcPageAD"/>
      <w:r>
        <w:lastRenderedPageBreak/>
        <w:t>PROCÉDURE DE LA COMMISSION SAISIE POUR AVIS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AD185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Titre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Lutte contre les abus sexuels et l’exploitation sexuelle des enfants, ainsi que la pédopornographie, et remplacement de</w:t>
            </w:r>
            <w:r>
              <w:rPr>
                <w:color w:val="000000"/>
                <w:sz w:val="20"/>
              </w:rPr>
              <w:t xml:space="preserve"> la décision-cadre 2004/68/JAI du Conseil (refonte)</w:t>
            </w:r>
          </w:p>
        </w:tc>
      </w:tr>
      <w:tr w:rsidR="00AD185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Références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COM(2024)0060 – C9-0028/2024 – 2024/0035(COD)</w:t>
            </w:r>
          </w:p>
        </w:tc>
      </w:tr>
      <w:tr w:rsidR="00AD185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Commission(s) compétente(s) au fond</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LIBE</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B3186" w:rsidRPr="00995B88" w:rsidRDefault="008B3186">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B3186" w:rsidRPr="00995B88" w:rsidRDefault="008B3186">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B3186" w:rsidRPr="00995B88" w:rsidRDefault="008B3186">
            <w:pPr>
              <w:autoSpaceDE w:val="0"/>
              <w:autoSpaceDN w:val="0"/>
              <w:adjustRightInd w:val="0"/>
              <w:rPr>
                <w:rFonts w:ascii="sans-serif" w:hAnsi="sans-serif" w:cs="sans-serif"/>
                <w:color w:val="000000"/>
              </w:rPr>
            </w:pPr>
          </w:p>
        </w:tc>
      </w:tr>
      <w:tr w:rsidR="00AD185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Avis émis par</w:t>
            </w:r>
          </w:p>
          <w:p w:rsidR="008B3186" w:rsidRPr="00995B88" w:rsidRDefault="00297AF4">
            <w:pPr>
              <w:autoSpaceDE w:val="0"/>
              <w:autoSpaceDN w:val="0"/>
              <w:adjustRightInd w:val="0"/>
              <w:rPr>
                <w:color w:val="000000"/>
                <w:sz w:val="20"/>
                <w:szCs w:val="20"/>
              </w:rPr>
            </w:pPr>
            <w:r>
              <w:rPr>
                <w:color w:val="000000"/>
                <w:sz w:val="20"/>
              </w:rPr>
              <w:t>       Date de l’annonce en séance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FEMM</w:t>
            </w:r>
          </w:p>
          <w:p w:rsidR="008B3186" w:rsidRPr="00995B88" w:rsidRDefault="00297AF4">
            <w:pPr>
              <w:autoSpaceDE w:val="0"/>
              <w:autoSpaceDN w:val="0"/>
              <w:adjustRightInd w:val="0"/>
              <w:rPr>
                <w:color w:val="000000"/>
                <w:sz w:val="20"/>
                <w:szCs w:val="20"/>
              </w:rPr>
            </w:pPr>
            <w:r>
              <w:rPr>
                <w:color w:val="000000"/>
                <w:sz w:val="20"/>
              </w:rPr>
              <w:t>25.4.2024</w:t>
            </w:r>
          </w:p>
        </w:tc>
      </w:tr>
      <w:tr w:rsidR="00AD185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Rapporteur(e) pour avis</w:t>
            </w:r>
          </w:p>
          <w:p w:rsidR="008B3186" w:rsidRPr="00995B88" w:rsidRDefault="00297AF4">
            <w:pPr>
              <w:autoSpaceDE w:val="0"/>
              <w:autoSpaceDN w:val="0"/>
              <w:adjustRightInd w:val="0"/>
              <w:rPr>
                <w:color w:val="000000"/>
                <w:sz w:val="20"/>
                <w:szCs w:val="20"/>
              </w:rPr>
            </w:pPr>
            <w:r>
              <w:rPr>
                <w:color w:val="000000"/>
                <w:sz w:val="20"/>
              </w:rPr>
              <w:t>       Date</w:t>
            </w:r>
            <w:r>
              <w:rPr>
                <w:color w:val="000000"/>
                <w:sz w:val="20"/>
              </w:rPr>
              <w:t xml:space="preserve"> de la nomination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Heléne Fritzon</w:t>
            </w:r>
          </w:p>
          <w:p w:rsidR="008B3186" w:rsidRPr="00995B88" w:rsidRDefault="00297AF4">
            <w:pPr>
              <w:autoSpaceDE w:val="0"/>
              <w:autoSpaceDN w:val="0"/>
              <w:adjustRightInd w:val="0"/>
              <w:rPr>
                <w:color w:val="000000"/>
                <w:sz w:val="20"/>
                <w:szCs w:val="20"/>
              </w:rPr>
            </w:pPr>
            <w:r>
              <w:rPr>
                <w:color w:val="000000"/>
                <w:sz w:val="20"/>
              </w:rPr>
              <w:t>21.11.2024</w:t>
            </w:r>
          </w:p>
        </w:tc>
      </w:tr>
      <w:tr w:rsidR="00AD185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Examen en commission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27.1.2025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B3186" w:rsidRPr="00995B88" w:rsidRDefault="008B3186">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B3186" w:rsidRPr="00995B88" w:rsidRDefault="008B3186">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B3186" w:rsidRPr="00995B88" w:rsidRDefault="008B3186">
            <w:pPr>
              <w:autoSpaceDE w:val="0"/>
              <w:autoSpaceDN w:val="0"/>
              <w:adjustRightInd w:val="0"/>
              <w:rPr>
                <w:rFonts w:ascii="sans-serif" w:hAnsi="sans-serif" w:cs="sans-serif"/>
                <w:color w:val="000000"/>
              </w:rPr>
            </w:pPr>
          </w:p>
        </w:tc>
      </w:tr>
      <w:tr w:rsidR="00AD185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Date de l’adoption</w:t>
            </w:r>
          </w:p>
        </w:tc>
        <w:tc>
          <w:tcPr>
            <w:tcW w:w="1530" w:type="dxa"/>
            <w:tcBorders>
              <w:top w:val="nil"/>
              <w:left w:val="nil"/>
              <w:bottom w:val="single" w:sz="8" w:space="0" w:color="000000"/>
              <w:right w:val="nil"/>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3.3.2025</w:t>
            </w:r>
          </w:p>
        </w:tc>
        <w:tc>
          <w:tcPr>
            <w:tcW w:w="1474" w:type="dxa"/>
            <w:tcBorders>
              <w:top w:val="nil"/>
              <w:left w:val="nil"/>
              <w:bottom w:val="single" w:sz="8" w:space="0" w:color="000000"/>
              <w:right w:val="nil"/>
            </w:tcBorders>
            <w:tcMar>
              <w:top w:w="79" w:type="dxa"/>
              <w:left w:w="79" w:type="dxa"/>
              <w:bottom w:w="79" w:type="dxa"/>
              <w:right w:w="79" w:type="dxa"/>
            </w:tcMar>
          </w:tcPr>
          <w:p w:rsidR="008B3186" w:rsidRPr="00995B88" w:rsidRDefault="008B3186">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8B3186" w:rsidRPr="00995B88" w:rsidRDefault="008B3186">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8B3186" w:rsidRPr="00995B88" w:rsidRDefault="008B3186">
            <w:pPr>
              <w:autoSpaceDE w:val="0"/>
              <w:autoSpaceDN w:val="0"/>
              <w:adjustRightInd w:val="0"/>
              <w:rPr>
                <w:rFonts w:ascii="sans-serif" w:hAnsi="sans-serif" w:cs="sans-serif"/>
                <w:color w:val="000000"/>
              </w:rPr>
            </w:pPr>
          </w:p>
        </w:tc>
      </w:tr>
      <w:tr w:rsidR="00AD185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Résultat du vote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w:t>
            </w:r>
          </w:p>
          <w:p w:rsidR="008B3186" w:rsidRPr="00995B88" w:rsidRDefault="00297AF4">
            <w:pPr>
              <w:autoSpaceDE w:val="0"/>
              <w:autoSpaceDN w:val="0"/>
              <w:adjustRightInd w:val="0"/>
              <w:rPr>
                <w:color w:val="000000"/>
                <w:sz w:val="20"/>
                <w:szCs w:val="20"/>
              </w:rPr>
            </w:pPr>
            <w:r>
              <w:rPr>
                <w:color w:val="000000"/>
                <w:sz w:val="20"/>
              </w:rPr>
              <w:t>–:</w:t>
            </w:r>
          </w:p>
          <w:p w:rsidR="008B3186" w:rsidRPr="00995B88" w:rsidRDefault="00297AF4">
            <w:pPr>
              <w:autoSpaceDE w:val="0"/>
              <w:autoSpaceDN w:val="0"/>
              <w:adjustRightInd w:val="0"/>
              <w:rPr>
                <w:color w:val="000000"/>
                <w:sz w:val="20"/>
                <w:szCs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25</w:t>
            </w:r>
          </w:p>
          <w:p w:rsidR="008B3186" w:rsidRPr="00995B88" w:rsidRDefault="00297AF4">
            <w:pPr>
              <w:autoSpaceDE w:val="0"/>
              <w:autoSpaceDN w:val="0"/>
              <w:adjustRightInd w:val="0"/>
              <w:rPr>
                <w:color w:val="000000"/>
                <w:sz w:val="20"/>
                <w:szCs w:val="20"/>
              </w:rPr>
            </w:pPr>
            <w:r>
              <w:rPr>
                <w:color w:val="000000"/>
                <w:sz w:val="20"/>
              </w:rPr>
              <w:t>2</w:t>
            </w:r>
          </w:p>
          <w:p w:rsidR="008B3186" w:rsidRPr="00995B88" w:rsidRDefault="00297AF4">
            <w:pPr>
              <w:autoSpaceDE w:val="0"/>
              <w:autoSpaceDN w:val="0"/>
              <w:adjustRightInd w:val="0"/>
              <w:rPr>
                <w:color w:val="000000"/>
                <w:sz w:val="20"/>
                <w:szCs w:val="20"/>
              </w:rPr>
            </w:pPr>
            <w:r>
              <w:rPr>
                <w:color w:val="000000"/>
                <w:sz w:val="20"/>
              </w:rPr>
              <w:t>4</w:t>
            </w:r>
          </w:p>
        </w:tc>
      </w:tr>
      <w:tr w:rsidR="00AD185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Membres présents au moment du vote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 xml:space="preserve">Mathilde Androuët, Irmhild Boßdorf, Margarita de la Pisa </w:t>
            </w:r>
            <w:r>
              <w:rPr>
                <w:color w:val="000000"/>
                <w:sz w:val="20"/>
              </w:rPr>
              <w:t>Carrión, Rosa Estaràs Ferragut, Viktória Ferenc, Heléne Fritzon, Lina Gálvez, Alexandra Geese, Arba Kokalari, Elena Kountoura, Judita Laššáková, Eleonora Meleti, Irene Montero, Carolina Morace, Alessandra Moretti, Maria Noichl, Mirosława Nykiel, Sirpa Piet</w:t>
            </w:r>
            <w:r>
              <w:rPr>
                <w:color w:val="000000"/>
                <w:sz w:val="20"/>
              </w:rPr>
              <w:t>ikäinen, Emma Rafowicz, Benedetta Scuderi, Laurence Trochu, Maria Walsh, Lucia Yar, Dainius Žalimas</w:t>
            </w:r>
          </w:p>
        </w:tc>
      </w:tr>
      <w:tr w:rsidR="00AD185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Suppléants présents au moment du vote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Veronika Cifrová Ostrihoňová, Elisabeth Grossmann, Verena Mertens, Jana Toom, Jadwiga Wiśniewska</w:t>
            </w:r>
          </w:p>
        </w:tc>
      </w:tr>
      <w:tr w:rsidR="00AD185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b/>
                <w:bCs/>
                <w:color w:val="000000"/>
                <w:sz w:val="20"/>
                <w:szCs w:val="20"/>
              </w:rPr>
            </w:pPr>
            <w:r>
              <w:rPr>
                <w:b/>
                <w:color w:val="000000"/>
                <w:sz w:val="20"/>
              </w:rPr>
              <w:t>Députés visés</w:t>
            </w:r>
            <w:r>
              <w:rPr>
                <w:b/>
                <w:color w:val="000000"/>
                <w:sz w:val="20"/>
              </w:rPr>
              <w:t xml:space="preserve"> à l’art. 216, par. 7, du règlement intérieur présents au moment du vote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B3186" w:rsidRPr="00995B88" w:rsidRDefault="00297AF4">
            <w:pPr>
              <w:autoSpaceDE w:val="0"/>
              <w:autoSpaceDN w:val="0"/>
              <w:adjustRightInd w:val="0"/>
              <w:rPr>
                <w:color w:val="000000"/>
                <w:sz w:val="20"/>
                <w:szCs w:val="20"/>
              </w:rPr>
            </w:pPr>
            <w:r>
              <w:rPr>
                <w:color w:val="000000"/>
                <w:sz w:val="20"/>
              </w:rPr>
              <w:t>Jorge Buxadé Villalba, Bert-Jan Ruissen</w:t>
            </w:r>
          </w:p>
        </w:tc>
      </w:tr>
    </w:tbl>
    <w:p w:rsidR="008B3186" w:rsidRPr="00995B88" w:rsidRDefault="008B3186"/>
    <w:bookmarkEnd w:id="124"/>
    <w:p w:rsidR="00995B88" w:rsidRPr="00995B88" w:rsidRDefault="00297AF4">
      <w:pPr>
        <w:widowControl/>
      </w:pPr>
      <w:r>
        <w:br w:type="page"/>
      </w:r>
    </w:p>
    <w:p w:rsidR="00995B88" w:rsidRPr="00995B88" w:rsidRDefault="00297AF4" w:rsidP="00995B88">
      <w:pPr>
        <w:pStyle w:val="PageHeadingNotTOC"/>
      </w:pPr>
      <w:bookmarkStart w:id="125" w:name="RollCallPageAD"/>
      <w:r>
        <w:lastRenderedPageBreak/>
        <w:t>VOTE FINAL PAR APPEL NOMINAL</w:t>
      </w:r>
      <w:r>
        <w:br/>
        <w:t>PAR LA COMMISSION SAISIE POUR AVIS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D185D" w:rsidTr="005C748F">
        <w:trPr>
          <w:cantSplit/>
        </w:trPr>
        <w:tc>
          <w:tcPr>
            <w:tcW w:w="1701" w:type="dxa"/>
            <w:shd w:val="pct10" w:color="000000" w:fill="FFFFFF"/>
            <w:vAlign w:val="center"/>
          </w:tcPr>
          <w:p w:rsidR="00995B88" w:rsidRPr="00995B88" w:rsidRDefault="00297AF4" w:rsidP="005C748F">
            <w:pPr>
              <w:pStyle w:val="RollCallVotes"/>
            </w:pPr>
            <w:r>
              <w:t>25</w:t>
            </w:r>
          </w:p>
        </w:tc>
        <w:tc>
          <w:tcPr>
            <w:tcW w:w="7371" w:type="dxa"/>
            <w:shd w:val="pct10" w:color="000000" w:fill="FFFFFF"/>
          </w:tcPr>
          <w:p w:rsidR="00995B88" w:rsidRPr="00995B88" w:rsidRDefault="00297AF4" w:rsidP="005C748F">
            <w:pPr>
              <w:pStyle w:val="RollCallSymbols14pt"/>
            </w:pPr>
            <w:r>
              <w:t>+</w:t>
            </w:r>
          </w:p>
        </w:tc>
      </w:tr>
      <w:tr w:rsidR="00AD185D" w:rsidTr="005C748F">
        <w:trPr>
          <w:cantSplit/>
        </w:trPr>
        <w:tc>
          <w:tcPr>
            <w:tcW w:w="1701" w:type="dxa"/>
            <w:shd w:val="clear" w:color="auto" w:fill="FFFFFF"/>
          </w:tcPr>
          <w:p w:rsidR="00995B88" w:rsidRPr="00995B88" w:rsidRDefault="00297AF4" w:rsidP="005C748F">
            <w:pPr>
              <w:pStyle w:val="RollCallTable"/>
            </w:pPr>
            <w:r>
              <w:t>NI</w:t>
            </w:r>
          </w:p>
        </w:tc>
        <w:tc>
          <w:tcPr>
            <w:tcW w:w="7371" w:type="dxa"/>
            <w:shd w:val="clear" w:color="auto" w:fill="FFFFFF"/>
          </w:tcPr>
          <w:p w:rsidR="00995B88" w:rsidRPr="00995B88" w:rsidRDefault="00297AF4" w:rsidP="005C748F">
            <w:pPr>
              <w:pStyle w:val="RollCallTable"/>
            </w:pPr>
            <w:r>
              <w:t>Judita Laššáková</w:t>
            </w:r>
          </w:p>
        </w:tc>
      </w:tr>
      <w:tr w:rsidR="00AD185D" w:rsidTr="005C748F">
        <w:trPr>
          <w:cantSplit/>
        </w:trPr>
        <w:tc>
          <w:tcPr>
            <w:tcW w:w="1701" w:type="dxa"/>
            <w:shd w:val="clear" w:color="auto" w:fill="FFFFFF"/>
          </w:tcPr>
          <w:p w:rsidR="00995B88" w:rsidRPr="00995B88" w:rsidRDefault="00297AF4" w:rsidP="005C748F">
            <w:pPr>
              <w:pStyle w:val="RollCallTable"/>
            </w:pPr>
            <w:r>
              <w:t>PPE</w:t>
            </w:r>
          </w:p>
        </w:tc>
        <w:tc>
          <w:tcPr>
            <w:tcW w:w="7371" w:type="dxa"/>
            <w:shd w:val="clear" w:color="auto" w:fill="FFFFFF"/>
          </w:tcPr>
          <w:p w:rsidR="00995B88" w:rsidRPr="00995B88" w:rsidRDefault="00297AF4" w:rsidP="005C748F">
            <w:pPr>
              <w:pStyle w:val="RollCallTable"/>
            </w:pPr>
            <w:r>
              <w:t xml:space="preserve">Rosa Estaràs Ferragut, Arba Kokalari, </w:t>
            </w:r>
            <w:r>
              <w:t>Eleonora Meleti, Verena Mertens, Mirosława Nykiel, Sirpa Pietikäinen, Maria Walsh</w:t>
            </w:r>
          </w:p>
        </w:tc>
      </w:tr>
      <w:tr w:rsidR="00AD185D" w:rsidTr="005C748F">
        <w:trPr>
          <w:cantSplit/>
        </w:trPr>
        <w:tc>
          <w:tcPr>
            <w:tcW w:w="1701" w:type="dxa"/>
            <w:shd w:val="clear" w:color="auto" w:fill="FFFFFF"/>
          </w:tcPr>
          <w:p w:rsidR="00995B88" w:rsidRPr="00995B88" w:rsidRDefault="00297AF4" w:rsidP="005C748F">
            <w:pPr>
              <w:pStyle w:val="RollCallTable"/>
            </w:pPr>
            <w:r>
              <w:t>PfE</w:t>
            </w:r>
          </w:p>
        </w:tc>
        <w:tc>
          <w:tcPr>
            <w:tcW w:w="7371" w:type="dxa"/>
            <w:shd w:val="clear" w:color="auto" w:fill="FFFFFF"/>
          </w:tcPr>
          <w:p w:rsidR="00995B88" w:rsidRPr="00995B88" w:rsidRDefault="00297AF4" w:rsidP="005C748F">
            <w:pPr>
              <w:pStyle w:val="RollCallTable"/>
            </w:pPr>
            <w:r>
              <w:t>Mathilde Androuët, Viktória Ferenc</w:t>
            </w:r>
          </w:p>
        </w:tc>
      </w:tr>
      <w:tr w:rsidR="00AD185D" w:rsidTr="005C748F">
        <w:trPr>
          <w:cantSplit/>
        </w:trPr>
        <w:tc>
          <w:tcPr>
            <w:tcW w:w="1701" w:type="dxa"/>
            <w:shd w:val="clear" w:color="auto" w:fill="FFFFFF"/>
          </w:tcPr>
          <w:p w:rsidR="00995B88" w:rsidRPr="00995B88" w:rsidRDefault="00297AF4" w:rsidP="005C748F">
            <w:pPr>
              <w:pStyle w:val="RollCallTable"/>
            </w:pPr>
            <w:r>
              <w:t>Renew</w:t>
            </w:r>
          </w:p>
        </w:tc>
        <w:tc>
          <w:tcPr>
            <w:tcW w:w="7371" w:type="dxa"/>
            <w:shd w:val="clear" w:color="auto" w:fill="FFFFFF"/>
          </w:tcPr>
          <w:p w:rsidR="00995B88" w:rsidRPr="00995B88" w:rsidRDefault="00297AF4" w:rsidP="005C748F">
            <w:pPr>
              <w:pStyle w:val="RollCallTable"/>
            </w:pPr>
            <w:r>
              <w:t>Veronika Cifrová Ostrihoňová, Jana Toom, Lucia Yar, Dainius Žalimas</w:t>
            </w:r>
          </w:p>
        </w:tc>
      </w:tr>
      <w:tr w:rsidR="00AD185D" w:rsidTr="005C748F">
        <w:trPr>
          <w:cantSplit/>
        </w:trPr>
        <w:tc>
          <w:tcPr>
            <w:tcW w:w="1701" w:type="dxa"/>
            <w:shd w:val="clear" w:color="auto" w:fill="FFFFFF"/>
          </w:tcPr>
          <w:p w:rsidR="00995B88" w:rsidRPr="00995B88" w:rsidRDefault="00297AF4" w:rsidP="005C748F">
            <w:pPr>
              <w:pStyle w:val="RollCallTable"/>
            </w:pPr>
            <w:r>
              <w:t>S&amp;D</w:t>
            </w:r>
          </w:p>
        </w:tc>
        <w:tc>
          <w:tcPr>
            <w:tcW w:w="7371" w:type="dxa"/>
            <w:shd w:val="clear" w:color="auto" w:fill="FFFFFF"/>
          </w:tcPr>
          <w:p w:rsidR="00995B88" w:rsidRPr="00995B88" w:rsidRDefault="00297AF4" w:rsidP="005C748F">
            <w:pPr>
              <w:pStyle w:val="RollCallTable"/>
            </w:pPr>
            <w:r>
              <w:t xml:space="preserve">Heléne Fritzon, Lina Gálvez, Elisabeth Grossmann, </w:t>
            </w:r>
            <w:r>
              <w:t>Alessandra Moretti, Maria Noichl, Emma Rafowicz</w:t>
            </w:r>
          </w:p>
        </w:tc>
      </w:tr>
      <w:tr w:rsidR="00AD185D" w:rsidTr="005C748F">
        <w:trPr>
          <w:cantSplit/>
        </w:trPr>
        <w:tc>
          <w:tcPr>
            <w:tcW w:w="1701" w:type="dxa"/>
            <w:shd w:val="clear" w:color="auto" w:fill="FFFFFF"/>
          </w:tcPr>
          <w:p w:rsidR="00995B88" w:rsidRPr="00995B88" w:rsidRDefault="00297AF4" w:rsidP="005C748F">
            <w:pPr>
              <w:pStyle w:val="RollCallTable"/>
            </w:pPr>
            <w:r>
              <w:t>The Left</w:t>
            </w:r>
          </w:p>
        </w:tc>
        <w:tc>
          <w:tcPr>
            <w:tcW w:w="7371" w:type="dxa"/>
            <w:shd w:val="clear" w:color="auto" w:fill="FFFFFF"/>
          </w:tcPr>
          <w:p w:rsidR="00995B88" w:rsidRPr="00995B88" w:rsidRDefault="00297AF4" w:rsidP="005C748F">
            <w:pPr>
              <w:pStyle w:val="RollCallTable"/>
            </w:pPr>
            <w:r>
              <w:t>Elena Kountoura, Irene Montero, Carolina Morace</w:t>
            </w:r>
          </w:p>
        </w:tc>
      </w:tr>
      <w:tr w:rsidR="00AD185D" w:rsidTr="005C748F">
        <w:trPr>
          <w:cantSplit/>
        </w:trPr>
        <w:tc>
          <w:tcPr>
            <w:tcW w:w="1701" w:type="dxa"/>
            <w:shd w:val="clear" w:color="auto" w:fill="FFFFFF"/>
          </w:tcPr>
          <w:p w:rsidR="00995B88" w:rsidRPr="00995B88" w:rsidRDefault="00297AF4" w:rsidP="005C748F">
            <w:pPr>
              <w:pStyle w:val="RollCallTable"/>
            </w:pPr>
            <w:r>
              <w:t>Verts/ALE</w:t>
            </w:r>
          </w:p>
        </w:tc>
        <w:tc>
          <w:tcPr>
            <w:tcW w:w="7371" w:type="dxa"/>
            <w:shd w:val="clear" w:color="auto" w:fill="FFFFFF"/>
          </w:tcPr>
          <w:p w:rsidR="00995B88" w:rsidRPr="00995B88" w:rsidRDefault="00297AF4" w:rsidP="005C748F">
            <w:pPr>
              <w:pStyle w:val="RollCallTable"/>
            </w:pPr>
            <w:r>
              <w:t>Alexandra Geese, Benedetta Scuderi</w:t>
            </w:r>
          </w:p>
        </w:tc>
      </w:tr>
    </w:tbl>
    <w:p w:rsidR="00995B88" w:rsidRPr="00995B88" w:rsidRDefault="00995B88" w:rsidP="00995B88"/>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D185D" w:rsidTr="005C748F">
        <w:trPr>
          <w:cantSplit/>
        </w:trPr>
        <w:tc>
          <w:tcPr>
            <w:tcW w:w="1701" w:type="dxa"/>
            <w:shd w:val="pct10" w:color="000000" w:fill="FFFFFF"/>
            <w:vAlign w:val="center"/>
          </w:tcPr>
          <w:p w:rsidR="00995B88" w:rsidRPr="00995B88" w:rsidRDefault="00297AF4" w:rsidP="005C748F">
            <w:pPr>
              <w:pStyle w:val="RollCallVotes"/>
            </w:pPr>
            <w:r>
              <w:t>2</w:t>
            </w:r>
          </w:p>
        </w:tc>
        <w:tc>
          <w:tcPr>
            <w:tcW w:w="7371" w:type="dxa"/>
            <w:shd w:val="pct10" w:color="000000" w:fill="FFFFFF"/>
          </w:tcPr>
          <w:p w:rsidR="00995B88" w:rsidRPr="00995B88" w:rsidRDefault="00297AF4" w:rsidP="005C748F">
            <w:pPr>
              <w:pStyle w:val="RollCallSymbols14pt"/>
            </w:pPr>
            <w:r>
              <w:t>-</w:t>
            </w:r>
          </w:p>
        </w:tc>
      </w:tr>
      <w:tr w:rsidR="00AD185D" w:rsidTr="005C748F">
        <w:trPr>
          <w:cantSplit/>
        </w:trPr>
        <w:tc>
          <w:tcPr>
            <w:tcW w:w="1701" w:type="dxa"/>
            <w:shd w:val="clear" w:color="auto" w:fill="FFFFFF"/>
          </w:tcPr>
          <w:p w:rsidR="00995B88" w:rsidRPr="00995B88" w:rsidRDefault="00297AF4" w:rsidP="005C748F">
            <w:pPr>
              <w:pStyle w:val="RollCallTable"/>
            </w:pPr>
            <w:r>
              <w:t>PfE</w:t>
            </w:r>
          </w:p>
        </w:tc>
        <w:tc>
          <w:tcPr>
            <w:tcW w:w="7371" w:type="dxa"/>
            <w:shd w:val="clear" w:color="auto" w:fill="FFFFFF"/>
          </w:tcPr>
          <w:p w:rsidR="00995B88" w:rsidRPr="00995B88" w:rsidRDefault="00297AF4" w:rsidP="005C748F">
            <w:pPr>
              <w:pStyle w:val="RollCallTable"/>
            </w:pPr>
            <w:r>
              <w:t>Jorge Buxadé Villalba, Margarita de la Pisa Carrión</w:t>
            </w:r>
          </w:p>
        </w:tc>
      </w:tr>
    </w:tbl>
    <w:p w:rsidR="00995B88" w:rsidRPr="00995B88" w:rsidRDefault="00995B88" w:rsidP="00995B88"/>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D185D" w:rsidTr="005C748F">
        <w:trPr>
          <w:cantSplit/>
        </w:trPr>
        <w:tc>
          <w:tcPr>
            <w:tcW w:w="1701" w:type="dxa"/>
            <w:shd w:val="pct10" w:color="000000" w:fill="FFFFFF"/>
            <w:vAlign w:val="center"/>
          </w:tcPr>
          <w:p w:rsidR="00995B88" w:rsidRPr="00995B88" w:rsidRDefault="00297AF4" w:rsidP="005C748F">
            <w:pPr>
              <w:pStyle w:val="RollCallVotes"/>
            </w:pPr>
            <w:r>
              <w:t>4</w:t>
            </w:r>
          </w:p>
        </w:tc>
        <w:tc>
          <w:tcPr>
            <w:tcW w:w="7371" w:type="dxa"/>
            <w:shd w:val="pct10" w:color="000000" w:fill="FFFFFF"/>
          </w:tcPr>
          <w:p w:rsidR="00995B88" w:rsidRPr="00995B88" w:rsidRDefault="00297AF4" w:rsidP="005C748F">
            <w:pPr>
              <w:pStyle w:val="RollCallSymbols14pt"/>
            </w:pPr>
            <w:r>
              <w:t>0</w:t>
            </w:r>
          </w:p>
        </w:tc>
      </w:tr>
      <w:tr w:rsidR="00AD185D" w:rsidTr="005C748F">
        <w:trPr>
          <w:cantSplit/>
        </w:trPr>
        <w:tc>
          <w:tcPr>
            <w:tcW w:w="1701" w:type="dxa"/>
            <w:shd w:val="clear" w:color="auto" w:fill="FFFFFF"/>
          </w:tcPr>
          <w:p w:rsidR="00995B88" w:rsidRPr="00995B88" w:rsidRDefault="00297AF4" w:rsidP="005C748F">
            <w:pPr>
              <w:pStyle w:val="RollCallTable"/>
            </w:pPr>
            <w:r>
              <w:t>ECR</w:t>
            </w:r>
          </w:p>
        </w:tc>
        <w:tc>
          <w:tcPr>
            <w:tcW w:w="7371" w:type="dxa"/>
            <w:shd w:val="clear" w:color="auto" w:fill="FFFFFF"/>
          </w:tcPr>
          <w:p w:rsidR="00995B88" w:rsidRPr="00995B88" w:rsidRDefault="00297AF4" w:rsidP="005C748F">
            <w:pPr>
              <w:pStyle w:val="RollCallTable"/>
            </w:pPr>
            <w:r>
              <w:t xml:space="preserve">Bert-Jan Ruissen, Laurence </w:t>
            </w:r>
            <w:r>
              <w:t>Trochu, Jadwiga Wiśniewska</w:t>
            </w:r>
          </w:p>
        </w:tc>
      </w:tr>
      <w:tr w:rsidR="00AD185D" w:rsidTr="005C748F">
        <w:trPr>
          <w:cantSplit/>
        </w:trPr>
        <w:tc>
          <w:tcPr>
            <w:tcW w:w="1701" w:type="dxa"/>
            <w:shd w:val="clear" w:color="auto" w:fill="FFFFFF"/>
          </w:tcPr>
          <w:p w:rsidR="00995B88" w:rsidRPr="00995B88" w:rsidRDefault="00297AF4" w:rsidP="005C748F">
            <w:pPr>
              <w:pStyle w:val="RollCallTable"/>
            </w:pPr>
            <w:r>
              <w:t>ESN</w:t>
            </w:r>
          </w:p>
        </w:tc>
        <w:tc>
          <w:tcPr>
            <w:tcW w:w="7371" w:type="dxa"/>
            <w:shd w:val="clear" w:color="auto" w:fill="FFFFFF"/>
          </w:tcPr>
          <w:p w:rsidR="00995B88" w:rsidRPr="00995B88" w:rsidRDefault="00297AF4" w:rsidP="005C748F">
            <w:pPr>
              <w:pStyle w:val="RollCallTable"/>
            </w:pPr>
            <w:r>
              <w:t>Irmhild Boßdorf</w:t>
            </w:r>
          </w:p>
        </w:tc>
      </w:tr>
    </w:tbl>
    <w:p w:rsidR="00995B88" w:rsidRPr="00995B88" w:rsidRDefault="00995B88" w:rsidP="00995B88">
      <w:pPr>
        <w:pStyle w:val="Normal12a"/>
      </w:pPr>
    </w:p>
    <w:p w:rsidR="00995B88" w:rsidRPr="00995B88" w:rsidRDefault="00297AF4" w:rsidP="00995B88">
      <w:r>
        <w:t>Légende des signes utilisés:</w:t>
      </w:r>
    </w:p>
    <w:p w:rsidR="00995B88" w:rsidRPr="00995B88" w:rsidRDefault="00297AF4" w:rsidP="00995B88">
      <w:pPr>
        <w:pStyle w:val="RollCallTabs"/>
      </w:pPr>
      <w:r>
        <w:t>+</w:t>
      </w:r>
      <w:r>
        <w:tab/>
        <w:t>:</w:t>
      </w:r>
      <w:r>
        <w:tab/>
        <w:t>pour</w:t>
      </w:r>
    </w:p>
    <w:p w:rsidR="00995B88" w:rsidRPr="00995B88" w:rsidRDefault="00297AF4" w:rsidP="00995B88">
      <w:pPr>
        <w:pStyle w:val="RollCallTabs"/>
      </w:pPr>
      <w:r>
        <w:t>-</w:t>
      </w:r>
      <w:r>
        <w:tab/>
        <w:t>:</w:t>
      </w:r>
      <w:r>
        <w:tab/>
        <w:t>contre</w:t>
      </w:r>
    </w:p>
    <w:p w:rsidR="00995B88" w:rsidRPr="00995B88" w:rsidRDefault="00297AF4" w:rsidP="00995B88">
      <w:pPr>
        <w:pStyle w:val="RollCallTabs"/>
      </w:pPr>
      <w:r>
        <w:t>0</w:t>
      </w:r>
      <w:r>
        <w:tab/>
        <w:t>:</w:t>
      </w:r>
      <w:r>
        <w:tab/>
        <w:t>abstention</w:t>
      </w:r>
    </w:p>
    <w:p w:rsidR="00995B88" w:rsidRPr="00995B88" w:rsidRDefault="00995B88" w:rsidP="00995B88"/>
    <w:bookmarkEnd w:id="125"/>
    <w:p w:rsidR="00995B88" w:rsidRPr="00995B88" w:rsidRDefault="00995B88" w:rsidP="00995B88"/>
    <w:p w:rsidR="00995B88" w:rsidRPr="00995B88" w:rsidRDefault="00995B88" w:rsidP="00995B88">
      <w:pPr>
        <w:pStyle w:val="CoverReference"/>
      </w:pPr>
    </w:p>
    <w:p w:rsidR="00DB56E4" w:rsidRPr="00995B88" w:rsidRDefault="00DB56E4" w:rsidP="00995B88"/>
    <w:sectPr w:rsidR="00DB56E4" w:rsidRPr="00995B88" w:rsidSect="005809AE">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97AF4">
      <w:r>
        <w:separator/>
      </w:r>
    </w:p>
  </w:endnote>
  <w:endnote w:type="continuationSeparator" w:id="0">
    <w:p w:rsidR="00000000" w:rsidRDefault="00297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B88" w:rsidRPr="00995B88" w:rsidRDefault="00297AF4" w:rsidP="00995B88">
    <w:pPr>
      <w:pStyle w:val="EPFooter"/>
    </w:pPr>
    <w:r w:rsidRPr="00995B88">
      <w:t>PE</w:t>
    </w:r>
    <w:r w:rsidRPr="00995B88">
      <w:rPr>
        <w:rStyle w:val="HideTWBExt"/>
      </w:rPr>
      <w:t>&lt;NoPE&gt;</w:t>
    </w:r>
    <w:r w:rsidRPr="00995B88">
      <w:t>766.976</w:t>
    </w:r>
    <w:r w:rsidRPr="00995B88">
      <w:rPr>
        <w:rStyle w:val="HideTWBExt"/>
      </w:rPr>
      <w:t>&lt;/NoPE&gt;&lt;Version&gt;</w:t>
    </w:r>
    <w:r w:rsidRPr="00995B88">
      <w:t>v02-00</w:t>
    </w:r>
    <w:r w:rsidRPr="00995B88">
      <w:rPr>
        <w:rStyle w:val="HideTWBExt"/>
      </w:rPr>
      <w:t>&lt;/Version&gt;</w:t>
    </w:r>
    <w:r w:rsidRPr="00995B88">
      <w:tab/>
    </w:r>
    <w:r w:rsidRPr="00995B88">
      <w:fldChar w:fldCharType="begin"/>
    </w:r>
    <w:r w:rsidRPr="00995B88">
      <w:instrText xml:space="preserve"> PAGE  \* MERGEFORMAT </w:instrText>
    </w:r>
    <w:r w:rsidRPr="00995B88">
      <w:fldChar w:fldCharType="separate"/>
    </w:r>
    <w:r>
      <w:rPr>
        <w:noProof/>
      </w:rPr>
      <w:t>2</w:t>
    </w:r>
    <w:r w:rsidRPr="00995B88">
      <w:fldChar w:fldCharType="end"/>
    </w:r>
    <w:r w:rsidRPr="00995B88">
      <w:t>/</w:t>
    </w:r>
    <w:r w:rsidR="00FD46AB">
      <w:fldChar w:fldCharType="begin"/>
    </w:r>
    <w:r>
      <w:instrText xml:space="preserve"> NUMPAGES  \* MERGEFORMAT </w:instrText>
    </w:r>
    <w:r w:rsidR="00FD46AB">
      <w:fldChar w:fldCharType="separate"/>
    </w:r>
    <w:r>
      <w:rPr>
        <w:noProof/>
      </w:rPr>
      <w:t>72</w:t>
    </w:r>
    <w:r w:rsidR="00FD46AB">
      <w:rPr>
        <w:noProof/>
      </w:rPr>
      <w:fldChar w:fldCharType="end"/>
    </w:r>
    <w:r w:rsidRPr="00995B88">
      <w:tab/>
    </w:r>
    <w:r w:rsidRPr="00995B88">
      <w:rPr>
        <w:rStyle w:val="HideTWBExt"/>
      </w:rPr>
      <w:t>&lt;PathFdR&gt;</w:t>
    </w:r>
    <w:r w:rsidRPr="00995B88">
      <w:t>AD\1316167FR.docx</w:t>
    </w:r>
    <w:r w:rsidRPr="00995B88">
      <w:rPr>
        <w:rStyle w:val="HideTWBExt"/>
      </w:rPr>
      <w:t>&lt;/PathFdR&gt;</w:t>
    </w:r>
  </w:p>
  <w:p w:rsidR="00B4064F" w:rsidRPr="00995B88" w:rsidRDefault="00297AF4" w:rsidP="00995B88">
    <w:pPr>
      <w:pStyle w:val="EPFooter2"/>
    </w:pPr>
    <w:r w:rsidRPr="00995B88">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B88" w:rsidRPr="00995B88" w:rsidRDefault="00297AF4" w:rsidP="00995B88">
    <w:pPr>
      <w:pStyle w:val="EPFooter"/>
    </w:pPr>
    <w:r w:rsidRPr="00995B88">
      <w:rPr>
        <w:rStyle w:val="HideTWBExt"/>
      </w:rPr>
      <w:t>&lt;PathFdR&gt;</w:t>
    </w:r>
    <w:r w:rsidRPr="00995B88">
      <w:t>AD\1316167FR.docx</w:t>
    </w:r>
    <w:r w:rsidRPr="00995B88">
      <w:rPr>
        <w:rStyle w:val="HideTWBExt"/>
      </w:rPr>
      <w:t>&lt;/PathFdR&gt;</w:t>
    </w:r>
    <w:r w:rsidRPr="00995B88">
      <w:tab/>
    </w:r>
    <w:r w:rsidRPr="00995B88">
      <w:fldChar w:fldCharType="begin"/>
    </w:r>
    <w:r w:rsidRPr="00995B88">
      <w:instrText xml:space="preserve"> PAGE  \* MERGEFORMAT </w:instrText>
    </w:r>
    <w:r w:rsidRPr="00995B88">
      <w:fldChar w:fldCharType="separate"/>
    </w:r>
    <w:r>
      <w:rPr>
        <w:noProof/>
      </w:rPr>
      <w:t>3</w:t>
    </w:r>
    <w:r w:rsidRPr="00995B88">
      <w:fldChar w:fldCharType="end"/>
    </w:r>
    <w:r w:rsidRPr="00995B88">
      <w:t>/</w:t>
    </w:r>
    <w:r w:rsidR="00FD46AB">
      <w:fldChar w:fldCharType="begin"/>
    </w:r>
    <w:r>
      <w:instrText xml:space="preserve"> NUMPAGES  \* MERGEFORMAT </w:instrText>
    </w:r>
    <w:r w:rsidR="00FD46AB">
      <w:fldChar w:fldCharType="separate"/>
    </w:r>
    <w:r>
      <w:rPr>
        <w:noProof/>
      </w:rPr>
      <w:t>72</w:t>
    </w:r>
    <w:r w:rsidR="00FD46AB">
      <w:rPr>
        <w:noProof/>
      </w:rPr>
      <w:fldChar w:fldCharType="end"/>
    </w:r>
    <w:r w:rsidRPr="00995B88">
      <w:tab/>
      <w:t>PE</w:t>
    </w:r>
    <w:r w:rsidRPr="00995B88">
      <w:rPr>
        <w:rStyle w:val="HideTWBExt"/>
      </w:rPr>
      <w:t>&lt;NoPE&gt;</w:t>
    </w:r>
    <w:r w:rsidRPr="00995B88">
      <w:t>766.976</w:t>
    </w:r>
    <w:r w:rsidRPr="00995B88">
      <w:rPr>
        <w:rStyle w:val="HideTWBExt"/>
      </w:rPr>
      <w:t>&lt;/NoPE&gt;&lt;Version&gt;</w:t>
    </w:r>
    <w:r w:rsidRPr="00995B88">
      <w:t>v02-00</w:t>
    </w:r>
    <w:r w:rsidRPr="00995B88">
      <w:rPr>
        <w:rStyle w:val="HideTWBExt"/>
      </w:rPr>
      <w:t>&lt;/Version&gt;</w:t>
    </w:r>
  </w:p>
  <w:p w:rsidR="00B4064F" w:rsidRPr="00995B88" w:rsidRDefault="00297AF4" w:rsidP="00995B88">
    <w:pPr>
      <w:pStyle w:val="EPFooter2"/>
    </w:pPr>
    <w:r w:rsidRPr="00995B88">
      <w:tab/>
    </w:r>
    <w:r w:rsidRPr="00995B88">
      <w:tab/>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B88" w:rsidRPr="00995B88" w:rsidRDefault="00297AF4" w:rsidP="00995B88">
    <w:pPr>
      <w:pStyle w:val="EPFooter"/>
    </w:pPr>
    <w:r w:rsidRPr="00995B88">
      <w:rPr>
        <w:rStyle w:val="HideTWBExt"/>
      </w:rPr>
      <w:t>&lt;PathFdR&gt;</w:t>
    </w:r>
    <w:r w:rsidRPr="00995B88">
      <w:t>AD\1316167FR.docx</w:t>
    </w:r>
    <w:r w:rsidRPr="00995B88">
      <w:rPr>
        <w:rStyle w:val="HideTWBExt"/>
      </w:rPr>
      <w:t>&lt;/PathFdR&gt;</w:t>
    </w:r>
    <w:r w:rsidRPr="00995B88">
      <w:tab/>
    </w:r>
    <w:r w:rsidRPr="00995B88">
      <w:tab/>
      <w:t>PE</w:t>
    </w:r>
    <w:r w:rsidRPr="00995B88">
      <w:rPr>
        <w:rStyle w:val="HideTWBExt"/>
      </w:rPr>
      <w:t>&lt;NoPE&gt;</w:t>
    </w:r>
    <w:r w:rsidRPr="00995B88">
      <w:t>766.976</w:t>
    </w:r>
    <w:r w:rsidRPr="00995B88">
      <w:rPr>
        <w:rStyle w:val="HideTWBExt"/>
      </w:rPr>
      <w:t>&lt;/NoPE&gt;&lt;Version&gt;</w:t>
    </w:r>
    <w:r w:rsidRPr="00995B88">
      <w:t>v02-00</w:t>
    </w:r>
    <w:r w:rsidRPr="00995B88">
      <w:rPr>
        <w:rStyle w:val="HideTWBExt"/>
      </w:rPr>
      <w:t>&lt;/Version&gt;</w:t>
    </w:r>
  </w:p>
  <w:p w:rsidR="00B4064F" w:rsidRPr="00995B88" w:rsidRDefault="00297AF4" w:rsidP="00995B88">
    <w:pPr>
      <w:pStyle w:val="EPFooter2"/>
    </w:pPr>
    <w:r w:rsidRPr="00995B88">
      <w:t>FR</w:t>
    </w:r>
    <w:r w:rsidRPr="00995B88">
      <w:tab/>
    </w:r>
    <w:r w:rsidRPr="00995B88">
      <w:rPr>
        <w:b w:val="0"/>
        <w:i/>
        <w:color w:val="C0C0C0"/>
        <w:sz w:val="22"/>
      </w:rPr>
      <w:t>Unie dans la diversité</w:t>
    </w:r>
    <w:r w:rsidRPr="00995B88">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97AF4">
      <w:r>
        <w:separator/>
      </w:r>
    </w:p>
  </w:footnote>
  <w:footnote w:type="continuationSeparator" w:id="0">
    <w:p w:rsidR="00000000" w:rsidRDefault="00297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6AB" w:rsidRDefault="00FD46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6AB" w:rsidRDefault="00FD46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6AB" w:rsidRDefault="00FD46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1"/>
    <w:docVar w:name="AMACTMNU" w:val=" 2"/>
    <w:docVar w:name="AMPLURMNU" w:val=" 2"/>
    <w:docVar w:name="AUTHORMFMNU" w:val=" 2"/>
    <w:docVar w:name="CJMNU" w:val="1"/>
    <w:docVar w:name="CODEMNU" w:val=" 1"/>
    <w:docVar w:name="COM2KEY" w:val="LIBE"/>
    <w:docVar w:name="COMKEY" w:val="FEMM"/>
    <w:docVar w:name="CONTRIBUTIONMNU" w:val=" 1"/>
    <w:docVar w:name="CopyToNetwork" w:val="-1"/>
    <w:docVar w:name="CVA" w:val="1"/>
    <w:docVar w:name="DDATE" w:val="06/01/2025"/>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4690224 HideTWBInt;}}{\*\rsidtbl \rsid24658\rsid223860\rsid735077\rsid1718133\rsid2892074\rsid3565327_x000d__x000a_\rsid4666813\rsid6641733\rsid7823322\rsid8264825\rsid9636012\rsid10377208\rsid11215221\rsid11549030\rsid12154954\rsid14382809\rsid14424199\rsid14690224\rsid15204470\rsid15285974\rsid15950462\rsid16324206\rsid16662270}{\mmathPr\mmathFont34\mbrkBin0_x000d__x000a_\mbrkBinSub0\msmallFrac0\mdispDef1\mlMargin0\mrMargin0\mdefJc1\mwrapIndent1440\mintLim0\mnaryLim1}{\info{\author DAMIANIDOU Dorothea}{\operator DAMIANIDOU Dorothea}{\creatim\yr2025\mo1\dy6\hr15\min47}{\revtim\yr2025\mo1\dy6\hr15\min47}{\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690224\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8264825 \chftnsep _x000d__x000a_\par }}{\*\ftnsepc \ltrpar \pard\plain \ltrpar\ql \li0\ri0\widctlpar\wrapdefault\aspalpha\aspnum\faauto\adjustright\rin0\lin0\itap0 \rtlch\fcs1 \af0\afs20\alang1025 \ltrch\fcs0 \fs24\lang2057\langfe2057\cgrid\langnp2057\langfenp2057 {\rtlch\fcs1 \af0 _x000d__x000a_\ltrch\fcs0 \insrsid8264825 \chftnsepc _x000d__x000a_\par }}{\*\aftnsep \ltrpar \pard\plain \ltrpar\ql \li0\ri0\widctlpar\wrapdefault\aspalpha\aspnum\faauto\adjustright\rin0\lin0\itap0 \rtlch\fcs1 \af0\afs20\alang1025 \ltrch\fcs0 \fs24\lang2057\langfe2057\cgrid\langnp2057\langfenp2057 {\rtlch\fcs1 \af0 _x000d__x000a_\ltrch\fcs0 \insrsid8264825 \chftnsep _x000d__x000a_\par }}{\*\aftnsepc \ltrpar \pard\plain \ltrpar\ql \li0\ri0\widctlpar\wrapdefault\aspalpha\aspnum\faauto\adjustright\rin0\lin0\itap0 \rtlch\fcs1 \af0\afs20\alang1025 \ltrch\fcs0 \fs24\lang2057\langfe2057\cgrid\langnp2057\langfenp2057 {\rtlch\fcs1 \af0 _x000d__x000a_\ltrch\fcs0 \insrsid82648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4690224\charrsid10048301 {\*\bkmkstart ReplaceBookmark}#}{\rtlch\fcs1 \af1 \ltrch\fcs0 _x000d__x000a_\cs17\v\f1\fs20\cf15\insrsid14690224\charrsid10048301 &gt;&gt;&gt;CVAR@@AmendA}{\rtlch\fcs1 \af0 \ltrch\fcs0 \insrsid14690224\charrsid10048301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d8_x000d__x000a_78e649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248755 HideTWBExt;}{_x000d__x000a_\s18\ql \li0\ri0\sa120\nowidctlpar\wrapdefault\aspalpha\aspnum\faauto\adjustright\rin0\lin0\itap0 \rtlch\fcs1 \af0\afs20\alang1025 \ltrch\fcs0 \fs24\lang2057\langfe2057\cgrid\langnp2057\langfenp2057 \sbasedon0 \snext18 \spriority0 \styrsid2248755 _x000d__x000a_Normal6a;}{\s19\ql \li0\ri0\nowidctlpar\wrapdefault\aspalpha\aspnum\faauto\adjustright\rin0\lin0\itap0 \rtlch\fcs1 \af0\afs20\alang1025 \ltrch\fcs0 \b\fs24\lang2057\langfe2057\cgrid\langnp2057\langfenp2057 \sbasedon0 \snext19 \spriority0 \styrsid2248755 _x000d__x000a_NormalBold;}{\*\cs20 \additive \v\f1\fs20\cf15 \spriority0 \styrsid2248755 HideTWBInt;}{\s21\qr \li0\ri0\sb240\sa240\nowidctlpar\wrapdefault\aspalpha\aspnum\faauto\adjustright\rin0\lin0\itap0 \rtlch\fcs1 \af0\afs20\alang1025 \ltrch\fcs0 _x000d__x000a_\fs24\lang2057\langfe2057\cgrid\langnp2057\langfenp2057 \sbasedon0 \snext21 \spriority0 \styrsid2248755 AmOrLang;}{\s22\qc \li0\ri0\sa240\nowidctlpar\wrapdefault\aspalpha\aspnum\faauto\adjustright\rin0\lin0\itap0 \rtlch\fcs1 \af0\afs20\alang1025 _x000d__x000a_\ltrch\fcs0 \i\fs24\lang2057\langfe2057\cgrid\langnp2057\langfenp2057 \sbasedon0 \snext22 \spriority0 \styrsid2248755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2248755 AmNumberTabs;}{\s24\ql \li0\ri0\sb240\nowidctlpar\wrapdefault\aspalpha\aspnum\faauto\adjustright\rin0\lin0\itap0 \rtlch\fcs1 _x000d__x000a_\af0\afs20\alang1025 \ltrch\fcs0 \b\fs24\lang2057\langfe2057\cgrid\langnp2057\langfenp2057 \sbasedon0 \snext24 \spriority0 \styrsid2248755 NormalBold12b;}}{\*\rsidtbl \rsid24658\rsid223860\rsid735077\rsid807019\rsid1718133\rsid2248755\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0}{\revtim\yr2025\mo1\dy6\hr15\min40}{\version1}{\edmins0}_x000d__x000a_{\nofpages1}{\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248755\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807019 \chftnsep _x000d__x000a_\par }}{\*\ftnsepc \ltrpar \pard\plain \ltrpar\ql \li0\ri0\widctlpar\wrapdefault\aspalpha\aspnum\faauto\adjustright\rin0\lin0\itap0 \rtlch\fcs1 \af0\afs20\alang1025 \ltrch\fcs0 \fs24\lang2057\langfe2057\cgrid\langnp2057\langfenp2057 {\rtlch\fcs1 \af0 _x000d__x000a_\ltrch\fcs0 \insrsid807019 \chftnsepc _x000d__x000a_\par }}{\*\aftnsep \ltrpar \pard\plain \ltrpar\ql \li0\ri0\widctlpar\wrapdefault\aspalpha\aspnum\faauto\adjustright\rin0\lin0\itap0 \rtlch\fcs1 \af0\afs20\alang1025 \ltrch\fcs0 \fs24\lang2057\langfe2057\cgrid\langnp2057\langfenp2057 {\rtlch\fcs1 \af0 _x000d__x000a_\ltrch\fcs0 \insrsid807019 \chftnsep _x000d__x000a_\par }}{\*\aftnsepc \ltrpar \pard\plain \ltrpar\ql \li0\ri0\widctlpar\wrapdefault\aspalpha\aspnum\faauto\adjustright\rin0\lin0\itap0 \rtlch\fcs1 \af0\afs20\alang1025 \ltrch\fcs0 \fs24\lang2057\langfe2057\cgrid\langnp2057\langfenp2057 {\rtlch\fcs1 \af0 _x000d__x000a_\ltrch\fcs0 \insrsid80701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2248755 \rtlch\fcs1 _x000d__x000a_\af0\afs20\alang1025 \ltrch\fcs0 \b\fs24\lang2057\langfe2057\cgrid\langnp2057\langfenp2057 {\rtlch\fcs1 \af0 \ltrch\fcs0 \cs17\b0\v\fs20\cf9\lang1024\langfe1024\loch\af1\hich\af1\dbch\af31501\noproof\insrsid2248755\charrsid4475134 {\*\bkmkstart restartA}_x000d__x000a_\hich\af1\dbch\af31501\loch\f1 &lt;AmendA&gt;}{\rtlch\fcs1 \af0 \ltrch\fcs0 \insrsid2248755\charrsid4475134 Amendment\tab \tab }{\rtlch\fcs1 \af0 \ltrch\fcs0 _x000d__x000a_\cs17\b0\v\fs20\cf9\lang1024\langfe1024\loch\af1\hich\af1\dbch\af31501\noproof\insrsid2248755\charrsid4475134 \hich\af1\dbch\af31501\loch\f1 &lt;NumAmA&gt;}{\rtlch\fcs1 \af0 \ltrch\fcs0 \insrsid2248755\charrsid4475134 #}{\rtlch\fcs1 \af1 \ltrch\fcs0 _x000d__x000a_\cs20\v\f1\fs20\cf15\insrsid2248755\charrsid4475134 ENMIENDA@NRAM@}{\rtlch\fcs1 \af0 \ltrch\fcs0 \insrsid2248755\charrsid4475134 #}{\rtlch\fcs1 \af0 \ltrch\fcs0 _x000d__x000a_\cs17\b0\v\fs20\cf9\lang1024\langfe1024\loch\af1\hich\af1\dbch\af31501\noproof\insrsid2248755\charrsid4475134 \hich\af1\dbch\af31501\loch\f1 &lt;/NumAmA&gt;}{\rtlch\fcs1 \af0 \ltrch\fcs0 \insrsid2248755\charrsid4475134 _x000d__x000a_\par }\pard\plain \ltrpar\s24\ql \li0\ri0\sb240\keepn\nowidctlpar\wrapdefault\aspalpha\aspnum\faauto\adjustright\rin0\lin0\itap0\pararsid2248755 \rtlch\fcs1 \af0\afs20\alang1025 \ltrch\fcs0 \b\fs24\lang2057\langfe2057\cgrid\langnp2057\langfenp2057 {_x000d__x000a_\rtlch\fcs1 \af0 \ltrch\fcs0 \cs17\b0\v\fs20\cf9\lang1024\langfe1024\loch\af1\hich\af1\dbch\af31501\noproof\insrsid2248755\charrsid4475134 \hich\af1\dbch\af31501\loch\f1 &lt;DocAmend&gt;}{\rtlch\fcs1 \af0 \ltrch\fcs0 \insrsid2248755\charrsid4475134 _x000d__x000a_Draft legislative resolution}{\rtlch\fcs1 \af0 \ltrch\fcs0 \cs17\b0\v\fs20\cf9\lang1024\langfe1024\loch\af1\hich\af1\dbch\af31501\noproof\insrsid2248755\charrsid4475134 \hich\af1\dbch\af31501\loch\f1 &lt;/DocAmend&gt;}{\rtlch\fcs1 \af0 \ltrch\fcs0 _x000d__x000a_\insrsid2248755\charrsid4475134 _x000d__x000a_\par }\pard\plain \ltrpar\s19\ql \li0\ri0\nowidctlpar\wrapdefault\aspalpha\aspnum\faauto\adjustright\rin0\lin0\itap0\pararsid2248755 \rtlch\fcs1 \af0\afs20\alang1025 \ltrch\fcs0 \b\fs24\lang2057\langfe2057\cgrid\langnp2057\langfenp2057 {\rtlch\fcs1 \af0 _x000d__x000a_\ltrch\fcs0 \cs17\b0\v\fs20\cf9\lang1024\langfe1024\loch\af1\hich\af1\dbch\af31501\noproof\insrsid2248755\charrsid4475134 \hich\af1\dbch\af31501\loch\f1 &lt;Article&gt;}{\rtlch\fcs1 \af0 \ltrch\fcs0 \cf10\insrsid2248755\charrsid4475134 \u9668\'3f}{\rtlch\fcs1 _x000d__x000a_\af0 \ltrch\fcs0 \insrsid2248755\charrsid4475134 #}{\rtlch\fcs1 \af1 \ltrch\fcs0 \cs20\v\f1\fs20\cf15\insrsid2248755\charrsid4475134 TVTRESPART@RESPART@}{\rtlch\fcs1 \af0 \ltrch\fcs0 \insrsid2248755\charrsid4475134 #}{\rtlch\fcs1 \af0 \ltrch\fcs0 _x000d__x000a_\cf10\insrsid2248755\charrsid4475134 \u9658\'3f}{\rtlch\fcs1 \af0 \ltrch\fcs0 \cs17\b0\v\fs20\cf9\lang1024\langfe1024\loch\af1\hich\af1\dbch\af31501\noproof\insrsid2248755\charrsid4475134 \hich\af1\dbch\af31501\loch\f1 &lt;/Article&gt;}{\rtlch\fcs1 \af0 _x000d__x000a_\ltrch\fcs0 \insrsid2248755\charrsid4475134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2248755\charrsid4475134 \cell }\pard\plain \ltrpar\ql \li0\ri0\widctlpar\intbl\wrapdefault\aspalpha\aspnum\faauto\adjustright\rin0\lin0 \rtlch\fcs1 _x000d__x000a_\af0\afs20\alang1025 \ltrch\fcs0 \fs24\lang2057\langfe2057\cgrid\langnp2057\langfenp2057 {\rtlch\fcs1 \af0 \ltrch\fcs0 \insrsid2248755\charrsid4475134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2248755\charrsid4475134 Draft legislative resolution\cell Amendment\cell }\pard\plain \ltrpar_x000d__x000a_\ql \li0\ri0\widctlpar\intbl\wrapdefault\aspalpha\aspnum\faauto\adjustright\rin0\lin0 \rtlch\fcs1 \af0\afs20\alang1025 \ltrch\fcs0 \fs24\lang2057\langfe2057\cgrid\langnp2057\langfenp2057 {\rtlch\fcs1 \af0 \ltrch\fcs0 \insrsid2248755\charrsid4475134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2248755\charrsid4475134 ##\cell ##}{\rtlch\fcs1 \af0\afs24 \ltrch\fcs0 \insrsid2248755\charrsid4475134 \cell }\pard\plain \ltrpar\ql \li0\ri0\widctlpar\intbl\wrapdefault\aspalpha\aspnum\faauto\adjustright\rin0\lin0 \rtlch\fcs1 _x000d__x000a_\af0\afs20\alang1025 \ltrch\fcs0 \fs24\lang2057\langfe2057\cgrid\langnp2057\langfenp2057 {\rtlch\fcs1 \af0 \ltrch\fcs0 \insrsid2248755\charrsid4475134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2248755 \rtlch\fcs1 \af0\afs20\alang1025 \ltrch\fcs0 \fs24\lang2057\langfe2057\cgrid\langnp2057\langfenp2057 {\rtlch\fcs1 \af0 \ltrch\fcs0 _x000d__x000a_\insrsid2248755\charrsid4475134 Or. }{\rtlch\fcs1 \af0 \ltrch\fcs0 \cs17\v\fs20\cf9\lang1024\langfe1024\loch\af1\hich\af1\dbch\af31501\noproof\insrsid2248755\charrsid4475134 \hich\af1\dbch\af31501\loch\f1 &lt;Original&gt;}{\rtlch\fcs1 \af0 \ltrch\fcs0 _x000d__x000a_\insrsid2248755\charrsid4475134 #}{\rtlch\fcs1 \af1 \ltrch\fcs0 \cs20\v\f1\fs20\cf15\insrsid2248755\charrsid4475134 MNU[OPTORLANG][ORLANGMORE]@CHOICE@AMPLURMNU}{\rtlch\fcs1 \af0 \ltrch\fcs0 \insrsid2248755\charrsid4475134 #}{\rtlch\fcs1 \af0 \ltrch\fcs0 _x000d__x000a_\cs17\v\fs20\cf9\lang1024\langfe1024\loch\af1\hich\af1\dbch\af31501\noproof\insrsid2248755\charrsid4475134 \hich\af1\dbch\af31501\loch\f1 &lt;/Original&gt;}{\rtlch\fcs1 \af0 \ltrch\fcs0 \insrsid2248755\charrsid4475134 _x000d__x000a_\par }\pard\plain \ltrpar\ql \li0\ri0\widctlpar\wrapdefault\aspalpha\aspnum\faauto\adjustright\rin0\lin0\itap0\pararsid2248755 \rtlch\fcs1 \af0\afs20\alang1025 \ltrch\fcs0 \fs24\lang2057\langfe2057\cgrid\langnp2057\langfenp2057 {\rtlch\fcs1 \af0 \ltrch\fcs0 _x000d__x000a_\cs17\v\fs20\cf9\lang1024\langfe1024\loch\af1\hich\af1\dbch\af31501\noproof\insrsid2248755\charrsid447513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0_x000d__x000a_9ae448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1033\deflangfe1033\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7\fbidi \froman\fcharset238\fprq2 Times New Roman CE;}{\f338\fbidi \froman\fcharset204\fprq2 Times New Roman Cyr;}_x000d__x000a_{\f340\fbidi \froman\fcharset161\fprq2 Times New Roman Greek;}{\f341\fbidi \froman\fcharset162\fprq2 Times New Roman Tur;}{\f342\fbidi \froman\fcharset177\fprq2 Times New Roman (Hebrew);}{\f343\fbidi \froman\fcharset178\fprq2 Times New Roman (Arabic);}_x000d__x000a_{\f344\fbidi \froman\fcharset186\fprq2 Times New Roman Baltic;}{\f345\fbidi \froman\fcharset163\fprq2 Times New Roman (Vietnamese);}{\f677\fbidi \froman\fcharset238\fprq2 Cambria Math CE;}{\f678\fbidi \froman\fcharset204\fprq2 Cambria Math Cyr;}_x000d__x000a_{\f680\fbidi \froman\fcharset161\fprq2 Cambria Math Greek;}{\f681\fbidi \froman\fcharset162\fprq2 Cambria Math Tur;}{\f684\fbidi \froman\fcharset186\fprq2 Cambria Math Baltic;}{\f68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145950\rsid1718133\rsid2892074\rsid3565327\rsid3806746\rsid4666813\rsid6641733\rsid7823322\rsid9636012_x000d__x000a_\rsid10377208\rsid11215221\rsid11549030\rsid12154954\rsid14382809\rsid14424199\rsid15204470\rsid15285974\rsid15950462\rsid16324206\rsid16662270}{\mmathPr\mmathFont34\mbrkBin0\mbrkBinSub0\msmallFrac0\mdispDef1\mlMargin0\mrMargin0\mdefJc1\mwrapIndent1440_x000d__x000a_\mintLim0\mnaryLim1}{\info{\author DESCHAMPS Nathalie}{\operator DESCHAMPS Nathalie}{\creatim\yr2025\mo3\dy12\hr12\min43}{\revtim\yr2025\mo3\dy12\hr12\min43}{\version1}{\edmins0}{\nofpages1}{\nofwords0}{\nofchars1}{\nofcharsws1}{\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806746\newtblstyruls\nogrowautofit\usenormstyforlist\noindnmbrts\felnbrelev\nocxsptable\indrlsweleven\noafcnsttbl\afelev\utinl\hwelev\spltpgpar\notcvasp\notbrkcnstfrctbl\notvatxbx\krnprsnet\cachedcolbal _x000d__x000a_\nouicompat \fet0{\*\wgrffmtfilter 013f}\nofeaturethrottle1\ilfomacatclnup0{\*\template C:\\Users\\NADESC~1\\AppData\\Local\\Temp\\Blank1.dotx}{\*\ftnsep \ltrpar \pard\plain \ltrpar_x000d__x000a_\ql \li0\ri0\widctlpar\wrapdefault\aspalpha\aspnum\faauto\adjustright\rin0\lin0\itap0 \rtlch\fcs1 \af0\afs20\alang1025 \ltrch\fcs0 \fs24\lang2057\langfe2057\cgrid\langnp2057\langfenp2057 {\rtlch\fcs1 \af0 \ltrch\fcs0 \insrsid1145950 \chftnsep _x000d__x000a_\par }}{\*\ftnsepc \ltrpar \pard\plain \ltrpar\ql \li0\ri0\widctlpar\wrapdefault\aspalpha\aspnum\faauto\adjustright\rin0\lin0\itap0 \rtlch\fcs1 \af0\afs20\alang1025 \ltrch\fcs0 \fs24\lang2057\langfe2057\cgrid\langnp2057\langfenp2057 {\rtlch\fcs1 \af0 _x000d__x000a_\ltrch\fcs0 \insrsid1145950 \chftnsepc _x000d__x000a_\par }}{\*\aftnsep \ltrpar \pard\plain \ltrpar\ql \li0\ri0\widctlpar\wrapdefault\aspalpha\aspnum\faauto\adjustright\rin0\lin0\itap0 \rtlch\fcs1 \af0\afs20\alang1025 \ltrch\fcs0 \fs24\lang2057\langfe2057\cgrid\langnp2057\langfenp2057 {\rtlch\fcs1 \af0 _x000d__x000a_\ltrch\fcs0 \insrsid1145950 \chftnsep _x000d__x000a_\par }}{\*\aftnsepc \ltrpar \pard\plain \ltrpar\ql \li0\ri0\widctlpar\wrapdefault\aspalpha\aspnum\faauto\adjustright\rin0\lin0\itap0 \rtlch\fcs1 \af0\afs20\alang1025 \ltrch\fcs0 \fs24\lang2057\langfe2057\cgrid\langnp2057\langfenp2057 {\rtlch\fcs1 \af0 _x000d__x000a_\ltrch\fcs0 \insrsid114595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3806746 _x000d__x000a_\rtlch\fcs1 \af0\afs20\alang1025 \ltrch\fcs0 \fs24\lang2057\langfe2057\cgrid\langnp2057\langfenp2057 {\rtlch\fcs1 \af0 \ltrch\fcs0 \insrsid3806746 {\*\bkmkstart _GoBack}{\*\bkmkend _GoBack}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30_x000d__x000a_caeb439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385020 HideTWBExt;}{_x000d__x000a_\s18\ql \li0\ri0\sa120\nowidctlpar\wrapdefault\aspalpha\aspnum\faauto\adjustright\rin0\lin0\itap0 \rtlch\fcs1 \af0\afs20\alang1025 \ltrch\fcs0 \fs24\lang2057\langfe2057\cgrid\langnp2057\langfenp2057 \sbasedon0 \snext18 \spriority0 \styrsid10385020 _x000d__x000a_Normal6a;}{\s19\ql \li0\ri0\nowidctlpar\wrapdefault\aspalpha\aspnum\faauto\adjustright\rin0\lin0\itap0 \rtlch\fcs1 \af0\afs20\alang1025 \ltrch\fcs0 \b\fs24\lang2057\langfe2057\cgrid\langnp2057\langfenp2057 \sbasedon0 \snext19 \spriority0 \styrsid10385020 _x000d__x000a_NormalBold;}{\s20\ql \li0\ri0\sa240\nowidctlpar\wrapdefault\aspalpha\aspnum\faauto\adjustright\rin0\lin0\itap0 \rtlch\fcs1 \af0\afs20\alang1025 \ltrch\fcs0 \i\fs24\lang2057\langfe2057\cgrid\langnp2057\langfenp2057 _x000d__x000a_\sbasedon0 \snext20 \spriority0 \styrsid10385020 AmJustText;}{\s21\qc \li0\ri0\sb240\sa240\nowidctlpar\wrapdefault\aspalpha\aspnum\faauto\adjustright\rin0\lin0\itap0 \rtlch\fcs1 \af0\afs20\alang1025 \ltrch\fcs0 _x000d__x000a_\i\fs24\lang2057\langfe2057\cgrid\langnp2057\langfenp2057 \sbasedon0 \snext21 \spriority0 \styrsid10385020 AmCrossRef;}{\*\cs22 \additive \v\f1\fs20\cf15 \spriority0 \styrsid10385020 HideTWBInt;}{_x000d__x000a_\s23\qc \li0\ri0\sb240\sa240\keepn\nowidctlpar\wrapdefault\aspalpha\aspnum\faauto\adjustright\rin0\lin0\itap0 \rtlch\fcs1 \af0\afs20\alang1025 \ltrch\fcs0 \i\fs24\lang2057\langfe2057\cgrid\langnp2057\langfenp2057 _x000d__x000a_\sbasedon0 \snext20 \spriority0 \styrsid10385020 AmJustTitle;}{\s24\qr \li0\ri0\sb240\sa240\nowidctlpar\wrapdefault\aspalpha\aspnum\faauto\adjustright\rin0\lin0\itap0 \rtlch\fcs1 \af0\afs20\alang1025 \ltrch\fcs0 _x000d__x000a_\fs24\lang2057\langfe2057\cgrid\langnp2057\langfenp2057 \sbasedon0 \snext24 \spriority0 \styrsid10385020 AmOrLang;}{\s25\qc \li0\ri0\sa240\nowidctlpar\wrapdefault\aspalpha\aspnum\faauto\adjustright\rin0\lin0\itap0 \rtlch\fcs1 \af0\afs20\alang1025 _x000d__x000a_\ltrch\fcs0 \i\fs24\lang2057\langfe2057\cgrid\langnp2057\langfenp2057 \sbasedon0 \snext25 \spriority0 \styrsid1038502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385020 AmNumberTabs;}{\s27\ql \li0\ri0\sb240\nowidctlpar\wrapdefault\aspalpha\aspnum\faauto\adjustright\rin0\lin0\itap0 \rtlch\fcs1 _x000d__x000a_\af0\afs20\alang1025 \ltrch\fcs0 \b\fs24\lang2057\langfe2057\cgrid\langnp2057\langfenp2057 \sbasedon0 \snext27 \spriority0 \styrsid10385020 NormalBold12b;}}{\*\rsidtbl \rsid24658\rsid67249\rsid223860\rsid735077\rsid1718133\rsid2892074\rsid3565327_x000d__x000a_\rsid4666813\rsid6641733\rsid7823322\rsid9636012\rsid10377208\rsid10385020\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0}{\revtim\yr2025\mo1\dy6\hr15\min40}{\version1}{\edmins0}_x000d__x000a_{\nofpages1}{\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385020\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67249 \chftnsep _x000d__x000a_\par }}{\*\ftnsepc \ltrpar \pard\plain \ltrpar\ql \li0\ri0\widctlpar\wrapdefault\aspalpha\aspnum\faauto\adjustright\rin0\lin0\itap0 \rtlch\fcs1 \af0\afs20\alang1025 \ltrch\fcs0 \fs24\lang2057\langfe2057\cgrid\langnp2057\langfenp2057 {\rtlch\fcs1 \af0 _x000d__x000a_\ltrch\fcs0 \insrsid67249 \chftnsepc _x000d__x000a_\par }}{\*\aftnsep \ltrpar \pard\plain \ltrpar\ql \li0\ri0\widctlpar\wrapdefault\aspalpha\aspnum\faauto\adjustright\rin0\lin0\itap0 \rtlch\fcs1 \af0\afs20\alang1025 \ltrch\fcs0 \fs24\lang2057\langfe2057\cgrid\langnp2057\langfenp2057 {\rtlch\fcs1 \af0 _x000d__x000a_\ltrch\fcs0 \insrsid67249 \chftnsep _x000d__x000a_\par }}{\*\aftnsepc \ltrpar \pard\plain \ltrpar\ql \li0\ri0\widctlpar\wrapdefault\aspalpha\aspnum\faauto\adjustright\rin0\lin0\itap0 \rtlch\fcs1 \af0\afs20\alang1025 \ltrch\fcs0 \fs24\lang2057\langfe2057\cgrid\langnp2057\langfenp2057 {\rtlch\fcs1 \af0 _x000d__x000a_\ltrch\fcs0 \insrsid672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385020 \rtlch\fcs1 _x000d__x000a_\af0\afs20\alang1025 \ltrch\fcs0 \b\fs24\lang2057\langfe2057\cgrid\langnp2057\langfenp2057 {\rtlch\fcs1 \af0 \ltrch\fcs0 \cs17\b0\v\fs20\cf9\lang1024\langfe1024\loch\af1\hich\af1\dbch\af31501\noproof\insrsid10385020\charrsid4475134 {\*\bkmkstart restartB}_x000d__x000a_\hich\af1\dbch\af31501\loch\f1 &lt;AmendB&gt;}{\rtlch\fcs1 \af0 \ltrch\fcs0 \insrsid10385020\charrsid4475134 Amendment\tab \tab }{\rtlch\fcs1 \af0 \ltrch\fcs0 _x000d__x000a_\cs17\b0\v\fs20\cf9\lang1024\langfe1024\loch\af1\hich\af1\dbch\af31501\noproof\insrsid10385020\charrsid4475134 \hich\af1\dbch\af31501\loch\f1 &lt;NumAmB&gt;}{\rtlch\fcs1 \af0 \ltrch\fcs0 \insrsid10385020\charrsid4475134 #}{\rtlch\fcs1 \af1 \ltrch\fcs0 _x000d__x000a_\cs22\v\f1\fs20\cf15\insrsid10385020\charrsid4475134 ENMIENDA@NRAM@}{\rtlch\fcs1 \af0 \ltrch\fcs0 \insrsid10385020\charrsid4475134 #}{\rtlch\fcs1 \af0 \ltrch\fcs0 _x000d__x000a_\cs17\b0\v\fs20\cf9\lang1024\langfe1024\loch\af1\hich\af1\dbch\af31501\noproof\insrsid10385020\charrsid4475134 \hich\af1\dbch\af31501\loch\f1 &lt;/NumAmB&gt;}{\rtlch\fcs1 \af0 \ltrch\fcs0 \insrsid10385020\charrsid4475134 _x000d__x000a_\par }\pard\plain \ltrpar\s27\ql \li0\ri0\sb240\keepn\nowidctlpar\wrapdefault\aspalpha\aspnum\faauto\adjustright\rin0\lin0\itap0\pararsid10385020 \rtlch\fcs1 \af0\afs20\alang1025 \ltrch\fcs0 \b\fs24\lang2057\langfe2057\cgrid\langnp2057\langfenp2057 {_x000d__x000a_\rtlch\fcs1 \af0 \ltrch\fcs0 \cs17\b0\v\fs20\cf9\lang1024\langfe1024\loch\af1\hich\af1\dbch\af31501\noproof\insrsid10385020\charrsid4475134 \hich\af1\dbch\af31501\loch\f1 &lt;DocAmend&gt;}{\rtlch\fcs1 \af0 \ltrch\fcs0 \insrsid10385020\charrsid4475134 #}{_x000d__x000a_\rtlch\fcs1 \af1 \ltrch\fcs0 \cs22\v\f1\fs20\cf15\insrsid10385020\charrsid4475134 MNU[OPTPROPOSALCOD][OPTPROPOSALCNS][OPTPROPOSALNLE][OPTPROPOSALINL]@CHOICE@CODEMNU}{\rtlch\fcs1 \af0 \ltrch\fcs0 \insrsid10385020\charrsid4475134 ##}{\rtlch\fcs1 \af1 _x000d__x000a_\ltrch\fcs0 \cs22\v\f1\fs20\cf15\insrsid10385020\charrsid4475134 MNU[AMACTYES][NOTAPP]@CHOICE@AMACTMNU}{\rtlch\fcs1 \af0 \ltrch\fcs0 \insrsid10385020\charrsid4475134 #}{\rtlch\fcs1 \af0 \ltrch\fcs0 _x000d__x000a_\cs17\b0\v\fs20\cf9\lang1024\langfe1024\loch\af1\hich\af1\dbch\af31501\noproof\insrsid10385020\charrsid4475134 \hich\af1\dbch\af31501\loch\f1 &lt;/DocAmend&gt;}{\rtlch\fcs1 \af0 \ltrch\fcs0 \insrsid10385020\charrsid4475134 _x000d__x000a_\par }\pard\plain \ltrpar\s19\ql \li0\ri0\keepn\nowidctlpar\wrapdefault\aspalpha\aspnum\faauto\adjustright\rin0\lin0\itap0\pararsid10385020 \rtlch\fcs1 \af0\afs20\alang1025 \ltrch\fcs0 \b\fs24\lang2057\langfe2057\cgrid\langnp2057\langfenp2057 {\rtlch\fcs1 _x000d__x000a_\af0 \ltrch\fcs0 \cs17\b0\v\fs20\cf9\lang1024\langfe1024\loch\af1\hich\af1\dbch\af31501\noproof\insrsid10385020\charrsid4475134 \hich\af1\dbch\af31501\loch\f1 &lt;Article&gt;}{\rtlch\fcs1 \af0 \ltrch\fcs0 \insrsid10385020\charrsid4475134 #}{\rtlch\fcs1 \af1 _x000d__x000a_\ltrch\fcs0 \cs22\v\f1\fs20\cf15\insrsid10385020\charrsid4475134 MNU[AMACTPARTYES][AMACTPARTNO]@CHOICE@AMACTMNU}{\rtlch\fcs1 \af0 \ltrch\fcs0 \insrsid10385020\charrsid4475134 #}{\rtlch\fcs1 \af0 \ltrch\fcs0 _x000d__x000a_\cs17\b0\v\fs20\cf9\lang1024\langfe1024\loch\af1\hich\af1\dbch\af31501\noproof\insrsid10385020\charrsid4475134 \hich\af1\dbch\af31501\loch\f1 &lt;/Article&gt;}{\rtlch\fcs1 \af0 \ltrch\fcs0 \insrsid10385020\charrsid4475134 _x000d__x000a_\par }\pard\plain \ltrpar\ql \li0\ri0\keepn\widctlpar\wrapdefault\aspalpha\aspnum\faauto\adjustright\rin0\lin0\itap0\pararsid10385020 \rtlch\fcs1 \af0\afs20\alang1025 \ltrch\fcs0 \fs24\lang2057\langfe2057\cgrid\langnp2057\langfenp2057 {\rtlch\fcs1 \af0 _x000d__x000a_\ltrch\fcs0 \cs17\v\fs20\cf9\lang1024\langfe1024\loch\af1\hich\af1\dbch\af31501\noproof\insrsid10385020\charrsid4475134 \hich\af1\dbch\af31501\loch\f1 &lt;DocAmend2&gt;&lt;OptDel&gt;}{\rtlch\fcs1 \af0 \ltrch\fcs0 \insrsid10385020\charrsid4475134 #}{\rtlch\fcs1 \af1 _x000d__x000a_\ltrch\fcs0 \cs22\v\f1\fs20\cf15\insrsid10385020\charrsid4475134 MNU[OPTNRACTYES][NOTAPP]@CHOICE@AMACTMNU}{\rtlch\fcs1 \af0 \ltrch\fcs0 \insrsid10385020\charrsid4475134 #}{\rtlch\fcs1 \af0 \ltrch\fcs0 _x000d__x000a_\cs17\v\fs20\cf9\lang1024\langfe1024\loch\af1\hich\af1\dbch\af31501\noproof\insrsid10385020\charrsid4475134 \hich\af1\dbch\af31501\loch\f1 &lt;/OptDel&gt;&lt;/DocAmend2&gt;}{\rtlch\fcs1 \af0 \ltrch\fcs0 \insrsid10385020\charrsid4475134 _x000d__x000a_\par }\pard \ltrpar\ql \li0\ri0\widctlpar\wrapdefault\aspalpha\aspnum\faauto\adjustright\rin0\lin0\itap0\pararsid10385020 {\rtlch\fcs1 \af0 \ltrch\fcs0 \cs17\v\fs20\cf9\lang1024\langfe1024\loch\af1\hich\af1\dbch\af31501\noproof\insrsid10385020\charrsid4475134 _x000d__x000a_\hich\af1\dbch\af31501\loch\f1 &lt;Article2&gt;&lt;OptDel&gt;}{\rtlch\fcs1 \af0 \ltrch\fcs0 \insrsid10385020\charrsid4475134 #}{\rtlch\fcs1 \af1 \ltrch\fcs0 \cs22\v\f1\fs20\cf15\insrsid10385020\charrsid4475134 MNU[OPTACTPARTYES][NOTAPP]@CHOICE@AMACTMNU}{\rtlch\fcs1 _x000d__x000a_\af0 \ltrch\fcs0 \insrsid10385020\charrsid4475134 #}{\rtlch\fcs1 \af0 \ltrch\fcs0 \cs17\v\fs20\cf9\lang1024\langfe1024\loch\af1\hich\af1\dbch\af31501\noproof\insrsid10385020\charrsid4475134 \hich\af1\dbch\af31501\loch\f1 &lt;/OptDel&gt;&lt;/Article2&gt;}{\rtlch\fcs1 _x000d__x000a_\af0 \ltrch\fcs0 \insrsid10385020\charrsid4475134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0385020\charrsid4475134 \cell }\pard\plain \ltrpar\ql \li0\ri0\widctlpar\intbl\wrapdefault\aspalpha\aspnum\faauto\adjustright\rin0\lin0 \rtlch\fcs1 _x000d__x000a_\af0\afs20\alang1025 \ltrch\fcs0 \fs24\lang2057\langfe2057\cgrid\langnp2057\langfenp2057 {\rtlch\fcs1 \af0 \ltrch\fcs0 \insrsid10385020\charrsid4475134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0385020\charrsid4475134 #}{\rtlch\fcs1 \af1 \ltrch\fcs0 \cs22\v\f1\fs20\cf15\insrsid10385020\charrsid4475134 MNU[OPTLEFTAMACT][LEFTPROP]@CHOICE@AMACTMNU}{\rtlch\fcs1 \af0 \ltrch\fcs0 \insrsid10385020\charrsid4475134 #\cell Amendment\cell _x000d__x000a_}\pard\plain \ltrpar\ql \li0\ri0\widctlpar\intbl\wrapdefault\aspalpha\aspnum\faauto\adjustright\rin0\lin0 \rtlch\fcs1 \af0\afs20\alang1025 \ltrch\fcs0 \fs24\lang2057\langfe2057\cgrid\langnp2057\langfenp2057 {\rtlch\fcs1 \af0 \ltrch\fcs0 _x000d__x000a_\insrsid10385020\charrsid4475134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0385020\charrsid4475134 ##\cell ##}{\rtlch\fcs1 \af0\afs24 \ltrch\fcs0 \insrsid10385020\charrsid4475134 \cell }\pard\plain \ltrpar\ql \li0\ri0\widctlpar\intbl\wrapdefault\aspalpha\aspnum\faauto\adjustright\rin0\lin0 \rtlch\fcs1 _x000d__x000a_\af0\afs20\alang1025 \ltrch\fcs0 \fs24\lang2057\langfe2057\cgrid\langnp2057\langfenp2057 {\rtlch\fcs1 \af0 \ltrch\fcs0 \insrsid10385020\charrsid4475134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0385020 \rtlch\fcs1 \af0\afs20\alang1025 \ltrch\fcs0 \fs24\lang2057\langfe2057\cgrid\langnp2057\langfenp2057 {\rtlch\fcs1 \af0 \ltrch\fcs0 _x000d__x000a_\insrsid10385020\charrsid4475134 Or. }{\rtlch\fcs1 \af0 \ltrch\fcs0 \cs17\v\fs20\cf9\lang1024\langfe1024\loch\af1\hich\af1\dbch\af31501\noproof\insrsid10385020\charrsid4475134 \hich\af1\dbch\af31501\loch\f1 &lt;Original&gt;}{\rtlch\fcs1 \af0 \ltrch\fcs0 _x000d__x000a_\insrsid10385020\charrsid4475134 #}{\rtlch\fcs1 \af1 \ltrch\fcs0 \cs22\v\f1\fs20\cf15\insrsid10385020\charrsid4475134 MNU[OPTORLANG][ORLANGMORE]@CHOICE@AMPLURMNU}{\rtlch\fcs1 \af0 \ltrch\fcs0 \insrsid10385020\charrsid4475134 #}{\rtlch\fcs1 \af0 _x000d__x000a_\ltrch\fcs0 \cs17\v\fs20\cf9\lang1024\langfe1024\loch\af1\hich\af1\dbch\af31501\noproof\insrsid10385020\charrsid4475134 \hich\af1\dbch\af31501\loch\f1 &lt;/Original&gt;}{\rtlch\fcs1 \af0 \ltrch\fcs0 \insrsid10385020\charrsid4475134 _x000d__x000a_\par }\pard\plain \ltrpar\s21\qc \li0\ri0\sb240\sa240\nowidctlpar\wrapdefault\aspalpha\aspnum\faauto\adjustright\rin0\lin0\itap0\pararsid10385020 \rtlch\fcs1 \af0\afs20\alang1025 \ltrch\fcs0 \i\fs24\lang2057\langfe2057\cgrid\langnp2057\langfenp2057 {_x000d__x000a_\rtlch\fcs1 \af0 \ltrch\fcs0 \cs17\i0\v\fs20\cf9\lang1024\langfe1024\loch\af1\hich\af1\dbch\af31501\noproof\insrsid10385020\charrsid4475134 \hich\af1\dbch\af31501\loch\f1 &lt;OptDel&gt;}{\rtlch\fcs1 \af0 \ltrch\fcs0 \insrsid10385020\charrsid4475134 #}{_x000d__x000a_\rtlch\fcs1 \af1 \ltrch\fcs0 \cs22\v\f1\fs20\cf15\insrsid10385020\charrsid4475134 MNU[CROSSREFNO][CROSSREFYES]@CHOICE@}{\rtlch\fcs1 \af0 \ltrch\fcs0 \insrsid10385020\charrsid4475134 #}{\rtlch\fcs1 \af0 \ltrch\fcs0 _x000d__x000a_\cs17\i0\v\fs20\cf9\lang1024\langfe1024\loch\af1\hich\af1\dbch\af31501\noproof\insrsid10385020\charrsid4475134 \hich\af1\dbch\af31501\loch\f1 &lt;/OptDel&gt;}{\rtlch\fcs1 \af0 \ltrch\fcs0 \insrsid10385020\charrsid4475134 _x000d__x000a_\par }\pard\plain \ltrpar\s23\qc \li0\ri0\sb240\sa240\keepn\nowidctlpar\wrapdefault\aspalpha\aspnum\faauto\adjustright\rin0\lin0\itap0\pararsid10385020 \rtlch\fcs1 \af0\afs20\alang1025 \ltrch\fcs0 \i\fs24\lang2057\langfe2057\cgrid\langnp2057\langfenp2057 {_x000d__x000a_\rtlch\fcs1 \af0 \ltrch\fcs0 \cs17\i0\v\fs20\cf9\lang1024\langfe1024\loch\af1\hich\af1\dbch\af31501\noproof\insrsid10385020\charrsid4475134 \hich\af1\dbch\af31501\loch\f1 &lt;TitreJust&gt;}{\rtlch\fcs1 \af0 \ltrch\fcs0 \insrsid10385020\charrsid4475134 _x000d__x000a_Justification}{\rtlch\fcs1 \af0 \ltrch\fcs0 \cs17\i0\v\fs20\cf9\lang1024\langfe1024\loch\af1\hich\af1\dbch\af31501\noproof\insrsid10385020\charrsid4475134 \hich\af1\dbch\af31501\loch\f1 &lt;/TitreJust&gt;}{\rtlch\fcs1 \af0 \ltrch\fcs0 _x000d__x000a_\insrsid10385020\charrsid4475134 _x000d__x000a_\par }\pard\plain \ltrpar\s20\ql \li0\ri0\sa240\nowidctlpar\wrapdefault\aspalpha\aspnum\faauto\adjustright\rin0\lin0\itap0\pararsid10385020 \rtlch\fcs1 \af0\afs20\alang1025 \ltrch\fcs0 \i\fs24\lang2057\langfe2057\cgrid\langnp2057\langfenp2057 {\rtlch\fcs1 _x000d__x000a_\af0 \ltrch\fcs0 \cs17\i0\v\fs20\cf9\lang1024\langfe1024\loch\af1\hich\af1\dbch\af31501\noproof\insrsid10385020\charrsid4475134 \hich\af1\dbch\af31501\loch\f1 &lt;OptDelPrev&gt;}{\rtlch\fcs1 \af0 \ltrch\fcs0 \insrsid10385020\charrsid4475134 #}{\rtlch\fcs1 \af1 _x000d__x000a_\ltrch\fcs0 \cs22\v\f1\fs20\cf15\insrsid10385020\charrsid4475134 MNU[TEXTJUSTYES][TEXTJUSTNO]@CHOICE@}{\rtlch\fcs1 \af0 \ltrch\fcs0 \insrsid10385020\charrsid4475134 #}{\rtlch\fcs1 \af0 \ltrch\fcs0 _x000d__x000a_\cs17\i0\v\fs20\cf9\lang1024\langfe1024\loch\af1\hich\af1\dbch\af31501\noproof\insrsid10385020\charrsid4475134 \hich\af1\dbch\af31501\loch\f1 &lt;/OptDelPrev&gt;}{\rtlch\fcs1 \af0 \ltrch\fcs0 \insrsid10385020\charrsid4475134 _x000d__x000a_\par }\pard\plain \ltrpar\ql \li0\ri0\widctlpar\wrapdefault\aspalpha\aspnum\faauto\adjustright\rin0\lin0\itap0\pararsid10385020 \rtlch\fcs1 \af0\afs20\alang1025 \ltrch\fcs0 \fs24\lang2057\langfe2057\cgrid\langnp2057\langfenp2057 {\rtlch\fcs1 \af0 \ltrch\fcs0 _x000d__x000a_\cs17\v\fs20\cf9\lang1024\langfe1024\loch\af1\hich\af1\dbch\af31501\noproof\insrsid10385020\charrsid447513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d1_x000d__x000a_3ee648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727191 HideTWBExt;}{_x000d__x000a_\s18\ql \li0\ri0\sa120\nowidctlpar\wrapdefault\aspalpha\aspnum\faauto\adjustright\rin0\lin0\itap0 \rtlch\fcs1 \af0\afs20\alang1025 \ltrch\fcs0 \fs24\lang2057\langfe2057\cgrid\langnp2057\langfenp2057 \sbasedon0 \snext18 \spriority0 \styrsid1727191 _x000d__x000a_Normal6a;}{\s19\ql \li0\ri0\nowidctlpar\wrapdefault\aspalpha\aspnum\faauto\adjustright\rin0\lin0\itap0 \rtlch\fcs1 \af0\afs20\alang1025 \ltrch\fcs0 \b\fs24\lang2057\langfe2057\cgrid\langnp2057\langfenp2057 \sbasedon0 \snext19 \spriority0 \styrsid1727191 _x000d__x000a_NormalBold;}{\s20\ql \li0\ri0\sa240\nowidctlpar\wrapdefault\aspalpha\aspnum\faauto\adjustright\rin0\lin0\itap0 \rtlch\fcs1 \af0\afs20\alang1025 \ltrch\fcs0 \i\fs24\lang2057\langfe2057\cgrid\langnp2057\langfenp2057 _x000d__x000a_\sbasedon0 \snext20 \spriority0 \styrsid1727191 AmJustText;}{\s21\qc \li0\ri0\sb240\sa240\nowidctlpar\wrapdefault\aspalpha\aspnum\faauto\adjustright\rin0\lin0\itap0 \rtlch\fcs1 \af0\afs20\alang1025 \ltrch\fcs0 _x000d__x000a_\i\fs24\lang2057\langfe2057\cgrid\langnp2057\langfenp2057 \sbasedon0 \snext21 \spriority0 \styrsid1727191 AmCrossRef;}{\*\cs22 \additive \v\f1\fs20\cf15 \spriority0 \styrsid1727191 HideTWBInt;}{_x000d__x000a_\s23\qc \li0\ri0\sb240\sa240\keepn\nowidctlpar\wrapdefault\aspalpha\aspnum\faauto\adjustright\rin0\lin0\itap0 \rtlch\fcs1 \af0\afs20\alang1025 \ltrch\fcs0 \i\fs24\lang2057\langfe2057\cgrid\langnp2057\langfenp2057 _x000d__x000a_\sbasedon0 \snext20 \spriority0 \styrsid1727191 AmJustTitle;}{\s24\qr \li0\ri0\sb240\sa240\nowidctlpar\wrapdefault\aspalpha\aspnum\faauto\adjustright\rin0\lin0\itap0 \rtlch\fcs1 \af0\afs20\alang1025 \ltrch\fcs0 _x000d__x000a_\fs24\lang2057\langfe2057\cgrid\langnp2057\langfenp2057 \sbasedon0 \snext24 \spriority0 \styrsid1727191 AmOrLang;}{\s25\qc \li0\ri0\sa240\nowidctlpar\wrapdefault\aspalpha\aspnum\faauto\adjustright\rin0\lin0\itap0 \rtlch\fcs1 \af0\afs20\alang1025 _x000d__x000a_\ltrch\fcs0 \i\fs24\lang2057\langfe2057\cgrid\langnp2057\langfenp2057 \sbasedon0 \snext25 \spriority0 \styrsid1727191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727191 AmNumberTabs;}{\s27\ql \li0\ri0\sb240\nowidctlpar\wrapdefault\aspalpha\aspnum\faauto\adjustright\rin0\lin0\itap0 \rtlch\fcs1 _x000d__x000a_\af0\afs20\alang1025 \ltrch\fcs0 \b\fs24\lang2057\langfe2057\cgrid\langnp2057\langfenp2057 \sbasedon0 \snext27 \spriority0 \styrsid1727191 NormalBold12b;}}{\*\rsidtbl \rsid24658\rsid216109\rsid223860\rsid735077\rsid1718133\rsid1727191\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AMIANIDOU Dorothea}{\operator DAMIANIDOU Dorothea}{\creatim\yr2025\mo1\dy6\hr15\min47}{\revtim\yr2025\mo1\dy6\hr15\min47}{\version1}{\edmins0}_x000d__x000a_{\nofpages1}{\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27191\newtblstyruls\nogrowautofit\usenormstyforlist\noindnmbrts\felnbrelev\nocxsptable\indrlsweleven\noafcnsttbl\afelev\utinl\hwelev\spltpgpar\notcvasp\notbrkcnstfrctbl\notvatxbx\krnprsnet\cachedcolbal _x000d__x000a_\nouicompat \fet0{\*\wgrffmtfilter 013f}\nofeaturethrottle1\ilfomacatclnup0{\*\template C:\\Users\\DDAMIA~1\\AppData\\Local\\Temp\\Blank1.dotx}{\*\ftnsep \ltrpar \pard\plain \ltrpar_x000d__x000a_\ql \li0\ri0\widctlpar\wrapdefault\aspalpha\aspnum\faauto\adjustright\rin0\lin0\itap0 \rtlch\fcs1 \af0\afs20\alang1025 \ltrch\fcs0 \fs24\lang2057\langfe2057\cgrid\langnp2057\langfenp2057 {\rtlch\fcs1 \af0 \ltrch\fcs0 \insrsid216109 \chftnsep _x000d__x000a_\par }}{\*\ftnsepc \ltrpar \pard\plain \ltrpar\ql \li0\ri0\widctlpar\wrapdefault\aspalpha\aspnum\faauto\adjustright\rin0\lin0\itap0 \rtlch\fcs1 \af0\afs20\alang1025 \ltrch\fcs0 \fs24\lang2057\langfe2057\cgrid\langnp2057\langfenp2057 {\rtlch\fcs1 \af0 _x000d__x000a_\ltrch\fcs0 \insrsid216109 \chftnsepc _x000d__x000a_\par }}{\*\aftnsep \ltrpar \pard\plain \ltrpar\ql \li0\ri0\widctlpar\wrapdefault\aspalpha\aspnum\faauto\adjustright\rin0\lin0\itap0 \rtlch\fcs1 \af0\afs20\alang1025 \ltrch\fcs0 \fs24\lang2057\langfe2057\cgrid\langnp2057\langfenp2057 {\rtlch\fcs1 \af0 _x000d__x000a_\ltrch\fcs0 \insrsid216109 \chftnsep _x000d__x000a_\par }}{\*\aftnsepc \ltrpar \pard\plain \ltrpar\ql \li0\ri0\widctlpar\wrapdefault\aspalpha\aspnum\faauto\adjustright\rin0\lin0\itap0 \rtlch\fcs1 \af0\afs20\alang1025 \ltrch\fcs0 \fs24\lang2057\langfe2057\cgrid\langnp2057\langfenp2057 {\rtlch\fcs1 \af0 _x000d__x000a_\ltrch\fcs0 \insrsid2161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727191 \rtlch\fcs1 _x000d__x000a_\af0\afs20\alang1025 \ltrch\fcs0 \b\fs24\lang2057\langfe2057\cgrid\langnp2057\langfenp2057 {\rtlch\fcs1 \af0 \ltrch\fcs0 \cs17\b0\v\fs20\cf9\lang1024\langfe1024\loch\af1\hich\af1\dbch\af31501\noproof\insrsid1727191\charrsid10048301 {\*\bkmkstart restart}_x000d__x000a_\hich\af1\dbch\af31501\loch\f1 &lt;}{\rtlch\fcs1 \af0 \ltrch\fcs0 \cs17\b0\v\fs20\cf9\lang1024\langfe1024\loch\af1\hich\af1\dbch\af31501\noproof\insrsid1727191 \hich\af1\dbch\af31501\loch\f1 Amend}{\rtlch\fcs1 \af0 \ltrch\fcs0 _x000d__x000a_\cs17\b0\v\fs20\cf9\lang1024\langfe1024\loch\af1\hich\af1\dbch\af31501\noproof\insrsid1727191\charrsid10048301 \hich\af1\dbch\af31501\loch\f1 &gt;}{\rtlch\fcs1 \af0 \ltrch\fcs0 \insrsid1727191\charrsid10048301 Amendment\tab \tab }{\rtlch\fcs1 \af0 _x000d__x000a_\ltrch\fcs0 \cs17\b0\v\fs20\cf9\lang1024\langfe1024\loch\af1\hich\af1\dbch\af31501\noproof\insrsid1727191\charrsid10048301 \hich\af1\dbch\af31501\loch\f1 &lt;}{\rtlch\fcs1 \af0 \ltrch\fcs0 _x000d__x000a_\cs17\b0\v\fs20\cf9\lang1024\langfe1024\loch\af1\hich\af1\dbch\af31501\noproof\insrsid1727191 \hich\af1\dbch\af31501\loch\f1 NumAm&gt;}{\rtlch\fcs1 \af0 \ltrch\fcs0 \insrsid1727191\charrsid10048301 #}{\rtlch\fcs1 \af1 \ltrch\fcs0 _x000d__x000a_\cs22\v\f1\fs20\cf15\insrsid1727191\charrsid10048301 ENMIENDA@NRAM@}{\rtlch\fcs1 \af0 \ltrch\fcs0 \insrsid1727191\charrsid10048301 #}{\rtlch\fcs1 \af0 \ltrch\fcs0 _x000d__x000a_\cs17\b0\v\fs20\cf9\lang1024\langfe1024\loch\af1\hich\af1\dbch\af31501\noproof\insrsid1727191\charrsid10048301 \hich\af1\dbch\af31501\loch\f1 &lt;/}{\rtlch\fcs1 \af0 \ltrch\fcs0 _x000d__x000a_\cs17\b0\v\fs20\cf9\lang1024\langfe1024\loch\af1\hich\af1\dbch\af31501\noproof\insrsid1727191 \hich\af1\dbch\af31501\loch\f1 NumAm&gt;}{\rtlch\fcs1 \af0 \ltrch\fcs0 \insrsid1727191\charrsid10048301 _x000d__x000a_\par }\pard\plain \ltrpar\s27\ql \li0\ri0\sb240\keepn\nowidctlpar\wrapdefault\aspalpha\aspnum\faauto\adjustright\rin0\lin0\itap0\pararsid1727191 \rtlch\fcs1 \af0\afs20\alang1025 \ltrch\fcs0 \b\fs24\lang2057\langfe2057\cgrid\langnp2057\langfenp2057 {_x000d__x000a_\rtlch\fcs1 \af0 \ltrch\fcs0 \cs17\b0\v\fs20\cf9\lang1024\langfe1024\loch\af1\hich\af1\dbch\af31501\noproof\insrsid1727191\charrsid10048301 \hich\af1\dbch\af31501\loch\f1 &lt;DocAmend&gt;}{\rtlch\fcs1 \af0 \ltrch\fcs0 \insrsid1727191\charrsid10048301 #}{_x000d__x000a_\rtlch\fcs1 \af1 \ltrch\fcs0 \cs22\v\f1\fs20\cf15\insrsid1727191\charrsid10048301 MNU[OPTPROPOSALCOD][OPTPROPOSALCNS][OPTPROPOSALNLE][OPTPROPOSALINL]@CHOICE@CODEMNU}{\rtlch\fcs1 \af0 \ltrch\fcs0 \insrsid1727191\charrsid10048301 ##}{\rtlch\fcs1 \af1 _x000d__x000a_\ltrch\fcs0 \cs22\v\f1\fs20\cf15\insrsid1727191\charrsid10048301 MNU[AMACTYES][NOTAPP]@CHOICE@AMACTMNU}{\rtlch\fcs1 \af0 \ltrch\fcs0 \insrsid1727191\charrsid10048301 #}{\rtlch\fcs1 \af0 \ltrch\fcs0 _x000d__x000a_\cs17\b0\v\fs20\cf9\lang1024\langfe1024\loch\af1\hich\af1\dbch\af31501\noproof\insrsid1727191\charrsid10048301 \hich\af1\dbch\af31501\loch\f1 &lt;/DocAmend&gt;}{\rtlch\fcs1 \af0 \ltrch\fcs0 \insrsid1727191\charrsid10048301 _x000d__x000a_\par }\pard\plain \ltrpar\s19\ql \li0\ri0\keepn\nowidctlpar\wrapdefault\aspalpha\aspnum\faauto\adjustright\rin0\lin0\itap0\pararsid1727191 \rtlch\fcs1 \af0\afs20\alang1025 \ltrch\fcs0 \b\fs24\lang2057\langfe2057\cgrid\langnp2057\langfenp2057 {\rtlch\fcs1 \af0 _x000d__x000a_\ltrch\fcs0 \cs17\b0\v\fs20\cf9\lang1024\langfe1024\loch\af1\hich\af1\dbch\af31501\noproof\insrsid1727191\charrsid10048301 \hich\af1\dbch\af31501\loch\f1 &lt;Article&gt;}{\rtlch\fcs1 \af0 \ltrch\fcs0 \insrsid1727191\charrsid10048301 #}{\rtlch\fcs1 \af1 _x000d__x000a_\ltrch\fcs0 \cs22\v\f1\fs20\cf15\insrsid1727191\charrsid10048301 MNU[AMACTPARTYES][AMACTPARTNO]@CHOICE@AMACTMNU}{\rtlch\fcs1 \af0 \ltrch\fcs0 \insrsid1727191\charrsid10048301 #}{\rtlch\fcs1 \af0 \ltrch\fcs0 _x000d__x000a_\cs17\b0\v\fs20\cf9\lang1024\langfe1024\loch\af1\hich\af1\dbch\af31501\noproof\insrsid1727191\charrsid10048301 \hich\af1\dbch\af31501\loch\f1 &lt;/Article&gt;}{\rtlch\fcs1 \af0 \ltrch\fcs0 \insrsid1727191\charrsid10048301 _x000d__x000a_\par }\pard\plain \ltrpar\ql \li0\ri0\keepn\widctlpar\wrapdefault\aspalpha\aspnum\faauto\adjustright\rin0\lin0\itap0\pararsid1727191 \rtlch\fcs1 \af0\afs20\alang1025 \ltrch\fcs0 \fs24\lang2057\langfe2057\cgrid\langnp2057\langfenp2057 {\rtlch\fcs1 \af0 _x000d__x000a_\ltrch\fcs0 \cs17\v\fs20\cf9\lang1024\langfe1024\loch\af1\hich\af1\dbch\af31501\noproof\insrsid1727191\charrsid10048301 \hich\af1\dbch\af31501\loch\f1 &lt;DocAmend2&gt;&lt;OptDel&gt;}{\rtlch\fcs1 \af0 \ltrch\fcs0 \insrsid1727191\charrsid10048301 #}{\rtlch\fcs1 \af1 _x000d__x000a_\ltrch\fcs0 \cs22\v\f1\fs20\cf15\insrsid1727191\charrsid10048301 MNU[OPTNRACTYES][NOTAPP]@CHOICE@AMACTMNU}{\rtlch\fcs1 \af0 \ltrch\fcs0 \insrsid1727191\charrsid10048301 #}{\rtlch\fcs1 \af0 \ltrch\fcs0 _x000d__x000a_\cs17\v\fs20\cf9\lang1024\langfe1024\loch\af1\hich\af1\dbch\af31501\noproof\insrsid1727191\charrsid10048301 \hich\af1\dbch\af31501\loch\f1 &lt;/OptDel&gt;&lt;/DocAmend2&gt;}{\rtlch\fcs1 \af0 \ltrch\fcs0 \insrsid1727191\charrsid10048301 _x000d__x000a_\par }\pard \ltrpar\ql \li0\ri0\widctlpar\wrapdefault\aspalpha\aspnum\faauto\adjustright\rin0\lin0\itap0\pararsid1727191 {\rtlch\fcs1 \af0 \ltrch\fcs0 \cs17\v\fs20\cf9\lang1024\langfe1024\loch\af1\hich\af1\dbch\af31501\noproof\insrsid1727191\charrsid10048301 _x000d__x000a_\hich\af1\dbch\af31501\loch\f1 &lt;Article2&gt;&lt;OptDel&gt;}{\rtlch\fcs1 \af0 \ltrch\fcs0 \insrsid1727191\charrsid10048301 #}{\rtlch\fcs1 \af1 \ltrch\fcs0 \cs22\v\f1\fs20\cf15\insrsid1727191\charrsid10048301 MNU[OPTACTPARTYES][NOTAPP]@CHOICE@AMACTMNU}{\rtlch\fcs1 _x000d__x000a_\af0 \ltrch\fcs0 \insrsid1727191\charrsid10048301 #}{\rtlch\fcs1 \af0 \ltrch\fcs0 \cs17\v\fs20\cf9\lang1024\langfe1024\loch\af1\hich\af1\dbch\af31501\noproof\insrsid1727191\charrsid10048301 \hich\af1\dbch\af31501\loch\f1 &lt;/OptDel&gt;&lt;/Article2&gt;}{\rtlch\fcs1 _x000d__x000a_\af0 \ltrch\fcs0 \insrsid1727191\charrsid10048301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727191\charrsid10048301 \cell }\pard\plain \ltrpar\ql \li0\ri0\widctlpar\intbl\wrapdefault\aspalpha\aspnum\faauto\adjustright\rin0\lin0 \rtlch\fcs1 _x000d__x000a_\af0\afs20\alang1025 \ltrch\fcs0 \fs24\lang2057\langfe2057\cgrid\langnp2057\langfenp2057 {\rtlch\fcs1 \af0 \ltrch\fcs0 \insrsid1727191\charrsid10048301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727191\charrsid10048301 #}{\rtlch\fcs1 \af1 \ltrch\fcs0 \cs22\v\f1\fs20\cf15\insrsid1727191\charrsid10048301 MNU[OPTLEFTAMACT][LEFTPROP]@CHOICE@AMACTMNU}{\rtlch\fcs1 \af0 \ltrch\fcs0 \insrsid1727191\charrsid10048301 #\cell Amendment\cell _x000d__x000a_}\pard\plain \ltrpar\ql \li0\ri0\widctlpar\intbl\wrapdefault\aspalpha\aspnum\faauto\adjustright\rin0\lin0 \rtlch\fcs1 \af0\afs20\alang1025 \ltrch\fcs0 \fs24\lang2057\langfe2057\cgrid\langnp2057\langfenp2057 {\rtlch\fcs1 \af0 \ltrch\fcs0 _x000d__x000a_\insrsid1727191\charrsid10048301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1727191\charrsid10048301 ##\cell ##}{\rtlch\fcs1 \af0\afs24 \ltrch\fcs0 \insrsid1727191\charrsid10048301 \cell }\pard\plain \ltrpar\ql \li0\ri0\widctlpar\intbl\wrapdefault\aspalpha\aspnum\faauto\adjustright\rin0\lin0 \rtlch\fcs1 _x000d__x000a_\af0\afs20\alang1025 \ltrch\fcs0 \fs24\lang2057\langfe2057\cgrid\langnp2057\langfenp2057 {\rtlch\fcs1 \af0 \ltrch\fcs0 \insrsid1727191\charrsid10048301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727191 \rtlch\fcs1 \af0\afs20\alang1025 \ltrch\fcs0 \fs24\lang2057\langfe2057\cgrid\langnp2057\langfenp2057 {\rtlch\fcs1 \af0 \ltrch\fcs0 _x000d__x000a_\insrsid1727191\charrsid10048301 Or. }{\rtlch\fcs1 \af0 \ltrch\fcs0 \cs17\v\fs20\cf9\lang1024\langfe1024\loch\af1\hich\af1\dbch\af31501\noproof\insrsid1727191\charrsid10048301 \hich\af1\dbch\af31501\loch\f1 &lt;Original&gt;}{\rtlch\fcs1 \af0 \ltrch\fcs0 _x000d__x000a_\insrsid1727191\charrsid10048301 #}{\rtlch\fcs1 \af1 \ltrch\fcs0 \cs22\v\f1\fs20\cf15\insrsid1727191\charrsid10048301 MNU[OPTORLANG][ORLANGMORE]@CHOICE@AMPLURMNU}{\rtlch\fcs1 \af0 \ltrch\fcs0 \insrsid1727191\charrsid10048301 #}{\rtlch\fcs1 \af0 _x000d__x000a_\ltrch\fcs0 \cs17\v\fs20\cf9\lang1024\langfe1024\loch\af1\hich\af1\dbch\af31501\noproof\insrsid1727191\charrsid10048301 \hich\af1\dbch\af31501\loch\f1 &lt;/Original&gt;}{\rtlch\fcs1 \af0 \ltrch\fcs0 \insrsid1727191\charrsid10048301 _x000d__x000a_\par }\pard\plain \ltrpar\s21\qc \li0\ri0\sb240\sa240\nowidctlpar\wrapdefault\aspalpha\aspnum\faauto\adjustright\rin0\lin0\itap0\pararsid1727191 \rtlch\fcs1 \af0\afs20\alang1025 \ltrch\fcs0 \i\fs24\lang2057\langfe2057\cgrid\langnp2057\langfenp2057 {_x000d__x000a_\rtlch\fcs1 \af0 \ltrch\fcs0 \cs17\i0\v\fs20\cf9\lang1024\langfe1024\loch\af1\hich\af1\dbch\af31501\noproof\insrsid1727191\charrsid10048301 \hich\af1\dbch\af31501\loch\f1 &lt;OptDel&gt;}{\rtlch\fcs1 \af0 \ltrch\fcs0 \insrsid1727191\charrsid10048301 #}{_x000d__x000a_\rtlch\fcs1 \af1 \ltrch\fcs0 \cs22\v\f1\fs20\cf15\insrsid1727191\charrsid10048301 MNU[CROSSREFNO][CROSSREFYES]@CHOICE@}{\rtlch\fcs1 \af0 \ltrch\fcs0 \insrsid1727191\charrsid10048301 #}{\rtlch\fcs1 \af0 \ltrch\fcs0 _x000d__x000a_\cs17\i0\v\fs20\cf9\lang1024\langfe1024\loch\af1\hich\af1\dbch\af31501\noproof\insrsid1727191\charrsid10048301 \hich\af1\dbch\af31501\loch\f1 &lt;/OptDel&gt;}{\rtlch\fcs1 \af0 \ltrch\fcs0 \insrsid1727191\charrsid10048301 _x000d__x000a_\par }\pard\plain \ltrpar\s23\qc \li0\ri0\sb240\sa240\keepn\nowidctlpar\wrapdefault\aspalpha\aspnum\faauto\adjustright\rin0\lin0\itap0\pararsid1727191 \rtlch\fcs1 \af0\afs20\alang1025 \ltrch\fcs0 \i\fs24\lang2057\langfe2057\cgrid\langnp2057\langfenp2057 {_x000d__x000a_\rtlch\fcs1 \af0 \ltrch\fcs0 \cs17\i0\v\fs20\cf9\lang1024\langfe1024\loch\af1\hich\af1\dbch\af31501\noproof\insrsid1727191\charrsid10048301 \hich\af1\dbch\af31501\loch\f1 &lt;TitreJust&gt;}{\rtlch\fcs1 \af0 \ltrch\fcs0 \insrsid1727191\charrsid10048301 _x000d__x000a_Justification}{\rtlch\fcs1 \af0 \ltrch\fcs0 \cs17\i0\v\fs20\cf9\lang1024\langfe1024\loch\af1\hich\af1\dbch\af31501\noproof\insrsid1727191\charrsid10048301 \hich\af1\dbch\af31501\loch\f1 &lt;/TitreJust&gt;}{\rtlch\fcs1 \af0 \ltrch\fcs0 _x000d__x000a_\insrsid1727191\charrsid10048301 _x000d__x000a_\par }\pard\plain \ltrpar\s20\ql \li0\ri0\sa240\nowidctlpar\wrapdefault\aspalpha\aspnum\faauto\adjustright\rin0\lin0\itap0\pararsid1727191 \rtlch\fcs1 \af0\afs20\alang1025 \ltrch\fcs0 \i\fs24\lang2057\langfe2057\cgrid\langnp2057\langfenp2057 {\rtlch\fcs1 \af0 _x000d__x000a_\ltrch\fcs0 \cs17\i0\v\fs20\cf9\lang1024\langfe1024\loch\af1\hich\af1\dbch\af31501\noproof\insrsid1727191\charrsid10048301 \hich\af1\dbch\af31501\loch\f1 &lt;OptDelPrev&gt;}{\rtlch\fcs1 \af0 \ltrch\fcs0 \insrsid1727191\charrsid10048301 #}{\rtlch\fcs1 \af1 _x000d__x000a_\ltrch\fcs0 \cs22\v\f1\fs20\cf15\insrsid1727191\charrsid10048301 MNU[TEXTJUSTYES][TEXTJUSTNO]@CHOICE@}{\rtlch\fcs1 \af0 \ltrch\fcs0 \insrsid1727191\charrsid10048301 #}{\rtlch\fcs1 \af0 \ltrch\fcs0 _x000d__x000a_\cs17\i0\v\fs20\cf9\lang1024\langfe1024\loch\af1\hich\af1\dbch\af31501\noproof\insrsid1727191\charrsid10048301 \hich\af1\dbch\af31501\loch\f1 &lt;/OptDelPrev&gt;}{\rtlch\fcs1 \af0 \ltrch\fcs0 \insrsid1727191\charrsid10048301 _x000d__x000a_\par }\pard\plain \ltrpar\ql \li0\ri0\widctlpar\wrapdefault\aspalpha\aspnum\faauto\adjustright\rin0\lin0\itap0\pararsid1727191 \rtlch\fcs1 \af0\afs20\alang1025 \ltrch\fcs0 \fs24\lang2057\langfe2057\cgrid\langnp2057\langfenp2057 {\rtlch\fcs1 \af0 \ltrch\fcs0 _x000d__x000a_\cs17\v\fs20\cf9\lang1024\langfe1024\loch\af1\hich\af1\dbch\af31501\noproof\insrsid1727191\charrsid10048301 \hich\af1\dbch\af31501\loch\f1 &lt;/}{\rtlch\fcs1 \af0 \ltrch\fcs0 _x000d__x000a_\cs17\v\fs20\cf9\lang1024\langfe1024\loch\af1\hich\af1\dbch\af31501\noproof\insrsid1727191 \hich\af1\dbch\af31501\loch\f1 Amend}{\rtlch\fcs1 \af0 \ltrch\fcs0 _x000d__x000a_\cs17\v\fs20\cf9\lang1024\langfe1024\loch\af1\hich\af1\dbch\af31501\noproof\insrsid1727191\charrsid10048301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8_x000d__x000a_b5e74960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7\fbidi \froman\fcharset238\fprq2 Times New Roman CE;}{\f338\fbidi \froman\fcharset204\fprq2 Times New Roman Cyr;}_x000d__x000a_{\f340\fbidi \froman\fcharset161\fprq2 Times New Roman Greek;}{\f341\fbidi \froman\fcharset162\fprq2 Times New Roman Tur;}{\f342\fbidi \froman\fcharset177\fprq2 Times New Roman (Hebrew);}{\f343\fbidi \froman\fcharset178\fprq2 Times New Roman (Arabic);}_x000d__x000a_{\f344\fbidi \froman\fcharset186\fprq2 Times New Roman Baltic;}{\f345\fbidi \froman\fcharset163\fprq2 Times New Roman (Vietnamese);}{\f347\fbidi \fswiss\fcharset238\fprq2 Arial CE;}{\f348\fbidi \fswiss\fcharset204\fprq2 Arial Cyr;}_x000d__x000a_{\f350\fbidi \fswiss\fcharset161\fprq2 Arial Greek;}{\f351\fbidi \fswiss\fcharset162\fprq2 Arial Tur;}{\f352\fbidi \fswiss\fcharset177\fprq2 Arial (Hebrew);}{\f353\fbidi \fswiss\fcharset178\fprq2 Arial (Arabic);}_x000d__x000a_{\f354\fbidi \fswiss\fcharset186\fprq2 Arial Baltic;}{\f355\fbidi \fswiss\fcharset163\fprq2 Arial (Vietnamese);}{\f677\fbidi \froman\fcharset238\fprq2 Cambria Math CE;}{\f678\fbidi \froman\fcharset204\fprq2 Cambria Math Cyr;}_x000d__x000a_{\f680\fbidi \froman\fcharset161\fprq2 Cambria Math Greek;}{\f681\fbidi \froman\fcharset162\fprq2 Cambria Math Tur;}{\f684\fbidi \froman\fcharset186\fprq2 Cambria Math Baltic;}{\f68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615987 HideTWBExt;}{_x000d__x000a_\s18\ql \li0\ri0\sa120\nowidctlpar\wrapdefault\aspalpha\aspnum\faauto\adjustright\rin0\lin0\itap0 \rtlch\fcs1 \af0\afs20\alang1025 \ltrch\fcs0 \fs24\lang2057\langfe2057\cgrid\langnp2057\langfenp2057 \sbasedon0 \snext18 \spriority0 \styrsid3615987 _x000d__x000a_Normal6a;}{\s19\ql \li0\ri0\nowidctlpar\wrapdefault\aspalpha\aspnum\faauto\adjustright\rin0\lin0\itap0 \rtlch\fcs1 \af0\afs20\alang1025 \ltrch\fcs0 \b\fs24\lang2057\langfe2057\cgrid\langnp2057\langfenp2057 \sbasedon0 \snext19 \spriority0 \styrsid3615987 _x000d__x000a_NormalBold;}{\s20\qc \li0\ri0\sa240\nowidctlpar\wrapdefault\aspalpha\aspnum\faauto\adjustright\rin0\lin0\itap0 \rtlch\fcs1 \af0\afs20\alang1025 \ltrch\fcs0 \i\fs24\lang2057\langfe2057\cgrid\langnp2057\langfenp2057 _x000d__x000a_\sbasedon0 \snext20 \spriority0 \styrsid3615987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3615987 AmNumberTabs;}{\s22\ql \li0\ri0\sb240\nowidctlpar\wrapdefault\aspalpha\aspnum\faauto\adjustright\rin0\lin0\itap0 \rtlch\fcs1 _x000d__x000a_\af0\afs20\alang1025 \ltrch\fcs0 \b\fs24\lang2057\langfe2057\cgrid\langnp2057\langfenp2057 \sbasedon0 \snext22 \spriority0 \styrsid3615987 NormalBold12b;}}{\*\rsidtbl \rsid24658\rsid223860\rsid735077\rsid1324062\rsid1718133\rsid2892074\rsid3565327_x000d__x000a_\rsid361598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DESCHAMPS Nathalie}{\operator DESCHAMPS Nathalie}{\creatim\yr2025\mo3\dy12\hr12\min43}{\revtim\yr2025\mo3\dy12\hr12\min43}{\version1}{\edmins0}_x000d__x000a_{\nofpages1}{\nofwords24}{\nofchars139}{\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615987\newtblstyruls\nogrowautofit\usenormstyforlist\noindnmbrts\felnbrelev\nocxsptable\indrlsweleven\noafcnsttbl\afelev\utinl\hwelev\spltpgpar\notcvasp\notbrkcnstfrctbl\notvatxbx\krnprsnet\cachedcolbal _x000d__x000a_\nouicompat \fet0{\*\wgrffmtfilter 013f}\nofeaturethrottle1\ilfomacatclnup0{\*\template C:\\Users\\NADESC~1\\AppData\\Local\\Temp\\Blank1.dotx}{\*\ftnsep \ltrpar \pard\plain \ltrpar_x000d__x000a_\ql \li0\ri0\widctlpar\wrapdefault\aspalpha\aspnum\faauto\adjustright\rin0\lin0\itap0 \rtlch\fcs1 \af0\afs20\alang1025 \ltrch\fcs0 \fs24\lang2057\langfe2057\cgrid\langnp2057\langfenp2057 {\rtlch\fcs1 \af0 \ltrch\fcs0 \insrsid1324062 \chftnsep _x000d__x000a_\par }}{\*\ftnsepc \ltrpar \pard\plain \ltrpar\ql \li0\ri0\widctlpar\wrapdefault\aspalpha\aspnum\faauto\adjustright\rin0\lin0\itap0 \rtlch\fcs1 \af0\afs20\alang1025 \ltrch\fcs0 \fs24\lang2057\langfe2057\cgrid\langnp2057\langfenp2057 {\rtlch\fcs1 \af0 _x000d__x000a_\ltrch\fcs0 \insrsid1324062 \chftnsepc _x000d__x000a_\par }}{\*\aftnsep \ltrpar \pard\plain \ltrpar\ql \li0\ri0\widctlpar\wrapdefault\aspalpha\aspnum\faauto\adjustright\rin0\lin0\itap0 \rtlch\fcs1 \af0\afs20\alang1025 \ltrch\fcs0 \fs24\lang2057\langfe2057\cgrid\langnp2057\langfenp2057 {\rtlch\fcs1 \af0 _x000d__x000a_\ltrch\fcs0 \insrsid1324062 \chftnsep _x000d__x000a_\par }}{\*\aftnsepc \ltrpar \pard\plain \ltrpar\ql \li0\ri0\widctlpar\wrapdefault\aspalpha\aspnum\faauto\adjustright\rin0\lin0\itap0 \rtlch\fcs1 \af0\afs20\alang1025 \ltrch\fcs0 \fs24\lang2057\langfe2057\cgrid\langnp2057\langfenp2057 {\rtlch\fcs1 \af0 _x000d__x000a_\ltrch\fcs0 \insrsid132406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3615987 \rtlch\fcs1 _x000d__x000a_\af0\afs20\alang1025 \ltrch\fcs0 \b\fs24\lang2057\langfe2057\cgrid\langnp2057\langfenp2057 {\rtlch\fcs1 \af0 \ltrch\fcs0 \cs17\b0\v\fs20\cf9\lang1024\langfe1024\loch\af1\hich\af1\dbch\af31501\noproof\insrsid3615987\charrsid15879488 {\*\bkmkstart restartA}_x000d__x000a_\hich\af1\dbch\af31501\loch\f1 &lt;AmendA&gt;}{\rtlch\fcs1 \af0 \ltrch\fcs0 \insrsid3615987\charrsid15879488 [ZAMENDMENT]\tab \tab }{\rtlch\fcs1 \af0 \ltrch\fcs0 _x000d__x000a_\cs17\b0\v\fs20\cf9\lang1024\langfe1024\loch\af1\hich\af1\dbch\af31501\noproof\insrsid3615987\charrsid15879488 \hich\af1\dbch\af31501\loch\f1 &lt;NumAmA&gt;}{\rtlch\fcs1 \af0 \ltrch\fcs0 \insrsid3615987\charrsid15879488 [ZNRAM]}{\rtlch\fcs1 \af0 \ltrch\fcs0 _x000d__x000a_\cs17\b0\v\fs20\cf9\lang1024\langfe1024\loch\af1\hich\af1\dbch\af31501\noproof\insrsid3615987\charrsid15879488 \hich\af1\dbch\af31501\loch\f1 &lt;/NumAmA&gt;}{\rtlch\fcs1 \af0 \ltrch\fcs0 \insrsid3615987\charrsid15879488 _x000d__x000a_\par }\pard\plain \ltrpar\s22\ql \li0\ri0\sb240\keepn\nowidctlpar\wrapdefault\aspalpha\aspnum\faauto\adjustright\rin0\lin0\itap0\pararsid3615987 \rtlch\fcs1 \af0\afs20\alang1025 \ltrch\fcs0 \b\fs24\lang2057\langfe2057\cgrid\langnp2057\langfenp2057 {_x000d__x000a_\rtlch\fcs1 \af0 \ltrch\fcs0 \cs17\b0\v\fs20\cf9\lang1024\langfe1024\loch\af1\hich\af1\dbch\af31501\noproof\langnp1036\insrsid3615987\charrsid11356624 \hich\af1\dbch\af31501\loch\f1 &lt;DocAmend&gt;}{\rtlch\fcs1 \af0 \ltrch\fcs0 _x000d__x000a_\lang1036\langfe2057\langnp1036\insrsid3615987\charrsid11356624 [ZRESOLUTION]}{\rtlch\fcs1 \af0 \ltrch\fcs0 \cs17\b0\v\fs20\cf9\lang1024\langfe1024\loch\af1\hich\af1\dbch\af31501\noproof\langnp1036\insrsid3615987\charrsid11356624 _x000d__x000a_\hich\af1\dbch\af31501\loch\f1 &lt;/DocAmend&gt;}{\rtlch\fcs1 \af0 \ltrch\fcs0 \lang1036\langfe2057\langnp1036\insrsid3615987\charrsid11356624 _x000d__x000a_\par }\pard\plain \ltrpar\s19\ql \li0\ri0\nowidctlpar\wrapdefault\aspalpha\aspnum\faauto\adjustright\rin0\lin0\itap0\pararsid3615987 \rtlch\fcs1 \af0\afs20\alang1025 \ltrch\fcs0 \b\fs24\lang2057\langfe2057\cgrid\langnp2057\langfenp2057 {\rtlch\fcs1 \af0 _x000d__x000a_\ltrch\fcs0 \cs17\b0\v\fs20\cf9\lang1024\langfe1024\loch\af1\hich\af1\dbch\af31501\noproof\langnp1036\insrsid3615987\charrsid11356624 \hich\af1\dbch\af31501\loch\f1 &lt;Article&gt;}{\rtlch\fcs1 \af0 \ltrch\fcs0 _x000d__x000a_\lang1036\langfe2057\langnp1036\insrsid3615987\charrsid11356624 [ZRESPART]}{\rtlch\fcs1 \af0 \ltrch\fcs0 \cs17\b0\v\fs20\cf9\lang1024\langfe1024\loch\af1\hich\af1\dbch\af31501\noproof\langnp1036\insrsid3615987\charrsid11356624 _x000d__x000a_\hich\af1\dbch\af31501\loch\f1 &lt;/Article&gt;}{\rtlch\fcs1 \af0 \ltrch\fcs0 \lang1036\langfe2057\langnp1036\insrsid3615987\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3615987\charrsid11356624 \cell }\pard \ltrpar_x000d__x000a_\ql \li0\ri0\widctlpar\intbl\wrapdefault\aspalpha\aspnum\faauto\adjustright\rin0\lin0 {\rtlch\fcs1 \af0 \ltrch\fcs0 \insrsid3615987\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3615987\charrsid15879488 [ZLEFTA]\cell [ZRIGHT]\cell }\pard\plain \ltrpar\ql \li0\ri0\widctlpar\intbl\wrapdefault\aspalpha\aspnum\faauto\adjustright\rin0\lin0 _x000d__x000a_\rtlch\fcs1 \af0\afs20\alang1025 \ltrch\fcs0 \fs24\lang2057\langfe2057\cgrid\langnp2057\langfenp2057 {\rtlch\fcs1 \af0 \ltrch\fcs0 \insrsid3615987\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3615987\charrsid15879488 [ZTEXTL]\cell [ZTEXTR]}{\rtlch\fcs1 \af0\afs24 \ltrch\fcs0 \insrsid3615987\charrsid15879488 \cell }\pard\plain \ltrpar\ql \li0\ri0\widctlpar\intbl\wrapdefault\aspalpha\aspnum\faauto\adjustright\rin0\lin0 \rtlch\fcs1 _x000d__x000a_\af0\afs20\alang1025 \ltrch\fcs0 \fs24\lang2057\langfe2057\cgrid\langnp2057\langfenp2057 {\rtlch\fcs1 \af0 \ltrch\fcs0 \insrsid3615987\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3615987 {\rtlch\fcs1 \af0 \ltrch\fcs0 \cs17\v\fs20\cf9\lang1024\langfe1024\loch\af1\hich\af1\dbch\af31501\noproof\insrsid3615987\charrsid15879488 _x000d__x000a_\hich\af1\dbch\af31501\loch\f1 &lt;/AmendA&gt;}{\rtlch\fcs1 \af0 \ltrch\fcs0 \insrsid3615987\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33_x000d__x000a_97ee439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7\fbidi \froman\fcharset238\fprq2 Times New Roman CE;}{\f338\fbidi \froman\fcharset204\fprq2 Times New Roman Cyr;}_x000d__x000a_{\f340\fbidi \froman\fcharset161\fprq2 Times New Roman Greek;}{\f341\fbidi \froman\fcharset162\fprq2 Times New Roman Tur;}{\f342\fbidi \froman\fcharset177\fprq2 Times New Roman (Hebrew);}{\f343\fbidi \froman\fcharset178\fprq2 Times New Roman (Arabic);}_x000d__x000a_{\f344\fbidi \froman\fcharset186\fprq2 Times New Roman Baltic;}{\f345\fbidi \froman\fcharset163\fprq2 Times New Roman (Vietnamese);}{\f347\fbidi \fswiss\fcharset238\fprq2 Arial CE;}{\f348\fbidi \fswiss\fcharset204\fprq2 Arial Cyr;}_x000d__x000a_{\f350\fbidi \fswiss\fcharset161\fprq2 Arial Greek;}{\f351\fbidi \fswiss\fcharset162\fprq2 Arial Tur;}{\f352\fbidi \fswiss\fcharset177\fprq2 Arial (Hebrew);}{\f353\fbidi \fswiss\fcharset178\fprq2 Arial (Arabic);}_x000d__x000a_{\f354\fbidi \fswiss\fcharset186\fprq2 Arial Baltic;}{\f355\fbidi \fswiss\fcharset163\fprq2 Arial (Vietnamese);}{\f677\fbidi \froman\fcharset238\fprq2 Cambria Math CE;}{\f678\fbidi \froman\fcharset204\fprq2 Cambria Math Cyr;}_x000d__x000a_{\f680\fbidi \froman\fcharset161\fprq2 Cambria Math Greek;}{\f681\fbidi \froman\fcharset162\fprq2 Cambria Math Tur;}{\f684\fbidi \froman\fcharset186\fprq2 Cambria Math Baltic;}{\f68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724606 HideTWBExt;}{_x000d__x000a_\s18\ql \li0\ri0\sa120\nowidctlpar\wrapdefault\aspalpha\aspnum\faauto\adjustright\rin0\lin0\itap0 \rtlch\fcs1 \af0\afs20\alang1025 \ltrch\fcs0 \fs24\lang2057\langfe2057\cgrid\langnp2057\langfenp2057 \sbasedon0 \snext18 \spriority0 \styrsid16724606 _x000d__x000a_Normal6a;}{\s19\ql \li0\ri0\nowidctlpar\wrapdefault\aspalpha\aspnum\faauto\adjustright\rin0\lin0\itap0 \rtlch\fcs1 \af0\afs20\alang1025 \ltrch\fcs0 \b\fs24\lang2057\langfe2057\cgrid\langnp2057\langfenp2057 \sbasedon0 \snext19 \spriority0 \styrsid16724606 _x000d__x000a_NormalBold;}{\s20\ql \li0\ri0\sa240\nowidctlpar\wrapdefault\aspalpha\aspnum\faauto\adjustright\rin0\lin0\itap0 \rtlch\fcs1 \af0\afs20\alang1025 \ltrch\fcs0 \i\fs24\lang2057\langfe2057\cgrid\langnp2057\langfenp2057 _x000d__x000a_\sbasedon0 \snext20 \spriority0 \styrsid16724606 AmJustText;}{\s21\qc \li0\ri0\sb240\sa240\nowidctlpar\wrapdefault\aspalpha\aspnum\faauto\adjustright\rin0\lin0\itap0 \rtlch\fcs1 \af0\afs20\alang1025 \ltrch\fcs0 _x000d__x000a_\i\fs24\lang2057\langfe2057\cgrid\langnp2057\langfenp2057 \sbasedon0 \snext21 \spriority0 \styrsid16724606 AmCrossRef;}{\s22\qc \li0\ri0\sb240\sa240\keepn\nowidctlpar\wrapdefault\aspalpha\aspnum\faauto\adjustright\rin0\lin0\itap0 \rtlch\fcs1 _x000d__x000a_\af0\afs20\alang1025 \ltrch\fcs0 \i\fs24\lang2057\langfe2057\cgrid\langnp2057\langfenp2057 \sbasedon0 \snext20 \spriority0 \styrsid16724606 AmJustTitle;}{\s23\qc \li0\ri0\sa240\nowidctlpar\wrapdefault\aspalpha\aspnum\faauto\adjustright\rin0\lin0\itap0 _x000d__x000a_\rtlch\fcs1 \af0\afs20\alang1025 \ltrch\fcs0 \i\fs24\lang2057\langfe2057\cgrid\langnp2057\langfenp2057 \sbasedon0 \snext23 \spriority0 \styrsid1672460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6724606 AmNumberTabs;}{\s25\ql \li0\ri0\sb240\nowidctlpar\wrapdefault\aspalpha\aspnum\faauto\adjustright\rin0\lin0\itap0 \rtlch\fcs1 _x000d__x000a_\af0\afs20\alang1025 \ltrch\fcs0 \b\fs24\lang2057\langfe2057\cgrid\langnp2057\langfenp2057 \sbasedon0 \snext25 \spriority0 \styrsid16724606 NormalBold12b;}}{\*\rsidtbl \rsid24658\rsid223860\rsid735077\rsid1718133\rsid2892074\rsid3565327\rsid4666813_x000d__x000a_\rsid6641733\rsid7823322\rsid9636012\rsid10377208\rsid11215221\rsid11549030\rsid12154954\rsid13650955\rsid14382809\rsid14424199\rsid15204470\rsid15285974\rsid15950462\rsid16324206\rsid16662270\rsid16724606}{\mmathPr\mmathFont34\mbrkBin0\mbrkBinSub0_x000d__x000a_\msmallFrac0\mdispDef1\mlMargin0\mrMargin0\mdefJc1\mwrapIndent1440\mintLim0\mnaryLim1}{\info{\author DESCHAMPS Nathalie}{\operator DESCHAMPS Nathalie}{\creatim\yr2025\mo3\dy12\hr12\min43}{\revtim\yr2025\mo3\dy12\hr12\min43}{\version1}{\edmins0}_x000d__x000a_{\nofpages1}{\nofwords55}{\nofchars317}{\nofcharsws37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724606\newtblstyruls\nogrowautofit\usenormstyforlist\noindnmbrts\felnbrelev\nocxsptable\indrlsweleven\noafcnsttbl\afelev\utinl\hwelev\spltpgpar\notcvasp\notbrkcnstfrctbl\notvatxbx\krnprsnet\cachedcolbal _x000d__x000a_\nouicompat \fet0{\*\wgrffmtfilter 013f}\nofeaturethrottle1\ilfomacatclnup0{\*\template C:\\Users\\NADESC~1\\AppData\\Local\\Temp\\Blank1.dotx}{\*\ftnsep \ltrpar \pard\plain \ltrpar_x000d__x000a_\ql \li0\ri0\widctlpar\wrapdefault\aspalpha\aspnum\faauto\adjustright\rin0\lin0\itap0 \rtlch\fcs1 \af0\afs20\alang1025 \ltrch\fcs0 \fs24\lang2057\langfe2057\cgrid\langnp2057\langfenp2057 {\rtlch\fcs1 \af0 \ltrch\fcs0 \insrsid13650955 \chftnsep _x000d__x000a_\par }}{\*\ftnsepc \ltrpar \pard\plain \ltrpar\ql \li0\ri0\widctlpar\wrapdefault\aspalpha\aspnum\faauto\adjustright\rin0\lin0\itap0 \rtlch\fcs1 \af0\afs20\alang1025 \ltrch\fcs0 \fs24\lang2057\langfe2057\cgrid\langnp2057\langfenp2057 {\rtlch\fcs1 \af0 _x000d__x000a_\ltrch\fcs0 \insrsid13650955 \chftnsepc _x000d__x000a_\par }}{\*\aftnsep \ltrpar \pard\plain \ltrpar\ql \li0\ri0\widctlpar\wrapdefault\aspalpha\aspnum\faauto\adjustright\rin0\lin0\itap0 \rtlch\fcs1 \af0\afs20\alang1025 \ltrch\fcs0 \fs24\lang2057\langfe2057\cgrid\langnp2057\langfenp2057 {\rtlch\fcs1 \af0 _x000d__x000a_\ltrch\fcs0 \insrsid13650955 \chftnsep _x000d__x000a_\par }}{\*\aftnsepc \ltrpar \pard\plain \ltrpar\ql \li0\ri0\widctlpar\wrapdefault\aspalpha\aspnum\faauto\adjustright\rin0\lin0\itap0 \rtlch\fcs1 \af0\afs20\alang1025 \ltrch\fcs0 \fs24\lang2057\langfe2057\cgrid\langnp2057\langfenp2057 {\rtlch\fcs1 \af0 _x000d__x000a_\ltrch\fcs0 \insrsid136509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6724606 \rtlch\fcs1 _x000d__x000a_\af0\afs20\alang1025 \ltrch\fcs0 \b\fs24\lang2057\langfe2057\cgrid\langnp2057\langfenp2057 {\rtlch\fcs1 \af0 \ltrch\fcs0 \cs17\b0\v\fs20\cf9\lang1024\langfe1024\loch\af1\hich\af1\dbch\af31501\noproof\insrsid16724606\charrsid15879488 {\*\bkmkstart restartB_x000d__x000a_}\hich\af1\dbch\af31501\loch\f1 &lt;AmendB&gt;}{\rtlch\fcs1 \af0 \ltrch\fcs0 \insrsid16724606\charrsid15879488 [ZAMENDMENT]\tab \tab }{\rtlch\fcs1 \af0 \ltrch\fcs0 _x000d__x000a_\cs17\b0\v\fs20\cf9\lang1024\langfe1024\loch\af1\hich\af1\dbch\af31501\noproof\insrsid16724606\charrsid15879488 \hich\af1\dbch\af31501\loch\f1 &lt;NumAmB&gt;}{\rtlch\fcs1 \af0 \ltrch\fcs0 \insrsid16724606\charrsid15879488 [ZNRAM]}{\rtlch\fcs1 \af0 \ltrch\fcs0 _x000d__x000a_\cs17\b0\v\fs20\cf9\lang1024\langfe1024\loch\af1\hich\af1\dbch\af31501\noproof\insrsid16724606\charrsid15879488 \hich\af1\dbch\af31501\loch\f1 &lt;/NumAmB&gt;}{\rtlch\fcs1 \af0 \ltrch\fcs0 \insrsid16724606\charrsid15879488 _x000d__x000a_\par }\pard\plain \ltrpar\s25\ql \li0\ri0\sb240\keepn\nowidctlpar\wrapdefault\aspalpha\aspnum\faauto\adjustright\rin0\lin0\itap0\pararsid16724606 \rtlch\fcs1 \af0\afs20\alang1025 \ltrch\fcs0 \b\fs24\lang2057\langfe2057\cgrid\langnp2057\langfenp2057 {_x000d__x000a_\rtlch\fcs1 \af0 \ltrch\fcs0 \cs17\b0\v\fs20\cf9\lang1024\langfe1024\loch\af1\hich\af1\dbch\af31501\noproof\insrsid16724606\charrsid15879488 \hich\af1\dbch\af31501\loch\f1 &lt;DocAmend&gt;}{\rtlch\fcs1 \af0 \ltrch\fcs0 \insrsid16724606\charrsid15879488 _x000d__x000a_[ZPROPOSAL][ZAMACT]}{\rtlch\fcs1 \af0 \ltrch\fcs0 \cs17\b0\v\fs20\cf9\lang1024\langfe1024\loch\af1\hich\af1\dbch\af31501\noproof\insrsid16724606\charrsid15879488 \hich\af1\dbch\af31501\loch\f1 &lt;/DocAmend&gt;}{\rtlch\fcs1 \af0 \ltrch\fcs0 _x000d__x000a_\insrsid16724606\charrsid15879488 _x000d__x000a_\par }\pard\plain \ltrpar\s19\ql \li0\ri0\keepn\nowidctlpar\wrapdefault\aspalpha\aspnum\faauto\adjustright\rin0\lin0\itap0\pararsid16724606 \rtlch\fcs1 \af0\afs20\alang1025 \ltrch\fcs0 \b\fs24\lang2057\langfe2057\cgrid\langnp2057\langfenp2057 {\rtlch\fcs1 _x000d__x000a_\af0 \ltrch\fcs0 \cs17\b0\v\fs20\cf9\lang1024\langfe1024\loch\af1\hich\af1\dbch\af31501\noproof\insrsid16724606\charrsid15879488 \hich\af1\dbch\af31501\loch\f1 &lt;Article&gt;}{\rtlch\fcs1 \af0 \ltrch\fcs0 \insrsid16724606\charrsid15879488 [ZAMPART]}{_x000d__x000a_\rtlch\fcs1 \af0 \ltrch\fcs0 \cs17\b0\v\fs20\cf9\lang1024\langfe1024\loch\af1\hich\af1\dbch\af31501\noproof\insrsid16724606\charrsid15879488 \hich\af1\dbch\af31501\loch\f1 &lt;/Article&gt;}{\rtlch\fcs1 \af0 \ltrch\fcs0 \insrsid16724606\charrsid15879488 _x000d__x000a_\par }\pard\plain \ltrpar\ql \li0\ri0\keepn\widctlpar\wrapdefault\aspalpha\aspnum\faauto\adjustright\rin0\lin0\itap0\pararsid16724606 \rtlch\fcs1 \af0\afs20\alang1025 \ltrch\fcs0 \fs24\lang2057\langfe2057\cgrid\langnp2057\langfenp2057 {\rtlch\fcs1 \af0 _x000d__x000a_\ltrch\fcs0 \cs17\v\fs20\cf9\lang1024\langfe1024\loch\af1\hich\af1\dbch\af31501\noproof\insrsid16724606\charrsid15879488 \hich\af1\dbch\af31501\loch\f1 &lt;DocAmend2&gt;&lt;OptDel&gt;}{\rtlch\fcs1 \af0 \ltrch\fcs0 \insrsid16724606\charrsid15879488 [ZNRACT]}{_x000d__x000a_\rtlch\fcs1 \af0 \ltrch\fcs0 \cs17\v\fs20\cf9\lang1024\langfe1024\loch\af1\hich\af1\dbch\af31501\noproof\insrsid16724606\charrsid15879488 \hich\af1\dbch\af31501\loch\f1 &lt;/OptDel&gt;&lt;/DocAmend2&gt;}{\rtlch\fcs1 \af0 \ltrch\fcs0 \insrsid16724606\charrsid15879488 _x000d__x000a__x000d__x000a_\par }\pard \ltrpar\ql \li0\ri0\widctlpar\wrapdefault\aspalpha\aspnum\faauto\adjustright\rin0\lin0\itap0\pararsid16724606 {\rtlch\fcs1 \af0 \ltrch\fcs0 _x000d__x000a_\cs17\v\fs20\cf9\lang1024\langfe1024\loch\af1\hich\af1\dbch\af31501\noproof\langnp1036\insrsid16724606\charrsid11356624 \hich\af1\dbch\af31501\loch\f1 &lt;Article2&gt;&lt;OptDel&gt;}{\rtlch\fcs1 \af0 \ltrch\fcs0 _x000d__x000a_\lang1036\langfe2057\langnp1036\insrsid16724606\charrsid11356624 [ZACTPART]}{\rtlch\fcs1 \af0 \ltrch\fcs0 \cs17\v\fs20\cf9\lang1024\langfe1024\loch\af1\hich\af1\dbch\af31501\noproof\langnp1036\insrsid16724606\charrsid11356624 _x000d__x000a_\hich\af1\dbch\af31501\loch\f1 &lt;/OptDel&gt;&lt;/Article2&gt;}{\rtlch\fcs1 \af0 \ltrch\fcs0 \lang1036\langfe2057\langnp1036\insrsid1672460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6724606\charrsid11356624 \cell }\pard \ltrpar\ql \li0\ri0\widctlpar\intbl\wrapdefault\aspalpha\aspnum\faauto\adjustright\rin0\lin0 {\rtlch\fcs1 \af0 \ltrch\fcs0 \insrsid1672460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6724606\charrsid15879488 [ZLEFTB]\cell [ZRIGHT]\cell }\pard\plain \ltrpar\ql \li0\ri0\widctlpar\intbl\wrapdefault\aspalpha\aspnum\faauto\adjustright\rin0\lin0 \rtlch\fcs1 \af0\afs20\alang1025 \ltrch\fcs0 _x000d__x000a_\fs24\lang2057\langfe2057\cgrid\langnp2057\langfenp2057 {\rtlch\fcs1 \af0 \ltrch\fcs0 \insrsid1672460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6724606\charrsid15879488 [ZTEXTL]\cell [ZTEXTR]}{\rtlch\fcs1 \af0\afs24 \ltrch\fcs0 \insrsid16724606\charrsid15879488 \cell }\pard\plain \ltrpar\ql \li0\ri0\widctlpar\intbl\wrapdefault\aspalpha\aspnum\faauto\adjustright\rin0\lin0 \rtlch\fcs1 _x000d__x000a_\af0\afs20\alang1025 \ltrch\fcs0 \fs24\lang2057\langfe2057\cgrid\langnp2057\langfenp2057 {\rtlch\fcs1 \af0 \ltrch\fcs0 \insrsid1672460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6724606 \rtlch\fcs1 \af0\afs20\alang1025 \ltrch\fcs0 \i\fs24\lang2057\langfe2057\cgrid\langnp2057\langfenp2057 {\rtlch\fcs1 \af0 \ltrch\fcs0 _x000d__x000a_\cs17\i0\v\fs20\cf9\lang1024\langfe1024\loch\af1\hich\af1\dbch\af31501\noproof\insrsid16724606\charrsid15879488 \hich\af1\dbch\af31501\loch\f1 &lt;OptDel&gt;}{\rtlch\fcs1 \af0 \ltrch\fcs0 \insrsid16724606\charrsid15879488 [ZCROSSREF]}{\rtlch\fcs1 \af0 _x000d__x000a_\ltrch\fcs0 \cs17\i0\v\fs20\cf9\lang1024\langfe1024\loch\af1\hich\af1\dbch\af31501\noproof\insrsid16724606\charrsid15879488 \hich\af1\dbch\af31501\loch\f1 &lt;/OptDel&gt;}{\rtlch\fcs1 \af0 \ltrch\fcs0 \insrsid16724606\charrsid15879488 _x000d__x000a_\par }\pard\plain \ltrpar\s22\qc \li0\ri0\sb240\sa240\keepn\nowidctlpar\wrapdefault\aspalpha\aspnum\faauto\adjustright\rin0\lin0\itap0\pararsid16724606 \rtlch\fcs1 \af0\afs20\alang1025 \ltrch\fcs0 \i\fs24\lang2057\langfe2057\cgrid\langnp2057\langfenp2057 {_x000d__x000a_\rtlch\fcs1 \af0 \ltrch\fcs0 \cs17\i0\v\fs20\cf9\lang1024\langfe1024\loch\af1\hich\af1\dbch\af31501\noproof\insrsid16724606\charrsid15879488 \hich\af1\dbch\af31501\loch\f1 &lt;TitreJust&gt;}{\rtlch\fcs1 \af0 \ltrch\fcs0 \insrsid16724606\charrsid15879488 _x000d__x000a_[ZJUSTIFICATION]}{\rtlch\fcs1 \af0 \ltrch\fcs0 \cs17\i0\v\fs20\cf9\lang1024\langfe1024\loch\af1\hich\af1\dbch\af31501\noproof\insrsid16724606\charrsid15879488 \hich\af1\dbch\af31501\loch\f1 &lt;/TitreJust&gt;}{\rtlch\fcs1 \af0 \ltrch\fcs0 _x000d__x000a_\insrsid16724606\charrsid15879488 _x000d__x000a_\par }\pard\plain \ltrpar\s20\ql \li0\ri0\sa240\nowidctlpar\wrapdefault\aspalpha\aspnum\faauto\adjustright\rin0\lin0\itap0\pararsid16724606 \rtlch\fcs1 \af0\afs20\alang1025 \ltrch\fcs0 \i\fs24\lang2057\langfe2057\cgrid\langnp2057\langfenp2057 {\rtlch\fcs1 _x000d__x000a_\af0 \ltrch\fcs0 \cs17\i0\v\fs20\cf9\lang1024\langfe1024\loch\af1\hich\af1\dbch\af31501\noproof\insrsid16724606\charrsid15879488 \hich\af1\dbch\af31501\loch\f1 &lt;OptDelPrev&gt;}{\rtlch\fcs1 \af0 \ltrch\fcs0 \insrsid16724606\charrsid15879488 [ZTEXTJUST]}{_x000d__x000a_\rtlch\fcs1 \af0 \ltrch\fcs0 \cs17\i0\v\fs20\cf9\lang1024\langfe1024\loch\af1\hich\af1\dbch\af31501\noproof\insrsid16724606\charrsid15879488 \hich\af1\dbch\af31501\loch\f1 &lt;/OptDelPrev&gt;}{\rtlch\fcs1 \af0 \ltrch\fcs0 \insrsid16724606\charrsid15879488 _x000d__x000a__x000d__x000a_\par }\pard\plain \ltrpar\ql \li0\ri0\widctlpar\wrapdefault\aspalpha\aspnum\faauto\adjustright\rin0\lin0\itap0\pararsid16724606 \rtlch\fcs1 \af0\afs20\alang1025 \ltrch\fcs0 \fs24\lang2057\langfe2057\cgrid\langnp2057\langfenp2057 {\rtlch\fcs1 \af0 \ltrch\fcs0 _x000d__x000a_\cs17\v\fs20\cf9\lang1024\langfe1024\loch\af1\hich\af1\dbch\af31501\noproof\insrsid16724606\charrsid15879488 \hich\af1\dbch\af31501\loch\f1 &lt;/AmendB&gt;}{\rtlch\fcs1 \af0 \ltrch\fcs0 \insrsid1672460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c9_x000d__x000a_0ff0439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33\deflangfe1033\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7\fbidi \froman\fcharset238\fprq2 Times New Roman CE;}{\f338\fbidi \froman\fcharset204\fprq2 Times New Roman Cyr;}_x000d__x000a_{\f340\fbidi \froman\fcharset161\fprq2 Times New Roman Greek;}{\f341\fbidi \froman\fcharset162\fprq2 Times New Roman Tur;}{\f342\fbidi \froman\fcharset177\fprq2 Times New Roman (Hebrew);}{\f343\fbidi \froman\fcharset178\fprq2 Times New Roman (Arabic);}_x000d__x000a_{\f344\fbidi \froman\fcharset186\fprq2 Times New Roman Baltic;}{\f345\fbidi \froman\fcharset163\fprq2 Times New Roman (Vietnamese);}{\f347\fbidi \fswiss\fcharset238\fprq2 Arial CE;}{\f348\fbidi \fswiss\fcharset204\fprq2 Arial Cyr;}_x000d__x000a_{\f350\fbidi \fswiss\fcharset161\fprq2 Arial Greek;}{\f351\fbidi \fswiss\fcharset162\fprq2 Arial Tur;}{\f352\fbidi \fswiss\fcharset177\fprq2 Arial (Hebrew);}{\f353\fbidi \fswiss\fcharset178\fprq2 Arial (Arabic);}_x000d__x000a_{\f354\fbidi \fswiss\fcharset186\fprq2 Arial Baltic;}{\f355\fbidi \fswiss\fcharset163\fprq2 Arial (Vietnamese);}{\f677\fbidi \froman\fcharset238\fprq2 Cambria Math CE;}{\f678\fbidi \froman\fcharset204\fprq2 Cambria Math Cyr;}_x000d__x000a_{\f680\fbidi \froman\fcharset161\fprq2 Cambria Math Greek;}{\f681\fbidi \froman\fcharset162\fprq2 Cambria Math Tur;}{\f684\fbidi \froman\fcharset186\fprq2 Cambria Math Baltic;}{\f685\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231658 HideTWBExt;}{_x000d__x000a_\s18\ql \li0\ri0\sa120\nowidctlpar\wrapdefault\aspalpha\aspnum\faauto\adjustright\rin0\lin0\itap0 \rtlch\fcs1 \af0\afs20\alang1025 \ltrch\fcs0 \fs24\lang2057\langfe2057\cgrid\langnp2057\langfenp2057 \sbasedon0 \snext18 \spriority0 \styrsid14231658 _x000d__x000a_Normal6a;}{\s19\ql \li0\ri0\nowidctlpar\wrapdefault\aspalpha\aspnum\faauto\adjustright\rin0\lin0\itap0 \rtlch\fcs1 \af0\afs20\alang1025 \ltrch\fcs0 \b\fs24\lang2057\langfe2057\cgrid\langnp2057\langfenp2057 \sbasedon0 \snext19 \spriority0 \styrsid14231658 _x000d__x000a_NormalBold;}{\s20\ql \li0\ri0\sa240\nowidctlpar\wrapdefault\aspalpha\aspnum\faauto\adjustright\rin0\lin0\itap0 \rtlch\fcs1 \af0\afs20\alang1025 \ltrch\fcs0 \i\fs24\lang2057\langfe2057\cgrid\langnp2057\langfenp2057 _x000d__x000a_\sbasedon0 \snext20 \spriority0 \styrsid14231658 AmJustText;}{\s21\qc \li0\ri0\sb240\sa240\nowidctlpar\wrapdefault\aspalpha\aspnum\faauto\adjustright\rin0\lin0\itap0 \rtlch\fcs1 \af0\afs20\alang1025 \ltrch\fcs0 _x000d__x000a_\i\fs24\lang2057\langfe2057\cgrid\langnp2057\langfenp2057 \sbasedon0 \snext21 \spriority0 \styrsid14231658 AmCrossRef;}{\s22\qc \li0\ri0\sb240\sa240\keepn\nowidctlpar\wrapdefault\aspalpha\aspnum\faauto\adjustright\rin0\lin0\itap0 \rtlch\fcs1 _x000d__x000a_\af0\afs20\alang1025 \ltrch\fcs0 \i\fs24\lang2057\langfe2057\cgrid\langnp2057\langfenp2057 \sbasedon0 \snext20 \spriority0 \styrsid14231658 AmJustTitle;}{\s23\qc \li0\ri0\sa240\nowidctlpar\wrapdefault\aspalpha\aspnum\faauto\adjustright\rin0\lin0\itap0 _x000d__x000a_\rtlch\fcs1 \af0\afs20\alang1025 \ltrch\fcs0 \i\fs24\lang2057\langfe2057\cgrid\langnp2057\langfenp2057 \sbasedon0 \snext23 \spriority0 \styrsid14231658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4231658 AmNumberTabs;}{\s25\ql \li0\ri0\sb240\nowidctlpar\wrapdefault\aspalpha\aspnum\faauto\adjustright\rin0\lin0\itap0 \rtlch\fcs1 _x000d__x000a_\af0\afs20\alang1025 \ltrch\fcs0 \b\fs24\lang2057\langfe2057\cgrid\langnp2057\langfenp2057 \sbasedon0 \snext25 \spriority0 \styrsid14231658 NormalBold12b;}}{\*\rsidtbl \rsid24658\rsid223860\rsid735077\rsid1718133\rsid2892074\rsid3565327\rsid4666813_x000d__x000a_\rsid6641733\rsid7823322\rsid9636012\rsid10377208\rsid11215221\rsid11549030\rsid12154954\rsid14231658\rsid14382809\rsid14424199\rsid15204470\rsid15285974\rsid15598308\rsid15950462\rsid16324206\rsid16662270}{\mmathPr\mmathFont34\mbrkBin0\mbrkBinSub0_x000d__x000a_\msmallFrac0\mdispDef1\mlMargin0\mrMargin0\mdefJc1\mwrapIndent1440\mintLim0\mnaryLim1}{\info{\author DESCHAMPS Nathalie}{\operator DESCHAMPS Nathalie}{\creatim\yr2025\mo3\dy12\hr12\min43}{\revtim\yr2025\mo3\dy12\hr12\min43}{\version1}{\edmins0}_x000d__x000a_{\nofpages1}{\nofwords55}{\nofchars317}{\nofcharsws37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231658\newtblstyruls\nogrowautofit\usenormstyforlist\noindnmbrts\felnbrelev\nocxsptable\indrlsweleven\noafcnsttbl\afelev\utinl\hwelev\spltpgpar\notcvasp\notbrkcnstfrctbl\notvatxbx\krnprsnet\cachedcolbal _x000d__x000a_\nouicompat \fet0{\*\wgrffmtfilter 013f}\nofeaturethrottle1\ilfomacatclnup0{\*\template C:\\Users\\NADESC~1\\AppData\\Local\\Temp\\Blank1.dotx}{\*\ftnsep \ltrpar \pard\plain \ltrpar_x000d__x000a_\ql \li0\ri0\widctlpar\wrapdefault\aspalpha\aspnum\faauto\adjustright\rin0\lin0\itap0 \rtlch\fcs1 \af0\afs20\alang1025 \ltrch\fcs0 \fs24\lang2057\langfe2057\cgrid\langnp2057\langfenp2057 {\rtlch\fcs1 \af0 \ltrch\fcs0 \insrsid15598308 \chftnsep _x000d__x000a_\par }}{\*\ftnsepc \ltrpar \pard\plain \ltrpar\ql \li0\ri0\widctlpar\wrapdefault\aspalpha\aspnum\faauto\adjustright\rin0\lin0\itap0 \rtlch\fcs1 \af0\afs20\alang1025 \ltrch\fcs0 \fs24\lang2057\langfe2057\cgrid\langnp2057\langfenp2057 {\rtlch\fcs1 \af0 _x000d__x000a_\ltrch\fcs0 \insrsid15598308 \chftnsepc _x000d__x000a_\par }}{\*\aftnsep \ltrpar \pard\plain \ltrpar\ql \li0\ri0\widctlpar\wrapdefault\aspalpha\aspnum\faauto\adjustright\rin0\lin0\itap0 \rtlch\fcs1 \af0\afs20\alang1025 \ltrch\fcs0 \fs24\lang2057\langfe2057\cgrid\langnp2057\langfenp2057 {\rtlch\fcs1 \af0 _x000d__x000a_\ltrch\fcs0 \insrsid15598308 \chftnsep _x000d__x000a_\par }}{\*\aftnsepc \ltrpar \pard\plain \ltrpar\ql \li0\ri0\widctlpar\wrapdefault\aspalpha\aspnum\faauto\adjustright\rin0\lin0\itap0 \rtlch\fcs1 \af0\afs20\alang1025 \ltrch\fcs0 \fs24\lang2057\langfe2057\cgrid\langnp2057\langfenp2057 {\rtlch\fcs1 \af0 _x000d__x000a_\ltrch\fcs0 \insrsid1559830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4231658 \rtlch\fcs1 _x000d__x000a_\af0\afs20\alang1025 \ltrch\fcs0 \b\fs24\lang2057\langfe2057\cgrid\langnp2057\langfenp2057 {\rtlch\fcs1 \af0 \ltrch\fcs0 \cs17\b0\v\fs20\cf9\lang1024\langfe1024\loch\af1\hich\af1\dbch\af31501\noproof\insrsid14231658\charrsid15879488 {\*\bkmkstart restartB_x000d__x000a_}\hich\af1\dbch\af31501\loch\f1 &lt;AmendB&gt;}{\rtlch\fcs1 \af0 \ltrch\fcs0 \insrsid14231658\charrsid15879488 [ZAMENDMENT]\tab \tab }{\rtlch\fcs1 \af0 \ltrch\fcs0 _x000d__x000a_\cs17\b0\v\fs20\cf9\lang1024\langfe1024\loch\af1\hich\af1\dbch\af31501\noproof\insrsid14231658\charrsid15879488 \hich\af1\dbch\af31501\loch\f1 &lt;NumAmB&gt;}{\rtlch\fcs1 \af0 \ltrch\fcs0 \insrsid14231658\charrsid15879488 [ZNRAM]}{\rtlch\fcs1 \af0 \ltrch\fcs0 _x000d__x000a_\cs17\b0\v\fs20\cf9\lang1024\langfe1024\loch\af1\hich\af1\dbch\af31501\noproof\insrsid14231658\charrsid15879488 \hich\af1\dbch\af31501\loch\f1 &lt;/NumAmB&gt;}{\rtlch\fcs1 \af0 \ltrch\fcs0 \insrsid14231658\charrsid15879488 _x000d__x000a_\par }\pard\plain \ltrpar\s25\ql \li0\ri0\sb240\keepn\nowidctlpar\wrapdefault\aspalpha\aspnum\faauto\adjustright\rin0\lin0\itap0\pararsid14231658 \rtlch\fcs1 \af0\afs20\alang1025 \ltrch\fcs0 \b\fs24\lang2057\langfe2057\cgrid\langnp2057\langfenp2057 {_x000d__x000a_\rtlch\fcs1 \af0 \ltrch\fcs0 \cs17\b0\v\fs20\cf9\lang1024\langfe1024\loch\af1\hich\af1\dbch\af31501\noproof\insrsid14231658\charrsid15879488 \hich\af1\dbch\af31501\loch\f1 &lt;DocAmend&gt;}{\rtlch\fcs1 \af0 \ltrch\fcs0 \insrsid14231658\charrsid15879488 _x000d__x000a_[ZPROPOSAL][ZAMACT]}{\rtlch\fcs1 \af0 \ltrch\fcs0 \cs17\b0\v\fs20\cf9\lang1024\langfe1024\loch\af1\hich\af1\dbch\af31501\noproof\insrsid14231658\charrsid15879488 \hich\af1\dbch\af31501\loch\f1 &lt;/DocAmend&gt;}{\rtlch\fcs1 \af0 \ltrch\fcs0 _x000d__x000a_\insrsid14231658\charrsid15879488 _x000d__x000a_\par }\pard\plain \ltrpar\s19\ql \li0\ri0\keepn\nowidctlpar\wrapdefault\aspalpha\aspnum\faauto\adjustright\rin0\lin0\itap0\pararsid14231658 \rtlch\fcs1 \af0\afs20\alang1025 \ltrch\fcs0 \b\fs24\lang2057\langfe2057\cgrid\langnp2057\langfenp2057 {\rtlch\fcs1 _x000d__x000a_\af0 \ltrch\fcs0 \cs17\b0\v\fs20\cf9\lang1024\langfe1024\loch\af1\hich\af1\dbch\af31501\noproof\insrsid14231658\charrsid15879488 \hich\af1\dbch\af31501\loch\f1 &lt;Article&gt;}{\rtlch\fcs1 \af0 \ltrch\fcs0 \insrsid14231658\charrsid15879488 [ZAMPART]}{_x000d__x000a_\rtlch\fcs1 \af0 \ltrch\fcs0 \cs17\b0\v\fs20\cf9\lang1024\langfe1024\loch\af1\hich\af1\dbch\af31501\noproof\insrsid14231658\charrsid15879488 \hich\af1\dbch\af31501\loch\f1 &lt;/Article&gt;}{\rtlch\fcs1 \af0 \ltrch\fcs0 \insrsid14231658\charrsid15879488 _x000d__x000a_\par }\pard\plain \ltrpar\ql \li0\ri0\keepn\widctlpar\wrapdefault\aspalpha\aspnum\faauto\adjustright\rin0\lin0\itap0\pararsid14231658 \rtlch\fcs1 \af0\afs20\alang1025 \ltrch\fcs0 \fs24\lang2057\langfe2057\cgrid\langnp2057\langfenp2057 {\rtlch\fcs1 \af0 _x000d__x000a_\ltrch\fcs0 \cs17\v\fs20\cf9\lang1024\langfe1024\loch\af1\hich\af1\dbch\af31501\noproof\insrsid14231658\charrsid15879488 \hich\af1\dbch\af31501\loch\f1 &lt;DocAmend2&gt;&lt;OptDel&gt;}{\rtlch\fcs1 \af0 \ltrch\fcs0 \insrsid14231658\charrsid15879488 [ZNRACT]}{_x000d__x000a_\rtlch\fcs1 \af0 \ltrch\fcs0 \cs17\v\fs20\cf9\lang1024\langfe1024\loch\af1\hich\af1\dbch\af31501\noproof\insrsid14231658\charrsid15879488 \hich\af1\dbch\af31501\loch\f1 &lt;/OptDel&gt;&lt;/DocAmend2&gt;}{\rtlch\fcs1 \af0 \ltrch\fcs0 \insrsid14231658\charrsid15879488 _x000d__x000a__x000d__x000a_\par }\pard \ltrpar\ql \li0\ri0\widctlpar\wrapdefault\aspalpha\aspnum\faauto\adjustright\rin0\lin0\itap0\pararsid14231658 {\rtlch\fcs1 \af0 \ltrch\fcs0 _x000d__x000a_\cs17\v\fs20\cf9\lang1024\langfe1024\loch\af1\hich\af1\dbch\af31501\noproof\langnp1036\insrsid14231658\charrsid11356624 \hich\af1\dbch\af31501\loch\f1 &lt;Article2&gt;&lt;OptDel&gt;}{\rtlch\fcs1 \af0 \ltrch\fcs0 _x000d__x000a_\lang1036\langfe2057\langnp1036\insrsid14231658\charrsid11356624 [ZACTPART]}{\rtlch\fcs1 \af0 \ltrch\fcs0 \cs17\v\fs20\cf9\lang1024\langfe1024\loch\af1\hich\af1\dbch\af31501\noproof\langnp1036\insrsid14231658\charrsid11356624 _x000d__x000a_\hich\af1\dbch\af31501\loch\f1 &lt;/OptDel&gt;&lt;/Article2&gt;}{\rtlch\fcs1 \af0 \ltrch\fcs0 \lang1036\langfe2057\langnp1036\insrsid14231658\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4231658\charrsid11356624 \cell }\pard \ltrpar\ql \li0\ri0\widctlpar\intbl\wrapdefault\aspalpha\aspnum\faauto\adjustright\rin0\lin0 {\rtlch\fcs1 \af0 \ltrch\fcs0 \insrsid14231658\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4231658\charrsid15879488 [ZLEFTB]\cell [ZRIGHT]\cell }\pard\plain \ltrpar\ql \li0\ri0\widctlpar\intbl\wrapdefault\aspalpha\aspnum\faauto\adjustright\rin0\lin0 \rtlch\fcs1 \af0\afs20\alang1025 \ltrch\fcs0 _x000d__x000a_\fs24\lang2057\langfe2057\cgrid\langnp2057\langfenp2057 {\rtlch\fcs1 \af0 \ltrch\fcs0 \insrsid14231658\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4231658\charrsid15879488 [ZTEXTL]\cell [ZTEXTR]}{\rtlch\fcs1 \af0\afs24 \ltrch\fcs0 \insrsid14231658\charrsid15879488 \cell }\pard\plain \ltrpar\ql \li0\ri0\widctlpar\intbl\wrapdefault\aspalpha\aspnum\faauto\adjustright\rin0\lin0 \rtlch\fcs1 _x000d__x000a_\af0\afs20\alang1025 \ltrch\fcs0 \fs24\lang2057\langfe2057\cgrid\langnp2057\langfenp2057 {\rtlch\fcs1 \af0 \ltrch\fcs0 \insrsid14231658\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4231658 \rtlch\fcs1 \af0\afs20\alang1025 \ltrch\fcs0 \i\fs24\lang2057\langfe2057\cgrid\langnp2057\langfenp2057 {\rtlch\fcs1 \af0 \ltrch\fcs0 _x000d__x000a_\cs17\i0\v\fs20\cf9\lang1024\langfe1024\loch\af1\hich\af1\dbch\af31501\noproof\insrsid14231658\charrsid15879488 \hich\af1\dbch\af31501\loch\f1 &lt;OptDel&gt;}{\rtlch\fcs1 \af0 \ltrch\fcs0 \insrsid14231658\charrsid15879488 [ZCROSSREF]}{\rtlch\fcs1 \af0 _x000d__x000a_\ltrch\fcs0 \cs17\i0\v\fs20\cf9\lang1024\langfe1024\loch\af1\hich\af1\dbch\af31501\noproof\insrsid14231658\charrsid15879488 \hich\af1\dbch\af31501\loch\f1 &lt;/OptDel&gt;}{\rtlch\fcs1 \af0 \ltrch\fcs0 \insrsid14231658\charrsid15879488 _x000d__x000a_\par }\pard\plain \ltrpar\s22\qc \li0\ri0\sb240\sa240\keepn\nowidctlpar\wrapdefault\aspalpha\aspnum\faauto\adjustright\rin0\lin0\itap0\pararsid14231658 \rtlch\fcs1 \af0\afs20\alang1025 \ltrch\fcs0 \i\fs24\lang2057\langfe2057\cgrid\langnp2057\langfenp2057 {_x000d__x000a_\rtlch\fcs1 \af0 \ltrch\fcs0 \cs17\i0\v\fs20\cf9\lang1024\langfe1024\loch\af1\hich\af1\dbch\af31501\noproof\insrsid14231658\charrsid15879488 \hich\af1\dbch\af31501\loch\f1 &lt;TitreJust&gt;}{\rtlch\fcs1 \af0 \ltrch\fcs0 \insrsid14231658\charrsid15879488 _x000d__x000a_[ZJUSTIFICATION]}{\rtlch\fcs1 \af0 \ltrch\fcs0 \cs17\i0\v\fs20\cf9\lang1024\langfe1024\loch\af1\hich\af1\dbch\af31501\noproof\insrsid14231658\charrsid15879488 \hich\af1\dbch\af31501\loch\f1 &lt;/TitreJust&gt;}{\rtlch\fcs1 \af0 \ltrch\fcs0 _x000d__x000a_\insrsid14231658\charrsid15879488 _x000d__x000a_\par }\pard\plain \ltrpar\s20\ql \li0\ri0\sa240\nowidctlpar\wrapdefault\aspalpha\aspnum\faauto\adjustright\rin0\lin0\itap0\pararsid14231658 \rtlch\fcs1 \af0\afs20\alang1025 \ltrch\fcs0 \i\fs24\lang2057\langfe2057\cgrid\langnp2057\langfenp2057 {\rtlch\fcs1 _x000d__x000a_\af0 \ltrch\fcs0 \cs17\i0\v\fs20\cf9\lang1024\langfe1024\loch\af1\hich\af1\dbch\af31501\noproof\insrsid14231658\charrsid15879488 \hich\af1\dbch\af31501\loch\f1 &lt;OptDelPrev&gt;}{\rtlch\fcs1 \af0 \ltrch\fcs0 \insrsid14231658\charrsid15879488 [ZTEXTJUST]}{_x000d__x000a_\rtlch\fcs1 \af0 \ltrch\fcs0 \cs17\i0\v\fs20\cf9\lang1024\langfe1024\loch\af1\hich\af1\dbch\af31501\noproof\insrsid14231658\charrsid15879488 \hich\af1\dbch\af31501\loch\f1 &lt;/OptDelPrev&gt;}{\rtlch\fcs1 \af0 \ltrch\fcs0 \insrsid14231658\charrsid15879488 _x000d__x000a__x000d__x000a_\par }\pard\plain \ltrpar\ql \li0\ri0\widctlpar\wrapdefault\aspalpha\aspnum\faauto\adjustright\rin0\lin0\itap0\pararsid14231658 \rtlch\fcs1 \af0\afs20\alang1025 \ltrch\fcs0 \fs24\lang2057\langfe2057\cgrid\langnp2057\langfenp2057 {\rtlch\fcs1 \af0 \ltrch\fcs0 _x000d__x000a_\cs17\v\fs20\cf9\lang1024\langfe1024\loch\af1\hich\af1\dbch\af31501\noproof\insrsid14231658\charrsid15879488 \hich\af1\dbch\af31501\loch\f1 &lt;/AmendB&gt;}{\rtlch\fcs1 \af0 \ltrch\fcs0 \insrsid14231658\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5d_x000d__x000a_33ed4393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16"/>
    <w:docVar w:name="TITLECODMNU" w:val=" 1"/>
    <w:docVar w:name="TVTAMPART" w:val="Recital x"/>
    <w:docVar w:name="TXTAUTHOR" w:val="Heléne Fritzon"/>
    <w:docVar w:name="TXTLANGUE" w:val="FR"/>
    <w:docVar w:name="TXTLANGUEMIN" w:val="fr"/>
    <w:docVar w:name="TXTNRC" w:val="0028/2024"/>
    <w:docVar w:name="TXTNRCOM" w:val="(2024)0060"/>
    <w:docVar w:name="TXTNRFIRSTAM" w:val="1"/>
    <w:docVar w:name="TXTNRLASTAM" w:val="1"/>
    <w:docVar w:name="TXTNRPE" w:val="766.976"/>
    <w:docVar w:name="TXTNRPROC" w:val="2024/0035"/>
    <w:docVar w:name="TXTPEorAP" w:val="PE"/>
    <w:docVar w:name="TXTROUTE" w:val="AD\1316167FR.docx"/>
    <w:docVar w:name="TXTVERSION" w:val="02-00"/>
  </w:docVars>
  <w:rsids>
    <w:rsidRoot w:val="0099532D"/>
    <w:rsid w:val="00026559"/>
    <w:rsid w:val="00027FA8"/>
    <w:rsid w:val="0004474F"/>
    <w:rsid w:val="00082EC4"/>
    <w:rsid w:val="00090082"/>
    <w:rsid w:val="00095CD0"/>
    <w:rsid w:val="000B5609"/>
    <w:rsid w:val="000D44A6"/>
    <w:rsid w:val="000F2FD6"/>
    <w:rsid w:val="00122C05"/>
    <w:rsid w:val="00134974"/>
    <w:rsid w:val="001414E7"/>
    <w:rsid w:val="00141CD7"/>
    <w:rsid w:val="001616BD"/>
    <w:rsid w:val="001820A9"/>
    <w:rsid w:val="001A0556"/>
    <w:rsid w:val="001A05DC"/>
    <w:rsid w:val="001B0A1E"/>
    <w:rsid w:val="001C0886"/>
    <w:rsid w:val="001D5154"/>
    <w:rsid w:val="001E3AC4"/>
    <w:rsid w:val="0020077A"/>
    <w:rsid w:val="0023131B"/>
    <w:rsid w:val="0023244A"/>
    <w:rsid w:val="00297AF4"/>
    <w:rsid w:val="002A67EE"/>
    <w:rsid w:val="002F24DB"/>
    <w:rsid w:val="0030420D"/>
    <w:rsid w:val="00304EA8"/>
    <w:rsid w:val="00341A99"/>
    <w:rsid w:val="00346281"/>
    <w:rsid w:val="00360FAA"/>
    <w:rsid w:val="00364C78"/>
    <w:rsid w:val="003822B8"/>
    <w:rsid w:val="0038294E"/>
    <w:rsid w:val="003A2F84"/>
    <w:rsid w:val="003C7390"/>
    <w:rsid w:val="003E1280"/>
    <w:rsid w:val="003F128E"/>
    <w:rsid w:val="0040055C"/>
    <w:rsid w:val="00487596"/>
    <w:rsid w:val="004B3A53"/>
    <w:rsid w:val="004C2A0D"/>
    <w:rsid w:val="004F1D2F"/>
    <w:rsid w:val="00502B76"/>
    <w:rsid w:val="00506BDC"/>
    <w:rsid w:val="00513F6F"/>
    <w:rsid w:val="00522B51"/>
    <w:rsid w:val="00524707"/>
    <w:rsid w:val="005539B7"/>
    <w:rsid w:val="00571233"/>
    <w:rsid w:val="005809AE"/>
    <w:rsid w:val="005C748F"/>
    <w:rsid w:val="00613134"/>
    <w:rsid w:val="00626D52"/>
    <w:rsid w:val="00643DA8"/>
    <w:rsid w:val="00657D5C"/>
    <w:rsid w:val="00683DD1"/>
    <w:rsid w:val="00691B1C"/>
    <w:rsid w:val="006961DF"/>
    <w:rsid w:val="006A0F0A"/>
    <w:rsid w:val="006A48AA"/>
    <w:rsid w:val="006B1267"/>
    <w:rsid w:val="006D292E"/>
    <w:rsid w:val="00712462"/>
    <w:rsid w:val="00716BAA"/>
    <w:rsid w:val="0078548A"/>
    <w:rsid w:val="007B7CE3"/>
    <w:rsid w:val="007D426E"/>
    <w:rsid w:val="007F187F"/>
    <w:rsid w:val="00812EBC"/>
    <w:rsid w:val="00817D13"/>
    <w:rsid w:val="00820C7D"/>
    <w:rsid w:val="00827CA1"/>
    <w:rsid w:val="00833D11"/>
    <w:rsid w:val="00836FD3"/>
    <w:rsid w:val="008375A8"/>
    <w:rsid w:val="008512E1"/>
    <w:rsid w:val="00872A52"/>
    <w:rsid w:val="00876A73"/>
    <w:rsid w:val="0089388A"/>
    <w:rsid w:val="008A31E8"/>
    <w:rsid w:val="008B3186"/>
    <w:rsid w:val="008C179A"/>
    <w:rsid w:val="008E5444"/>
    <w:rsid w:val="008F3DB0"/>
    <w:rsid w:val="00904864"/>
    <w:rsid w:val="009052FE"/>
    <w:rsid w:val="009215FC"/>
    <w:rsid w:val="00924555"/>
    <w:rsid w:val="009368B3"/>
    <w:rsid w:val="009515B1"/>
    <w:rsid w:val="00982B83"/>
    <w:rsid w:val="009857B4"/>
    <w:rsid w:val="0099532D"/>
    <w:rsid w:val="00995B88"/>
    <w:rsid w:val="009B3547"/>
    <w:rsid w:val="009E7319"/>
    <w:rsid w:val="00A323F2"/>
    <w:rsid w:val="00A71228"/>
    <w:rsid w:val="00A716A5"/>
    <w:rsid w:val="00A74E25"/>
    <w:rsid w:val="00AA0D63"/>
    <w:rsid w:val="00AB2A2D"/>
    <w:rsid w:val="00AB2C24"/>
    <w:rsid w:val="00AC2A60"/>
    <w:rsid w:val="00AD185D"/>
    <w:rsid w:val="00AD49D0"/>
    <w:rsid w:val="00AF2267"/>
    <w:rsid w:val="00B00EE6"/>
    <w:rsid w:val="00B4064F"/>
    <w:rsid w:val="00B476DC"/>
    <w:rsid w:val="00B556CD"/>
    <w:rsid w:val="00B62D4B"/>
    <w:rsid w:val="00B904FA"/>
    <w:rsid w:val="00BA3E40"/>
    <w:rsid w:val="00BA66EA"/>
    <w:rsid w:val="00BD1F76"/>
    <w:rsid w:val="00BE20CF"/>
    <w:rsid w:val="00C22327"/>
    <w:rsid w:val="00C335C6"/>
    <w:rsid w:val="00C4219C"/>
    <w:rsid w:val="00C52A28"/>
    <w:rsid w:val="00C644EC"/>
    <w:rsid w:val="00C709B7"/>
    <w:rsid w:val="00C75E98"/>
    <w:rsid w:val="00C81C5B"/>
    <w:rsid w:val="00C83B35"/>
    <w:rsid w:val="00C91A75"/>
    <w:rsid w:val="00C97483"/>
    <w:rsid w:val="00D0271A"/>
    <w:rsid w:val="00D0479F"/>
    <w:rsid w:val="00D25CF2"/>
    <w:rsid w:val="00D56CE0"/>
    <w:rsid w:val="00D6254D"/>
    <w:rsid w:val="00D67D0A"/>
    <w:rsid w:val="00D74E9F"/>
    <w:rsid w:val="00D74FD1"/>
    <w:rsid w:val="00D943A5"/>
    <w:rsid w:val="00D9581F"/>
    <w:rsid w:val="00DB56E4"/>
    <w:rsid w:val="00DB6BB4"/>
    <w:rsid w:val="00E27A77"/>
    <w:rsid w:val="00E27F01"/>
    <w:rsid w:val="00E54CE2"/>
    <w:rsid w:val="00E77FF5"/>
    <w:rsid w:val="00E94D64"/>
    <w:rsid w:val="00EA1203"/>
    <w:rsid w:val="00EA3802"/>
    <w:rsid w:val="00ED309A"/>
    <w:rsid w:val="00EF1432"/>
    <w:rsid w:val="00EF33D5"/>
    <w:rsid w:val="00F15744"/>
    <w:rsid w:val="00F24D40"/>
    <w:rsid w:val="00FD46AB"/>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D94843"/>
  <w15:chartTrackingRefBased/>
  <w15:docId w15:val="{A91CCDF0-F8D3-48A2-9B22-D5AB4EEF4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Normal24a">
    <w:name w:val="Normal24a"/>
    <w:basedOn w:val="Normal"/>
    <w:rsid w:val="005809AE"/>
    <w:pPr>
      <w:spacing w:after="480"/>
    </w:pPr>
  </w:style>
  <w:style w:type="paragraph" w:customStyle="1" w:styleId="NormalBoldCenter">
    <w:name w:val="NormalBoldCenter"/>
    <w:basedOn w:val="Normal"/>
    <w:rsid w:val="005809AE"/>
    <w:pPr>
      <w:jc w:val="center"/>
    </w:pPr>
    <w:rPr>
      <w:b/>
    </w:rPr>
  </w:style>
  <w:style w:type="paragraph" w:customStyle="1" w:styleId="Footprint12b">
    <w:name w:val="Footprint12b"/>
    <w:basedOn w:val="Normal"/>
    <w:rsid w:val="005809AE"/>
    <w:pPr>
      <w:spacing w:before="240"/>
    </w:pPr>
  </w:style>
  <w:style w:type="paragraph" w:customStyle="1" w:styleId="NormalSingle">
    <w:name w:val="NormalSingle"/>
    <w:basedOn w:val="Normal"/>
    <w:qFormat/>
    <w:rsid w:val="005809AE"/>
  </w:style>
  <w:style w:type="character" w:styleId="Strong">
    <w:name w:val="Strong"/>
    <w:basedOn w:val="DefaultParagraphFont"/>
    <w:uiPriority w:val="22"/>
    <w:qFormat/>
    <w:rsid w:val="005809AE"/>
    <w:rPr>
      <w:b/>
      <w:bCs/>
    </w:rPr>
  </w:style>
  <w:style w:type="character" w:styleId="Hyperlink">
    <w:name w:val="Hyperlink"/>
    <w:basedOn w:val="DefaultParagraphFont"/>
    <w:rsid w:val="005809AE"/>
    <w:rPr>
      <w:color w:val="0563C1" w:themeColor="hyperlink"/>
      <w:u w:val="single"/>
    </w:rPr>
  </w:style>
  <w:style w:type="paragraph" w:customStyle="1" w:styleId="Normal6">
    <w:name w:val="Normal6"/>
    <w:basedOn w:val="Normal"/>
    <w:link w:val="Normal6Char"/>
    <w:rsid w:val="008C179A"/>
    <w:pPr>
      <w:spacing w:after="120"/>
    </w:pPr>
    <w:rPr>
      <w:szCs w:val="20"/>
    </w:rPr>
  </w:style>
  <w:style w:type="character" w:customStyle="1" w:styleId="NormalBoldChar">
    <w:name w:val="NormalBold Char"/>
    <w:basedOn w:val="DefaultParagraphFont"/>
    <w:link w:val="NormalBold"/>
    <w:rsid w:val="008C179A"/>
    <w:rPr>
      <w:b/>
      <w:sz w:val="24"/>
    </w:rPr>
  </w:style>
  <w:style w:type="character" w:customStyle="1" w:styleId="Normal6Char">
    <w:name w:val="Normal6 Char"/>
    <w:basedOn w:val="DefaultParagraphFont"/>
    <w:link w:val="Normal6"/>
    <w:rsid w:val="008C179A"/>
    <w:rPr>
      <w:sz w:val="24"/>
      <w:lang w:val="fr-FR"/>
    </w:rPr>
  </w:style>
  <w:style w:type="paragraph" w:customStyle="1" w:styleId="ColumnHeading">
    <w:name w:val="ColumnHeading"/>
    <w:basedOn w:val="Normal"/>
    <w:rsid w:val="008C179A"/>
    <w:pPr>
      <w:spacing w:after="240"/>
      <w:jc w:val="center"/>
    </w:pPr>
    <w:rPr>
      <w:i/>
      <w:szCs w:val="20"/>
    </w:rPr>
  </w:style>
  <w:style w:type="paragraph" w:customStyle="1" w:styleId="AMNumberTabs0">
    <w:name w:val="AMNumberTabs"/>
    <w:basedOn w:val="Normal"/>
    <w:rsid w:val="008C179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8C179A"/>
    <w:pPr>
      <w:jc w:val="right"/>
    </w:pPr>
  </w:style>
  <w:style w:type="paragraph" w:styleId="Footer">
    <w:name w:val="footer"/>
    <w:basedOn w:val="Normal"/>
    <w:link w:val="FooterChar"/>
    <w:rsid w:val="008C179A"/>
    <w:pPr>
      <w:tabs>
        <w:tab w:val="center" w:pos="4513"/>
        <w:tab w:val="right" w:pos="9026"/>
      </w:tabs>
    </w:pPr>
  </w:style>
  <w:style w:type="character" w:customStyle="1" w:styleId="FooterChar">
    <w:name w:val="Footer Char"/>
    <w:basedOn w:val="DefaultParagraphFont"/>
    <w:link w:val="Footer"/>
    <w:rsid w:val="008C179A"/>
    <w:rPr>
      <w:sz w:val="24"/>
      <w:szCs w:val="24"/>
    </w:rPr>
  </w:style>
  <w:style w:type="paragraph" w:styleId="BalloonText">
    <w:name w:val="Balloon Text"/>
    <w:basedOn w:val="Normal"/>
    <w:link w:val="BalloonTextChar"/>
    <w:semiHidden/>
    <w:unhideWhenUsed/>
    <w:rsid w:val="008512E1"/>
    <w:rPr>
      <w:rFonts w:ascii="Segoe UI" w:hAnsi="Segoe UI" w:cs="Segoe UI"/>
      <w:sz w:val="18"/>
      <w:szCs w:val="18"/>
    </w:rPr>
  </w:style>
  <w:style w:type="character" w:customStyle="1" w:styleId="BalloonTextChar">
    <w:name w:val="Balloon Text Char"/>
    <w:basedOn w:val="DefaultParagraphFont"/>
    <w:link w:val="BalloonText"/>
    <w:semiHidden/>
    <w:rsid w:val="008512E1"/>
    <w:rPr>
      <w:rFonts w:ascii="Segoe UI" w:hAnsi="Segoe UI" w:cs="Segoe UI"/>
      <w:sz w:val="18"/>
      <w:szCs w:val="18"/>
    </w:rPr>
  </w:style>
  <w:style w:type="character" w:styleId="CommentReference">
    <w:name w:val="annotation reference"/>
    <w:basedOn w:val="DefaultParagraphFont"/>
    <w:rsid w:val="00EA1203"/>
    <w:rPr>
      <w:sz w:val="16"/>
      <w:szCs w:val="16"/>
    </w:rPr>
  </w:style>
  <w:style w:type="paragraph" w:styleId="CommentText">
    <w:name w:val="annotation text"/>
    <w:basedOn w:val="Normal"/>
    <w:link w:val="CommentTextChar"/>
    <w:rsid w:val="00EA1203"/>
    <w:rPr>
      <w:sz w:val="20"/>
      <w:szCs w:val="20"/>
    </w:rPr>
  </w:style>
  <w:style w:type="character" w:customStyle="1" w:styleId="CommentTextChar">
    <w:name w:val="Comment Text Char"/>
    <w:basedOn w:val="DefaultParagraphFont"/>
    <w:link w:val="CommentText"/>
    <w:rsid w:val="00EA1203"/>
  </w:style>
  <w:style w:type="paragraph" w:styleId="CommentSubject">
    <w:name w:val="annotation subject"/>
    <w:basedOn w:val="CommentText"/>
    <w:next w:val="CommentText"/>
    <w:link w:val="CommentSubjectChar"/>
    <w:semiHidden/>
    <w:unhideWhenUsed/>
    <w:rsid w:val="00EA1203"/>
    <w:rPr>
      <w:b/>
      <w:bCs/>
    </w:rPr>
  </w:style>
  <w:style w:type="character" w:customStyle="1" w:styleId="CommentSubjectChar">
    <w:name w:val="Comment Subject Char"/>
    <w:basedOn w:val="CommentTextChar"/>
    <w:link w:val="CommentSubject"/>
    <w:semiHidden/>
    <w:rsid w:val="00EA1203"/>
    <w:rPr>
      <w:b/>
      <w:bCs/>
    </w:rPr>
  </w:style>
  <w:style w:type="paragraph" w:customStyle="1" w:styleId="NormalBold12b12a">
    <w:name w:val="NormalBold12b12a"/>
    <w:basedOn w:val="Normal"/>
    <w:next w:val="NormalBold"/>
    <w:rsid w:val="00995B88"/>
    <w:pPr>
      <w:spacing w:before="240" w:after="240"/>
    </w:pPr>
    <w:rPr>
      <w:b/>
      <w:lang w:eastAsia="en-US"/>
    </w:rPr>
  </w:style>
  <w:style w:type="character" w:customStyle="1" w:styleId="AmNumberTabsChar">
    <w:name w:val="AmNumberTabs Char"/>
    <w:basedOn w:val="DefaultParagraphFont"/>
    <w:link w:val="AmNumberTabs"/>
    <w:rsid w:val="00995B88"/>
    <w:rPr>
      <w:b/>
      <w:sz w:val="24"/>
    </w:rPr>
  </w:style>
  <w:style w:type="character" w:customStyle="1" w:styleId="NormalBold12bChar">
    <w:name w:val="NormalBold12b Char"/>
    <w:basedOn w:val="AmNumberTabsChar"/>
    <w:link w:val="NormalBold12b"/>
    <w:rsid w:val="00995B88"/>
    <w:rPr>
      <w:b/>
      <w:sz w:val="24"/>
    </w:rPr>
  </w:style>
  <w:style w:type="paragraph" w:customStyle="1" w:styleId="RollCallSymbols14pt">
    <w:name w:val="RollCallSymbols14pt"/>
    <w:basedOn w:val="Normal"/>
    <w:rsid w:val="00995B88"/>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995B88"/>
    <w:pPr>
      <w:tabs>
        <w:tab w:val="center" w:pos="284"/>
        <w:tab w:val="left" w:pos="426"/>
      </w:tabs>
    </w:pPr>
    <w:rPr>
      <w:snapToGrid w:val="0"/>
      <w:szCs w:val="20"/>
      <w:lang w:eastAsia="en-US"/>
    </w:rPr>
  </w:style>
  <w:style w:type="paragraph" w:customStyle="1" w:styleId="RollCallVotes">
    <w:name w:val="RollCallVotes"/>
    <w:basedOn w:val="Normal"/>
    <w:rsid w:val="00995B88"/>
    <w:pPr>
      <w:spacing w:before="120" w:after="120"/>
      <w:jc w:val="center"/>
    </w:pPr>
    <w:rPr>
      <w:b/>
      <w:bCs/>
      <w:snapToGrid w:val="0"/>
      <w:sz w:val="16"/>
      <w:szCs w:val="20"/>
      <w:lang w:eastAsia="en-US"/>
    </w:rPr>
  </w:style>
  <w:style w:type="paragraph" w:customStyle="1" w:styleId="RollCallTable">
    <w:name w:val="RollCallTable"/>
    <w:basedOn w:val="Normal"/>
    <w:rsid w:val="00995B88"/>
    <w:pPr>
      <w:spacing w:before="120" w:after="120"/>
    </w:pPr>
    <w:rPr>
      <w:snapToGrid w:val="0"/>
      <w:sz w:val="16"/>
      <w:szCs w:val="20"/>
      <w:lang w:eastAsia="en-US"/>
    </w:rPr>
  </w:style>
  <w:style w:type="paragraph" w:styleId="Revision">
    <w:name w:val="Revision"/>
    <w:hidden/>
    <w:uiPriority w:val="99"/>
    <w:semiHidden/>
    <w:rsid w:val="00995B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5E528-94D3-4C51-ACC6-940A40D3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21143</Words>
  <Characters>128506</Characters>
  <Application>Microsoft Office Word</Application>
  <DocSecurity>0</DocSecurity>
  <Lines>4589</Lines>
  <Paragraphs>1169</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148480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2025-03-27T16:04:00Z</dcterms:created>
  <dcterms:modified xsi:type="dcterms:W3CDTF">2025-03-27T16:04:00Z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1316167</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\\eiciBRUpr1\pdocep$\DocEP\TRANSFIL\EN\PA_Legam.EN(30/08/2024 12:03:01)</vt:lpwstr>
  </property>
  <property fmtid="{D5CDD505-2E9C-101B-9397-08002B2CF9AE}" pid="7" name="&lt;Type&gt;">
    <vt:lpwstr>AD</vt:lpwstr>
  </property>
  <property fmtid="{D5CDD505-2E9C-101B-9397-08002B2CF9AE}" pid="8" name="Bookout">
    <vt:lpwstr>OK - 2025/03/27 17:03</vt:lpwstr>
  </property>
  <property fmtid="{D5CDD505-2E9C-101B-9397-08002B2CF9AE}" pid="9" name="Created with">
    <vt:lpwstr>10.0.0 Build [20241202]</vt:lpwstr>
  </property>
  <property fmtid="{D5CDD505-2E9C-101B-9397-08002B2CF9AE}" pid="10" name="FooterPath">
    <vt:lpwstr>AD\1316167FR.docx</vt:lpwstr>
  </property>
  <property fmtid="{D5CDD505-2E9C-101B-9397-08002B2CF9AE}" pid="11" name="LastEdited with">
    <vt:lpwstr>10.0.1 Build [20250114]</vt:lpwstr>
  </property>
  <property fmtid="{D5CDD505-2E9C-101B-9397-08002B2CF9AE}" pid="12" name="PE number">
    <vt:lpwstr>766.976</vt:lpwstr>
  </property>
  <property fmtid="{D5CDD505-2E9C-101B-9397-08002B2CF9AE}" pid="13" name="SDLStudio">
    <vt:lpwstr/>
  </property>
  <property fmtid="{D5CDD505-2E9C-101B-9397-08002B2CF9AE}" pid="14" name="SendToEpades">
    <vt:lpwstr>OK - 2025/01/09 12:47</vt:lpwstr>
  </property>
</Properties>
</file>