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Европейски парламент</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Комисия по правата на жените и равенството между половете</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26/05/2025</w:t>
      </w:r>
      <w:r>
        <w:rPr>
          <w:rStyle w:val="HideTWBInt"/>
        </w:rPr>
        <w:t>}</w:t>
      </w:r>
      <w:r>
        <w:t>26.05.2025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СТАНОВИЩЕ</w:t>
      </w:r>
      <w:r>
        <w:rPr>
          <w:rStyle w:val="HideTWBExt"/>
        </w:rPr>
        <w:t>&lt;/</w:t>
      </w:r>
      <w:r>
        <w:rPr>
          <w:rStyle w:val="HideTWBExt"/>
        </w:rPr>
        <w:t>TitreType</w:t>
      </w:r>
      <w:r>
        <w:rPr>
          <w:rStyle w:val="HideTWBExt"/>
        </w:rPr>
        <w:t>&gt;</w:t>
      </w:r>
    </w:p>
    <w:p>
      <w:pPr>
        <w:pStyle w:val="CoverNormal24a"/>
      </w:pPr>
      <w:r>
        <w:rPr>
          <w:rStyle w:val="HideTWBExt"/>
        </w:rPr>
        <w:t>&lt;</w:t>
      </w:r>
      <w:r>
        <w:rPr>
          <w:rStyle w:val="HideTWBExt"/>
        </w:rPr>
        <w:t>CommissionResp</w:t>
      </w:r>
      <w:r>
        <w:rPr>
          <w:rStyle w:val="HideTWBExt"/>
        </w:rPr>
        <w:t>&gt;</w:t>
      </w:r>
      <w:r>
        <w:t>на комисията по правата на жените и равенството между половете</w:t>
      </w:r>
      <w:r>
        <w:rPr>
          <w:rStyle w:val="HideTWBExt"/>
        </w:rPr>
        <w:t>&lt;/</w:t>
      </w:r>
      <w:r>
        <w:rPr>
          <w:rStyle w:val="HideTWBExt"/>
        </w:rPr>
        <w:t>CommissionResp</w:t>
      </w:r>
      <w:r>
        <w:rPr>
          <w:rStyle w:val="HideTWBExt"/>
        </w:rPr>
        <w:t>&gt;</w:t>
      </w:r>
    </w:p>
    <w:p>
      <w:pPr>
        <w:pStyle w:val="CoverNormal24a"/>
      </w:pPr>
      <w:r>
        <w:rPr>
          <w:rStyle w:val="HideTWBExt"/>
        </w:rPr>
        <w:t>&lt;</w:t>
      </w:r>
      <w:r>
        <w:rPr>
          <w:rStyle w:val="HideTWBExt"/>
        </w:rPr>
        <w:t>CommissionInt</w:t>
      </w:r>
      <w:r>
        <w:rPr>
          <w:rStyle w:val="HideTWBExt"/>
        </w:rPr>
        <w:t>&gt;</w:t>
      </w:r>
      <w:r>
        <w:t>за комисията по развитие и комисията по околна среда, климат и безопасност на храните</w:t>
      </w:r>
      <w:r>
        <w:rPr>
          <w:rStyle w:val="HideTWBExt"/>
        </w:rPr>
        <w:t>&lt;/</w:t>
      </w:r>
      <w:r>
        <w:rPr>
          <w:rStyle w:val="HideTWBExt"/>
        </w:rPr>
        <w:t>CommissionInt</w:t>
      </w:r>
      <w:r>
        <w:rPr>
          <w:rStyle w:val="HideTWBExt"/>
        </w:rPr>
        <w:t>&gt;</w:t>
      </w:r>
    </w:p>
    <w:p>
      <w:pPr>
        <w:pStyle w:val="CoverNormal"/>
      </w:pPr>
      <w:r>
        <w:rPr>
          <w:rStyle w:val="HideTWBExt"/>
        </w:rPr>
        <w:t>&lt;</w:t>
      </w:r>
      <w:r>
        <w:rPr>
          <w:rStyle w:val="HideTWBExt"/>
        </w:rPr>
        <w:t>Titre</w:t>
      </w:r>
      <w:r>
        <w:rPr>
          <w:rStyle w:val="HideTWBExt"/>
        </w:rPr>
        <w:t>&gt;</w:t>
      </w:r>
      <w:r>
        <w:t>относно изпълнението и постигането на целите за устойчиво развитие с оглед на Политическия форум на високо равнище през 2025 г.</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(2025/2014(INI))</w:t>
      </w:r>
      <w:r>
        <w:rPr>
          <w:rStyle w:val="HideTWBExt"/>
        </w:rPr>
        <w:t>&lt;/</w:t>
      </w:r>
      <w:r>
        <w:rPr>
          <w:rStyle w:val="HideTWBExt"/>
        </w:rPr>
        <w:t>DocRef</w:t>
      </w:r>
      <w:r>
        <w:rPr>
          <w:rStyle w:val="HideTWBExt"/>
        </w:rPr>
        <w:t>&gt;</w:t>
      </w:r>
    </w:p>
    <w:p>
      <w:pPr>
        <w:pStyle w:val="CoverNormal24a"/>
      </w:pPr>
      <w:r>
        <w:t>Докладчик по становище</w:t>
      </w:r>
      <w:r>
        <w:t xml:space="preserve">: </w:t>
      </w:r>
      <w:r>
        <w:rPr>
          <w:rStyle w:val="HideTWBExt"/>
        </w:rPr>
        <w:t>&lt;</w:t>
      </w:r>
      <w:r>
        <w:rPr>
          <w:rStyle w:val="HideTWBExt"/>
        </w:rPr>
        <w:t>Depute</w:t>
      </w:r>
      <w:r>
        <w:rPr>
          <w:rStyle w:val="HideTWBExt"/>
        </w:rPr>
        <w:t>&gt;</w:t>
      </w:r>
      <w:r>
        <w:t>Лина Галвес</w:t>
      </w:r>
      <w:r>
        <w:rPr>
          <w:rStyle w:val="HideTWBExt"/>
        </w:rPr>
        <w:t>&lt;/</w:t>
      </w:r>
      <w:r>
        <w:rPr>
          <w:rStyle w:val="HideTWBExt"/>
        </w:rPr>
        <w:t>Depute</w:t>
      </w:r>
      <w:r>
        <w:rPr>
          <w:rStyle w:val="HideTWBExt"/>
        </w:rPr>
        <w:t>&gt;</w:t>
      </w:r>
    </w:p>
    <w:p>
      <w:r>
        <w:br w:type="page"/>
      </w:r>
      <w:r>
        <w:t>PA_NonLeg</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NotTOC"/>
      </w:pPr>
      <w:r>
        <w:t>ИЗМЕНЕНИЯ</w:t>
      </w:r>
    </w:p>
    <w:p>
      <w:pPr>
        <w:pStyle w:val="Normal12a"/>
      </w:pPr>
      <w:r>
        <w:t>Комисията по правата на жените и равенството между половете</w:t>
      </w:r>
      <w:r>
        <w:t xml:space="preserve"> </w:t>
      </w:r>
      <w:r>
        <w:t>представя на водещите комисии по развитие и по околна среда, климат и безопасност на храните следното</w:t>
      </w:r>
      <w:r>
        <w:t xml:space="preserve"> </w:t>
      </w:r>
      <w:r>
        <w:t>:</w:t>
      </w:r>
    </w:p>
    <w:p>
      <w:pPr>
        <w:pStyle w:val="AmNumberTabs"/>
      </w:pP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1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своята резолюция от 24 юни 2021 г. относно положението със сексуалното и репродуктивното здраве и правата в тази област в ЕС във връзка със здравето на жените</w:t>
            </w:r>
            <w:r>
              <w:rPr>
                <w:rStyle w:val="Sup"/>
              </w:rPr>
              <w:t>1а</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OВ C 81, 18.2.2022 г., стр. 43.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2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соята резолюция от 11 април 2024 г. относно включването на правото на аборт в Хартата на основните права на ЕС</w:t>
            </w:r>
            <w:r>
              <w:rPr>
                <w:rStyle w:val="SupBoldItalic"/>
              </w:rPr>
              <w:t>1а</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1а</w:t>
            </w:r>
            <w:r>
              <w:t xml:space="preserve"> </w:t>
            </w:r>
            <w:r>
              <w:rPr>
                <w:b/>
                <w:i/>
                <w:strike w:val="0"/>
                <w:color w:val="auto"/>
                <w:highlight w:val="none"/>
                <w:u w:val="none" w:color="auto"/>
                <w:vertAlign w:val="baseline"/>
              </w:rPr>
              <w:t>OВ C, C/2025/1279, 13.3.2025 г., ELI: http://data.europa.eu/eli/C/2025/1279/oj.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3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пътната карта на ЕС за правата на жените на Комисията,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4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Международната конференция за населението и развитието (МКНР), състояла се през 1994 г. в Кайро, програмата ѝ за действие и резултатите от конференциите за нейния преглед,</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5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Пекинската декларация и платформа за действие от 2015 г. и резултатите от конференциите за прегледа ѝ,</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6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доклада на Equal Measures 2030, озаглавен Findings from the 2024 SDG Gender Index – A gender equal future in crisis? (Констатации от индекса за равенство между половете за 2024 г. – в криза ли е равенството между половете в бъдеще?),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7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съвместния доклад от 2024 г. на ООН – Жени, Програмата на ООН за развитие, Фонда на ООН за населението (ФНООН), УНИЦЕФ и Световната продоволствена програма, озаглавен Are we getting there? A synthesis of the UN evaluations of SDG 5 (Постигаме ли резултати? – Обобщение на оценките на ООН за ЦУР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8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Доброволните насоки на Организацията на ООН за прехрана и земеделие за 2015 г. за гарантиране на устойчив дребномащабен риболов в контекста на продоволствената сигурност и изкореняването на бедността, включително Глава 8 от тях относно равенството между половете и равнопоставеността,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31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препоръката си от 19 декември 2024 г. до Съвета относно приоритетите на ЕС за 69-ата сесия на Комисията на ООН за положението на жените</w:t>
            </w:r>
            <w:r>
              <w:rPr>
                <w:rStyle w:val="SupBoldItalic"/>
              </w:rPr>
              <w:t>1а</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1а</w:t>
            </w:r>
            <w:r>
              <w:t xml:space="preserve"> </w:t>
            </w:r>
            <w:r>
              <w:rPr>
                <w:b/>
                <w:i/>
                <w:strike w:val="0"/>
                <w:color w:val="auto"/>
                <w:highlight w:val="none"/>
                <w:u w:val="none" w:color="auto"/>
                <w:vertAlign w:val="baseline"/>
              </w:rPr>
              <w:t>ОВ C, C/2025/1971, 11.4.2025 г., ELI: http://data.europa.eu/eli/C/2025/1971/oj.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55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доклада на Комисията от март 2024 г., озаглавен Ninth report on economic, social and territorial cohesion (Девети доклад относно икономическото, социалното и териториалното сближаване),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Позоваване 55 б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като взе предвид доклада на Европейския институт за равенство между половете, озаглавен Gender Equality Reports 2023 – Towards a green transition in transport and energy (Доклади за равенството между половете за 2023 г. – към екологичен преход в транспорта и енергетиката),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Съображение Б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Бa.</w:t>
            </w:r>
            <w:r>
              <w:tab/>
            </w:r>
            <w:r>
              <w:rPr>
                <w:b/>
                <w:i/>
                <w:strike w:val="0"/>
                <w:color w:val="auto"/>
                <w:highlight w:val="none"/>
                <w:u w:val="none" w:color="auto"/>
                <w:vertAlign w:val="baseline"/>
              </w:rPr>
              <w:t>като има предвид, че според Глобалния индекс на мира за 2024 г. средното равнище на мир в световен мащаб е намаляло с 0,56%, което бележи петата поредна година на влошаване; като има предвид, че с оглед на тази тенденция ЦУР 16 следва да бъде включена в задълбочен преглед за справяне с нарастващите предизвикателства пред мира и сигурността в световен мащаб;</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Съображение Б б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Бб.</w:t>
            </w:r>
            <w:r>
              <w:tab/>
            </w:r>
            <w:r>
              <w:rPr>
                <w:b/>
                <w:i/>
                <w:strike w:val="0"/>
                <w:color w:val="auto"/>
                <w:highlight w:val="none"/>
                <w:u w:val="none" w:color="auto"/>
                <w:vertAlign w:val="baseline"/>
              </w:rPr>
              <w:t>като има предвид, че нарастващото разпространение на трафика на хора продължава да бъде критична заплаха за световния мир и сигурност; като има предвид, че укрепването на международното сътрудничество и механизмите за правоприлагане в рамките на ЦУР 16 е от съществено значение за борбата с мрежите за трафик, защитата на жертвите и зачитането на правата на човека;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Съображение 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В.</w:t>
            </w:r>
            <w:r>
              <w:tab/>
            </w:r>
            <w:r>
              <w:t>като има предвид, че към момента недостигът на инвестиции за ЦУР възлиза на 4 трилиона щатски долара годишно; като има предвид, че високите равнища на задлъжнялост на държавите с ниски и средни доходи са пречка за инвестициите, необходими за постигането на ЦУР;</w:t>
            </w:r>
          </w:p>
        </w:tc>
        <w:tc>
          <w:tcPr>
            <w:tcW w:w="4876" w:type="dxa"/>
            <w:vAlign w:val="top"/>
          </w:tcPr>
          <w:p>
            <w:pPr>
              <w:pStyle w:val="Normal6a"/>
            </w:pPr>
            <w:r>
              <w:t>В.</w:t>
            </w:r>
            <w:r>
              <w:tab/>
            </w:r>
            <w:r>
              <w:t>като има предвид, че към момента недостигът на инвестиции за ЦУР възлиза на 4 трилиона щатски долара годишно; като има предвид, че високите равнища на задлъжнялост на държавите с ниски и средни доходи</w:t>
            </w:r>
            <w:r>
              <w:rPr>
                <w:b/>
                <w:i/>
                <w:strike w:val="0"/>
                <w:color w:val="auto"/>
                <w:highlight w:val="none"/>
                <w:u w:val="none" w:color="auto"/>
                <w:vertAlign w:val="baseline"/>
              </w:rPr>
              <w:t>, улеснени от програмите на някои от финансовите институции,</w:t>
            </w:r>
            <w:r>
              <w:t xml:space="preserve"> са пречка за инвестициите, необходими за постигането на ЦУР;</w:t>
            </w:r>
            <w:r>
              <w:rPr>
                <w:b/>
                <w:i/>
                <w:strike w:val="0"/>
                <w:color w:val="auto"/>
                <w:highlight w:val="none"/>
                <w:u w:val="none" w:color="auto"/>
                <w:vertAlign w:val="baseline"/>
              </w:rPr>
              <w:t xml:space="preserve"> като има предвид, че това е свързано и с нарастващите равнища на бедност; като има предвид, че жените и момичетата по света са непропорционално засегнати от бедност, хуманитарни кризи, изменение на климата, конфликти, екстремизъм, тероризъм, войни и недостиг на храни; като има предвид, че това също така прави децата по-уязвими; като има предвид, че се очаква разликата в бедността между половете да нарасне до 2030 г., тъй като жените все още ще съставляват по-голямата част от крайно бедните в света;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Съображение В a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Ва.</w:t>
            </w:r>
            <w:r>
              <w:tab/>
            </w:r>
            <w:r>
              <w:rPr>
                <w:b/>
                <w:i/>
                <w:strike w:val="0"/>
                <w:color w:val="auto"/>
                <w:highlight w:val="none"/>
                <w:u w:val="none" w:color="auto"/>
                <w:vertAlign w:val="baseline"/>
              </w:rPr>
              <w:t xml:space="preserve">като има предвид, че липсата на финансиране за равенството между половете е основна пречка за постигането на резултати в областта на равенството между половете; като има предвид, че равенството между половете е изключително важно, за да се изпълнят обещанията за устойчивост, просперитет, социална справедливост, мир и човешки напредък; </w:t>
            </w:r>
            <w:r>
              <w:t>като има предвид, че съдържателните и устойчиви финансови ангажименти и засилените процеси на бюджетиране са изключително важни, за да се подпомогне прилагането на законодателството, политиките и съобразените с равенството между половете услуги за постигане на напредък по отношение на равенството между половете във всички цели на ЦУР 5</w:t>
            </w:r>
            <w:r>
              <w:rPr>
                <w:rStyle w:val="Sup"/>
              </w:rPr>
              <w:t>1а</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Equal Measures 2030, Findings from the 2024 SDG Gender Index – A gender equal future in crisis? (Констатации от индекса за равенство между половете за 2024 г. – в криза ли е равенството между половете в бъдеще?),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Съображение В б (ново)</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Вб.</w:t>
            </w:r>
            <w:r>
              <w:tab/>
            </w:r>
            <w:r>
              <w:rPr>
                <w:b/>
                <w:i/>
                <w:strike w:val="0"/>
                <w:color w:val="auto"/>
                <w:highlight w:val="none"/>
                <w:u w:val="none" w:color="auto"/>
                <w:vertAlign w:val="baseline"/>
              </w:rPr>
              <w:t>като има предвид, че насилието срещу жени във всичките му форми (физическо, сексуално, психологическо, икономическо или кибернасилие) е нарушение на правата на човека, крайна форма на дискриминация срещу жените и една от най-големите пречки пред постигането на равенство между половете; като има предвид, че насилието, основано на пола, се корени в неравномерното разпределение на сила между жените и мъжете, в сексизма и свързаните с пола норми и стереотипи, които доведоха до доминация над жените и дискриминация срещу тях от страна на мъжете, и може да има различна проявление, интензивност и форма; като има предвид, че изграждането на общество, свободно от основано на пола насилие, трябва да бъде признато като абсолютно необходима предпоставка за равенство между половете;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отново потвърждава категоричния си ангажимент за навременно и пълно изпълнение на всички ЦУР;</w:t>
            </w:r>
          </w:p>
        </w:tc>
        <w:tc>
          <w:tcPr>
            <w:tcW w:w="4876" w:type="dxa"/>
            <w:vAlign w:val="top"/>
          </w:tcPr>
          <w:p>
            <w:pPr>
              <w:pStyle w:val="Normal6a"/>
            </w:pPr>
            <w:r>
              <w:t>1.</w:t>
            </w:r>
            <w:r>
              <w:tab/>
            </w:r>
            <w:r>
              <w:t>отново потвърждава категоричния си ангажимент за навременно и пълно изпълнение на всички ЦУР</w:t>
            </w:r>
            <w:r>
              <w:rPr>
                <w:b/>
                <w:i/>
                <w:strike w:val="0"/>
                <w:color w:val="auto"/>
                <w:highlight w:val="none"/>
                <w:u w:val="none" w:color="auto"/>
                <w:vertAlign w:val="baseline"/>
              </w:rPr>
              <w:t xml:space="preserve"> във всички държави членки и в световен мащаб чрез външната дейност на ЕС</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 – буква а (нова)</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подчертава, че ЕС е постигнал умерен напредък по ЦУР 1, но че жените продължават да са изложени на по-висок риск от бедност и социално изключване;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 – буква б (нова)</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б)</w:t>
            </w:r>
            <w:r>
              <w:tab/>
            </w:r>
            <w:r>
              <w:rPr>
                <w:b/>
                <w:i/>
                <w:strike w:val="0"/>
                <w:color w:val="auto"/>
                <w:highlight w:val="none"/>
                <w:u w:val="none" w:color="auto"/>
                <w:vertAlign w:val="baseline"/>
              </w:rPr>
              <w:t>изразява своята загриженост във връзка с ЦУР 2 в ЕС, тъй като нарастващият процент на затлъстяване при жените и децата е признак за неправилно хранене;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 – буква в (нова)</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в)</w:t>
            </w:r>
            <w:r>
              <w:tab/>
            </w:r>
            <w:r>
              <w:rPr>
                <w:b/>
                <w:i/>
                <w:strike w:val="0"/>
                <w:color w:val="auto"/>
                <w:highlight w:val="none"/>
                <w:u w:val="none" w:color="auto"/>
                <w:vertAlign w:val="baseline"/>
              </w:rPr>
              <w:t xml:space="preserve">изразява изключителна загриженост във връзка с положението на жените в ЕС във връзка с ЦУР 7, тъй като поради по-ниските си доходи е по-вероятно жените да се сблъскат с енергийна бедност; 9.8 % от жените и 8,7% от мъжете не са успели да отопляват адекватно домовете си през 2022 г., като енергийната криза влоши това положение; </w:t>
            </w:r>
            <w:r>
              <w:t>приветства съобщението на Комисията относно финансово достъпната енергия</w:t>
            </w:r>
            <w:r>
              <w:rPr>
                <w:rStyle w:val="Sup"/>
              </w:rPr>
              <w:t>1а</w:t>
            </w:r>
            <w:r>
              <w:t>;</w:t>
            </w:r>
            <w:r>
              <w:rPr>
                <w:b/>
                <w:i/>
                <w:strike w:val="0"/>
                <w:color w:val="auto"/>
                <w:highlight w:val="none"/>
                <w:u w:val="none" w:color="auto"/>
                <w:vertAlign w:val="baseline"/>
              </w:rPr>
              <w:t xml:space="preserve"> приканва Комисията и съзаконодателите да ускорят процеса, за да се гарантира бърз достъп до енергия на достъпни цени;</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План за действие за енергия на достъпни цени - Отключване на истинската стойност на нашия енергиен съюз за осигуряване на достъпна, ефективна и чиста енергия за всички европейци (COM (2025) 0079),</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 – буква г (нова)</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г)</w:t>
            </w:r>
            <w:r>
              <w:tab/>
            </w:r>
            <w:r>
              <w:rPr>
                <w:b/>
                <w:i/>
                <w:strike w:val="0"/>
                <w:color w:val="auto"/>
                <w:highlight w:val="none"/>
                <w:u w:val="none" w:color="auto"/>
                <w:vertAlign w:val="baseline"/>
              </w:rPr>
              <w:t>подчертава, че ЦУР 11 продължава да не е постигната в ЕС, тъй като е по-вероятно жените да се сблъскат с лоши жилищни условия (4,6% спрямо 4,0% при мъжете през 2022 г.) и да разчитат повече на обществения транспорт, където продължават да съществуват опасения за безопасността;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изразява съжаление, че световната общност сериозно изостава по отношение на изпълнението на Програмата до 2030 г. и постигането на ЦУР;</w:t>
            </w:r>
          </w:p>
        </w:tc>
        <w:tc>
          <w:tcPr>
            <w:tcW w:w="4876" w:type="dxa"/>
            <w:vAlign w:val="top"/>
          </w:tcPr>
          <w:p>
            <w:pPr>
              <w:pStyle w:val="Normal6a"/>
            </w:pPr>
            <w:r>
              <w:t>2.</w:t>
            </w:r>
            <w:r>
              <w:tab/>
            </w:r>
            <w:r>
              <w:t>изразява съжаление, че световната общност сериозно изостава по отношение на изпълнението на Програмата до 2030 г. и постигането на ЦУР</w:t>
            </w:r>
            <w:r>
              <w:rPr>
                <w:b/>
                <w:i/>
                <w:strike w:val="0"/>
                <w:color w:val="auto"/>
                <w:highlight w:val="none"/>
                <w:u w:val="none" w:color="auto"/>
                <w:vertAlign w:val="baseline"/>
              </w:rPr>
              <w:t>, а напредъкът към постигането на определени ЦУР се забавя</w:t>
            </w:r>
            <w:r>
              <w:t>;</w:t>
            </w:r>
            <w:r>
              <w:rPr>
                <w:b/>
                <w:i/>
                <w:strike w:val="0"/>
                <w:color w:val="auto"/>
                <w:highlight w:val="none"/>
                <w:u w:val="none" w:color="auto"/>
                <w:vertAlign w:val="baseline"/>
              </w:rPr>
              <w:t xml:space="preserve"> подчертава различията между и в рамките на държавите и регионите по различни въпроси, например различията между половете; изразява съжаление във връзка с оттеглянето на финансирането от Агенцията на САЩ за международно развитие (USAID) и признава опустошителното въздействие върху целта на световната общност за постигане на ЦУР, по-специално ЦУР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 xml:space="preserve">призовава ЕС да изпълни ангажимента си да приложи интегрирането на принципа на равенство между половете и междусекторна перспектива във всички политики и финансиране на ЕС; </w:t>
            </w:r>
            <w:r>
              <w:t>изразява съжаление, че 44% от данните, необходими за проследяване на ЦУР 5, все още липсват в държавите по света, а над 80% от държавите не разполагат с данни относно поне една цел по ЦУР 5</w:t>
            </w:r>
            <w:r>
              <w:rPr>
                <w:rStyle w:val="Sup"/>
              </w:rPr>
              <w:t>1а</w:t>
            </w:r>
            <w:r>
              <w:t>;</w:t>
            </w:r>
            <w:r>
              <w:rPr>
                <w:b/>
                <w:i/>
                <w:strike w:val="0"/>
                <w:color w:val="auto"/>
                <w:highlight w:val="none"/>
                <w:u w:val="none" w:color="auto"/>
                <w:vertAlign w:val="baseline"/>
              </w:rPr>
              <w:t xml:space="preserve"> поради това подчертава, че е необходимо да се укрепят националните статистически служби, да се подобрят тяхната координация и сътрудничество в световен мащаб, да се гарантира информирано изготвяне на политиките и да се преодолеят оставащите различия в данните между половете;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Equal Measures 2030, Findings from the 2024 SDG Gender Index – A gender equal future in crisis? (Констатации от индекса за равенство между половете за 2024 г. – в криза ли е равенството между половете в бъдеще?),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2б.</w:t>
            </w:r>
            <w:r>
              <w:tab/>
            </w:r>
            <w:r>
              <w:rPr>
                <w:b/>
                <w:i/>
                <w:strike w:val="0"/>
                <w:color w:val="auto"/>
                <w:highlight w:val="none"/>
                <w:u w:val="none" w:color="auto"/>
                <w:vertAlign w:val="baseline"/>
              </w:rPr>
              <w:t>подчертава значението на данните, за да се даде възможност за мониторинг на ЦУР, като подчертава, че въпреки похвалното увеличаване на данните, както и тяхната отвореност, достъпност и ефективно използване, продължават да съществуват критични пропуски; поради това подчертава важната роля на националните статистически служби и необходимостта от укрепване на партньорствата, които са от ключово значение за постигането на по-приобщаващи данни, например данни, разбити по полов признак;</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подчертава, че спешно са необходими международно сътрудничество и решителни трансформиращи действия, за да могат нашите общества и икономики твърдо да поемат по пътя към постигане на ЦУР и преодоляване на тройната планетарна криза;</w:t>
            </w:r>
          </w:p>
        </w:tc>
        <w:tc>
          <w:tcPr>
            <w:tcW w:w="4876" w:type="dxa"/>
            <w:vAlign w:val="top"/>
          </w:tcPr>
          <w:p>
            <w:pPr>
              <w:pStyle w:val="Normal6a"/>
            </w:pPr>
            <w:r>
              <w:t>3.</w:t>
            </w:r>
            <w:r>
              <w:tab/>
            </w:r>
            <w:r>
              <w:t>подчертава, че спешно са необходими международно сътрудничество</w:t>
            </w:r>
            <w:r>
              <w:rPr>
                <w:b/>
                <w:i/>
                <w:strike w:val="0"/>
                <w:color w:val="auto"/>
                <w:highlight w:val="none"/>
                <w:u w:val="none" w:color="auto"/>
                <w:vertAlign w:val="baseline"/>
              </w:rPr>
              <w:t>,</w:t>
            </w:r>
            <w:r>
              <w:t xml:space="preserve"> решителни трансформиращи действия </w:t>
            </w:r>
            <w:r>
              <w:rPr>
                <w:b/>
                <w:i/>
                <w:strike w:val="0"/>
                <w:color w:val="auto"/>
                <w:highlight w:val="none"/>
                <w:u w:val="none" w:color="auto"/>
                <w:vertAlign w:val="baseline"/>
              </w:rPr>
              <w:t>и повече помощ за развитие в света,</w:t>
            </w:r>
            <w:r>
              <w:t xml:space="preserve"> за да могат нашите общества и икономики твърдо да поемат по пътя към постигане на ЦУР и преодоляване на тройната планетарна криза</w:t>
            </w:r>
            <w:r>
              <w:rPr>
                <w:b/>
                <w:i/>
                <w:strike w:val="0"/>
                <w:color w:val="auto"/>
                <w:highlight w:val="none"/>
                <w:u w:val="none" w:color="auto"/>
                <w:vertAlign w:val="baseline"/>
              </w:rPr>
              <w:t>: изменението на климата, замърсяването и загубата на биологично разнообразие</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подчертава, че водещата роля на ЕС в изпълнението на ЦУР на световно равнище продължава да бъде от решаващо значение, особено с оглед на многобройните геополитически предизвикателства и настоящите кризи;</w:t>
            </w:r>
          </w:p>
        </w:tc>
        <w:tc>
          <w:tcPr>
            <w:tcW w:w="4876" w:type="dxa"/>
            <w:vAlign w:val="top"/>
          </w:tcPr>
          <w:p>
            <w:pPr>
              <w:pStyle w:val="Normal6a"/>
            </w:pPr>
            <w:r>
              <w:t>4.</w:t>
            </w:r>
            <w:r>
              <w:tab/>
            </w:r>
            <w:r>
              <w:t>подчертава, че водещата роля на ЕС в изпълнението на ЦУР на световно равнище продължава да бъде от решаващо значение, особено с оглед на многобройните геополитически предизвикателства и настоящите кризи</w:t>
            </w:r>
            <w:r>
              <w:rPr>
                <w:b/>
                <w:i/>
                <w:strike w:val="0"/>
                <w:color w:val="auto"/>
                <w:highlight w:val="none"/>
                <w:u w:val="none" w:color="auto"/>
                <w:vertAlign w:val="baseline"/>
              </w:rPr>
              <w:t>, включително нарастващата съпротива срещу ЦУР и враждебните реакции срещу равенството между половете и международната рамка за правата на човека, която има за цел да защити групите в уязвимо или маргинализирано положение по целия свят, включително жените, момичетата и ЛГБТИК+ лицата;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4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4а.</w:t>
            </w:r>
            <w:r>
              <w:tab/>
            </w:r>
            <w:r>
              <w:rPr>
                <w:b/>
                <w:i/>
                <w:strike w:val="0"/>
                <w:color w:val="auto"/>
                <w:highlight w:val="none"/>
                <w:u w:val="none" w:color="auto"/>
                <w:vertAlign w:val="baseline"/>
              </w:rPr>
              <w:t>признава продължаващите усилия на Европейския съюз и значителния напредък, особено по отношение на ЦУР 8, но същевременно признава необходимостта от допълнителни подобрения в постигането на ЦУР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4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4б.</w:t>
            </w:r>
            <w:r>
              <w:tab/>
            </w:r>
            <w:r>
              <w:rPr>
                <w:b/>
                <w:i/>
                <w:strike w:val="0"/>
                <w:color w:val="auto"/>
                <w:highlight w:val="none"/>
                <w:u w:val="none" w:color="auto"/>
                <w:vertAlign w:val="baseline"/>
              </w:rPr>
              <w:t>подчертава, че ЕС следва да даде приоритет на политиките, които подкрепят жените, момичетата и семействата, като гарантира, че тяхното икономическо и социално благосъстояние се разглежда като ключово за постигането на ЦУР, например намаляването на бедността, качественото образование и равенството между половете;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изразява съжаление относно незначителния или умерен напредък по повечето целеви стойности по ЦУР 3 и забавянето на темпа от 2015 г. насам в много ключови области; отбелязва със загриженост, че по-малко от 10% от целевите стойности по ЦУР 3 се развиват по план и по-малко от една трета е вероятно да бъдат постигнати до 2030 г.;</w:t>
            </w:r>
          </w:p>
        </w:tc>
        <w:tc>
          <w:tcPr>
            <w:tcW w:w="4876" w:type="dxa"/>
            <w:vAlign w:val="top"/>
          </w:tcPr>
          <w:p>
            <w:pPr>
              <w:pStyle w:val="Normal6a"/>
            </w:pPr>
            <w:r>
              <w:t>5.</w:t>
            </w:r>
            <w:r>
              <w:tab/>
            </w:r>
            <w:r>
              <w:t>изразява съжаление относно незначителния или умерен напредък по повечето целеви стойности по ЦУР 3 и забавянето на темпа от 2015 г. насам в много ключови области; отбелязва със загриженост, че по-малко от 10% от целевите стойности по ЦУР 3 се развиват по план и по-малко от една трета е вероятно да бъдат постигнати до 2030 г.;</w:t>
            </w:r>
            <w:r>
              <w:rPr>
                <w:b/>
                <w:i/>
                <w:strike w:val="0"/>
                <w:color w:val="auto"/>
                <w:highlight w:val="none"/>
                <w:u w:val="none" w:color="auto"/>
                <w:vertAlign w:val="baseline"/>
              </w:rPr>
              <w:t xml:space="preserve"> припомня, че в ЕС съществуват големи неравенства между половете и че от 2010 г. насам напредъкът в преодоляването на тези неравенства е много ограничен;</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5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5а.</w:t>
            </w:r>
            <w:r>
              <w:tab/>
            </w:r>
            <w:r>
              <w:rPr>
                <w:b/>
                <w:i/>
                <w:strike w:val="0"/>
                <w:color w:val="auto"/>
                <w:highlight w:val="none"/>
                <w:u w:val="none" w:color="auto"/>
                <w:vertAlign w:val="baseline"/>
              </w:rPr>
              <w:t>изразява загриженост относно продължаващата практика на генитално осакатяване на жени и изразява съчувствие към жертвите; подчертава, че през март 2024 г. УНИЦЕФ коригира броя на жертвите на над 230 милиона души, което представлява увеличение с 15% спрямо 2016 г. (около 30 милиона повече), въпреки спада, наблюдаван в някои държави;</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5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5б.</w:t>
            </w:r>
            <w:r>
              <w:tab/>
            </w:r>
            <w:r>
              <w:rPr>
                <w:b/>
                <w:i/>
                <w:strike w:val="0"/>
                <w:color w:val="auto"/>
                <w:highlight w:val="none"/>
                <w:u w:val="none" w:color="auto"/>
                <w:vertAlign w:val="baseline"/>
              </w:rPr>
              <w:t>признава, че неотдавнашното намаление на финансирането по линия на USAID допълнително ще възпрепятства напредъка по ЦУР 3, което ще окаже въздействие по-специално върху достъпа на жените и момичетата до услуги в областта на репродуктивното здраве и здравни услуги за майките;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подчертава, че многобройните и взаимосвързани кризи, слабата здравна инфраструктура, икономическата нестабилност, бедността, трайните неравенства, особено сред уязвимото население и региони, и все по-ограничените ресурси заплашват допълнително да забавят напредъка към постигането на целевите стойности по ЦУР 3;</w:t>
            </w:r>
          </w:p>
        </w:tc>
        <w:tc>
          <w:tcPr>
            <w:tcW w:w="4876" w:type="dxa"/>
            <w:vAlign w:val="top"/>
          </w:tcPr>
          <w:p>
            <w:pPr>
              <w:pStyle w:val="Normal6a"/>
            </w:pPr>
            <w:r>
              <w:t>6.</w:t>
            </w:r>
            <w:r>
              <w:tab/>
            </w:r>
            <w:r>
              <w:t>подчертава, че многобройните</w:t>
            </w:r>
            <w:r>
              <w:rPr>
                <w:b/>
                <w:i/>
                <w:strike w:val="0"/>
                <w:color w:val="auto"/>
                <w:highlight w:val="none"/>
                <w:u w:val="none" w:color="auto"/>
                <w:vertAlign w:val="baseline"/>
              </w:rPr>
              <w:t>, взаимосвързани</w:t>
            </w:r>
            <w:r>
              <w:t xml:space="preserve"> и </w:t>
            </w:r>
            <w:r>
              <w:rPr>
                <w:b/>
                <w:i/>
                <w:strike w:val="0"/>
                <w:color w:val="auto"/>
                <w:highlight w:val="none"/>
                <w:u w:val="none" w:color="auto"/>
                <w:vertAlign w:val="baseline"/>
              </w:rPr>
              <w:t>нарастващи</w:t>
            </w:r>
            <w:r>
              <w:t xml:space="preserve"> кризи, </w:t>
            </w:r>
            <w:r>
              <w:rPr>
                <w:b/>
                <w:i/>
                <w:strike w:val="0"/>
                <w:color w:val="auto"/>
                <w:highlight w:val="none"/>
                <w:u w:val="none" w:color="auto"/>
                <w:vertAlign w:val="baseline"/>
              </w:rPr>
              <w:t>например</w:t>
            </w:r>
            <w:r>
              <w:t xml:space="preserve"> слабата здравна инфраструктура, икономическата нестабилност, </w:t>
            </w:r>
            <w:r>
              <w:rPr>
                <w:b/>
                <w:i/>
                <w:strike w:val="0"/>
                <w:color w:val="auto"/>
                <w:highlight w:val="none"/>
                <w:u w:val="none" w:color="auto"/>
                <w:vertAlign w:val="baseline"/>
              </w:rPr>
              <w:t>нарастващото геополитическо напрежение</w:t>
            </w:r>
            <w:r>
              <w:t xml:space="preserve">, бедността </w:t>
            </w:r>
            <w:r>
              <w:rPr>
                <w:b/>
                <w:i/>
                <w:strike w:val="0"/>
                <w:color w:val="auto"/>
                <w:highlight w:val="none"/>
                <w:u w:val="none" w:color="auto"/>
                <w:vertAlign w:val="baseline"/>
              </w:rPr>
              <w:t>и трайните неравенства, включително между половете,</w:t>
            </w:r>
            <w:r>
              <w:t xml:space="preserve"> особено сред уязвимото население и региони, </w:t>
            </w:r>
            <w:r>
              <w:rPr>
                <w:b/>
                <w:i/>
                <w:strike w:val="0"/>
                <w:color w:val="auto"/>
                <w:highlight w:val="none"/>
                <w:u w:val="none" w:color="auto"/>
                <w:vertAlign w:val="baseline"/>
              </w:rPr>
              <w:t>както</w:t>
            </w:r>
            <w:r>
              <w:t xml:space="preserve"> и фактът, че ресурсите са все по-ограничени </w:t>
            </w:r>
            <w:r>
              <w:rPr>
                <w:b/>
                <w:i/>
                <w:strike w:val="0"/>
                <w:color w:val="auto"/>
                <w:highlight w:val="none"/>
                <w:u w:val="none" w:color="auto"/>
                <w:vertAlign w:val="baseline"/>
              </w:rPr>
              <w:t>и че липсват медицински изследвания, отчитащи аспектите на пола</w:t>
            </w:r>
            <w:r>
              <w:t>, заплашват допълнително да забавят напредъка към постигането на целевите стойности по ЦУР 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отбелязва със загриженост оттеглянето на САЩ от Световната здравна организация (СЗО) и пълното замразяване на тяхната официална помощ за развитие (ОПР); подчертава, че като се има предвид ролята на USAID за укрепване на здравето в световен мащаб, това ще окаже огромно въздействие върху живота на хората и достъпа до здравни услуги в световен мащаб, включително за милиони жени и момичета; освен това подчертава, че възстановеното спиране на финансирането от САЩ за организации, подкрепящи абортите, засяга особено сексуалното и репродуктивното здраве и права (СРЗП); призовава Комисията и държавите членки да преодолеят пропуските, оставени от САЩ, включително чрез увеличаване на приноса на ЕС към ключови инициативи за СРЗП, например Партньорството за доставки на Фонда на ООН за населението (UNFPA) и инициативата на „Екип Европа“ за СРЗП в Субсахарска Африка;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6б.</w:t>
            </w:r>
            <w:r>
              <w:tab/>
            </w:r>
            <w:r>
              <w:rPr>
                <w:b/>
                <w:i/>
                <w:strike w:val="0"/>
                <w:color w:val="auto"/>
                <w:highlight w:val="none"/>
                <w:u w:val="none" w:color="auto"/>
                <w:vertAlign w:val="baseline"/>
              </w:rPr>
              <w:t>изразява съжаление във връзка с премахването в световен мащаб на помощта за развитие, което засяга главно достъпността на здравеопазването в най-бедните региони и за най-маргинализираните хора, например жените и момичетата; счита, че разпадането на нестабилните системи на здравеопазване представлява потенциален риск за здравето на населението в световен мащаб; призовава за решителни действия във всички държави членки, както и като част от външните политики на ЕС да се постигне значителен напредък по отношение на постигането на целта за 2030 г., а именно намаляване на майчината смъртност и гарантиране на всеобщ достъп до услуги в областта на сексуалното и репродуктивното здраве, включително услуги за семейно планиране и извършване на законни и безопасни аборти, здравни услуги за майките, както и постигането на всеобщо здравно осигуряване, включително достъп до безопасни, ефективни, качествени и финансово достъпни есенциални лекарства за всички; призовава ЕС приоритетно да гарантира във всички държави членки достъп до безопасен и ефективен метод за контрацепция по собствен избор и до безопасни и законни услуги за аборт;</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г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6г.</w:t>
            </w:r>
            <w:r>
              <w:tab/>
            </w:r>
            <w:r>
              <w:t>призовава ЕС и неговите държави членки да дадат приоритет на осигуряването на достъп за момчетата и момичетата до задължително, основано на факти, съобразено с възрастта всеобхватно образование в областта на сексуалността и взаимоотношенията, както и информация относно семейното планиране, като се имат предвид 164-те милиона жени, за които се счита, че имат неудовлетворени потребности в тази област</w:t>
            </w:r>
            <w:r>
              <w:rPr>
                <w:rStyle w:val="Sup"/>
              </w:rPr>
              <w:t>1а</w:t>
            </w:r>
            <w:r>
              <w:t>, като същевременно ЕС и държавите членки следва да допринасят за тези усилия чрез външни политики;</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Департамент по икономически и социални въпроси на ООН, World Family Planning 2022 (Семейно планиране по света, 2022 г.), https://www.un.org/development/desa/pd/sites/www.un.org.development.desa.pd/files/files/documents/2023/Feb/undesa_pd_2022_world-family-planning.pdf.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д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6д.</w:t>
            </w:r>
            <w:r>
              <w:tab/>
            </w:r>
            <w:r>
              <w:rPr>
                <w:b/>
                <w:i/>
                <w:strike w:val="0"/>
                <w:color w:val="auto"/>
                <w:highlight w:val="none"/>
                <w:u w:val="none" w:color="auto"/>
                <w:vertAlign w:val="baseline"/>
              </w:rPr>
              <w:t>призовава ЕС да изпълни плановете, включени в стратегията за психичното здраве, и да предприеме по-решителни действия за гарантиране на добро психично здраве за всички, особено като се вземе предвид перспективата за равенство между половете и как жените и ЛГБТИК+ лицата са по-често засегнати от проблеми с психичното си здраве;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e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6e.</w:t>
            </w:r>
            <w:r>
              <w:tab/>
            </w:r>
            <w:r>
              <w:rPr>
                <w:b/>
                <w:i/>
                <w:strike w:val="0"/>
                <w:color w:val="auto"/>
                <w:highlight w:val="none"/>
                <w:u w:val="none" w:color="auto"/>
                <w:vertAlign w:val="baseline"/>
              </w:rPr>
              <w:t>припомня, че пълното осъществяване на СРЗП и поддържането на телесната автономност на жените и момичетата са от решаващо значение за постигането на равенство между половете; подчертава, че СРЗП са неразделна част от всеобщото здравно осигуряване и са от решаващо значение за постигането на ЦУР 3, по-специално цел 3.7; призовава Комисията да гарантира, че СРЗП са включени в инициативите и програмите на ЕС за всеобщо здравно осигуряване;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ж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6ж.</w:t>
            </w:r>
            <w:r>
              <w:tab/>
            </w:r>
            <w:r>
              <w:rPr>
                <w:b/>
                <w:i/>
                <w:strike w:val="0"/>
                <w:color w:val="auto"/>
                <w:highlight w:val="none"/>
                <w:u w:val="none" w:color="auto"/>
                <w:vertAlign w:val="baseline"/>
              </w:rPr>
              <w:t>предупреждава, че целите, определени в ЦУР 3 и 5, няма да бъдат постигнати, ако всеобщият достъп до сексуално и репродуктивно здраве и репродуктивни права не е гарантиран в ЕС и в световен мащаб; припомня, че достъпът до основни здравни услуги и необходимите лекарства, до безопасен и ефективен метод за контрацепция по собствен избор и до услуги за законен аборт е основен аспект на сексуалното и репродуктивното здравеопазване;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39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з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6з.</w:t>
            </w:r>
            <w:r>
              <w:tab/>
            </w:r>
            <w:r>
              <w:rPr>
                <w:b/>
                <w:i/>
                <w:strike w:val="0"/>
                <w:color w:val="auto"/>
                <w:highlight w:val="none"/>
                <w:u w:val="none" w:color="auto"/>
                <w:vertAlign w:val="baseline"/>
              </w:rPr>
              <w:t>припомня, че нежеланата бременност може да има значителни физически, емоционални и финансови последици за отделните лица и семействата и да причини особено значителни вреди на малолетните и непълнолетните лица в случаите на бременност сред подрастващите; подчертава, че грижите за извършване на законен аборт са животоспасяващи по време на спонтанни аборти и други животозастрашаващи акушерски извънредни ситуации, както и че законният и ефективен достъп до безопасни аборти може да спомогне за справяне с големи усложнения и за избягване на високорискови бременности, които могат да доведат до смъртност при майките и кърмачетата;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и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6и.</w:t>
            </w:r>
            <w:r>
              <w:tab/>
            </w:r>
            <w:r>
              <w:rPr>
                <w:b/>
                <w:i/>
                <w:strike w:val="0"/>
                <w:color w:val="auto"/>
                <w:highlight w:val="none"/>
                <w:u w:val="none" w:color="auto"/>
                <w:vertAlign w:val="baseline"/>
              </w:rPr>
              <w:t>освен това подчертава, че лекарствата за аборт предоставят безопасна и по-малко инвазивна алтернатива на хирургическите аборти и правят грижите при аборти и спонтанни аборти по-достъпни за лицата, които живеят в райони, където достъпът до хирургически аборти е труден поради географски или други пречки, както и че навременният достъп до безопасни лекарства за аборт може също така да позволи на пациентите сами да управляват абортите, изцяло или частично, като по този начин се предотвратява забавянето на грижите, което може да доведе до допълнителни рискове за здравето;</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6 й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6й.</w:t>
            </w:r>
            <w:r>
              <w:tab/>
            </w:r>
            <w:r>
              <w:t>призовава ЕС бързо да приеме акта за критично важните лекарства</w:t>
            </w:r>
            <w:r>
              <w:rPr>
                <w:rStyle w:val="Sup"/>
              </w:rPr>
              <w:t>1а</w:t>
            </w:r>
            <w:r>
              <w:t xml:space="preserve"> и да гарантира, че той осигурява достъпността и наличността по всяко време в целия ЕС на основни лекарства в областта на сексуалното и репродуктивното здраве от списъка на СЗО на есенциалните лекарства;</w:t>
            </w:r>
            <w:r>
              <w:rPr>
                <w:b/>
                <w:i/>
                <w:strike w:val="0"/>
                <w:color w:val="auto"/>
                <w:highlight w:val="none"/>
                <w:u w:val="none" w:color="auto"/>
                <w:vertAlign w:val="baseline"/>
              </w:rPr>
              <w:t xml:space="preserve"> призовава Европейската агенция по лекарствата да актуализира списъка на ЕС на критично важните лекарства, за да обхване пълния списък на есенциалните лекарства в областта на сексуалното и репродуктивното здраве, включени в списъка на СЗО на есенциалните лекарства, например противозачатъчните средства и лекарствата за аборт; призовава ЕС да гарантира систематичното включване на есенциални лекарства в областта на сексуалното и репродуктивното здраве като част от хуманитарната помощ за държави извън ЕС;</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COM(2025)0102.</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призовава за засилени координирани действия и значителни инвестиции за постигане на всеобщо здравно осигуряване, укрепване на здравните системи, гарантиране на равен достъп до лекарства и ваксини, насърчаване на профилактиката и лечението на заболяванията, справяне с утежняващите фактори за околната среда и преодоляване на различията в достъпа до качествени грижи и услуги, особено за уязвимото население и региони;</w:t>
            </w:r>
          </w:p>
        </w:tc>
        <w:tc>
          <w:tcPr>
            <w:tcW w:w="4876" w:type="dxa"/>
            <w:vAlign w:val="top"/>
          </w:tcPr>
          <w:p>
            <w:pPr>
              <w:pStyle w:val="Normal6a"/>
            </w:pPr>
            <w:r>
              <w:t>7.</w:t>
            </w:r>
            <w:r>
              <w:tab/>
            </w:r>
            <w:r>
              <w:t>призовава за засилени координирани действия и значителни инвестиции за постигане на всеобщо здравно осигуряване, укрепване на здравните системи, гарантиране на равен достъп до лекарства и ваксини, насърчаване на профилактиката и лечението на заболяванията, справяне с утежняващите фактори за околната среда</w:t>
            </w:r>
            <w:r>
              <w:rPr>
                <w:b/>
                <w:i/>
                <w:strike w:val="0"/>
                <w:color w:val="auto"/>
                <w:highlight w:val="none"/>
                <w:u w:val="none" w:color="auto"/>
                <w:vertAlign w:val="baseline"/>
              </w:rPr>
              <w:t>,</w:t>
            </w:r>
            <w:r>
              <w:t xml:space="preserve"> преодоляване на различията в достъпа до качествени грижи и услуги</w:t>
            </w:r>
            <w:r>
              <w:rPr>
                <w:b/>
                <w:i/>
                <w:strike w:val="0"/>
                <w:color w:val="auto"/>
                <w:highlight w:val="none"/>
                <w:u w:val="none" w:color="auto"/>
                <w:vertAlign w:val="baseline"/>
              </w:rPr>
              <w:t>, особено за хората в уязвимо положение</w:t>
            </w:r>
            <w:r>
              <w:t>, уязвимото население и региони</w:t>
            </w:r>
            <w:r>
              <w:t>, включително малцинствата, жените и момичетата, както и хората с увреждания;</w:t>
            </w:r>
            <w:r>
              <w:rPr>
                <w:b/>
                <w:i/>
                <w:strike w:val="0"/>
                <w:color w:val="auto"/>
                <w:highlight w:val="none"/>
                <w:u w:val="none" w:color="auto"/>
                <w:vertAlign w:val="baseline"/>
              </w:rPr>
              <w:t xml:space="preserve"> подчертава, че е важно да се гарантира достъп до здравеопазване за всички като основно право; </w:t>
            </w:r>
            <w:r>
              <w:t>подчертава, че е необходимо да се подкрепя достъпът до здравеопазване и образование за момичетата в извънредни ситуации, момичетата мигранти, вътрешно разселените момичета и момичетата бежанци, както и за момичетата в хуманитарни кризи и ситуации на конфликт;</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7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7а.</w:t>
            </w:r>
            <w:r>
              <w:tab/>
            </w:r>
            <w:r>
              <w:rPr>
                <w:b/>
                <w:i/>
                <w:strike w:val="0"/>
                <w:color w:val="auto"/>
                <w:highlight w:val="none"/>
                <w:u w:val="none" w:color="auto"/>
                <w:vertAlign w:val="baseline"/>
              </w:rPr>
              <w:t>призовава за засилени координирани действия и значителни инвестиции за постигане на всеобщо здравно осигуряване, укрепване на здравните системи, гарантиране на равен достъп до лекарства и ваксини, насърчаване на профилактиката и лечението на заболяванията, справяне с утежняващите фактори за околната среда, преодоляване на предизвикателствата, свързани с психичното здраве, и намаляване на различията в достъпа до качествени грижи и услуги, особено за уязвимото население и региони;</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призовава всеобщото право на здравословна околна среда да бъде добавено към Европейската конвенция за правата на човека и Хартата на основните права на ЕС, както и да бъде въведена правно обвързваща рамка;</w:t>
            </w:r>
          </w:p>
        </w:tc>
        <w:tc>
          <w:tcPr>
            <w:tcW w:w="4876" w:type="dxa"/>
            <w:vAlign w:val="top"/>
          </w:tcPr>
          <w:p>
            <w:pPr>
              <w:pStyle w:val="Normal6a"/>
            </w:pPr>
            <w:r>
              <w:t>8.</w:t>
            </w:r>
            <w:r>
              <w:tab/>
            </w:r>
            <w:r>
              <w:rPr>
                <w:b/>
                <w:i/>
                <w:strike w:val="0"/>
                <w:color w:val="auto"/>
                <w:highlight w:val="none"/>
                <w:u w:val="none" w:color="auto"/>
                <w:vertAlign w:val="baseline"/>
              </w:rPr>
              <w:t>счита, че</w:t>
            </w:r>
            <w:r>
              <w:t xml:space="preserve"> здравословната околна среда</w:t>
            </w:r>
            <w:r>
              <w:rPr>
                <w:b/>
                <w:i/>
                <w:strike w:val="0"/>
                <w:color w:val="auto"/>
                <w:highlight w:val="none"/>
                <w:u w:val="none" w:color="auto"/>
                <w:vertAlign w:val="baseline"/>
              </w:rPr>
              <w:t xml:space="preserve"> е решаващ фактор за подобряване на здравето;</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8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 xml:space="preserve">изразява съжаление, че нито една държава не върви по график в постигането на равенство между половете до 2030 г., а почти 40% от държавите показват непроменени или дори влошени резултати по отношение на равенството между половете между 2019 г. и 2022 г.; отбелязва, че това отстъпление съвпада с възхода на консервативни, реакционни и женомразки тенденции, които работят срещу правата на жените по света; </w:t>
            </w:r>
            <w:r>
              <w:t>предупреждава, че ако настоящите тенденции към отстъпление и застой по отношение на равенството между половете наберат скорост, неравенството между половете в световен мащаб би могло през 2030 г. да е по-високо, отколкото когато ЦУР бяха договорени през 2015 г.</w:t>
            </w:r>
            <w:r>
              <w:rPr>
                <w:rStyle w:val="Sup"/>
              </w:rPr>
              <w:t>1а</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Equal Measures 2030, Findings from the 2024 SDG Gender Index – A gender equal future in crisis? (Констатации от индекса за равенство между половете за 2024 г. – в криза ли е равенството между половете в бъдеще?),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8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8б.</w:t>
            </w:r>
            <w:r>
              <w:tab/>
            </w:r>
            <w:r>
              <w:rPr>
                <w:b/>
                <w:i/>
                <w:strike w:val="0"/>
                <w:color w:val="auto"/>
                <w:highlight w:val="none"/>
                <w:u w:val="none" w:color="auto"/>
                <w:vertAlign w:val="baseline"/>
              </w:rPr>
              <w:t>подчертава хоризонталния характер на ЦУР 5 и нейното значение за изпълнението на Програмата до 2030 г.; подчертава, че постигането на равенство между половете пряко допълва всички други ЦУР и тези цели не могат да бъдат осъществени, без да се постигне напредък по отношение на правата на жените и момичетата и равенството между половете;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призовава за ускорени, целенасочени действия за прекратяване на всички форми на насилие и тормоз срещу жени, момичета и ЛГБТИК+ лица, включително сексуалното и основаното на пола насилие, </w:t>
            </w:r>
            <w:r>
              <w:rPr>
                <w:b/>
                <w:i/>
                <w:strike w:val="0"/>
                <w:color w:val="auto"/>
                <w:highlight w:val="none"/>
                <w:u w:val="none" w:color="auto"/>
                <w:vertAlign w:val="baseline"/>
              </w:rPr>
              <w:t>както и</w:t>
            </w:r>
            <w:r>
              <w:t xml:space="preserve"> за прекратяване на вредни практики като детските бракове </w:t>
            </w:r>
            <w:r>
              <w:rPr>
                <w:b/>
                <w:i/>
                <w:strike w:val="0"/>
                <w:color w:val="auto"/>
                <w:highlight w:val="none"/>
                <w:u w:val="none" w:color="auto"/>
                <w:vertAlign w:val="baseline"/>
              </w:rPr>
              <w:t>и</w:t>
            </w:r>
            <w:r>
              <w:t xml:space="preserve"> гениталното осакатяване на жени;</w:t>
            </w:r>
          </w:p>
        </w:tc>
        <w:tc>
          <w:tcPr>
            <w:tcW w:w="4876" w:type="dxa"/>
            <w:vAlign w:val="top"/>
          </w:tcPr>
          <w:p>
            <w:pPr>
              <w:pStyle w:val="Normal6a"/>
            </w:pPr>
            <w:r>
              <w:t>9.</w:t>
            </w:r>
            <w:r>
              <w:tab/>
            </w:r>
            <w:r>
              <w:rPr>
                <w:b/>
                <w:i/>
                <w:strike w:val="0"/>
                <w:color w:val="auto"/>
                <w:highlight w:val="none"/>
                <w:u w:val="none" w:color="auto"/>
                <w:vertAlign w:val="baseline"/>
              </w:rPr>
              <w:t xml:space="preserve">отново заявява, че обществото без насилие, основано на пола, е абсолютно необходима предпоставка за постигане на равенство между половете; </w:t>
            </w:r>
            <w:r>
              <w:t xml:space="preserve">призовава за ускорени, целенасочени действия за прекратяване на всички форми на насилие и тормоз срещу жени, момичета и ЛГБТИК+ лица, включително сексуалното и основаното на пола насилие, за прекратяване на вредни практики като детските </w:t>
            </w:r>
            <w:r>
              <w:rPr>
                <w:b/>
                <w:i/>
                <w:strike w:val="0"/>
                <w:color w:val="auto"/>
                <w:highlight w:val="none"/>
                <w:u w:val="none" w:color="auto"/>
                <w:vertAlign w:val="baseline"/>
              </w:rPr>
              <w:t>и принудителните</w:t>
            </w:r>
            <w:r>
              <w:t xml:space="preserve"> бракове</w:t>
            </w:r>
            <w:r>
              <w:rPr>
                <w:b/>
                <w:i/>
                <w:strike w:val="0"/>
                <w:color w:val="auto"/>
                <w:highlight w:val="none"/>
                <w:u w:val="none" w:color="auto"/>
                <w:vertAlign w:val="baseline"/>
              </w:rPr>
              <w:t>, на които са подложени 12 милиона момичета всяка година</w:t>
            </w:r>
            <w:r>
              <w:rPr>
                <w:rStyle w:val="SupBoldItalic"/>
              </w:rPr>
              <w:t>1а</w:t>
            </w:r>
            <w:r>
              <w:rPr>
                <w:b/>
                <w:i/>
                <w:strike w:val="0"/>
                <w:color w:val="auto"/>
                <w:highlight w:val="none"/>
                <w:u w:val="none" w:color="auto"/>
                <w:vertAlign w:val="baseline"/>
              </w:rPr>
              <w:t>,</w:t>
            </w:r>
            <w:r>
              <w:t xml:space="preserve"> гениталното осакатяване на жени</w:t>
            </w:r>
            <w:r>
              <w:rPr>
                <w:b/>
                <w:i/>
                <w:strike w:val="0"/>
                <w:color w:val="auto"/>
                <w:highlight w:val="none"/>
                <w:u w:val="none" w:color="auto"/>
                <w:vertAlign w:val="baseline"/>
              </w:rPr>
              <w:t>, селективното абортиране на момичета, както и за борба срещу използването на основано на пола насилие като средство за водене на война;</w:t>
            </w:r>
            <w:r>
              <w:rPr>
                <w:b/>
                <w:i/>
                <w:strike w:val="0"/>
                <w:color w:val="auto"/>
                <w:highlight w:val="none"/>
                <w:u w:val="none" w:color="auto"/>
                <w:vertAlign w:val="baseline"/>
              </w:rPr>
              <w:t xml:space="preserve"> счита, че гражданската ангажираност и организациите на жените на местно равнище са от съществено значение за постигането на тази цел; изразява загриженост относно увеличаването в световен мащаб на наказателното преследване на защитниците на правата на човека, по-специално що се отнася до тези, които защитават правата на жените и малцинствата; </w:t>
            </w:r>
            <w:r>
              <w:rPr>
                <w:b/>
                <w:i/>
                <w:strike w:val="0"/>
                <w:color w:val="auto"/>
                <w:highlight w:val="none"/>
                <w:u w:val="none" w:color="auto"/>
                <w:vertAlign w:val="baseline"/>
              </w:rPr>
              <w:t>изразява загриженост относно високите равнища на майчина смъртност в страни с ниски и по-ниски средни доходи</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1а</w:t>
            </w:r>
            <w:r>
              <w:t xml:space="preserve"> </w:t>
            </w:r>
            <w:r>
              <w:rPr>
                <w:b/>
                <w:i/>
                <w:strike w:val="0"/>
                <w:color w:val="auto"/>
                <w:highlight w:val="none"/>
                <w:u w:val="none" w:color="auto"/>
                <w:vertAlign w:val="baseline"/>
              </w:rPr>
              <w:t>УНИЦЕФ, ‘Fast Facts: 10 facts illustrating why we must #EndChildMarriage’ (Бързи факти: Десет факта, илюстриращи защо трябва да бъдем за #Слагането на край на детските бракове), 10 февруари 2019 г., https://www.unicef.org/press-releases/fast-facts-10-facts-illustrating-why-we-must-endchildmarriage.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9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9а.</w:t>
            </w:r>
            <w:r>
              <w:tab/>
            </w:r>
            <w:r>
              <w:rPr>
                <w:b/>
                <w:i/>
                <w:strike w:val="0"/>
                <w:color w:val="auto"/>
                <w:highlight w:val="none"/>
                <w:u w:val="none" w:color="auto"/>
                <w:vertAlign w:val="baseline"/>
              </w:rPr>
              <w:t>подчертава, че изнасилването продължава да бъде едно от най-широко разпространените нарушения на правата на човека, и настоятелно призовава за установяване на общо определение за изнасилване въз основа на липсата на съгласие;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49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9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9б.</w:t>
            </w:r>
            <w:r>
              <w:tab/>
            </w:r>
            <w:r>
              <w:rPr>
                <w:b/>
                <w:i/>
                <w:strike w:val="0"/>
                <w:color w:val="auto"/>
                <w:highlight w:val="none"/>
                <w:u w:val="none" w:color="auto"/>
                <w:vertAlign w:val="baseline"/>
              </w:rPr>
              <w:t>изразява съжаление във връзка с глобалното отхвърляне на правата на жените и осъжда всяко действащо лице, което предприема действия за подкопаване на постиженията в областта на равенството между половете в световен мащаб; призовава ЕС и държавите членки да засилят борбата за равенство между половете сега, когато САЩ лишават от финансиране организации, които се застъпват за правата на човека;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9 в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9в.</w:t>
            </w:r>
            <w:r>
              <w:tab/>
            </w:r>
            <w:r>
              <w:rPr>
                <w:b/>
                <w:i/>
                <w:strike w:val="0"/>
                <w:color w:val="auto"/>
                <w:highlight w:val="none"/>
                <w:u w:val="none" w:color="auto"/>
                <w:vertAlign w:val="baseline"/>
              </w:rPr>
              <w:t>призовава за по-решителни действия за борба със засиленото разпространение онлайн на словото на омразата, насочено срещу пола, и увеличените заплахи, пред които са изправени жените на политически длъжности, което води до по-малко жени, заемащи длъжности, и до това, жените често да бъдат принудени да напуснат;</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призовава </w:t>
            </w:r>
            <w:r>
              <w:rPr>
                <w:b/>
                <w:i/>
                <w:strike w:val="0"/>
                <w:color w:val="auto"/>
                <w:highlight w:val="none"/>
                <w:u w:val="none" w:color="auto"/>
                <w:vertAlign w:val="baseline"/>
              </w:rPr>
              <w:t>да продължи финансирането</w:t>
            </w:r>
            <w:r>
              <w:t xml:space="preserve"> за програми, целящи да насърчат </w:t>
            </w:r>
            <w:r>
              <w:rPr>
                <w:b/>
                <w:i/>
                <w:strike w:val="0"/>
                <w:color w:val="auto"/>
                <w:highlight w:val="none"/>
                <w:u w:val="none" w:color="auto"/>
                <w:vertAlign w:val="baseline"/>
              </w:rPr>
              <w:t>овластяването на жените</w:t>
            </w:r>
            <w:r>
              <w:t xml:space="preserve"> и борбата срещу всички форми на насилие, основано на пола; призовава Комисията да гарантира, че 85% от </w:t>
            </w:r>
            <w:r>
              <w:rPr>
                <w:b/>
                <w:i/>
                <w:strike w:val="0"/>
                <w:color w:val="auto"/>
                <w:highlight w:val="none"/>
                <w:u w:val="none" w:color="auto"/>
                <w:vertAlign w:val="baseline"/>
              </w:rPr>
              <w:t>всички нови външни действия</w:t>
            </w:r>
            <w:r>
              <w:t xml:space="preserve"> включват равенството между половете като важна или основна цел и че 20% от официалната помощ за развитие във всяка държава се разпределя за програми, в които равенството между половете е една от основните цели;</w:t>
            </w:r>
          </w:p>
        </w:tc>
        <w:tc>
          <w:tcPr>
            <w:tcW w:w="4876" w:type="dxa"/>
            <w:vAlign w:val="top"/>
          </w:tcPr>
          <w:p>
            <w:pPr>
              <w:pStyle w:val="Normal6a"/>
            </w:pPr>
            <w:r>
              <w:t>10.</w:t>
            </w:r>
            <w:r>
              <w:tab/>
            </w:r>
            <w:r>
              <w:t xml:space="preserve">призовава </w:t>
            </w:r>
            <w:r>
              <w:rPr>
                <w:b/>
                <w:i/>
                <w:strike w:val="0"/>
                <w:color w:val="auto"/>
                <w:highlight w:val="none"/>
                <w:u w:val="none" w:color="auto"/>
                <w:vertAlign w:val="baseline"/>
              </w:rPr>
              <w:t>за увеличено финансиране</w:t>
            </w:r>
            <w:r>
              <w:t xml:space="preserve"> за програми, целящи да насърчат </w:t>
            </w:r>
            <w:r>
              <w:rPr>
                <w:b/>
                <w:i/>
                <w:strike w:val="0"/>
                <w:color w:val="auto"/>
                <w:highlight w:val="none"/>
                <w:u w:val="none" w:color="auto"/>
                <w:vertAlign w:val="baseline"/>
              </w:rPr>
              <w:t>равенството между половете</w:t>
            </w:r>
            <w:r>
              <w:t xml:space="preserve"> и борбата срещу всички форми на насилие, основано на пола; призовава Комисията да гарантира, че </w:t>
            </w:r>
            <w:r>
              <w:rPr>
                <w:b/>
                <w:i/>
                <w:strike w:val="0"/>
                <w:color w:val="auto"/>
                <w:highlight w:val="none"/>
                <w:u w:val="none" w:color="auto"/>
                <w:vertAlign w:val="baseline"/>
              </w:rPr>
              <w:t>всички финансирани от ЕС действия интегрират измерението, свързано с пола, и че</w:t>
            </w:r>
            <w:r>
              <w:t xml:space="preserve"> 85% от </w:t>
            </w:r>
            <w:r>
              <w:rPr>
                <w:b/>
                <w:i/>
                <w:strike w:val="0"/>
                <w:color w:val="auto"/>
                <w:highlight w:val="none"/>
                <w:u w:val="none" w:color="auto"/>
                <w:vertAlign w:val="baseline"/>
              </w:rPr>
              <w:t>ОПР отиват за проекти, които</w:t>
            </w:r>
            <w:r>
              <w:t xml:space="preserve"> включват равенството между половете като важна или основна цел</w:t>
            </w:r>
            <w:r>
              <w:rPr>
                <w:b/>
                <w:i/>
                <w:strike w:val="0"/>
                <w:color w:val="auto"/>
                <w:highlight w:val="none"/>
                <w:u w:val="none" w:color="auto"/>
                <w:vertAlign w:val="baseline"/>
              </w:rPr>
              <w:t>,</w:t>
            </w:r>
            <w:r>
              <w:t xml:space="preserve"> и че 20% от официалната помощ за развитие във всяка държава се разпределя за програми, в които равенството между половете е една от основните цели;</w:t>
            </w:r>
            <w:r>
              <w:rPr>
                <w:b/>
                <w:i/>
                <w:strike w:val="0"/>
                <w:color w:val="auto"/>
                <w:highlight w:val="none"/>
                <w:u w:val="none" w:color="auto"/>
                <w:vertAlign w:val="baseline"/>
              </w:rPr>
              <w:t xml:space="preserve"> призовава Комисията да включи тези две цели в следващата МФР и да гарантира, че интегрирането на принципа на равенство между половете и подходът на бюджетиране, съобразено с равенството между половете, са включени във всички политики, програми и бюджети на ЕС;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10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10а.</w:t>
            </w:r>
            <w:r>
              <w:tab/>
            </w:r>
            <w:r>
              <w:rPr>
                <w:b/>
                <w:i/>
                <w:strike w:val="0"/>
                <w:color w:val="auto"/>
                <w:highlight w:val="none"/>
                <w:u w:val="none" w:color="auto"/>
                <w:vertAlign w:val="baseline"/>
              </w:rPr>
              <w:t xml:space="preserve">изразява безпокойство, че ЦУР 5 е сред най-слабо финансираните ЦУР; </w:t>
            </w:r>
            <w:r>
              <w:t>осъжда нарастващото деприоритизиране на финансирането за правата на жените и факта, че феминистките движения на местно равнище и организациите за защита на правата на жените продължават да бъдат системно недостатъчно финансирани, като получават по-малко от 1 % от общата ОПР</w:t>
            </w:r>
            <w:r>
              <w:rPr>
                <w:rStyle w:val="Sup"/>
              </w:rPr>
              <w:t>1а</w:t>
            </w:r>
            <w:r>
              <w:t>;</w:t>
            </w:r>
            <w:r>
              <w:rPr>
                <w:b/>
                <w:i/>
                <w:strike w:val="0"/>
                <w:color w:val="auto"/>
                <w:highlight w:val="none"/>
                <w:u w:val="none" w:color="auto"/>
                <w:vertAlign w:val="baseline"/>
              </w:rPr>
              <w:t xml:space="preserve"> призовава Комисията да гарантира редовно, адекватно и устойчиво финансиране за европейските програми и организации, работещи в областта на равенството между половете и правата на жените;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Обзор на политиката на ODI, ‘Where next for feminist foreign policy on funding feminist movements?’, (Кои са следващите цели за феминистката външна политика относно финансирането на феминистки движения?),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10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10б.</w:t>
            </w:r>
            <w:r>
              <w:tab/>
            </w:r>
            <w:r>
              <w:rPr>
                <w:b/>
                <w:i/>
                <w:strike w:val="0"/>
                <w:color w:val="auto"/>
                <w:highlight w:val="none"/>
                <w:u w:val="none" w:color="auto"/>
                <w:vertAlign w:val="baseline"/>
              </w:rPr>
              <w:t>изразява дълбока загриженост относно половия апартейд, който понастоящем се извършва в Афганистан; подчертава, че на 2,2 милиона момичета вече е отказан достъп до образование в Афганистан, като се очаква този брой да нарасне на 4 милиона; призовава световната общност категорично да осъди половия апартейд в Афганистан и да предприеме всички необходими действия за прекратяване на половия апартейд и за подвеждане под съдебна отговорност на отговорните лица;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10 в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10в.</w:t>
            </w:r>
            <w:r>
              <w:tab/>
            </w:r>
            <w:r>
              <w:t>изразява съжаление, че от стартирането на третия план за действие относно равенството между половете едва 3,8 % от всички действия, съобразени с равенството между половете/целенасочени действия, са имали за основна цел равенството между половете, което изостава от целта от 5 %, посочена в Регламента за ИССРМС</w:t>
            </w:r>
            <w:r>
              <w:rPr>
                <w:rStyle w:val="Sup"/>
              </w:rPr>
              <w:t>1а</w:t>
            </w:r>
            <w:r>
              <w:t>:</w:t>
            </w:r>
            <w:r>
              <w:rPr>
                <w:b/>
                <w:i/>
                <w:strike w:val="0"/>
                <w:color w:val="auto"/>
                <w:highlight w:val="none"/>
                <w:u w:val="none" w:color="auto"/>
                <w:vertAlign w:val="baseline"/>
              </w:rPr>
              <w:t xml:space="preserve"> призовава държавите членки и Комисията да увеличат значително броя на действията на ЕС, чиято основна цел е насърчаването на равенството между половете, и да постигнат целта от 5 %; призовава ЕС да увеличи финансирането на многостранни фондове за равенство между половете, като например ООН — Жени, и за сексуално и репродуктивно здраве, като например Фонда на ООН за населението (UNFPA) и Глобалния фонд за борба със СПИН, туберкулоза и малария;</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466/2014/EС на Европейския парламент и на Съвета и за отмяна на Регламент (ЕС) 2017/1601 на Европейския парламент и на Съвета и на Регламент (ЕО, Евратом) № 480/2009 на Съвета (OВ L 209, 14.6.2021 г., стр. 1, ELI: http://data.europa.eu/eli/reg/2021/947/oj).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призовава за ускорени усилия с цел да се премахне разликата в заплащането на жените и мъжете, </w:t>
            </w:r>
            <w:r>
              <w:rPr>
                <w:b/>
                <w:i/>
                <w:strike w:val="0"/>
                <w:color w:val="auto"/>
                <w:highlight w:val="none"/>
                <w:u w:val="none" w:color="auto"/>
                <w:vertAlign w:val="baseline"/>
              </w:rPr>
              <w:t>включително</w:t>
            </w:r>
            <w:r>
              <w:t xml:space="preserve"> в </w:t>
            </w:r>
            <w:r>
              <w:rPr>
                <w:b/>
                <w:i/>
                <w:strike w:val="0"/>
                <w:color w:val="auto"/>
                <w:highlight w:val="none"/>
                <w:u w:val="none" w:color="auto"/>
                <w:vertAlign w:val="baseline"/>
              </w:rPr>
              <w:t>икономиката</w:t>
            </w:r>
            <w:r>
              <w:t xml:space="preserve"> на </w:t>
            </w:r>
            <w:r>
              <w:rPr>
                <w:b/>
                <w:i/>
                <w:strike w:val="0"/>
                <w:color w:val="auto"/>
                <w:highlight w:val="none"/>
                <w:u w:val="none" w:color="auto"/>
                <w:vertAlign w:val="baseline"/>
              </w:rPr>
              <w:t>полагането</w:t>
            </w:r>
            <w:r>
              <w:t xml:space="preserve"> на грижи, и </w:t>
            </w:r>
            <w:r>
              <w:rPr>
                <w:b/>
                <w:i/>
                <w:strike w:val="0"/>
                <w:color w:val="auto"/>
                <w:highlight w:val="none"/>
                <w:u w:val="none" w:color="auto"/>
                <w:vertAlign w:val="baseline"/>
              </w:rPr>
              <w:t>с цел да се гарантират</w:t>
            </w:r>
            <w:r>
              <w:t xml:space="preserve"> равно участие и възможности за лидерство в публичния и частния сектор;</w:t>
            </w:r>
          </w:p>
        </w:tc>
        <w:tc>
          <w:tcPr>
            <w:tcW w:w="4876" w:type="dxa"/>
            <w:vAlign w:val="top"/>
          </w:tcPr>
          <w:p>
            <w:pPr>
              <w:pStyle w:val="Normal6a"/>
            </w:pPr>
            <w:r>
              <w:t>11.</w:t>
            </w:r>
            <w:r>
              <w:tab/>
            </w:r>
            <w:r>
              <w:t xml:space="preserve">призовава за ускорени усилия с цел да се премахне разликата в </w:t>
            </w:r>
            <w:r>
              <w:rPr>
                <w:b/>
                <w:i/>
                <w:strike w:val="0"/>
                <w:color w:val="auto"/>
                <w:highlight w:val="none"/>
                <w:u w:val="none" w:color="auto"/>
                <w:vertAlign w:val="baseline"/>
              </w:rPr>
              <w:t>заетостта между половете и разликата в</w:t>
            </w:r>
            <w:r>
              <w:t xml:space="preserve"> заплащането </w:t>
            </w:r>
            <w:r>
              <w:rPr>
                <w:b/>
                <w:i/>
                <w:strike w:val="0"/>
                <w:color w:val="auto"/>
                <w:highlight w:val="none"/>
                <w:u w:val="none" w:color="auto"/>
                <w:vertAlign w:val="baseline"/>
              </w:rPr>
              <w:t>и пенсиите</w:t>
            </w:r>
            <w:r>
              <w:t xml:space="preserve"> на жените и мъжете, </w:t>
            </w:r>
            <w:r>
              <w:rPr>
                <w:b/>
                <w:i/>
                <w:strike w:val="0"/>
                <w:color w:val="auto"/>
                <w:highlight w:val="none"/>
                <w:u w:val="none" w:color="auto"/>
                <w:vertAlign w:val="baseline"/>
              </w:rPr>
              <w:t>както и за увеличаване на инвестициите</w:t>
            </w:r>
            <w:r>
              <w:t xml:space="preserve"> в </w:t>
            </w:r>
            <w:r>
              <w:rPr>
                <w:b/>
                <w:i/>
                <w:strike w:val="0"/>
                <w:color w:val="auto"/>
                <w:highlight w:val="none"/>
                <w:u w:val="none" w:color="auto"/>
                <w:vertAlign w:val="baseline"/>
              </w:rPr>
              <w:t>обществени услуги и социална инфраструктура, и призовава за ангажимент за постигане</w:t>
            </w:r>
            <w:r>
              <w:t xml:space="preserve"> на </w:t>
            </w:r>
            <w:r>
              <w:rPr>
                <w:b/>
                <w:i/>
                <w:strike w:val="0"/>
                <w:color w:val="auto"/>
                <w:highlight w:val="none"/>
                <w:u w:val="none" w:color="auto"/>
                <w:vertAlign w:val="baseline"/>
              </w:rPr>
              <w:t>напредък по отношение на обществата за полагане</w:t>
            </w:r>
            <w:r>
              <w:t xml:space="preserve"> на грижи</w:t>
            </w:r>
            <w:r>
              <w:rPr>
                <w:b/>
                <w:i/>
                <w:strike w:val="0"/>
                <w:color w:val="auto"/>
                <w:highlight w:val="none"/>
                <w:u w:val="none" w:color="auto"/>
                <w:vertAlign w:val="baseline"/>
              </w:rPr>
              <w:t>;</w:t>
            </w:r>
            <w:r>
              <w:rPr>
                <w:b/>
                <w:i/>
                <w:strike w:val="0"/>
                <w:color w:val="auto"/>
                <w:highlight w:val="none"/>
                <w:u w:val="none" w:color="auto"/>
                <w:vertAlign w:val="baseline"/>
              </w:rPr>
              <w:t xml:space="preserve"> </w:t>
            </w:r>
            <w:r>
              <w:rPr>
                <w:b/>
                <w:i/>
                <w:strike w:val="0"/>
                <w:color w:val="auto"/>
                <w:highlight w:val="none"/>
                <w:u w:val="none" w:color="auto"/>
                <w:vertAlign w:val="baseline"/>
              </w:rPr>
              <w:t>призовава за по-справедливо остойностяване и заплащане на труда в доминираните от жени сектори</w:t>
            </w:r>
            <w:r>
              <w:t xml:space="preserve">, </w:t>
            </w:r>
            <w:r>
              <w:rPr>
                <w:b/>
                <w:i/>
                <w:strike w:val="0"/>
                <w:color w:val="auto"/>
                <w:highlight w:val="none"/>
                <w:u w:val="none" w:color="auto"/>
                <w:vertAlign w:val="baseline"/>
              </w:rPr>
              <w:t>прозрачност в заплащането, реформи в областта на социалната закрила</w:t>
            </w:r>
            <w:r>
              <w:t xml:space="preserve"> и </w:t>
            </w:r>
            <w:r>
              <w:rPr>
                <w:b/>
                <w:i/>
                <w:strike w:val="0"/>
                <w:color w:val="auto"/>
                <w:highlight w:val="none"/>
                <w:u w:val="none" w:color="auto"/>
                <w:vertAlign w:val="baseline"/>
              </w:rPr>
              <w:t>насърчаване на качествени работни места без сексуален тормоз и насилие, основано на пола;</w:t>
            </w:r>
            <w:r>
              <w:rPr>
                <w:b/>
                <w:i/>
                <w:strike w:val="0"/>
                <w:color w:val="auto"/>
                <w:highlight w:val="none"/>
                <w:u w:val="none" w:color="auto"/>
                <w:vertAlign w:val="baseline"/>
              </w:rPr>
              <w:t xml:space="preserve"> </w:t>
            </w:r>
            <w:r>
              <w:rPr>
                <w:b/>
                <w:i/>
                <w:strike w:val="0"/>
                <w:color w:val="auto"/>
                <w:highlight w:val="none"/>
                <w:u w:val="none" w:color="auto"/>
                <w:vertAlign w:val="baseline"/>
              </w:rPr>
              <w:t>призовава за усилия за гарантиране на</w:t>
            </w:r>
            <w:r>
              <w:t xml:space="preserve"> равно участие и възможности за лидерство в публичния и частния сектор </w:t>
            </w:r>
            <w:r>
              <w:rPr>
                <w:b/>
                <w:i/>
                <w:strike w:val="0"/>
                <w:color w:val="auto"/>
                <w:highlight w:val="none"/>
                <w:u w:val="none" w:color="auto"/>
                <w:vertAlign w:val="baseline"/>
              </w:rPr>
              <w:t>чрез насърчаване на балансирано представителство на половете на отговорни длъжности и вземане на решения и чрез борба със сексизма в публичната и частната сфера</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11а.</w:t>
            </w:r>
            <w:r>
              <w:tab/>
            </w:r>
            <w:r>
              <w:rPr>
                <w:b/>
                <w:i/>
                <w:strike w:val="0"/>
                <w:color w:val="auto"/>
                <w:highlight w:val="none"/>
                <w:u w:val="none" w:color="auto"/>
                <w:vertAlign w:val="baseline"/>
              </w:rPr>
              <w:t xml:space="preserve">подчертава необходимостта от насърчаване на равен достъп до образование и финансова грамотност за жените и момичетата, по-специално за тези от маргинализирани групи и засегнати от дискриминация; подчертава, че тези политики трябва да имат за цел насърчаване на равните възможности и увеличаване на шансовете на жените и момичетата да получат стабилна, добре платена и възнаграждаваща заетост, която гарантира тяхната финансова независимост; призовава на жените и момичетата да се предостави по-добър достъп до цифрови инструменти и обучение и да се стимулират програми и финансиране за жените и момичетата в областта на науката, технологиите, инженерството и математиката (НТИМ) и предприемаческите науки и дейности; </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11б.</w:t>
            </w:r>
            <w:r>
              <w:tab/>
            </w:r>
            <w:r>
              <w:rPr>
                <w:b/>
                <w:i/>
                <w:strike w:val="0"/>
                <w:color w:val="auto"/>
                <w:highlight w:val="none"/>
                <w:u w:val="none" w:color="auto"/>
                <w:vertAlign w:val="baseline"/>
              </w:rPr>
              <w:t>подчертава значението на пътната карта на Комисията за правата на жените за потвърждаването на ангажимента на ЕС за равенство между половете и за оформянето на новата стратегия за равенство между половете, която ще бъде публикувана през 2026 г.; призовава за по-голямо участие на държавите членки и за всеобхватен подход по отношение на услугите за сексуално и репродуктивно здраве, на междусекторната дискриминация и на защитата на уязвимите жени;</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в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11в.</w:t>
            </w:r>
            <w:r>
              <w:tab/>
            </w:r>
            <w:r>
              <w:rPr>
                <w:b/>
                <w:i/>
                <w:strike w:val="0"/>
                <w:color w:val="auto"/>
                <w:highlight w:val="none"/>
                <w:u w:val="none" w:color="auto"/>
                <w:vertAlign w:val="baseline"/>
              </w:rPr>
              <w:t>призовава за това, всеобщото право на достъп до безопасен и законен аборт да бъде добавено към Хартата на основните права на ЕС, както и да бъде въведена правно обвързваща рамка;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г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11г.</w:t>
            </w:r>
            <w:r>
              <w:tab/>
            </w:r>
            <w:r>
              <w:rPr>
                <w:b/>
                <w:i/>
                <w:strike w:val="0"/>
                <w:color w:val="auto"/>
                <w:highlight w:val="none"/>
                <w:u w:val="none" w:color="auto"/>
                <w:vertAlign w:val="baseline"/>
              </w:rPr>
              <w:t>отново заявява, че СРЗП са основни права на човека и тяхната реализация е основен аспект на човешкото достойнство и предпоставка за постигане на равенство между половете; припомня ангажимента на ЕС за утвърждаване, защита и реализиране на правото на всеки човек да има пълен контрол и да решава свободно и отговорно въпросите, свързани със сексуалността и сексуални и репродуктивни права, без дискриминация, принуда и насилие;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д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11д.</w:t>
            </w:r>
            <w:r>
              <w:tab/>
            </w:r>
            <w:r>
              <w:rPr>
                <w:b/>
                <w:i/>
                <w:strike w:val="0"/>
                <w:color w:val="auto"/>
                <w:highlight w:val="none"/>
                <w:u w:val="none" w:color="auto"/>
                <w:vertAlign w:val="baseline"/>
              </w:rPr>
              <w:t>подчертава значението на достъпа до надеждни данни, изградени върху солидни статистически основи, и на ангажираността на гражданите като инструмент, за да се гарантира, че никой няма да бъде изоставен; счита, че това е от решаващо значение за установяване на различията между държавите и регионите, за формулиране на политики и за оценка на напредъка на глобалните инициативи за равенство между половете;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e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11е.</w:t>
            </w:r>
            <w:r>
              <w:tab/>
            </w:r>
            <w:r>
              <w:rPr>
                <w:b/>
                <w:i/>
                <w:strike w:val="0"/>
                <w:color w:val="auto"/>
                <w:highlight w:val="none"/>
                <w:u w:val="none" w:color="auto"/>
                <w:vertAlign w:val="baseline"/>
              </w:rPr>
              <w:t>призовава за по-силно насърчаване на правото на всяка жена да балансира професионалния и личния си живот като се насърчават съвместната отговорност и условия на труд, които улесняват съвместяването на личния, семейния и професионалния живот;</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ж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11ж.</w:t>
            </w:r>
            <w:r>
              <w:tab/>
            </w:r>
            <w:r>
              <w:rPr>
                <w:b/>
                <w:i/>
                <w:strike w:val="0"/>
                <w:color w:val="auto"/>
                <w:highlight w:val="none"/>
                <w:u w:val="none" w:color="auto"/>
                <w:vertAlign w:val="baseline"/>
              </w:rPr>
              <w:t>изразява тревога във връзка с продължаващото отстъпване от СРЗП и нападенията срещу защитници на СРЗП в Европа и в световен мащаб; призовава за сериозни европейски усилия за защита на нашите основни ценности, като например равни права на телесна автономност, и за по-силни политики за гарантиране на всеобщ достъп за всички жени и момичета до услуги в областта на сексуалното и репродуктивното здраве, включително информация относно семейното планиране, финансово достъпна контрацепция, безплатен, безопасен и законен аборт и майчино здравеопазване;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з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11з</w:t>
            </w:r>
            <w:r>
              <w:tab/>
            </w:r>
            <w:r>
              <w:rPr>
                <w:b/>
                <w:i/>
                <w:strike w:val="0"/>
                <w:color w:val="auto"/>
                <w:highlight w:val="none"/>
                <w:u w:val="none" w:color="auto"/>
                <w:vertAlign w:val="baseline"/>
              </w:rPr>
              <w:t>призовава за по-силни политики и действия, които насърчават достъпа до земя, кредити, предприемачество и образование, както и до заетост и здравеопазване, особено за жените и момичетата в уязвимо положение, жените с увреждания, бременните жени и жените в селските, островните и най-отдалечените райони;</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и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11и.</w:t>
            </w:r>
            <w:r>
              <w:tab/>
            </w:r>
            <w:r>
              <w:rPr>
                <w:b/>
                <w:i/>
                <w:strike w:val="0"/>
                <w:color w:val="auto"/>
                <w:highlight w:val="none"/>
                <w:u w:val="none" w:color="auto"/>
                <w:vertAlign w:val="baseline"/>
              </w:rPr>
              <w:t>призовава държавите членки да гарантират предоставянето на задължително основано на доказателства всеобхватно образование в областта на сексуалността и взаимоотношенията в началните и средните училища, с цел борба с основаното на пола насилие и свързаните с пола стереотипи; подчертава, че инвестирането в образованието на момичетата носи голяма възвращаемост за идните поколения, като допринася пряко за реализирането на техните основни права и защитата от всички форми на насилие, но също така допринася за по-добро благосъстояние на всички общества; във връзка с това призовава Комисията да представи насоки на ЕС за всеобхватно и основано на доказателства сексуално образование въз основа на стандартите на СЗО и да насърчава обмена на добри практики между държавите членки в тази област;</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й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11й</w:t>
            </w:r>
            <w:r>
              <w:tab/>
            </w:r>
            <w:r>
              <w:rPr>
                <w:b/>
                <w:i/>
                <w:strike w:val="0"/>
                <w:color w:val="auto"/>
                <w:highlight w:val="none"/>
                <w:u w:val="none" w:color="auto"/>
                <w:vertAlign w:val="baseline"/>
              </w:rPr>
              <w:t>настоятелно призовава Комисията да спре финансирането на движения във и извън ЕС, които допринасят за всяка форма на потискане на жените, включително кампании срещу основните права, в т.ч. правата на жените и СРЗП;</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к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11к.</w:t>
            </w:r>
            <w:r>
              <w:tab/>
            </w:r>
            <w:r>
              <w:rPr>
                <w:b/>
                <w:i/>
                <w:strike w:val="0"/>
                <w:color w:val="auto"/>
                <w:highlight w:val="none"/>
                <w:u w:val="none" w:color="auto"/>
                <w:vertAlign w:val="baseline"/>
              </w:rPr>
              <w:t xml:space="preserve">изразява съжаление във връзка с регресията на правата на ЛГБТИК + лицата и трансфобията, която застрашава равенството между половете; </w:t>
            </w:r>
            <w:r>
              <w:t>осъжда факта, че между 2021 г. и 2022 г. само три организации срещу ЛГБТИК + са отчели приходи в размер на 1 милиарда щатски долара в сравнение с 8 000 глобални получатели на безвъзмездни средства, получаващи помежду си 905 милиона щатски долара</w:t>
            </w:r>
            <w:r>
              <w:rPr>
                <w:rStyle w:val="Sup"/>
              </w:rPr>
              <w:t>1а</w:t>
            </w:r>
            <w:r>
              <w:t>;</w:t>
            </w:r>
            <w:r>
              <w:rPr>
                <w:b/>
                <w:i/>
                <w:strike w:val="0"/>
                <w:color w:val="auto"/>
                <w:highlight w:val="none"/>
                <w:u w:val="none" w:color="auto"/>
                <w:vertAlign w:val="baseline"/>
              </w:rPr>
              <w:t xml:space="preserve"> предупреждава за тревожното увеличаване на финансирането, насочено срещу равенството между половете, което има за цел да противодейства на прогресивните постижения на правата на жените и ЛГБТИК + през последните десетилетия;</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Обзор на политиката на ODI, ‘Where next for feminist foreign policy on funding feminist movements?’, (Кои са следващите цели за феминистката външна политика относно финансирането на феминистки движения?),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л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11л.</w:t>
            </w:r>
            <w:r>
              <w:tab/>
            </w:r>
            <w:r>
              <w:rPr>
                <w:b/>
                <w:i/>
                <w:strike w:val="0"/>
                <w:color w:val="auto"/>
                <w:highlight w:val="none"/>
                <w:u w:val="none" w:color="auto"/>
                <w:vertAlign w:val="baseline"/>
              </w:rPr>
              <w:t>призовава ЕС да забрани центровете за конверсия в държавите членки и да направи всичко възможно, за да предотврати тази практика навсякъде;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11 м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11м.</w:t>
            </w:r>
            <w:r>
              <w:tab/>
            </w:r>
            <w:r>
              <w:rPr>
                <w:b/>
                <w:i/>
                <w:strike w:val="0"/>
                <w:color w:val="auto"/>
                <w:highlight w:val="none"/>
                <w:u w:val="none" w:color="auto"/>
                <w:vertAlign w:val="baseline"/>
              </w:rPr>
              <w:t>призовава ЕС да определи конкретна цел за финансиране в подкрепа на правата на жените и организациите на ЛГБТИК + лицата, феминистките движения и защитниците на правата на човека в Европа и в световен мащаб; подчертава необходимостта от създаване на механизъм за закрила на защитниците на правата на човека в ЕС, с акцент по-специално върху жените, ЛГБТИК + лицата и защитниците на правата на човека в областта на СРЗП;</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12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отбелязва, че усилията за постигане на ЦУР следва да подчертават политиките, които насърчават иновациите, предприемачеството и създаването на „зелени“ работни места, които в крайна сметка ще стимулират по-широкото постигане на ЦУР и равенството между половете;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призовава за по-силни политики и смели действия за насърчаване на приобщаващото и устойчиво икономическо развитие; настоятелно призовава ЕС и световните партньори да използват инструменти като Global Gateway за създаване на достойни работни места, които да намалят неравенството по отношение на доходите и да гарантират, че никой няма да бъде изоставен;</w:t>
            </w:r>
          </w:p>
        </w:tc>
        <w:tc>
          <w:tcPr>
            <w:tcW w:w="4876" w:type="dxa"/>
            <w:vAlign w:val="top"/>
          </w:tcPr>
          <w:p>
            <w:pPr>
              <w:pStyle w:val="Normal6a"/>
            </w:pPr>
            <w:r>
              <w:t>13.</w:t>
            </w:r>
            <w:r>
              <w:tab/>
            </w:r>
            <w:r>
              <w:t>призовава за по-силни политики и смели действия за насърчаване на приобщаващото и устойчиво икономическо развитие; настоятелно призовава ЕС и световните партньори да използват инструменти като Global Gateway за създаване на достойни работни места, които да намалят неравенството по отношение на доходите и да гарантират, че никой няма да бъде изоставен;</w:t>
            </w:r>
            <w:r>
              <w:rPr>
                <w:b/>
                <w:i/>
                <w:strike w:val="0"/>
                <w:color w:val="auto"/>
                <w:highlight w:val="none"/>
                <w:u w:val="none" w:color="auto"/>
                <w:vertAlign w:val="baseline"/>
              </w:rPr>
              <w:t xml:space="preserve"> призовава да се положат усилия, за да се гарантира, че гласът на тези, които е по-вероятно да бъдат изоставени, ще бъде чут, и да се даде приоритет на борбата срещу бедността и несигурните условия на труд, като се обърне специално внимание на жените, изправени пред междусекторни форми на дискриминация;</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13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13а.</w:t>
            </w:r>
            <w:r>
              <w:tab/>
            </w:r>
            <w:r>
              <w:rPr>
                <w:b/>
                <w:i/>
                <w:strike w:val="0"/>
                <w:color w:val="auto"/>
                <w:highlight w:val="none"/>
                <w:u w:val="none" w:color="auto"/>
                <w:vertAlign w:val="baseline"/>
              </w:rPr>
              <w:t>подчертава, че по-голямата част от неплатения труд по полагане на грижи все още е тежест само за жените, и това има отрицателни последици за професионалната неравнопоставеност между половете, икономическата независимост и общественото благосъстояние; призовава ЕС да разработи конкретни мерки за признаване на работата по полагане на грижи и за предоставяне на подходящи обществени социални услуги в подкрепа на този труд;</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изразява загриженост, че икономическият растеж в много развиващи се държави остава бавен и неравномерен и често е възпрепятстван от структурни слабости, икономически неравенства, политическа нестабилност </w:t>
            </w:r>
            <w:r>
              <w:rPr>
                <w:b/>
                <w:i/>
                <w:strike w:val="0"/>
                <w:color w:val="auto"/>
                <w:highlight w:val="none"/>
                <w:u w:val="none" w:color="auto"/>
                <w:vertAlign w:val="baseline"/>
              </w:rPr>
              <w:t>и</w:t>
            </w:r>
            <w:r>
              <w:t xml:space="preserve"> външни сътресения;</w:t>
            </w:r>
          </w:p>
        </w:tc>
        <w:tc>
          <w:tcPr>
            <w:tcW w:w="4876" w:type="dxa"/>
            <w:vAlign w:val="top"/>
          </w:tcPr>
          <w:p>
            <w:pPr>
              <w:pStyle w:val="Normal6a"/>
            </w:pPr>
            <w:r>
              <w:t>14.</w:t>
            </w:r>
            <w:r>
              <w:tab/>
            </w:r>
            <w:r>
              <w:t>изразява загриженост, че икономическият растеж в много развиващи се държави остава бавен и неравномерен и често е възпрепятстван от структурни слабости, икономически</w:t>
            </w:r>
            <w:r>
              <w:rPr>
                <w:b/>
                <w:i/>
                <w:strike w:val="0"/>
                <w:color w:val="auto"/>
                <w:highlight w:val="none"/>
                <w:u w:val="none" w:color="auto"/>
                <w:vertAlign w:val="baseline"/>
              </w:rPr>
              <w:t>, социални и свързани с пола</w:t>
            </w:r>
            <w:r>
              <w:t xml:space="preserve"> неравенства, политическа нестабилност</w:t>
            </w:r>
            <w:r>
              <w:rPr>
                <w:b/>
                <w:i/>
                <w:strike w:val="0"/>
                <w:color w:val="auto"/>
                <w:highlight w:val="none"/>
                <w:u w:val="none" w:color="auto"/>
                <w:vertAlign w:val="baseline"/>
              </w:rPr>
              <w:t>,</w:t>
            </w:r>
            <w:r>
              <w:t xml:space="preserve"> външни сътресения </w:t>
            </w:r>
            <w:r>
              <w:rPr>
                <w:b/>
                <w:i/>
                <w:strike w:val="0"/>
                <w:color w:val="auto"/>
                <w:highlight w:val="none"/>
                <w:u w:val="none" w:color="auto"/>
                <w:vertAlign w:val="baseline"/>
              </w:rPr>
              <w:t>и външна намеса</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14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14а.</w:t>
            </w:r>
            <w:r>
              <w:tab/>
            </w:r>
            <w:r>
              <w:rPr>
                <w:b/>
                <w:i/>
                <w:strike w:val="0"/>
                <w:color w:val="auto"/>
                <w:highlight w:val="none"/>
                <w:u w:val="none" w:color="auto"/>
                <w:vertAlign w:val="baseline"/>
              </w:rPr>
              <w:t>изразява загриженост, че в ЕС неравенството между половете продължава да се увеличава по отношение на пазара на труда; припомня необходимостта от поддържане и укрепване на интегрирането на принципа на равенство между половете и бюджетирането в политиката на сближаване на ЕС с цел преодоляване на разликата в заетостта между половете;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препоръчва да се увеличат публичните и частните инвестиции в научни изследвания, образование и развитие на умения;</w:t>
            </w:r>
          </w:p>
        </w:tc>
        <w:tc>
          <w:tcPr>
            <w:tcW w:w="4876" w:type="dxa"/>
            <w:vAlign w:val="top"/>
          </w:tcPr>
          <w:p>
            <w:pPr>
              <w:pStyle w:val="Normal6a"/>
            </w:pPr>
            <w:r>
              <w:t>15.</w:t>
            </w:r>
            <w:r>
              <w:tab/>
            </w:r>
            <w:r>
              <w:t>препоръчва да се увеличат публичните и частните инвестиции в научни изследвания, образование и развитие на умения;</w:t>
            </w:r>
            <w:r>
              <w:rPr>
                <w:b/>
                <w:i/>
                <w:strike w:val="0"/>
                <w:color w:val="auto"/>
                <w:highlight w:val="none"/>
                <w:u w:val="none" w:color="auto"/>
                <w:vertAlign w:val="baseline"/>
              </w:rPr>
              <w:t xml:space="preserve"> призовава ЕС да стимулира обучението и качествената заетост за справедливия преход, по-специално по отношение на групите, които са системно изключени и в неравностойно положение, включително жените и ЛГБТИК + общността;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подчертава, че инициативите, насочени към стимулиране на икономическия растеж, не могат да бъдат за сметка на социалната справедливост, трудовите права или опазването на околната среда;</w:t>
            </w:r>
          </w:p>
        </w:tc>
        <w:tc>
          <w:tcPr>
            <w:tcW w:w="4876" w:type="dxa"/>
            <w:vAlign w:val="top"/>
          </w:tcPr>
          <w:p>
            <w:pPr>
              <w:pStyle w:val="Normal6a"/>
            </w:pPr>
            <w:r>
              <w:t>16.</w:t>
            </w:r>
            <w:r>
              <w:tab/>
            </w:r>
            <w:r>
              <w:t xml:space="preserve">подчертава, че инициативите, насочени към стимулиране на икономическия растеж, не могат да бъдат за сметка на социалната справедливост, </w:t>
            </w:r>
            <w:r>
              <w:rPr>
                <w:b/>
                <w:i/>
                <w:strike w:val="0"/>
                <w:color w:val="auto"/>
                <w:highlight w:val="none"/>
                <w:u w:val="none" w:color="auto"/>
                <w:vertAlign w:val="baseline"/>
              </w:rPr>
              <w:t>равенството между половете,</w:t>
            </w:r>
            <w:r>
              <w:t xml:space="preserve"> трудовите права или опазването на околната среда</w:t>
            </w:r>
            <w:r>
              <w:rPr>
                <w:b/>
                <w:i/>
                <w:strike w:val="0"/>
                <w:color w:val="auto"/>
                <w:highlight w:val="none"/>
                <w:u w:val="none" w:color="auto"/>
                <w:vertAlign w:val="baseline"/>
              </w:rPr>
              <w:t>, особено като се има предвид, че жените и хората от малцинствените групи е най-вероятно да бъдат първите, които страдат от неравенства, породени от икономическия растеж</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16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16а.</w:t>
            </w:r>
            <w:r>
              <w:tab/>
            </w:r>
            <w:r>
              <w:rPr>
                <w:b/>
                <w:i/>
                <w:strike w:val="0"/>
                <w:color w:val="auto"/>
                <w:highlight w:val="none"/>
                <w:u w:val="none" w:color="auto"/>
                <w:vertAlign w:val="baseline"/>
              </w:rPr>
              <w:t>подчертава, че продължават да съществуват различия в безработицата в световен мащаб при жените и младите хора и че в световен мащаб вероятността младите жени да бъдат NEET (незаети с работа, учене или обучение) е повече от два пъти по-голяма от тази при младите мъже; признава, че насърчаването на равенството между половете в политиките в областта на образованието, обучението, пазара на труда и равновесието между професионалния и личния живот може да увеличи просперитета и икономическата конкурентоспособност, като същевременно се избягва недостатъчното използване на активи и таланти;</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16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16б.</w:t>
            </w:r>
            <w:r>
              <w:tab/>
            </w:r>
            <w:r>
              <w:rPr>
                <w:b/>
                <w:i/>
                <w:strike w:val="0"/>
                <w:color w:val="auto"/>
                <w:highlight w:val="none"/>
                <w:u w:val="none" w:color="auto"/>
                <w:vertAlign w:val="baseline"/>
              </w:rPr>
              <w:t>припомня, че е от жизненоважно значение да се създадат стимули за предприятията да приведат своите дейности в съответствие с ЦУР, като същевременно се гарантира, че пазарът продължава да бъде конкурентоспособен и способен да стимулира иновациите в устойчивото развитие за жените и момичетата;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17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17а.</w:t>
            </w:r>
            <w:r>
              <w:tab/>
            </w:r>
            <w:r>
              <w:rPr>
                <w:b/>
                <w:i/>
                <w:strike w:val="0"/>
                <w:color w:val="auto"/>
                <w:highlight w:val="none"/>
                <w:u w:val="none" w:color="auto"/>
                <w:vertAlign w:val="baseline"/>
              </w:rPr>
              <w:t>подчертава непропорционалното въздействие на влошаването на състоянието на околната среда, по-специално замърсяването с пластмаси, върху жените и момичетата; призовава за увеличаване на ресурсите за научни изследвания относно въздействието на замърсяването с пластмаси (микрочастици) върху женската хормонална система и потенциалното въздействие върху плодовитостта;</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счита, че спешно са необходими обвързващи глобални мерки за преодоляване на недостатъците, ускоряване на действията и гарантиране на дългосрочната устойчивост на океаните, включително чрез устойчиви риболовни практики, борба с незаконния, недеклариран и нерегулиран риболов, засилване на усилията за опазване на морската среда </w:t>
            </w:r>
            <w:r>
              <w:rPr>
                <w:b/>
                <w:i/>
                <w:strike w:val="0"/>
                <w:color w:val="auto"/>
                <w:highlight w:val="none"/>
                <w:u w:val="none" w:color="auto"/>
                <w:vertAlign w:val="baseline"/>
              </w:rPr>
              <w:t>и</w:t>
            </w:r>
            <w:r>
              <w:t xml:space="preserve"> приемане на глобален договор относно замърсяването с пластмаси;</w:t>
            </w:r>
          </w:p>
        </w:tc>
        <w:tc>
          <w:tcPr>
            <w:tcW w:w="4876" w:type="dxa"/>
            <w:vAlign w:val="top"/>
          </w:tcPr>
          <w:p>
            <w:pPr>
              <w:pStyle w:val="Normal6a"/>
            </w:pPr>
            <w:r>
              <w:t>19.</w:t>
            </w:r>
            <w:r>
              <w:tab/>
            </w:r>
            <w:r>
              <w:t>счита, че спешно са необходими обвързващи глобални мерки за преодоляване на недостатъците, ускоряване на действията и гарантиране на дългосрочната устойчивост на океаните, включително чрез устойчиви риболовни практики, борба с незаконния, недеклариран и нерегулиран риболов, засилване на усилията за опазване на морската среда</w:t>
            </w:r>
            <w:r>
              <w:rPr>
                <w:b/>
                <w:i/>
                <w:strike w:val="0"/>
                <w:color w:val="auto"/>
                <w:highlight w:val="none"/>
                <w:u w:val="none" w:color="auto"/>
                <w:vertAlign w:val="baseline"/>
              </w:rPr>
              <w:t xml:space="preserve"> чрез ефективното опазване на защитени морски зони,</w:t>
            </w:r>
            <w:r>
              <w:t xml:space="preserve"> приемане на глобален договор относно замърсяването с пластмаси </w:t>
            </w:r>
            <w:r>
              <w:rPr>
                <w:b/>
                <w:i/>
                <w:strike w:val="0"/>
                <w:color w:val="auto"/>
                <w:highlight w:val="none"/>
                <w:u w:val="none" w:color="auto"/>
                <w:vertAlign w:val="baseline"/>
              </w:rPr>
              <w:t>и защита на правата на дребномащабните рибари и достъпа до рибни ресурси и пазари, като се гарантира, че жените и мъжете в непромишления риболов участват еднакво и ефективно в решенията, които ги засягат</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19 a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19а.</w:t>
            </w:r>
            <w:r>
              <w:tab/>
            </w:r>
            <w:r>
              <w:rPr>
                <w:b/>
                <w:i/>
                <w:strike w:val="0"/>
                <w:color w:val="auto"/>
                <w:highlight w:val="none"/>
                <w:u w:val="none" w:color="auto"/>
                <w:vertAlign w:val="baseline"/>
              </w:rPr>
              <w:t>подчертава по-специално необходимостта от признаване на работата и приноса на жените във веригата за създаване на стойност в областта на дребномащабния риболов и от подобряване на техните условия на труд;</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19 б (нов)</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19б.</w:t>
            </w:r>
            <w:r>
              <w:tab/>
            </w:r>
            <w:r>
              <w:t>подчертава необходимостта от засилване на равенството между половете в управлението на океаните, икономическите дейности (като туризъм, морски транспорт или рибарство) и в науката за океаните</w:t>
            </w:r>
            <w:r>
              <w:rPr>
                <w:rStyle w:val="Sup"/>
              </w:rPr>
              <w:t>1а</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1а</w:t>
            </w:r>
            <w:r>
              <w:t xml:space="preserve"> </w:t>
            </w:r>
            <w:r>
              <w:rPr>
                <w:b/>
                <w:i/>
                <w:strike w:val="0"/>
                <w:color w:val="auto"/>
                <w:highlight w:val="none"/>
                <w:u w:val="none" w:color="auto"/>
                <w:vertAlign w:val="baseline"/>
              </w:rPr>
              <w:t>ЮНЕСКО, ‘Gender Equality for Ocean Sustainability’ (Равенство между половете за устойчивост на океаните), https://www.unesco.org/en/articles/gender-equality-ocean-sustainability.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призовава ЕС да продължи да се застъпва за многостранното сътрудничество и да бъде глобален лидер в постигането на напредък в изпълнението на ЦУР и Програмата до 2030 г.; подчертава, че изричното повторно ангажиране с ЦУР ще изпрати ясен сигнал на партньорите по света и ще подкрепи действията на ЕС в световен мащаб;</w:t>
            </w:r>
          </w:p>
        </w:tc>
        <w:tc>
          <w:tcPr>
            <w:tcW w:w="4876" w:type="dxa"/>
            <w:vAlign w:val="top"/>
          </w:tcPr>
          <w:p>
            <w:pPr>
              <w:pStyle w:val="Normal6a"/>
            </w:pPr>
            <w:r>
              <w:t>20.</w:t>
            </w:r>
            <w:r>
              <w:tab/>
            </w:r>
            <w:r>
              <w:t>призовава ЕС да продължи да се застъпва за многостранното сътрудничество и да бъде глобален лидер в постигането на напредък в изпълнението на ЦУР и Програмата до 2030 г.; подчертава, че изричното повторно ангажиране с ЦУР ще изпрати ясен сигнал на партньорите по света и ще подкрепи действията на ЕС в световен мащаб;</w:t>
            </w:r>
            <w:r>
              <w:rPr>
                <w:b/>
                <w:i/>
                <w:strike w:val="0"/>
                <w:color w:val="auto"/>
                <w:highlight w:val="none"/>
                <w:u w:val="none" w:color="auto"/>
                <w:vertAlign w:val="baseline"/>
              </w:rPr>
              <w:t xml:space="preserve"> подчертава, че изричното подновяване на ангажимента трябва да бъде придружено от конкретни мерки от страна на ЕС и че той трябва да гарантира, че равенството между половете е неразделна част от политическия диалог със страните партньори на двустранно и многостранно равнище;</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отново потвърждава, че официалната помощ за развитие (ОПР) продължава да бъде ключов източник на публично финансиране; поради това призовава всички държави – членки на ЕС, и световните партньори да гарантират, че се отделя достатъчно финансиране, за да се изпълни ангажиментът за изразходване на 0,7% от брутния национален доход за ОПР;</w:t>
            </w:r>
          </w:p>
        </w:tc>
        <w:tc>
          <w:tcPr>
            <w:tcW w:w="4876" w:type="dxa"/>
            <w:vAlign w:val="top"/>
          </w:tcPr>
          <w:p>
            <w:pPr>
              <w:pStyle w:val="Normal6a"/>
            </w:pPr>
            <w:r>
              <w:t>21.</w:t>
            </w:r>
            <w:r>
              <w:tab/>
            </w:r>
            <w:r>
              <w:t xml:space="preserve">отново потвърждава, че </w:t>
            </w:r>
            <w:r>
              <w:rPr>
                <w:b/>
                <w:i/>
                <w:strike w:val="0"/>
                <w:color w:val="auto"/>
                <w:highlight w:val="none"/>
                <w:u w:val="none" w:color="auto"/>
                <w:vertAlign w:val="baseline"/>
              </w:rPr>
              <w:t>ЦУР ще бъдат постигнати единствено ако са финансирани по подходящ и устойчив начин и че</w:t>
            </w:r>
            <w:r>
              <w:t xml:space="preserve"> официалната помощ за развитие (ОПР) продължава да бъде ключов източник на публично финансиране; поради това призовава всички държави – членки на ЕС, и световните партньори да гарантират, че се отделя достатъчно финансиране, за да се изпълни ангажиментът за изразходване на 0,7% от брутния национален доход за ОПР</w:t>
            </w:r>
            <w:r>
              <w:rPr>
                <w:b/>
                <w:i/>
                <w:strike w:val="0"/>
                <w:color w:val="auto"/>
                <w:highlight w:val="none"/>
                <w:u w:val="none" w:color="auto"/>
                <w:vertAlign w:val="baseline"/>
              </w:rPr>
              <w:t>, като само 4 от 21 държави членки, които членуват в Комитета за подпомагане на развитието спазват този международен ангажимент</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подчертава решаващата роля на многостранните партньорства и участието на местните органи на управление, гражданското общество и представителите на младежта;</w:t>
            </w:r>
          </w:p>
        </w:tc>
        <w:tc>
          <w:tcPr>
            <w:tcW w:w="4876" w:type="dxa"/>
            <w:vAlign w:val="top"/>
          </w:tcPr>
          <w:p>
            <w:pPr>
              <w:pStyle w:val="Normal6a"/>
            </w:pPr>
            <w:r>
              <w:t>22.</w:t>
            </w:r>
            <w:r>
              <w:tab/>
            </w:r>
            <w:r>
              <w:t>подчертава решаващата роля на многостранните партньорства и участието на местните органи на управление, гражданското общество и представителите на младежта;</w:t>
            </w:r>
            <w:r>
              <w:rPr>
                <w:b/>
                <w:i/>
                <w:strike w:val="0"/>
                <w:color w:val="auto"/>
                <w:highlight w:val="none"/>
                <w:u w:val="none" w:color="auto"/>
                <w:vertAlign w:val="baseline"/>
              </w:rPr>
              <w:t xml:space="preserve"> отново заявява, че организациите на гражданското общество (ОГО) са ключови участници в жизнеспособните демокрации, и подчертава, че ЦУР, особено ЦУР 5, не могат да бъдат постигнати без партньорството на ОГО, включително жените на местно равнище и организациите на ЛГБТИК + лицата; във връзка с това изразява съжаление относно нарастващите необосновани нападения срещу организации на гражданското общество и затварянето на гражданските пространства както в Европа, така и по света; във връзка с това подчертава необходимостта да се гарантира редовно, адекватно и устойчиво финансиране за организациите на гражданското общество и да се поддържа открит, прозрачен и структуриран диалог с организациите на гражданското общество;</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призовава за облекчаване и преструктуриране на дълга на развиващите се държави и за реформи на световните финансови институции, включително многостранните банки за развитие, за да се подготвят тези държави за изпълнението на ЦУР;</w:t>
            </w:r>
          </w:p>
        </w:tc>
        <w:tc>
          <w:tcPr>
            <w:tcW w:w="4876" w:type="dxa"/>
            <w:vAlign w:val="top"/>
          </w:tcPr>
          <w:p>
            <w:pPr>
              <w:pStyle w:val="Normal6a"/>
            </w:pPr>
            <w:r>
              <w:t>23.</w:t>
            </w:r>
            <w:r>
              <w:tab/>
            </w:r>
            <w:r>
              <w:t xml:space="preserve">призовава за облекчаване и преструктуриране на дълга на развиващите се държави и за реформи на световните финансови институции, включително многостранните банки за развитие, за да се подготвят тези държави за изпълнението на ЦУР </w:t>
            </w:r>
            <w:r>
              <w:rPr>
                <w:b/>
                <w:i/>
                <w:strike w:val="0"/>
                <w:color w:val="auto"/>
                <w:highlight w:val="none"/>
                <w:u w:val="none" w:color="auto"/>
                <w:vertAlign w:val="baseline"/>
              </w:rPr>
              <w:t>и за да се намалят икономическите, социалните и свързаните с пола неравенства;</w:t>
            </w:r>
            <w:r>
              <w:rPr>
                <w:b/>
                <w:i/>
                <w:strike w:val="0"/>
                <w:color w:val="auto"/>
                <w:highlight w:val="none"/>
                <w:u w:val="none" w:color="auto"/>
                <w:vertAlign w:val="baseline"/>
              </w:rPr>
              <w:t xml:space="preserve"> </w:t>
            </w:r>
            <w:r>
              <w:rPr>
                <w:b/>
                <w:i/>
                <w:strike w:val="0"/>
                <w:color w:val="auto"/>
                <w:highlight w:val="none"/>
                <w:u w:val="none" w:color="auto"/>
                <w:vertAlign w:val="baseline"/>
              </w:rPr>
              <w:t>призовава за включване на по-силна перспектива за равенство между половете в заключителния документ на Четвъртата международна конференция за финансиране на развитието</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Изменение</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Предложение за резолюция</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Параграф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Предложение за резолюция</w:t>
            </w:r>
          </w:p>
        </w:tc>
        <w:tc>
          <w:tcPr>
            <w:tcW w:w="4876" w:type="dxa"/>
            <w:vAlign w:val="top"/>
          </w:tcPr>
          <w:p>
            <w:pPr>
              <w:pStyle w:val="AmColumnHeading"/>
            </w:pPr>
            <w:r>
              <w:t>Изменение</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отново заявява, че ЦУР са единственият глобално съгласуван и всеобхватен набор от цели относно основните предизвикателства, пред които са изправени както развитите, така и развиващите се държави, и са най-добрият инструмент тези предизвикателства да бъдат преодолени;</w:t>
            </w:r>
          </w:p>
        </w:tc>
        <w:tc>
          <w:tcPr>
            <w:tcW w:w="4876" w:type="dxa"/>
            <w:vAlign w:val="top"/>
          </w:tcPr>
          <w:p>
            <w:pPr>
              <w:pStyle w:val="Normal6a"/>
            </w:pPr>
            <w:r>
              <w:t>26.</w:t>
            </w:r>
            <w:r>
              <w:tab/>
            </w:r>
            <w:r>
              <w:t>отново заявява, че ЦУР са единственият глобално съгласуван и всеобхватен набор от цели относно основните предизвикателства, пред които са изправени както развитите, така и развиващите се държави, и са най-добрият инструмент тези предизвикателства да бъдат преодолени;</w:t>
            </w:r>
            <w:r>
              <w:rPr>
                <w:b/>
                <w:i/>
                <w:strike w:val="0"/>
                <w:color w:val="auto"/>
                <w:highlight w:val="none"/>
                <w:u w:val="none" w:color="auto"/>
                <w:vertAlign w:val="baseline"/>
              </w:rPr>
              <w:t xml:space="preserve"> настоятелно призовава Комисията и държавите членки да работят за пълното изпълнение на ЦУР както в рамките на ЕС, така и извън него, като универсална рамка;</w:t>
            </w:r>
          </w:p>
        </w:tc>
      </w:tr>
    </w:tbl>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type w:val="nextPage"/>
          <w:pgSz w:w="11906" w:h="16838"/>
          <w:pgMar w:top="1134" w:right="1417" w:bottom="1417" w:left="1417" w:header="1134" w:footer="567" w:gutter="0"/>
          <w:cols w:num="1" w:space="708"/>
          <w:titlePg w:val="0"/>
          <w:docGrid w:linePitch="360"/>
        </w:sectPr>
      </w:pPr>
    </w:p>
    <w:p>
      <w:pPr>
        <w:pStyle w:val="PageHeadingNotTOC"/>
      </w:pPr>
      <w:r>
        <w:t>ПРИЛОЖЕНИЕ: СУБЕКТИ ИЛИ ЛИЦА,</w:t>
        <w:br/>
        <w:t>ПРЕДОСТАВИЛИ ИНФОРМАЦИЯ НА ДОКЛАДЧИКА ПО СТАНОВИЩЕ</w:t>
      </w:r>
    </w:p>
    <w:p>
      <w:pPr>
        <w:pStyle w:val="Normal12a"/>
      </w:pPr>
    </w:p>
    <w:p>
      <w:pPr>
        <w:pStyle w:val="Normal12a"/>
      </w:pPr>
      <w:r>
        <w:t>В рамките на своята изключителна отговорност докладчикът декларира, че не е получена никаква информация от субекти или лица, които следва да бъдат посочени в настоящото приложение съгласно член 8 от приложение I към Правилника за дейността.</w:t>
      </w:r>
    </w:p>
    <w:p>
      <w:pPr>
        <w:pStyle w:val="Normal12a"/>
        <w:sectPr>
          <w:type w:val="nextPage"/>
          <w:pgSz w:w="11906" w:h="16838"/>
          <w:pgMar w:top="1134" w:right="1417" w:bottom="1417" w:left="1417" w:header="1134" w:footer="567" w:gutter="0"/>
          <w:cols w:num="1" w:space="708"/>
          <w:titlePg w:val="0"/>
          <w:docGrid w:linePitch="360"/>
        </w:sectPr>
      </w:pPr>
    </w:p>
    <w:p>
      <w:pPr>
        <w:pStyle w:val="PageHeading"/>
      </w:pPr>
      <w:r>
        <w:t>ИНФОРМАЦИЯ ОТНОСНО ПРИЕМАНЕТО В ПОДПОМАГАЩАТА КОМИСИЯ</w:t>
      </w:r>
    </w:p>
    <w:tbl>
      <w:tblPr>
        <w:jc w:val="left"/>
        <w:tblLayout w:type="fixed"/>
        <w:tblCellMar>
          <w:top w:w="54" w:type="dxa"/>
          <w:left w:w="108" w:type="dxa"/>
          <w:bottom w:w="54" w:type="dxa"/>
          <w:right w:w="108" w:type="dxa"/>
        </w:tblCellMar>
      </w:tblPr>
      <w:tblGrid>
        <w:gridCol w:w="3600"/>
        <w:gridCol w:w="6400"/>
      </w:tblGrid>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Дата на приемане</w:t>
            </w:r>
          </w:p>
        </w:tc>
        <w:tc>
          <w:tcPr>
            <w:tcW w:w="6400" w:type="dxa"/>
            <w:tcBorders>
              <w:top w:val="single" w:sz="8" w:space="0" w:color="000000"/>
              <w:bottom w:val="single" w:sz="8" w:space="0" w:color="000000"/>
              <w:right w:val="single" w:sz="8" w:space="0" w:color="000000"/>
            </w:tcBorders>
            <w:vAlign w:val="top"/>
          </w:tcPr>
          <w:p>
            <w:pPr>
              <w:pStyle w:val="ProcedureTable"/>
            </w:pPr>
            <w:r>
              <w:t>20.5.2025</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Резултат от окончателното гласуване</w:t>
            </w:r>
          </w:p>
        </w:tc>
        <w:tc>
          <w:tcPr>
            <w:tcW w:w="6400" w:type="dxa"/>
            <w:tcBorders>
              <w:top w:val="single" w:sz="8" w:space="0" w:color="000000"/>
              <w:bottom w:val="single" w:sz="8" w:space="0" w:color="000000"/>
              <w:right w:val="single" w:sz="8" w:space="0" w:color="000000"/>
            </w:tcBorders>
            <w:vAlign w:val="top"/>
          </w:tcPr>
          <w:p>
            <w:pPr>
              <w:pStyle w:val="ProcedureTable"/>
            </w:pPr>
            <w:r>
              <w:t>+</w:t>
            </w:r>
            <w:r>
              <w:tab/>
            </w:r>
            <w:r>
              <w:t>:</w:t>
            </w:r>
            <w:r>
              <w:tab/>
            </w:r>
            <w:r>
              <w:t>17</w:t>
            </w:r>
          </w:p>
          <w:p>
            <w:pPr>
              <w:pStyle w:val="ProcedureTable"/>
            </w:pPr>
            <w:r>
              <w:t>-</w:t>
            </w:r>
            <w:r>
              <w:tab/>
            </w:r>
            <w:r>
              <w:t>:</w:t>
            </w:r>
            <w:r>
              <w:tab/>
            </w:r>
            <w:r>
              <w:t>11</w:t>
            </w:r>
          </w:p>
          <w:p>
            <w:pPr>
              <w:pStyle w:val="ProcedureTable"/>
            </w:pPr>
            <w:r>
              <w:t>0</w:t>
            </w:r>
            <w:r>
              <w:tab/>
            </w:r>
            <w:r>
              <w:t>:</w:t>
            </w:r>
            <w:r>
              <w:tab/>
            </w:r>
            <w:r>
              <w:t>8</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Членове, присъствали на окончателното гласуване</w:t>
            </w:r>
          </w:p>
        </w:tc>
        <w:tc>
          <w:tcPr>
            <w:tcW w:w="6400" w:type="dxa"/>
            <w:tcBorders>
              <w:top w:val="single" w:sz="8" w:space="0" w:color="000000"/>
              <w:bottom w:val="single" w:sz="8" w:space="0" w:color="000000"/>
              <w:right w:val="single" w:sz="8" w:space="0" w:color="000000"/>
            </w:tcBorders>
            <w:vAlign w:val="top"/>
          </w:tcPr>
          <w:p>
            <w:pPr>
              <w:pStyle w:val="ProcedureTable"/>
            </w:pPr>
            <w:r>
              <w:t>Mathilde Androuët, Mireia Borrás Pabón, Irmhild Boßdorf, Mélissa Camara, Margarita de la Pisa Carrión, Valérie Devaux, Elisabeth Dieringer, Rosa Estaràs Ferragut, Viktória Ferenc, Heléne Fritzon, Lina Gálvez, Chiara Gemma, Gabriella Gerzsenyi, Arba Kokalari, Sebastian Kruis, Judita Laššáková, Eleonora Meleti, Irene Montero, Maria Noichl, Sirpa Pietikäinen, Giusi Princi, Joanna Scheuring-Wielgus, Benedetta Scuderi, Laurence Trochu, Marko Vešligaj, Dainius Žalimas</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Заместници, присъствали на окончателното гласуване</w:t>
            </w:r>
          </w:p>
        </w:tc>
        <w:tc>
          <w:tcPr>
            <w:tcW w:w="6400" w:type="dxa"/>
            <w:tcBorders>
              <w:top w:val="single" w:sz="8" w:space="0" w:color="000000"/>
              <w:bottom w:val="single" w:sz="8" w:space="0" w:color="000000"/>
              <w:right w:val="single" w:sz="8" w:space="0" w:color="000000"/>
            </w:tcBorders>
            <w:vAlign w:val="top"/>
          </w:tcPr>
          <w:p>
            <w:pPr>
              <w:pStyle w:val="ProcedureTable"/>
            </w:pPr>
            <w:r>
              <w:t>Loucas Fourlas, Kathleen Funchion, Raquel García Hermida-Van Der Walle, Hanna Gedin, Katrin Langensiepen, Jagna Marczułajtis-Walczak, Beatrice Timgren, Jana Toom</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Членове на ЕП, присъствали на окончателното гласуване по силата на чл. 216, пар. 7 от Правилника за дейността</w:t>
            </w:r>
          </w:p>
        </w:tc>
        <w:tc>
          <w:tcPr>
            <w:tcW w:w="6400" w:type="dxa"/>
            <w:tcBorders>
              <w:top w:val="single" w:sz="8" w:space="0" w:color="000000"/>
              <w:bottom w:val="single" w:sz="8" w:space="0" w:color="000000"/>
              <w:right w:val="single" w:sz="8" w:space="0" w:color="000000"/>
            </w:tcBorders>
            <w:vAlign w:val="top"/>
          </w:tcPr>
          <w:p>
            <w:pPr>
              <w:pStyle w:val="ProcedureTable"/>
            </w:pPr>
            <w:r>
              <w:t>Georgios Aftias, Niels Geuking</w:t>
            </w:r>
          </w:p>
        </w:tc>
      </w:tr>
    </w:tbl>
    <w:p>
      <w:pPr>
        <w:pStyle w:val="PageHeading"/>
        <w:sectPr>
          <w:type w:val="nextPage"/>
          <w:pgSz w:w="11906" w:h="16838"/>
          <w:pgMar w:top="1134" w:right="1417" w:bottom="1417" w:left="1417" w:header="1134" w:footer="567" w:gutter="0"/>
          <w:cols w:num="1" w:space="708"/>
          <w:titlePg w:val="0"/>
          <w:docGrid w:linePitch="360"/>
        </w:sectPr>
      </w:pPr>
    </w:p>
    <w:p>
      <w:pPr>
        <w:pStyle w:val="PageHeading"/>
      </w:pPr>
      <w:r>
        <w:t>ПОИМЕННО ОКОНЧАТЕЛНО ГЛАСУВАНЕ</w:t>
        <w:br/>
        <w:t>В ПОДПОМАГАЩАТА КОМИСИЯ</w:t>
      </w:r>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17</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Kokalari Arba, Pietikäinen Sirpa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Renew</w:t>
            </w:r>
          </w:p>
        </w:tc>
        <w:tc>
          <w:tcPr>
            <w:tcW w:w="7600" w:type="dxa"/>
            <w:vAlign w:val="top"/>
          </w:tcPr>
          <w:p>
            <w:pPr>
              <w:pStyle w:val="ProcedureTable"/>
            </w:pPr>
            <w:r>
              <w:t>Devaux Valérie, García Hermida-Van Der Walle Raquel, Toom Jana, Zalimas Dainius</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S&amp;D</w:t>
            </w:r>
          </w:p>
        </w:tc>
        <w:tc>
          <w:tcPr>
            <w:tcW w:w="7600" w:type="dxa"/>
            <w:vAlign w:val="top"/>
          </w:tcPr>
          <w:p>
            <w:pPr>
              <w:pStyle w:val="ProcedureTable"/>
            </w:pPr>
            <w:r>
              <w:t>Fritzon Heléne, Gálvez Lina, Noichl Maria, Scheuring-Wielgus Joanna, Vesligaj Marko</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The Left</w:t>
            </w:r>
          </w:p>
        </w:tc>
        <w:tc>
          <w:tcPr>
            <w:tcW w:w="7600" w:type="dxa"/>
            <w:vAlign w:val="top"/>
          </w:tcPr>
          <w:p>
            <w:pPr>
              <w:pStyle w:val="ProcedureTable"/>
            </w:pPr>
            <w:r>
              <w:t>Funchion Kathleen, Gedin Hanna, Montero Irene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Verts/ALE</w:t>
            </w:r>
          </w:p>
        </w:tc>
        <w:tc>
          <w:tcPr>
            <w:tcW w:w="7600" w:type="dxa"/>
            <w:vAlign w:val="top"/>
          </w:tcPr>
          <w:p>
            <w:pPr>
              <w:pStyle w:val="ProcedureTable"/>
            </w:pPr>
            <w:r>
              <w:t>Camara Mélissa, Langensiepen Katrin, Scuderi Benedetta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11</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ECR</w:t>
            </w:r>
          </w:p>
        </w:tc>
        <w:tc>
          <w:tcPr>
            <w:tcW w:w="7600" w:type="dxa"/>
            <w:vAlign w:val="top"/>
          </w:tcPr>
          <w:p>
            <w:pPr>
              <w:pStyle w:val="ProcedureTable"/>
            </w:pPr>
            <w:r>
              <w:t>Gemma Chiara, Timgren Beatrice, Trochu Laurence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ESN</w:t>
            </w:r>
          </w:p>
        </w:tc>
        <w:tc>
          <w:tcPr>
            <w:tcW w:w="7600" w:type="dxa"/>
            <w:vAlign w:val="top"/>
          </w:tcPr>
          <w:p>
            <w:pPr>
              <w:pStyle w:val="ProcedureTable"/>
            </w:pPr>
            <w:r>
              <w:t>Boßdorf Irmhild</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NI</w:t>
            </w:r>
          </w:p>
        </w:tc>
        <w:tc>
          <w:tcPr>
            <w:tcW w:w="7600" w:type="dxa"/>
            <w:vAlign w:val="top"/>
          </w:tcPr>
          <w:p>
            <w:pPr>
              <w:pStyle w:val="ProcedureTable"/>
            </w:pPr>
            <w:r>
              <w:t>Lassáková Judita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PfE</w:t>
            </w:r>
          </w:p>
        </w:tc>
        <w:tc>
          <w:tcPr>
            <w:tcW w:w="7600" w:type="dxa"/>
            <w:vAlign w:val="top"/>
          </w:tcPr>
          <w:p>
            <w:pPr>
              <w:pStyle w:val="ProcedureTable"/>
            </w:pPr>
            <w:r>
              <w:t>Androuët Mathilde, Borrás Pabón Mireia, Dieringer Elisabeth, Ferenc Viktória, Kruis Sebastian, de la Pisa Carrión Margarita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8</w:t>
            </w:r>
          </w:p>
        </w:tc>
        <w:tc>
          <w:tcPr>
            <w:tcW w:w="7600" w:type="dxa"/>
            <w:shd w:val="clear" w:color="auto" w:fill="C0C0C0"/>
            <w:vAlign w:val="top"/>
          </w:tcPr>
          <w:p>
            <w:pPr>
              <w:pStyle w:val="Arial14CentreBold"/>
            </w:pPr>
            <w:r>
              <w:t>0</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Aftias Georgios, Estaràs Ferragut Rosa, Fourlas Loucas, Gerzsenyi Gabriella, Geuking Niels, Marczulajtis-Walczak Jagna, Meleti Eleonora, Princi Giusi</w:t>
            </w:r>
          </w:p>
        </w:tc>
      </w:tr>
    </w:tbl>
    <w:p/>
    <w:p>
      <w:r>
        <w:t>Key:</w:t>
      </w:r>
    </w:p>
    <w:p>
      <w:pPr>
        <w:pStyle w:val="NormalTab"/>
      </w:pPr>
      <w:r>
        <w:t>+</w:t>
      </w:r>
      <w:r>
        <w:tab/>
        <w:t>:</w:t>
        <w:tab/>
      </w:r>
      <w:r>
        <w:t>„за“</w:t>
      </w:r>
    </w:p>
    <w:p>
      <w:pPr>
        <w:pStyle w:val="NormalTab"/>
      </w:pPr>
      <w:r>
        <w:t>-</w:t>
      </w:r>
      <w:r>
        <w:tab/>
        <w:t>:</w:t>
        <w:tab/>
      </w:r>
      <w:r>
        <w:t>„против“</w:t>
      </w:r>
    </w:p>
    <w:p>
      <w:pPr>
        <w:pStyle w:val="NormalTab"/>
      </w:pPr>
      <w:r>
        <w:t>0</w:t>
      </w:r>
      <w:r>
        <w:tab/>
        <w:t>:</w:t>
        <w:tab/>
      </w:r>
      <w:r>
        <w:t>„въздържал се“</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r>
      <w:tab/>
    </w:r>
    <w:r>
      <w:fldChar w:fldCharType="begin"/>
    </w:r>
    <w:r>
      <w:instrText>PAGE</w:instrText>
    </w:r>
    <w:r>
      <w:fldChar w:fldCharType="separate"/>
    </w:r>
    <w:r>
      <w:t>48</w:t>
    </w:r>
    <w:r>
      <w:fldChar w:fldCharType="end"/>
    </w:r>
    <w:r>
      <w:t>/</w:t>
    </w:r>
    <w:r>
      <w:fldChar w:fldCharType="begin"/>
    </w:r>
    <w:r>
      <w:instrText>NUMPAGES</w:instrText>
    </w:r>
    <w:r>
      <w:fldChar w:fldCharType="separate"/>
    </w:r>
    <w:r>
      <w:t>48</w:t>
    </w:r>
    <w:r>
      <w:fldChar w:fldCharType="end"/>
    </w:r>
    <w:r>
      <w:tab/>
    </w:r>
    <w:r>
      <w:rPr>
        <w:rStyle w:val="HideTWBExt"/>
      </w:rPr>
      <w:t>&lt;</w:t>
    </w:r>
    <w:r>
      <w:rPr>
        <w:rStyle w:val="HideTWBExt"/>
      </w:rPr>
      <w:t>PathFdR</w:t>
    </w:r>
    <w:r>
      <w:rPr>
        <w:rStyle w:val="HideTWBExt"/>
      </w:rPr>
      <w:t>&gt;</w:t>
    </w:r>
    <w:r>
      <w:t>AD\1321310BG.docx</w:t>
    </w:r>
    <w:r>
      <w:rPr>
        <w:rStyle w:val="HideTWBExt"/>
      </w:rPr>
      <w:t>&lt;/</w:t>
    </w:r>
    <w:r>
      <w:rPr>
        <w:rStyle w:val="HideTWBExt"/>
      </w:rPr>
      <w:t>PathFdR</w:t>
    </w:r>
    <w:r>
      <w:rPr>
        <w:rStyle w:val="HideTWBExt"/>
      </w:rPr>
      <w:t>&gt;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AD\1321310BG.docx</w:t>
    </w:r>
    <w:r>
      <w:rPr>
        <w:rStyle w:val="HideTWBExt"/>
      </w:rPr>
      <w:t>&lt;/</w:t>
    </w:r>
    <w:r>
      <w:rPr>
        <w:rStyle w:val="HideTWBExt"/>
      </w:rPr>
      <w:t>PathFdR</w:t>
    </w:r>
    <w:r>
      <w:rPr>
        <w:rStyle w:val="HideTWBExt"/>
      </w:rPr>
      <w:t>&gt;</w:t>
    </w:r>
    <w:r>
      <w:tab/>
    </w:r>
    <w:r>
      <w:fldChar w:fldCharType="begin"/>
    </w:r>
    <w:r>
      <w:instrText>PAGE</w:instrText>
    </w:r>
    <w:r>
      <w:fldChar w:fldCharType="separate"/>
    </w:r>
    <w:r>
      <w:t>47</w:t>
    </w:r>
    <w:r>
      <w:fldChar w:fldCharType="end"/>
    </w:r>
    <w:r>
      <w:t>/</w:t>
    </w:r>
    <w:r>
      <w:fldChar w:fldCharType="begin"/>
    </w:r>
    <w:r>
      <w:instrText>NUMPAGES</w:instrText>
    </w:r>
    <w:r>
      <w:fldChar w:fldCharType="separate"/>
    </w:r>
    <w:r>
      <w:t>48</w:t>
    </w:r>
    <w:r>
      <w:fldChar w:fldCharType="end"/>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AD\1321310BG.docx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BG</w:t>
    </w:r>
    <w:r>
      <w:tab/>
    </w:r>
    <w:r>
      <w:rPr>
        <w:rStyle w:val="EPFooter2Motto"/>
      </w:rPr>
      <w:t>Единство в многообразието</w:t>
    </w:r>
    <w:r>
      <w:tab/>
    </w:r>
    <w:r>
      <w:t>BG</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538D7"/>
    <w:multiLevelType w:val="hybridMultilevel"/>
    <w:tmpl w:val="B4A836B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COMKEY"/>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1321310</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20250612-104110-001032-246631</vt:lpwstr>
  </property>
  <property fmtid="{D5CDD505-2E9C-101B-9397-08002B2CF9AE}" pid="7" name="FooterPath">
    <vt:lpwstr>AD\1321310BG.doc</vt:lpwstr>
  </property>
  <property fmtid="{D5CDD505-2E9C-101B-9397-08002B2CF9AE}" pid="8" name="PE Number">
    <vt:lpwstr>770.238</vt:lpwstr>
  </property>
  <property fmtid="{D5CDD505-2E9C-101B-9397-08002B2CF9AE}" pid="9" name="UID">
    <vt:lpwstr>eu.europa.europarl-DIN1-2025-0000107752_01.09-bg-01.00_text-xml</vt:lpwstr>
  </property>
</Properties>
</file>